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17D7" w:rsidRPr="009A0826" w:rsidRDefault="00CA17D7" w:rsidP="00CA17D7">
      <w:pPr>
        <w:spacing w:after="0" w:line="240" w:lineRule="auto"/>
        <w:rPr>
          <w:rFonts w:ascii="Times New Roman" w:hAnsi="Times New Roman"/>
          <w:sz w:val="24"/>
          <w:szCs w:val="24"/>
          <w:lang w:val="en-GB"/>
        </w:rPr>
      </w:pPr>
      <w:r w:rsidRPr="009A0826">
        <w:rPr>
          <w:rFonts w:ascii="Times New Roman" w:hAnsi="Times New Roman"/>
          <w:noProof/>
          <w:sz w:val="24"/>
          <w:szCs w:val="24"/>
        </w:rPr>
        <w:drawing>
          <wp:inline distT="0" distB="0" distL="0" distR="0" wp14:anchorId="6BE2D2A2" wp14:editId="77B78690">
            <wp:extent cx="2305050" cy="571500"/>
            <wp:effectExtent l="0" t="0" r="0" b="0"/>
            <wp:docPr id="2" name="Picture 2" descr="ISDA, International Swaps and Derivatives Assoc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SDA, International Swaps and Derivatives Association"/>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305050" cy="571500"/>
                    </a:xfrm>
                    <a:prstGeom prst="rect">
                      <a:avLst/>
                    </a:prstGeom>
                    <a:noFill/>
                    <a:ln>
                      <a:noFill/>
                    </a:ln>
                  </pic:spPr>
                </pic:pic>
              </a:graphicData>
            </a:graphic>
          </wp:inline>
        </w:drawing>
      </w:r>
    </w:p>
    <w:p w:rsidR="00CA17D7" w:rsidRPr="009A0826" w:rsidRDefault="00CA17D7" w:rsidP="00CA17D7">
      <w:pPr>
        <w:spacing w:after="0" w:line="240" w:lineRule="auto"/>
        <w:rPr>
          <w:rFonts w:ascii="Times New Roman" w:hAnsi="Times New Roman"/>
          <w:color w:val="000000"/>
          <w:sz w:val="24"/>
          <w:szCs w:val="24"/>
        </w:rPr>
      </w:pPr>
    </w:p>
    <w:p w:rsidR="00CA17D7" w:rsidRPr="009A0826" w:rsidRDefault="00CA17D7" w:rsidP="00CA17D7">
      <w:pPr>
        <w:spacing w:after="0" w:line="240" w:lineRule="auto"/>
        <w:rPr>
          <w:rFonts w:ascii="Times New Roman" w:hAnsi="Times New Roman"/>
          <w:lang w:val="en-GB"/>
        </w:rPr>
      </w:pPr>
      <w:r w:rsidRPr="009A0826">
        <w:rPr>
          <w:rFonts w:ascii="Times New Roman" w:hAnsi="Times New Roman"/>
          <w:color w:val="000000"/>
          <w:sz w:val="23"/>
          <w:szCs w:val="23"/>
        </w:rPr>
        <w:t>NEWS RELEASE</w:t>
      </w:r>
      <w:r w:rsidRPr="009A0826">
        <w:rPr>
          <w:rFonts w:ascii="Times New Roman" w:hAnsi="Times New Roman"/>
          <w:lang w:val="en-GB"/>
        </w:rPr>
        <w:br/>
        <w:t xml:space="preserve">For Immediate Release </w:t>
      </w:r>
    </w:p>
    <w:p w:rsidR="00EB004C" w:rsidRDefault="00EB004C" w:rsidP="00EB004C">
      <w:pPr>
        <w:autoSpaceDE w:val="0"/>
        <w:autoSpaceDN w:val="0"/>
        <w:adjustRightInd w:val="0"/>
        <w:spacing w:after="0" w:line="240" w:lineRule="auto"/>
        <w:rPr>
          <w:rFonts w:ascii="Times New Roman" w:hAnsi="Times New Roman"/>
          <w:b/>
          <w:bCs/>
          <w:sz w:val="24"/>
          <w:szCs w:val="24"/>
        </w:rPr>
      </w:pPr>
    </w:p>
    <w:p w:rsidR="006D719A" w:rsidRDefault="006D719A" w:rsidP="00EB004C">
      <w:pPr>
        <w:autoSpaceDE w:val="0"/>
        <w:autoSpaceDN w:val="0"/>
        <w:adjustRightInd w:val="0"/>
        <w:spacing w:after="0" w:line="240" w:lineRule="auto"/>
        <w:rPr>
          <w:rFonts w:ascii="Times New Roman" w:hAnsi="Times New Roman"/>
          <w:b/>
          <w:bCs/>
          <w:sz w:val="24"/>
          <w:szCs w:val="24"/>
        </w:rPr>
      </w:pPr>
    </w:p>
    <w:p w:rsidR="006D719A" w:rsidRPr="00836C7D" w:rsidRDefault="006D719A" w:rsidP="006D719A">
      <w:pPr>
        <w:spacing w:after="0" w:line="240" w:lineRule="auto"/>
        <w:jc w:val="center"/>
        <w:rPr>
          <w:rFonts w:ascii="Times New Roman" w:eastAsia="Times New Roman" w:hAnsi="Times New Roman"/>
          <w:b/>
          <w:bCs/>
          <w:sz w:val="28"/>
          <w:szCs w:val="28"/>
        </w:rPr>
      </w:pPr>
      <w:r w:rsidRPr="00836C7D">
        <w:rPr>
          <w:rFonts w:ascii="Times New Roman" w:eastAsia="Times New Roman" w:hAnsi="Times New Roman"/>
          <w:b/>
          <w:bCs/>
          <w:sz w:val="28"/>
          <w:szCs w:val="28"/>
        </w:rPr>
        <w:t>ISDA</w:t>
      </w:r>
      <w:r>
        <w:rPr>
          <w:rFonts w:ascii="Times New Roman" w:eastAsia="Times New Roman" w:hAnsi="Times New Roman"/>
          <w:b/>
          <w:bCs/>
          <w:sz w:val="28"/>
          <w:szCs w:val="28"/>
        </w:rPr>
        <w:t xml:space="preserve"> Statement on INET Paper</w:t>
      </w:r>
    </w:p>
    <w:p w:rsidR="006D719A" w:rsidRDefault="006D719A" w:rsidP="006D719A">
      <w:pPr>
        <w:autoSpaceDE w:val="0"/>
        <w:autoSpaceDN w:val="0"/>
        <w:adjustRightInd w:val="0"/>
        <w:spacing w:after="0" w:line="240" w:lineRule="auto"/>
        <w:rPr>
          <w:rFonts w:ascii="Times New Roman" w:hAnsi="Times New Roman"/>
          <w:b/>
          <w:bCs/>
          <w:sz w:val="24"/>
          <w:szCs w:val="24"/>
        </w:rPr>
      </w:pPr>
    </w:p>
    <w:p w:rsidR="006D719A" w:rsidRPr="00836C7D" w:rsidRDefault="006D719A" w:rsidP="006D719A">
      <w:pPr>
        <w:autoSpaceDE w:val="0"/>
        <w:autoSpaceDN w:val="0"/>
        <w:adjustRightInd w:val="0"/>
        <w:spacing w:after="0" w:line="240" w:lineRule="auto"/>
        <w:rPr>
          <w:rFonts w:ascii="Times New Roman" w:hAnsi="Times New Roman"/>
          <w:b/>
          <w:bCs/>
          <w:sz w:val="24"/>
          <w:szCs w:val="24"/>
        </w:rPr>
      </w:pPr>
    </w:p>
    <w:p w:rsidR="006D719A" w:rsidRDefault="006D719A" w:rsidP="006D719A">
      <w:pPr>
        <w:autoSpaceDE w:val="0"/>
        <w:autoSpaceDN w:val="0"/>
        <w:adjustRightInd w:val="0"/>
        <w:spacing w:after="0" w:line="240" w:lineRule="auto"/>
        <w:rPr>
          <w:rFonts w:ascii="Times New Roman" w:eastAsia="Times New Roman" w:hAnsi="Times New Roman"/>
          <w:sz w:val="24"/>
          <w:szCs w:val="24"/>
        </w:rPr>
      </w:pPr>
      <w:r w:rsidRPr="00836C7D">
        <w:rPr>
          <w:rFonts w:ascii="Times New Roman" w:hAnsi="Times New Roman"/>
          <w:b/>
          <w:bCs/>
          <w:sz w:val="24"/>
          <w:szCs w:val="24"/>
        </w:rPr>
        <w:t xml:space="preserve">NEW YORK, </w:t>
      </w:r>
      <w:r w:rsidRPr="00E96DFE">
        <w:rPr>
          <w:rFonts w:ascii="Times New Roman" w:hAnsi="Times New Roman"/>
          <w:b/>
          <w:bCs/>
          <w:sz w:val="24"/>
          <w:szCs w:val="24"/>
        </w:rPr>
        <w:t>June 1</w:t>
      </w:r>
      <w:r>
        <w:rPr>
          <w:rFonts w:ascii="Times New Roman" w:hAnsi="Times New Roman"/>
          <w:b/>
          <w:bCs/>
          <w:sz w:val="24"/>
          <w:szCs w:val="24"/>
        </w:rPr>
        <w:t>9</w:t>
      </w:r>
      <w:r w:rsidRPr="00836C7D">
        <w:rPr>
          <w:rFonts w:ascii="Times New Roman" w:eastAsia="Times New Roman" w:hAnsi="Times New Roman"/>
          <w:b/>
          <w:sz w:val="24"/>
          <w:szCs w:val="24"/>
        </w:rPr>
        <w:t>, 2018</w:t>
      </w:r>
      <w:r w:rsidRPr="00836C7D">
        <w:rPr>
          <w:rFonts w:ascii="Times New Roman" w:eastAsia="Times New Roman" w:hAnsi="Times New Roman"/>
          <w:sz w:val="24"/>
          <w:szCs w:val="24"/>
        </w:rPr>
        <w:t xml:space="preserve"> – The International Swaps and Deriv</w:t>
      </w:r>
      <w:r w:rsidR="00F06932">
        <w:rPr>
          <w:rFonts w:ascii="Times New Roman" w:eastAsia="Times New Roman" w:hAnsi="Times New Roman"/>
          <w:sz w:val="24"/>
          <w:szCs w:val="24"/>
        </w:rPr>
        <w:t>atives Association, Inc. (ISDA)</w:t>
      </w:r>
      <w:r w:rsidRPr="00836C7D">
        <w:rPr>
          <w:rFonts w:ascii="Times New Roman" w:eastAsia="Times New Roman" w:hAnsi="Times New Roman"/>
          <w:sz w:val="24"/>
          <w:szCs w:val="24"/>
        </w:rPr>
        <w:t xml:space="preserve"> </w:t>
      </w:r>
      <w:r>
        <w:rPr>
          <w:rFonts w:ascii="Times New Roman" w:eastAsia="Times New Roman" w:hAnsi="Times New Roman"/>
          <w:sz w:val="24"/>
          <w:szCs w:val="24"/>
        </w:rPr>
        <w:t xml:space="preserve">has published the following statement on a </w:t>
      </w:r>
      <w:hyperlink r:id="rId9" w:history="1">
        <w:r w:rsidRPr="00E96DFE">
          <w:rPr>
            <w:rStyle w:val="Hyperlink"/>
            <w:rFonts w:ascii="Times New Roman" w:eastAsia="Times New Roman" w:hAnsi="Times New Roman"/>
            <w:sz w:val="24"/>
            <w:szCs w:val="24"/>
          </w:rPr>
          <w:t>new paper published by the Institute for New Economic Thinking</w:t>
        </w:r>
      </w:hyperlink>
      <w:r>
        <w:rPr>
          <w:rFonts w:ascii="Times New Roman" w:eastAsia="Times New Roman" w:hAnsi="Times New Roman"/>
          <w:sz w:val="24"/>
          <w:szCs w:val="24"/>
        </w:rPr>
        <w:t xml:space="preserve">. </w:t>
      </w:r>
    </w:p>
    <w:p w:rsidR="006D719A" w:rsidRDefault="006D719A" w:rsidP="006D719A">
      <w:pPr>
        <w:autoSpaceDE w:val="0"/>
        <w:autoSpaceDN w:val="0"/>
        <w:adjustRightInd w:val="0"/>
        <w:spacing w:after="0" w:line="240" w:lineRule="auto"/>
        <w:rPr>
          <w:rFonts w:ascii="Times New Roman" w:eastAsia="Times New Roman" w:hAnsi="Times New Roman"/>
          <w:sz w:val="24"/>
          <w:szCs w:val="24"/>
        </w:rPr>
      </w:pPr>
    </w:p>
    <w:p w:rsidR="006D719A" w:rsidRPr="00E96DFE" w:rsidRDefault="006D719A" w:rsidP="006D719A">
      <w:pPr>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w:t>
      </w:r>
      <w:r w:rsidRPr="00E96DFE">
        <w:rPr>
          <w:rFonts w:ascii="Times New Roman" w:eastAsia="Times New Roman" w:hAnsi="Times New Roman"/>
          <w:sz w:val="24"/>
          <w:szCs w:val="24"/>
        </w:rPr>
        <w:t xml:space="preserve">Swaps transacted </w:t>
      </w:r>
      <w:r>
        <w:rPr>
          <w:rFonts w:ascii="Times New Roman" w:eastAsia="Times New Roman" w:hAnsi="Times New Roman"/>
          <w:sz w:val="24"/>
          <w:szCs w:val="24"/>
        </w:rPr>
        <w:t>on</w:t>
      </w:r>
      <w:r w:rsidRPr="00E96DFE">
        <w:rPr>
          <w:rFonts w:ascii="Times New Roman" w:eastAsia="Times New Roman" w:hAnsi="Times New Roman"/>
          <w:sz w:val="24"/>
          <w:szCs w:val="24"/>
        </w:rPr>
        <w:t xml:space="preserve"> a guaranteed or non-guaranteed </w:t>
      </w:r>
      <w:r>
        <w:rPr>
          <w:rFonts w:ascii="Times New Roman" w:eastAsia="Times New Roman" w:hAnsi="Times New Roman"/>
          <w:sz w:val="24"/>
          <w:szCs w:val="24"/>
        </w:rPr>
        <w:t>basis</w:t>
      </w:r>
      <w:r w:rsidRPr="00E96DFE">
        <w:rPr>
          <w:rFonts w:ascii="Times New Roman" w:eastAsia="Times New Roman" w:hAnsi="Times New Roman"/>
          <w:sz w:val="24"/>
          <w:szCs w:val="24"/>
        </w:rPr>
        <w:t xml:space="preserve"> in the US or Europe are subject to</w:t>
      </w:r>
      <w:r>
        <w:rPr>
          <w:rFonts w:ascii="Times New Roman" w:eastAsia="Times New Roman" w:hAnsi="Times New Roman"/>
          <w:sz w:val="24"/>
          <w:szCs w:val="24"/>
        </w:rPr>
        <w:t xml:space="preserve"> clearing</w:t>
      </w:r>
      <w:r w:rsidRPr="00E96DFE">
        <w:rPr>
          <w:rFonts w:ascii="Times New Roman" w:eastAsia="Times New Roman" w:hAnsi="Times New Roman"/>
          <w:sz w:val="24"/>
          <w:szCs w:val="24"/>
        </w:rPr>
        <w:t>, margining, capital and other requirements that increase t</w:t>
      </w:r>
      <w:r>
        <w:rPr>
          <w:rFonts w:ascii="Times New Roman" w:eastAsia="Times New Roman" w:hAnsi="Times New Roman"/>
          <w:sz w:val="24"/>
          <w:szCs w:val="24"/>
        </w:rPr>
        <w:t xml:space="preserve">ransparency and mitigate risk. </w:t>
      </w:r>
      <w:r w:rsidRPr="00E96DFE">
        <w:rPr>
          <w:rFonts w:ascii="Times New Roman" w:eastAsia="Times New Roman" w:hAnsi="Times New Roman"/>
          <w:sz w:val="24"/>
          <w:szCs w:val="24"/>
        </w:rPr>
        <w:t xml:space="preserve">The so-called </w:t>
      </w:r>
      <w:r>
        <w:rPr>
          <w:rFonts w:ascii="Times New Roman" w:eastAsia="Times New Roman" w:hAnsi="Times New Roman"/>
          <w:sz w:val="24"/>
          <w:szCs w:val="24"/>
        </w:rPr>
        <w:t>‘</w:t>
      </w:r>
      <w:r w:rsidRPr="00E96DFE">
        <w:rPr>
          <w:rFonts w:ascii="Times New Roman" w:eastAsia="Times New Roman" w:hAnsi="Times New Roman"/>
          <w:sz w:val="24"/>
          <w:szCs w:val="24"/>
        </w:rPr>
        <w:t>loophole</w:t>
      </w:r>
      <w:r>
        <w:rPr>
          <w:rFonts w:ascii="Times New Roman" w:eastAsia="Times New Roman" w:hAnsi="Times New Roman"/>
          <w:sz w:val="24"/>
          <w:szCs w:val="24"/>
        </w:rPr>
        <w:t>’</w:t>
      </w:r>
      <w:r w:rsidRPr="00E96DFE">
        <w:rPr>
          <w:rFonts w:ascii="Times New Roman" w:eastAsia="Times New Roman" w:hAnsi="Times New Roman"/>
          <w:sz w:val="24"/>
          <w:szCs w:val="24"/>
        </w:rPr>
        <w:t xml:space="preserve"> referred to in the paper simply reflects that some European counterparties prefer </w:t>
      </w:r>
      <w:r>
        <w:rPr>
          <w:rFonts w:ascii="Times New Roman" w:eastAsia="Times New Roman" w:hAnsi="Times New Roman"/>
          <w:sz w:val="24"/>
          <w:szCs w:val="24"/>
        </w:rPr>
        <w:t>for</w:t>
      </w:r>
      <w:r w:rsidRPr="00E96DFE">
        <w:rPr>
          <w:rFonts w:ascii="Times New Roman" w:eastAsia="Times New Roman" w:hAnsi="Times New Roman"/>
          <w:sz w:val="24"/>
          <w:szCs w:val="24"/>
        </w:rPr>
        <w:t xml:space="preserve"> their financial transactions to be governed by EU regulations, which are very similar to those in the US.</w:t>
      </w:r>
    </w:p>
    <w:p w:rsidR="006D719A" w:rsidRPr="00E96DFE" w:rsidRDefault="006D719A" w:rsidP="006D719A">
      <w:pPr>
        <w:autoSpaceDE w:val="0"/>
        <w:autoSpaceDN w:val="0"/>
        <w:adjustRightInd w:val="0"/>
        <w:spacing w:after="0" w:line="240" w:lineRule="auto"/>
        <w:rPr>
          <w:rFonts w:ascii="Times New Roman" w:eastAsia="Times New Roman" w:hAnsi="Times New Roman"/>
          <w:sz w:val="24"/>
          <w:szCs w:val="24"/>
        </w:rPr>
      </w:pPr>
    </w:p>
    <w:p w:rsidR="006D719A" w:rsidRDefault="006D719A" w:rsidP="006D719A">
      <w:pPr>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w:t>
      </w:r>
      <w:r w:rsidRPr="00E96DFE">
        <w:rPr>
          <w:rFonts w:ascii="Times New Roman" w:eastAsia="Times New Roman" w:hAnsi="Times New Roman"/>
          <w:sz w:val="24"/>
          <w:szCs w:val="24"/>
        </w:rPr>
        <w:t xml:space="preserve">The issue raised in the </w:t>
      </w:r>
      <w:r w:rsidR="00BC6EF5" w:rsidRPr="00E96DFE">
        <w:rPr>
          <w:rFonts w:ascii="Times New Roman" w:eastAsia="Times New Roman" w:hAnsi="Times New Roman"/>
          <w:sz w:val="24"/>
          <w:szCs w:val="24"/>
        </w:rPr>
        <w:t xml:space="preserve">paper is </w:t>
      </w:r>
      <w:hyperlink r:id="rId10" w:history="1">
        <w:r w:rsidR="00BC6EF5" w:rsidRPr="00E341CB">
          <w:rPr>
            <w:rStyle w:val="Hyperlink"/>
            <w:rFonts w:ascii="Times New Roman" w:eastAsia="Times New Roman" w:hAnsi="Times New Roman"/>
            <w:sz w:val="24"/>
            <w:szCs w:val="24"/>
          </w:rPr>
          <w:t>not new</w:t>
        </w:r>
      </w:hyperlink>
      <w:r w:rsidR="00BC6EF5">
        <w:rPr>
          <w:rFonts w:ascii="Times New Roman" w:eastAsia="Times New Roman" w:hAnsi="Times New Roman"/>
          <w:sz w:val="24"/>
          <w:szCs w:val="24"/>
        </w:rPr>
        <w:t xml:space="preserve"> </w:t>
      </w:r>
      <w:bookmarkStart w:id="0" w:name="_GoBack"/>
      <w:bookmarkEnd w:id="0"/>
      <w:r w:rsidRPr="00E96DFE">
        <w:rPr>
          <w:rFonts w:ascii="Times New Roman" w:eastAsia="Times New Roman" w:hAnsi="Times New Roman"/>
          <w:sz w:val="24"/>
          <w:szCs w:val="24"/>
        </w:rPr>
        <w:t xml:space="preserve">and has been discussed extensively. It seems clear that the paper is designed to rehash old criticisms and ignore the very real progress that has been made in increasing the resilience, transparency and safety of global and US derivatives markets.  </w:t>
      </w:r>
      <w:r>
        <w:rPr>
          <w:rFonts w:ascii="Times New Roman" w:eastAsia="Times New Roman" w:hAnsi="Times New Roman"/>
          <w:sz w:val="24"/>
          <w:szCs w:val="24"/>
        </w:rPr>
        <w:t>This includes implementation of clearing mandates (</w:t>
      </w:r>
      <w:r w:rsidR="009E76EF">
        <w:rPr>
          <w:rFonts w:ascii="Times New Roman" w:eastAsia="Times New Roman" w:hAnsi="Times New Roman"/>
          <w:sz w:val="24"/>
          <w:szCs w:val="24"/>
        </w:rPr>
        <w:t>approximately</w:t>
      </w:r>
      <w:r>
        <w:rPr>
          <w:rFonts w:ascii="Times New Roman" w:eastAsia="Times New Roman" w:hAnsi="Times New Roman"/>
          <w:sz w:val="24"/>
          <w:szCs w:val="24"/>
        </w:rPr>
        <w:t xml:space="preserve"> 75% of total interest rate derivatives notional outstanding is now cleared globally</w:t>
      </w:r>
      <w:r w:rsidR="009E76EF">
        <w:rPr>
          <w:rFonts w:ascii="Times New Roman" w:eastAsia="Times New Roman" w:hAnsi="Times New Roman"/>
          <w:sz w:val="24"/>
          <w:szCs w:val="24"/>
        </w:rPr>
        <w:t>, according to the Bank for International Settlements</w:t>
      </w:r>
      <w:r>
        <w:rPr>
          <w:rFonts w:ascii="Times New Roman" w:eastAsia="Times New Roman" w:hAnsi="Times New Roman"/>
          <w:sz w:val="24"/>
          <w:szCs w:val="24"/>
        </w:rPr>
        <w:t xml:space="preserve">), mandatory reporting obligations, the obligation to post high-quality collateral on non-cleared derivatives and higher capital requirements. </w:t>
      </w:r>
    </w:p>
    <w:p w:rsidR="006D719A" w:rsidRDefault="006D719A" w:rsidP="006D719A">
      <w:pPr>
        <w:autoSpaceDE w:val="0"/>
        <w:autoSpaceDN w:val="0"/>
        <w:adjustRightInd w:val="0"/>
        <w:spacing w:after="0" w:line="240" w:lineRule="auto"/>
        <w:rPr>
          <w:rFonts w:ascii="Times New Roman" w:eastAsia="Times New Roman" w:hAnsi="Times New Roman"/>
          <w:sz w:val="24"/>
          <w:szCs w:val="24"/>
        </w:rPr>
      </w:pPr>
    </w:p>
    <w:p w:rsidR="00FC0536" w:rsidRPr="006D719A" w:rsidRDefault="006D719A" w:rsidP="006D719A">
      <w:pPr>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“The claim that ISDA documentation enabled banks to de-guarantee is simply not true. The document referred to was a letter that allowed firms to disclose their legal status to their counterparties, and so establish</w:t>
      </w:r>
      <w:r w:rsidDel="004F35E4">
        <w:rPr>
          <w:rFonts w:ascii="Times New Roman" w:eastAsia="Times New Roman" w:hAnsi="Times New Roman"/>
          <w:sz w:val="24"/>
          <w:szCs w:val="24"/>
        </w:rPr>
        <w:t xml:space="preserve"> </w:t>
      </w:r>
      <w:r>
        <w:rPr>
          <w:rFonts w:ascii="Times New Roman" w:eastAsia="Times New Roman" w:hAnsi="Times New Roman"/>
          <w:sz w:val="24"/>
          <w:szCs w:val="24"/>
        </w:rPr>
        <w:t>which rules would apply.</w:t>
      </w:r>
      <w:r w:rsidRPr="00BE48B4">
        <w:t xml:space="preserve"> </w:t>
      </w:r>
      <w:r w:rsidRPr="00BE48B4">
        <w:rPr>
          <w:rFonts w:ascii="Times New Roman" w:eastAsia="Times New Roman" w:hAnsi="Times New Roman"/>
          <w:sz w:val="24"/>
          <w:szCs w:val="24"/>
        </w:rPr>
        <w:t xml:space="preserve">The standard letter as published allows firms </w:t>
      </w:r>
      <w:r>
        <w:rPr>
          <w:rFonts w:ascii="Times New Roman" w:eastAsia="Times New Roman" w:hAnsi="Times New Roman"/>
          <w:sz w:val="24"/>
          <w:szCs w:val="24"/>
        </w:rPr>
        <w:t>to disclose their legal status, not</w:t>
      </w:r>
      <w:r w:rsidRPr="00BE48B4">
        <w:rPr>
          <w:rFonts w:ascii="Times New Roman" w:eastAsia="Times New Roman" w:hAnsi="Times New Roman"/>
          <w:sz w:val="24"/>
          <w:szCs w:val="24"/>
        </w:rPr>
        <w:t xml:space="preserve"> change their legal status.”</w:t>
      </w:r>
    </w:p>
    <w:p w:rsidR="00FC0536" w:rsidRDefault="00FC0536" w:rsidP="00EB004C">
      <w:pPr>
        <w:pStyle w:val="Default"/>
        <w:rPr>
          <w:b/>
          <w:bCs/>
          <w:szCs w:val="23"/>
        </w:rPr>
      </w:pPr>
    </w:p>
    <w:p w:rsidR="00CA17D7" w:rsidRPr="009A0826" w:rsidRDefault="00CA17D7" w:rsidP="00CA17D7">
      <w:pPr>
        <w:autoSpaceDE w:val="0"/>
        <w:autoSpaceDN w:val="0"/>
        <w:adjustRightInd w:val="0"/>
        <w:spacing w:after="0" w:line="240" w:lineRule="auto"/>
        <w:rPr>
          <w:rFonts w:ascii="Times New Roman" w:eastAsia="Times New Roman" w:hAnsi="Times New Roman"/>
          <w:color w:val="000000"/>
          <w:sz w:val="24"/>
          <w:szCs w:val="23"/>
        </w:rPr>
      </w:pPr>
      <w:r w:rsidRPr="009A0826">
        <w:rPr>
          <w:rFonts w:ascii="Times New Roman" w:eastAsia="Times New Roman" w:hAnsi="Times New Roman"/>
          <w:b/>
          <w:bCs/>
          <w:color w:val="000000"/>
          <w:sz w:val="24"/>
          <w:szCs w:val="23"/>
        </w:rPr>
        <w:t xml:space="preserve">For Press Queries, Please Contact: </w:t>
      </w:r>
    </w:p>
    <w:p w:rsidR="00CA17D7" w:rsidRPr="009A0826" w:rsidRDefault="00CA17D7" w:rsidP="00CA17D7">
      <w:pPr>
        <w:autoSpaceDE w:val="0"/>
        <w:autoSpaceDN w:val="0"/>
        <w:adjustRightInd w:val="0"/>
        <w:spacing w:after="0" w:line="240" w:lineRule="auto"/>
        <w:rPr>
          <w:rFonts w:ascii="Times New Roman" w:eastAsia="Times New Roman" w:hAnsi="Times New Roman"/>
          <w:color w:val="000000" w:themeColor="text1"/>
          <w:sz w:val="24"/>
          <w:szCs w:val="23"/>
        </w:rPr>
      </w:pPr>
      <w:r w:rsidRPr="009A0826">
        <w:rPr>
          <w:rFonts w:ascii="Times New Roman" w:eastAsia="Times New Roman" w:hAnsi="Times New Roman"/>
          <w:color w:val="000000" w:themeColor="text1"/>
          <w:sz w:val="24"/>
          <w:szCs w:val="23"/>
        </w:rPr>
        <w:t xml:space="preserve">Nick Sawyer, ISDA London, +44 7921 870892, </w:t>
      </w:r>
      <w:hyperlink r:id="rId11" w:history="1">
        <w:r w:rsidRPr="009A0826">
          <w:rPr>
            <w:rFonts w:ascii="Times New Roman" w:eastAsia="Times New Roman" w:hAnsi="Times New Roman"/>
            <w:color w:val="0000FF"/>
            <w:sz w:val="24"/>
            <w:szCs w:val="23"/>
            <w:u w:val="single"/>
          </w:rPr>
          <w:t>nsawyer@isda.org</w:t>
        </w:r>
      </w:hyperlink>
      <w:r w:rsidRPr="009A0826">
        <w:rPr>
          <w:rFonts w:ascii="Times New Roman" w:eastAsia="Times New Roman" w:hAnsi="Times New Roman"/>
          <w:color w:val="000000" w:themeColor="text1"/>
          <w:sz w:val="24"/>
          <w:szCs w:val="23"/>
        </w:rPr>
        <w:t xml:space="preserve">  </w:t>
      </w:r>
    </w:p>
    <w:p w:rsidR="00CA17D7" w:rsidRPr="009A0826" w:rsidRDefault="00CA17D7" w:rsidP="00CA17D7">
      <w:pPr>
        <w:autoSpaceDE w:val="0"/>
        <w:autoSpaceDN w:val="0"/>
        <w:adjustRightInd w:val="0"/>
        <w:spacing w:after="0" w:line="240" w:lineRule="auto"/>
        <w:rPr>
          <w:rFonts w:ascii="Times New Roman" w:eastAsia="Times New Roman" w:hAnsi="Times New Roman"/>
          <w:color w:val="000000" w:themeColor="text1"/>
          <w:sz w:val="24"/>
          <w:szCs w:val="23"/>
        </w:rPr>
      </w:pPr>
      <w:r w:rsidRPr="009A0826">
        <w:rPr>
          <w:rFonts w:ascii="Times New Roman" w:eastAsia="Times New Roman" w:hAnsi="Times New Roman"/>
          <w:color w:val="000000" w:themeColor="text1"/>
          <w:sz w:val="24"/>
          <w:szCs w:val="23"/>
        </w:rPr>
        <w:t xml:space="preserve">Michael Milner-Watt, ISDA London, +44 7710 967027, </w:t>
      </w:r>
      <w:hyperlink r:id="rId12" w:history="1">
        <w:r w:rsidRPr="009A0826">
          <w:rPr>
            <w:rFonts w:ascii="Times New Roman" w:eastAsia="Times New Roman" w:hAnsi="Times New Roman"/>
            <w:color w:val="0000FF"/>
            <w:sz w:val="24"/>
            <w:szCs w:val="23"/>
            <w:u w:val="single"/>
          </w:rPr>
          <w:t>mmilner-watt@isda.org</w:t>
        </w:r>
      </w:hyperlink>
      <w:r w:rsidRPr="009A0826">
        <w:rPr>
          <w:rFonts w:ascii="Times New Roman" w:eastAsia="Times New Roman" w:hAnsi="Times New Roman"/>
          <w:color w:val="000000" w:themeColor="text1"/>
          <w:sz w:val="24"/>
          <w:szCs w:val="23"/>
        </w:rPr>
        <w:t xml:space="preserve">  </w:t>
      </w:r>
    </w:p>
    <w:p w:rsidR="00CA17D7" w:rsidRPr="009A0826" w:rsidRDefault="00CA17D7" w:rsidP="00CA17D7">
      <w:pPr>
        <w:autoSpaceDE w:val="0"/>
        <w:autoSpaceDN w:val="0"/>
        <w:adjustRightInd w:val="0"/>
        <w:spacing w:after="0" w:line="240" w:lineRule="auto"/>
        <w:rPr>
          <w:rFonts w:ascii="Times New Roman" w:eastAsia="Times New Roman" w:hAnsi="Times New Roman"/>
          <w:color w:val="000000" w:themeColor="text1"/>
          <w:sz w:val="24"/>
          <w:szCs w:val="23"/>
        </w:rPr>
      </w:pPr>
      <w:r w:rsidRPr="009A0826">
        <w:rPr>
          <w:rFonts w:ascii="Times New Roman" w:eastAsia="Times New Roman" w:hAnsi="Times New Roman"/>
          <w:color w:val="000000" w:themeColor="text1"/>
          <w:sz w:val="24"/>
          <w:szCs w:val="23"/>
        </w:rPr>
        <w:t xml:space="preserve">Lauren Dobbs, ISDA New York, +1 646 639 9862, </w:t>
      </w:r>
      <w:hyperlink r:id="rId13" w:history="1">
        <w:r w:rsidRPr="009A0826">
          <w:rPr>
            <w:rFonts w:ascii="Times New Roman" w:eastAsia="Times New Roman" w:hAnsi="Times New Roman"/>
            <w:color w:val="0000FF"/>
            <w:sz w:val="24"/>
            <w:szCs w:val="23"/>
            <w:u w:val="single"/>
          </w:rPr>
          <w:t>ldobbs@isda.org</w:t>
        </w:r>
      </w:hyperlink>
      <w:r w:rsidRPr="009A0826">
        <w:rPr>
          <w:rFonts w:ascii="Times New Roman" w:eastAsia="Times New Roman" w:hAnsi="Times New Roman"/>
          <w:color w:val="000000" w:themeColor="text1"/>
          <w:sz w:val="24"/>
          <w:szCs w:val="23"/>
        </w:rPr>
        <w:t xml:space="preserve">   </w:t>
      </w:r>
    </w:p>
    <w:p w:rsidR="00CA17D7" w:rsidRPr="00CA17D7" w:rsidRDefault="00CA17D7" w:rsidP="00CA17D7">
      <w:pPr>
        <w:autoSpaceDE w:val="0"/>
        <w:autoSpaceDN w:val="0"/>
        <w:adjustRightInd w:val="0"/>
        <w:spacing w:after="0" w:line="240" w:lineRule="auto"/>
        <w:rPr>
          <w:rFonts w:ascii="Times New Roman" w:eastAsia="Times New Roman" w:hAnsi="Times New Roman"/>
          <w:color w:val="000000" w:themeColor="text1"/>
          <w:sz w:val="24"/>
          <w:szCs w:val="23"/>
        </w:rPr>
      </w:pPr>
      <w:r w:rsidRPr="009A0826">
        <w:rPr>
          <w:rFonts w:ascii="Times New Roman" w:eastAsia="Times New Roman" w:hAnsi="Times New Roman"/>
          <w:color w:val="000000" w:themeColor="text1"/>
          <w:sz w:val="24"/>
          <w:szCs w:val="23"/>
        </w:rPr>
        <w:t xml:space="preserve">Amanda Leung, ISDA Hong Kong, +1 646 318 7462, </w:t>
      </w:r>
      <w:hyperlink r:id="rId14" w:history="1">
        <w:r w:rsidRPr="009A0826">
          <w:rPr>
            <w:rFonts w:ascii="Times New Roman" w:eastAsia="Times New Roman" w:hAnsi="Times New Roman"/>
            <w:color w:val="0000FF"/>
            <w:sz w:val="24"/>
            <w:szCs w:val="23"/>
            <w:u w:val="single"/>
          </w:rPr>
          <w:t>aleung@isda.org</w:t>
        </w:r>
      </w:hyperlink>
      <w:r w:rsidRPr="009A0826">
        <w:rPr>
          <w:rFonts w:ascii="Times New Roman" w:eastAsia="Times New Roman" w:hAnsi="Times New Roman"/>
          <w:color w:val="000000" w:themeColor="text1"/>
          <w:sz w:val="24"/>
          <w:szCs w:val="23"/>
        </w:rPr>
        <w:t xml:space="preserve"> </w:t>
      </w:r>
    </w:p>
    <w:p w:rsidR="00CA17D7" w:rsidRDefault="00CA17D7" w:rsidP="00CA17D7">
      <w:pPr>
        <w:autoSpaceDE w:val="0"/>
        <w:autoSpaceDN w:val="0"/>
        <w:adjustRightInd w:val="0"/>
        <w:spacing w:after="0" w:line="240" w:lineRule="auto"/>
        <w:rPr>
          <w:rFonts w:ascii="Times New Roman" w:eastAsia="Times New Roman" w:hAnsi="Times New Roman"/>
          <w:b/>
          <w:bCs/>
          <w:color w:val="000000" w:themeColor="text1"/>
          <w:sz w:val="24"/>
          <w:szCs w:val="23"/>
        </w:rPr>
      </w:pPr>
    </w:p>
    <w:p w:rsidR="006D719A" w:rsidRDefault="006D719A" w:rsidP="00CA17D7">
      <w:pPr>
        <w:autoSpaceDE w:val="0"/>
        <w:autoSpaceDN w:val="0"/>
        <w:adjustRightInd w:val="0"/>
        <w:spacing w:after="0" w:line="240" w:lineRule="auto"/>
        <w:rPr>
          <w:rFonts w:ascii="Times New Roman" w:eastAsia="Times New Roman" w:hAnsi="Times New Roman"/>
          <w:b/>
          <w:bCs/>
          <w:color w:val="000000" w:themeColor="text1"/>
          <w:sz w:val="24"/>
          <w:szCs w:val="23"/>
        </w:rPr>
      </w:pPr>
    </w:p>
    <w:p w:rsidR="006D719A" w:rsidRDefault="006D719A" w:rsidP="00CA17D7">
      <w:pPr>
        <w:autoSpaceDE w:val="0"/>
        <w:autoSpaceDN w:val="0"/>
        <w:adjustRightInd w:val="0"/>
        <w:spacing w:after="0" w:line="240" w:lineRule="auto"/>
        <w:rPr>
          <w:rFonts w:ascii="Times New Roman" w:eastAsia="Times New Roman" w:hAnsi="Times New Roman"/>
          <w:b/>
          <w:bCs/>
          <w:color w:val="000000" w:themeColor="text1"/>
          <w:sz w:val="24"/>
          <w:szCs w:val="23"/>
        </w:rPr>
      </w:pPr>
    </w:p>
    <w:p w:rsidR="006D719A" w:rsidRDefault="006D719A" w:rsidP="006D719A">
      <w:pPr>
        <w:autoSpaceDE w:val="0"/>
        <w:autoSpaceDN w:val="0"/>
        <w:adjustRightInd w:val="0"/>
        <w:spacing w:after="0" w:line="240" w:lineRule="auto"/>
        <w:jc w:val="center"/>
        <w:rPr>
          <w:rFonts w:ascii="Times New Roman" w:eastAsia="Times New Roman" w:hAnsi="Times New Roman"/>
          <w:b/>
          <w:bCs/>
          <w:color w:val="000000" w:themeColor="text1"/>
          <w:sz w:val="24"/>
          <w:szCs w:val="23"/>
        </w:rPr>
      </w:pPr>
      <w:r>
        <w:rPr>
          <w:rFonts w:ascii="Times New Roman" w:eastAsia="Times New Roman" w:hAnsi="Times New Roman"/>
          <w:b/>
          <w:bCs/>
          <w:color w:val="000000" w:themeColor="text1"/>
          <w:sz w:val="24"/>
          <w:szCs w:val="23"/>
        </w:rPr>
        <w:t>-more-</w:t>
      </w:r>
    </w:p>
    <w:p w:rsidR="006D719A" w:rsidRDefault="006D719A" w:rsidP="006D719A">
      <w:pPr>
        <w:autoSpaceDE w:val="0"/>
        <w:autoSpaceDN w:val="0"/>
        <w:adjustRightInd w:val="0"/>
        <w:spacing w:after="0" w:line="240" w:lineRule="auto"/>
        <w:jc w:val="center"/>
        <w:rPr>
          <w:rFonts w:ascii="Times New Roman" w:eastAsia="Times New Roman" w:hAnsi="Times New Roman"/>
          <w:b/>
          <w:bCs/>
          <w:color w:val="000000" w:themeColor="text1"/>
          <w:sz w:val="24"/>
          <w:szCs w:val="23"/>
        </w:rPr>
      </w:pPr>
    </w:p>
    <w:p w:rsidR="006D719A" w:rsidRDefault="006D719A" w:rsidP="006D719A">
      <w:pPr>
        <w:autoSpaceDE w:val="0"/>
        <w:autoSpaceDN w:val="0"/>
        <w:adjustRightInd w:val="0"/>
        <w:spacing w:after="0" w:line="240" w:lineRule="auto"/>
        <w:jc w:val="center"/>
        <w:rPr>
          <w:rFonts w:ascii="Times New Roman" w:eastAsia="Times New Roman" w:hAnsi="Times New Roman"/>
          <w:b/>
          <w:bCs/>
          <w:color w:val="000000" w:themeColor="text1"/>
          <w:sz w:val="24"/>
          <w:szCs w:val="23"/>
        </w:rPr>
      </w:pPr>
    </w:p>
    <w:p w:rsidR="006D719A" w:rsidRPr="009A0826" w:rsidRDefault="006D719A" w:rsidP="00CA17D7">
      <w:pPr>
        <w:autoSpaceDE w:val="0"/>
        <w:autoSpaceDN w:val="0"/>
        <w:adjustRightInd w:val="0"/>
        <w:spacing w:after="0" w:line="240" w:lineRule="auto"/>
        <w:rPr>
          <w:rFonts w:ascii="Times New Roman" w:eastAsia="Times New Roman" w:hAnsi="Times New Roman"/>
          <w:b/>
          <w:bCs/>
          <w:color w:val="000000" w:themeColor="text1"/>
          <w:sz w:val="24"/>
          <w:szCs w:val="23"/>
        </w:rPr>
      </w:pPr>
    </w:p>
    <w:p w:rsidR="00CA17D7" w:rsidRPr="009A0826" w:rsidRDefault="00CA17D7" w:rsidP="00CA17D7">
      <w:pPr>
        <w:autoSpaceDE w:val="0"/>
        <w:autoSpaceDN w:val="0"/>
        <w:adjustRightInd w:val="0"/>
        <w:spacing w:after="0" w:line="240" w:lineRule="auto"/>
        <w:rPr>
          <w:rFonts w:ascii="Times New Roman" w:eastAsia="Times New Roman" w:hAnsi="Times New Roman"/>
          <w:color w:val="000000"/>
          <w:sz w:val="24"/>
          <w:szCs w:val="23"/>
        </w:rPr>
      </w:pPr>
      <w:r w:rsidRPr="009A0826">
        <w:rPr>
          <w:rFonts w:ascii="Times New Roman" w:eastAsia="Times New Roman" w:hAnsi="Times New Roman"/>
          <w:b/>
          <w:bCs/>
          <w:color w:val="000000"/>
          <w:sz w:val="24"/>
          <w:szCs w:val="23"/>
        </w:rPr>
        <w:t xml:space="preserve">About ISDA </w:t>
      </w:r>
    </w:p>
    <w:p w:rsidR="00CA17D7" w:rsidRPr="009A0826" w:rsidRDefault="00CA17D7" w:rsidP="00CA17D7">
      <w:pPr>
        <w:autoSpaceDE w:val="0"/>
        <w:autoSpaceDN w:val="0"/>
        <w:adjustRightInd w:val="0"/>
        <w:spacing w:after="0" w:line="240" w:lineRule="auto"/>
        <w:rPr>
          <w:rFonts w:ascii="Times New Roman" w:eastAsia="Times New Roman" w:hAnsi="Times New Roman"/>
          <w:color w:val="000000"/>
          <w:sz w:val="24"/>
          <w:szCs w:val="23"/>
        </w:rPr>
      </w:pPr>
      <w:r w:rsidRPr="009A0826">
        <w:rPr>
          <w:rFonts w:ascii="Times New Roman" w:eastAsia="Times New Roman" w:hAnsi="Times New Roman"/>
          <w:color w:val="000000"/>
          <w:sz w:val="24"/>
          <w:szCs w:val="23"/>
        </w:rPr>
        <w:t xml:space="preserve">Since 1985, ISDA has worked to make the global derivatives markets safer and more efficient. </w:t>
      </w:r>
    </w:p>
    <w:p w:rsidR="00CA17D7" w:rsidRPr="009A0826" w:rsidRDefault="00CA17D7" w:rsidP="00CA17D7">
      <w:pPr>
        <w:autoSpaceDE w:val="0"/>
        <w:autoSpaceDN w:val="0"/>
        <w:adjustRightInd w:val="0"/>
        <w:spacing w:after="0" w:line="240" w:lineRule="auto"/>
        <w:rPr>
          <w:rFonts w:ascii="Times New Roman" w:eastAsia="Times New Roman" w:hAnsi="Times New Roman"/>
          <w:color w:val="000000"/>
          <w:sz w:val="24"/>
          <w:szCs w:val="23"/>
        </w:rPr>
      </w:pPr>
      <w:r w:rsidRPr="009A0826">
        <w:rPr>
          <w:rFonts w:ascii="Times New Roman" w:eastAsia="Times New Roman" w:hAnsi="Times New Roman"/>
          <w:color w:val="000000"/>
          <w:sz w:val="24"/>
          <w:szCs w:val="23"/>
        </w:rPr>
        <w:t xml:space="preserve">Today, ISDA has over 900 member institutions from 68 countries. These members comprise a broad range of derivatives market participants, including corporations, investment managers, government and supranational entities, insurance companies, energy and commodities firms, and international and regional banks. In addition to market participants, members also include key components of the derivatives market infrastructure, such as exchanges, intermediaries, clearing houses and repositories, as well as law firms, accounting firms and other service providers. </w:t>
      </w:r>
    </w:p>
    <w:p w:rsidR="00CA17D7" w:rsidRPr="009A0826" w:rsidRDefault="00CA17D7" w:rsidP="00CA17D7">
      <w:pPr>
        <w:autoSpaceDE w:val="0"/>
        <w:autoSpaceDN w:val="0"/>
        <w:adjustRightInd w:val="0"/>
        <w:spacing w:after="0" w:line="240" w:lineRule="auto"/>
        <w:rPr>
          <w:rFonts w:ascii="Times New Roman" w:eastAsia="Times New Roman" w:hAnsi="Times New Roman"/>
          <w:color w:val="000000"/>
          <w:sz w:val="24"/>
          <w:szCs w:val="23"/>
        </w:rPr>
      </w:pPr>
      <w:r w:rsidRPr="009A0826">
        <w:rPr>
          <w:rFonts w:ascii="Times New Roman" w:eastAsia="Times New Roman" w:hAnsi="Times New Roman"/>
          <w:color w:val="000000"/>
          <w:sz w:val="24"/>
          <w:szCs w:val="23"/>
        </w:rPr>
        <w:t xml:space="preserve">Information about ISDA and its activities is available on the Association's website: </w:t>
      </w:r>
      <w:hyperlink r:id="rId15" w:history="1">
        <w:r w:rsidRPr="009A0826">
          <w:rPr>
            <w:rFonts w:ascii="Times New Roman" w:eastAsia="Times New Roman" w:hAnsi="Times New Roman"/>
            <w:color w:val="0000FF"/>
            <w:sz w:val="24"/>
            <w:szCs w:val="23"/>
            <w:u w:val="single"/>
          </w:rPr>
          <w:t>www.isda.org</w:t>
        </w:r>
      </w:hyperlink>
      <w:r w:rsidRPr="009A0826">
        <w:rPr>
          <w:rFonts w:ascii="Times New Roman" w:eastAsia="Times New Roman" w:hAnsi="Times New Roman"/>
          <w:color w:val="000000" w:themeColor="text1"/>
          <w:sz w:val="24"/>
          <w:szCs w:val="23"/>
        </w:rPr>
        <w:t xml:space="preserve">. Follow us on </w:t>
      </w:r>
      <w:r w:rsidRPr="009A0826">
        <w:rPr>
          <w:rFonts w:ascii="Times New Roman" w:eastAsia="Times New Roman" w:hAnsi="Times New Roman"/>
          <w:color w:val="000000"/>
          <w:sz w:val="24"/>
          <w:szCs w:val="23"/>
        </w:rPr>
        <w:t xml:space="preserve">Twitter @ISDA. </w:t>
      </w:r>
    </w:p>
    <w:p w:rsidR="00CA17D7" w:rsidRPr="009A0826" w:rsidRDefault="00CA17D7" w:rsidP="00CA17D7">
      <w:pPr>
        <w:autoSpaceDE w:val="0"/>
        <w:autoSpaceDN w:val="0"/>
        <w:adjustRightInd w:val="0"/>
        <w:spacing w:after="0" w:line="240" w:lineRule="auto"/>
        <w:rPr>
          <w:rFonts w:ascii="Times New Roman" w:eastAsia="Times New Roman" w:hAnsi="Times New Roman"/>
          <w:color w:val="000000"/>
          <w:sz w:val="24"/>
          <w:szCs w:val="23"/>
        </w:rPr>
      </w:pPr>
    </w:p>
    <w:p w:rsidR="00CA17D7" w:rsidRPr="009A0826" w:rsidRDefault="00CA17D7" w:rsidP="00CA17D7">
      <w:pPr>
        <w:spacing w:after="0" w:line="240" w:lineRule="auto"/>
        <w:textAlignment w:val="top"/>
        <w:rPr>
          <w:rFonts w:ascii="Times New Roman" w:eastAsia="Times New Roman" w:hAnsi="Times New Roman"/>
          <w:sz w:val="20"/>
          <w:szCs w:val="20"/>
          <w:lang w:bidi="he-IL"/>
        </w:rPr>
      </w:pPr>
      <w:r w:rsidRPr="009A0826">
        <w:rPr>
          <w:rFonts w:ascii="Times New Roman" w:hAnsi="Times New Roman"/>
          <w:sz w:val="20"/>
          <w:szCs w:val="20"/>
        </w:rPr>
        <w:t>ISDA® is a registered trademark of the International Swaps and Derivatives Association, Inc.</w:t>
      </w:r>
    </w:p>
    <w:p w:rsidR="005251AF" w:rsidRPr="00D92379" w:rsidRDefault="00BC6EF5" w:rsidP="00EB004C"/>
    <w:sectPr w:rsidR="005251AF" w:rsidRPr="00D92379" w:rsidSect="00EE3A39">
      <w:headerReference w:type="defaul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5E97" w:rsidRDefault="005D5E97">
      <w:pPr>
        <w:spacing w:after="0" w:line="240" w:lineRule="auto"/>
      </w:pPr>
      <w:r>
        <w:separator/>
      </w:r>
    </w:p>
  </w:endnote>
  <w:endnote w:type="continuationSeparator" w:id="0">
    <w:p w:rsidR="005D5E97" w:rsidRDefault="005D5E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5E97" w:rsidRDefault="005D5E97">
      <w:pPr>
        <w:spacing w:after="0" w:line="240" w:lineRule="auto"/>
      </w:pPr>
      <w:r>
        <w:separator/>
      </w:r>
    </w:p>
  </w:footnote>
  <w:footnote w:type="continuationSeparator" w:id="0">
    <w:p w:rsidR="005D5E97" w:rsidRDefault="005D5E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6449240"/>
      <w:docPartObj>
        <w:docPartGallery w:val="Page Numbers (Top of Page)"/>
        <w:docPartUnique/>
      </w:docPartObj>
    </w:sdtPr>
    <w:sdtEndPr>
      <w:rPr>
        <w:noProof/>
      </w:rPr>
    </w:sdtEndPr>
    <w:sdtContent>
      <w:p w:rsidR="00083CFD" w:rsidRDefault="007F4A6F">
        <w:pPr>
          <w:pStyle w:val="Header"/>
          <w:jc w:val="center"/>
        </w:pPr>
        <w:r>
          <w:fldChar w:fldCharType="begin"/>
        </w:r>
        <w:r>
          <w:instrText xml:space="preserve"> PAGE   \* MERGEFORMAT </w:instrText>
        </w:r>
        <w:r>
          <w:fldChar w:fldCharType="separate"/>
        </w:r>
        <w:r w:rsidR="00BC6EF5">
          <w:rPr>
            <w:noProof/>
          </w:rPr>
          <w:t>2</w:t>
        </w:r>
        <w:r>
          <w:rPr>
            <w:noProof/>
          </w:rPr>
          <w:fldChar w:fldCharType="end"/>
        </w:r>
      </w:p>
    </w:sdtContent>
  </w:sdt>
  <w:p w:rsidR="00E643B2" w:rsidRDefault="00BC6E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1136F"/>
    <w:multiLevelType w:val="hybridMultilevel"/>
    <w:tmpl w:val="991EB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99B55C2"/>
    <w:multiLevelType w:val="hybridMultilevel"/>
    <w:tmpl w:val="EC38A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0BF"/>
    <w:rsid w:val="00003F51"/>
    <w:rsid w:val="0001109B"/>
    <w:rsid w:val="0001235D"/>
    <w:rsid w:val="00063906"/>
    <w:rsid w:val="000E4804"/>
    <w:rsid w:val="000F48D6"/>
    <w:rsid w:val="00101F9A"/>
    <w:rsid w:val="001468BD"/>
    <w:rsid w:val="00150309"/>
    <w:rsid w:val="00162865"/>
    <w:rsid w:val="00164903"/>
    <w:rsid w:val="00170610"/>
    <w:rsid w:val="001724D5"/>
    <w:rsid w:val="00173B3D"/>
    <w:rsid w:val="00174C70"/>
    <w:rsid w:val="001829CB"/>
    <w:rsid w:val="001838FE"/>
    <w:rsid w:val="00186E08"/>
    <w:rsid w:val="00193FF8"/>
    <w:rsid w:val="001C04D5"/>
    <w:rsid w:val="001F2F64"/>
    <w:rsid w:val="001F3ADB"/>
    <w:rsid w:val="00204871"/>
    <w:rsid w:val="0020784A"/>
    <w:rsid w:val="00212C50"/>
    <w:rsid w:val="0026115E"/>
    <w:rsid w:val="0028453A"/>
    <w:rsid w:val="002860ED"/>
    <w:rsid w:val="00293B7A"/>
    <w:rsid w:val="00294FF0"/>
    <w:rsid w:val="002A7843"/>
    <w:rsid w:val="002A7EB5"/>
    <w:rsid w:val="002B5349"/>
    <w:rsid w:val="002D79C9"/>
    <w:rsid w:val="0031249E"/>
    <w:rsid w:val="00343C45"/>
    <w:rsid w:val="0034401C"/>
    <w:rsid w:val="0034559C"/>
    <w:rsid w:val="00345AC2"/>
    <w:rsid w:val="00351BD6"/>
    <w:rsid w:val="00353B14"/>
    <w:rsid w:val="003C5BF9"/>
    <w:rsid w:val="003D3CC0"/>
    <w:rsid w:val="003D5CDA"/>
    <w:rsid w:val="003E30CA"/>
    <w:rsid w:val="0041381E"/>
    <w:rsid w:val="0041547B"/>
    <w:rsid w:val="0041557F"/>
    <w:rsid w:val="0047299E"/>
    <w:rsid w:val="00477D50"/>
    <w:rsid w:val="004A0EBE"/>
    <w:rsid w:val="004C50F7"/>
    <w:rsid w:val="004D1ABD"/>
    <w:rsid w:val="004F4022"/>
    <w:rsid w:val="00504E71"/>
    <w:rsid w:val="00532918"/>
    <w:rsid w:val="00541A5F"/>
    <w:rsid w:val="00553AFE"/>
    <w:rsid w:val="00560A62"/>
    <w:rsid w:val="00575321"/>
    <w:rsid w:val="00584E4D"/>
    <w:rsid w:val="0058687C"/>
    <w:rsid w:val="00592B9D"/>
    <w:rsid w:val="0059780A"/>
    <w:rsid w:val="005D4873"/>
    <w:rsid w:val="005D5E97"/>
    <w:rsid w:val="005E426D"/>
    <w:rsid w:val="00620566"/>
    <w:rsid w:val="0063187D"/>
    <w:rsid w:val="00636E26"/>
    <w:rsid w:val="006644D7"/>
    <w:rsid w:val="00690883"/>
    <w:rsid w:val="00690EBD"/>
    <w:rsid w:val="006B5D0B"/>
    <w:rsid w:val="006D719A"/>
    <w:rsid w:val="006E644E"/>
    <w:rsid w:val="006F3355"/>
    <w:rsid w:val="00710A00"/>
    <w:rsid w:val="00737C8A"/>
    <w:rsid w:val="00770FE8"/>
    <w:rsid w:val="007751FA"/>
    <w:rsid w:val="00787BA6"/>
    <w:rsid w:val="0079584B"/>
    <w:rsid w:val="007A6F82"/>
    <w:rsid w:val="007B21FE"/>
    <w:rsid w:val="007C1660"/>
    <w:rsid w:val="007C27ED"/>
    <w:rsid w:val="007D48D3"/>
    <w:rsid w:val="007D493A"/>
    <w:rsid w:val="007F4A6F"/>
    <w:rsid w:val="00805443"/>
    <w:rsid w:val="00815F11"/>
    <w:rsid w:val="0082558C"/>
    <w:rsid w:val="0083102E"/>
    <w:rsid w:val="00844034"/>
    <w:rsid w:val="00856FA5"/>
    <w:rsid w:val="00860FC2"/>
    <w:rsid w:val="00892419"/>
    <w:rsid w:val="00894E72"/>
    <w:rsid w:val="008A09CF"/>
    <w:rsid w:val="008B2A6B"/>
    <w:rsid w:val="008E2DE2"/>
    <w:rsid w:val="008E33C6"/>
    <w:rsid w:val="009254C7"/>
    <w:rsid w:val="00926027"/>
    <w:rsid w:val="00934E02"/>
    <w:rsid w:val="00941F99"/>
    <w:rsid w:val="00953E7C"/>
    <w:rsid w:val="00962EA7"/>
    <w:rsid w:val="0098667D"/>
    <w:rsid w:val="009B41D0"/>
    <w:rsid w:val="009C11CE"/>
    <w:rsid w:val="009C57E7"/>
    <w:rsid w:val="009E76EF"/>
    <w:rsid w:val="00A02949"/>
    <w:rsid w:val="00A07554"/>
    <w:rsid w:val="00A42613"/>
    <w:rsid w:val="00A450AA"/>
    <w:rsid w:val="00A5005A"/>
    <w:rsid w:val="00AA3863"/>
    <w:rsid w:val="00AD32C6"/>
    <w:rsid w:val="00AF2DF2"/>
    <w:rsid w:val="00B42ACB"/>
    <w:rsid w:val="00B4601A"/>
    <w:rsid w:val="00B86AA3"/>
    <w:rsid w:val="00BB129F"/>
    <w:rsid w:val="00BB48D8"/>
    <w:rsid w:val="00BC6EF5"/>
    <w:rsid w:val="00BD3B28"/>
    <w:rsid w:val="00BE1151"/>
    <w:rsid w:val="00BF60B4"/>
    <w:rsid w:val="00C02C5C"/>
    <w:rsid w:val="00C0530E"/>
    <w:rsid w:val="00C44DBD"/>
    <w:rsid w:val="00C454BC"/>
    <w:rsid w:val="00C8551D"/>
    <w:rsid w:val="00C96B6F"/>
    <w:rsid w:val="00CA17D7"/>
    <w:rsid w:val="00CA47AF"/>
    <w:rsid w:val="00CB246F"/>
    <w:rsid w:val="00CB4535"/>
    <w:rsid w:val="00CC6A2A"/>
    <w:rsid w:val="00CF20BF"/>
    <w:rsid w:val="00D0594B"/>
    <w:rsid w:val="00D13AA4"/>
    <w:rsid w:val="00D23B37"/>
    <w:rsid w:val="00D23C2C"/>
    <w:rsid w:val="00D33273"/>
    <w:rsid w:val="00D43E14"/>
    <w:rsid w:val="00D52D2B"/>
    <w:rsid w:val="00D71E65"/>
    <w:rsid w:val="00D92379"/>
    <w:rsid w:val="00DB60CC"/>
    <w:rsid w:val="00DE22E7"/>
    <w:rsid w:val="00E03AAD"/>
    <w:rsid w:val="00E32105"/>
    <w:rsid w:val="00E40B02"/>
    <w:rsid w:val="00E452CC"/>
    <w:rsid w:val="00E516C2"/>
    <w:rsid w:val="00E61E00"/>
    <w:rsid w:val="00E63033"/>
    <w:rsid w:val="00E65A6F"/>
    <w:rsid w:val="00EB004C"/>
    <w:rsid w:val="00EB473D"/>
    <w:rsid w:val="00EB4F76"/>
    <w:rsid w:val="00ED5A6E"/>
    <w:rsid w:val="00ED67C1"/>
    <w:rsid w:val="00EE1B40"/>
    <w:rsid w:val="00EE353D"/>
    <w:rsid w:val="00F06932"/>
    <w:rsid w:val="00F14341"/>
    <w:rsid w:val="00F31088"/>
    <w:rsid w:val="00F473BF"/>
    <w:rsid w:val="00F56207"/>
    <w:rsid w:val="00F66CDD"/>
    <w:rsid w:val="00F72A19"/>
    <w:rsid w:val="00F74153"/>
    <w:rsid w:val="00F747A6"/>
    <w:rsid w:val="00F96D72"/>
    <w:rsid w:val="00FC0536"/>
    <w:rsid w:val="00FC68C6"/>
    <w:rsid w:val="00FC7884"/>
    <w:rsid w:val="00FD1340"/>
    <w:rsid w:val="00FD2558"/>
    <w:rsid w:val="00FE28B2"/>
    <w:rsid w:val="00FE5E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E6F9C5-2DBF-468A-B808-B3D6E119C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04C"/>
    <w:pPr>
      <w:spacing w:after="200" w:line="276" w:lineRule="auto"/>
    </w:pPr>
    <w:rPr>
      <w:rFonts w:ascii="Calibri" w:eastAsia="MS Mincho"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B004C"/>
    <w:rPr>
      <w:color w:val="0000FF"/>
      <w:u w:val="single"/>
    </w:rPr>
  </w:style>
  <w:style w:type="paragraph" w:customStyle="1" w:styleId="Default">
    <w:name w:val="Default"/>
    <w:rsid w:val="00EB004C"/>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Header">
    <w:name w:val="header"/>
    <w:basedOn w:val="Normal"/>
    <w:link w:val="HeaderChar"/>
    <w:uiPriority w:val="99"/>
    <w:unhideWhenUsed/>
    <w:rsid w:val="00EB00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004C"/>
    <w:rPr>
      <w:rFonts w:ascii="Calibri" w:eastAsia="MS Mincho" w:hAnsi="Calibri" w:cs="Times New Roman"/>
      <w:lang w:val="en-US"/>
    </w:rPr>
  </w:style>
  <w:style w:type="paragraph" w:styleId="ListParagraph">
    <w:name w:val="List Paragraph"/>
    <w:basedOn w:val="Normal"/>
    <w:uiPriority w:val="34"/>
    <w:qFormat/>
    <w:rsid w:val="002B5349"/>
    <w:pPr>
      <w:ind w:left="720"/>
      <w:contextualSpacing/>
    </w:pPr>
  </w:style>
  <w:style w:type="paragraph" w:styleId="BalloonText">
    <w:name w:val="Balloon Text"/>
    <w:basedOn w:val="Normal"/>
    <w:link w:val="BalloonTextChar"/>
    <w:uiPriority w:val="99"/>
    <w:semiHidden/>
    <w:unhideWhenUsed/>
    <w:rsid w:val="007F4A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4A6F"/>
    <w:rPr>
      <w:rFonts w:ascii="Segoe UI" w:eastAsia="MS Mincho" w:hAnsi="Segoe UI" w:cs="Segoe UI"/>
      <w:sz w:val="18"/>
      <w:szCs w:val="18"/>
      <w:lang w:val="en-US"/>
    </w:rPr>
  </w:style>
  <w:style w:type="paragraph" w:styleId="Footer">
    <w:name w:val="footer"/>
    <w:basedOn w:val="Normal"/>
    <w:link w:val="FooterChar"/>
    <w:uiPriority w:val="99"/>
    <w:unhideWhenUsed/>
    <w:rsid w:val="003124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249E"/>
    <w:rPr>
      <w:rFonts w:ascii="Calibri" w:eastAsia="MS Mincho" w:hAnsi="Calibri" w:cs="Times New Roman"/>
      <w:lang w:val="en-US"/>
    </w:rPr>
  </w:style>
  <w:style w:type="paragraph" w:styleId="NoSpacing">
    <w:name w:val="No Spacing"/>
    <w:uiPriority w:val="1"/>
    <w:qFormat/>
    <w:rsid w:val="00AD32C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667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4.png@01CEA98E.3B844F20" TargetMode="External"/><Relationship Id="rId13" Type="http://schemas.openxmlformats.org/officeDocument/2006/relationships/hyperlink" Target="mailto:ldobbs@isda.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mmilner-watt@isda.or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sawyer@isda.org" TargetMode="External"/><Relationship Id="rId5" Type="http://schemas.openxmlformats.org/officeDocument/2006/relationships/footnotes" Target="footnotes.xml"/><Relationship Id="rId15" Type="http://schemas.openxmlformats.org/officeDocument/2006/relationships/hyperlink" Target="http://www.isda.org" TargetMode="External"/><Relationship Id="rId10" Type="http://schemas.openxmlformats.org/officeDocument/2006/relationships/hyperlink" Target="https://www.isda.org/2015/08/31/summer-reading/" TargetMode="External"/><Relationship Id="rId4" Type="http://schemas.openxmlformats.org/officeDocument/2006/relationships/webSettings" Target="webSettings.xml"/><Relationship Id="rId9" Type="http://schemas.openxmlformats.org/officeDocument/2006/relationships/hyperlink" Target="https://www.ineteconomics.org/uploads/papers/WP_74.pdf" TargetMode="External"/><Relationship Id="rId14" Type="http://schemas.openxmlformats.org/officeDocument/2006/relationships/hyperlink" Target="mailto:aleung@isd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478</Words>
  <Characters>2731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Sawyer</dc:creator>
  <cp:keywords/>
  <dc:description/>
  <cp:lastModifiedBy>Lauren Dobbs</cp:lastModifiedBy>
  <cp:revision>2</cp:revision>
  <cp:lastPrinted>2018-06-19T17:50:00Z</cp:lastPrinted>
  <dcterms:created xsi:type="dcterms:W3CDTF">2018-06-19T19:00:00Z</dcterms:created>
  <dcterms:modified xsi:type="dcterms:W3CDTF">2018-06-19T19:00:00Z</dcterms:modified>
</cp:coreProperties>
</file>