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jc w:val="center"/>
        <w:tblCellSpacing w:w="0" w:type="dxa"/>
        <w:tblCellMar>
          <w:left w:w="0" w:type="dxa"/>
          <w:right w:w="0" w:type="dxa"/>
        </w:tblCellMar>
        <w:tblLook w:val="04A0" w:firstRow="1" w:lastRow="0" w:firstColumn="1" w:lastColumn="0" w:noHBand="0" w:noVBand="1"/>
      </w:tblPr>
      <w:tblGrid>
        <w:gridCol w:w="9075"/>
      </w:tblGrid>
      <w:tr w:rsidR="0044692B" w:rsidRPr="0044692B" w14:paraId="6EDBDACC" w14:textId="77777777" w:rsidTr="0044692B">
        <w:trPr>
          <w:tblCellSpacing w:w="0" w:type="dxa"/>
          <w:jc w:val="center"/>
        </w:trPr>
        <w:tc>
          <w:tcPr>
            <w:tcW w:w="9075" w:type="dxa"/>
            <w:hideMark/>
          </w:tcPr>
          <w:tbl>
            <w:tblPr>
              <w:tblW w:w="5000" w:type="pct"/>
              <w:tblCellSpacing w:w="0" w:type="dxa"/>
              <w:tblCellMar>
                <w:left w:w="0" w:type="dxa"/>
                <w:right w:w="0" w:type="dxa"/>
              </w:tblCellMar>
              <w:tblLook w:val="04A0" w:firstRow="1" w:lastRow="0" w:firstColumn="1" w:lastColumn="0" w:noHBand="0" w:noVBand="1"/>
            </w:tblPr>
            <w:tblGrid>
              <w:gridCol w:w="9075"/>
            </w:tblGrid>
            <w:tr w:rsidR="0044692B" w:rsidRPr="0044692B" w14:paraId="27D6805E" w14:textId="77777777">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75"/>
                  </w:tblGrid>
                  <w:tr w:rsidR="0044692B" w:rsidRPr="0044692B" w14:paraId="24CC514A" w14:textId="77777777">
                    <w:trPr>
                      <w:tblCellSpacing w:w="0" w:type="dxa"/>
                    </w:trPr>
                    <w:tc>
                      <w:tcPr>
                        <w:tcW w:w="5000" w:type="pct"/>
                        <w:vAlign w:val="center"/>
                        <w:hideMark/>
                      </w:tcPr>
                      <w:tbl>
                        <w:tblPr>
                          <w:tblW w:w="9075" w:type="dxa"/>
                          <w:jc w:val="center"/>
                          <w:tblCellSpacing w:w="0" w:type="dxa"/>
                          <w:tblCellMar>
                            <w:left w:w="0" w:type="dxa"/>
                            <w:right w:w="0" w:type="dxa"/>
                          </w:tblCellMar>
                          <w:tblLook w:val="04A0" w:firstRow="1" w:lastRow="0" w:firstColumn="1" w:lastColumn="0" w:noHBand="0" w:noVBand="1"/>
                        </w:tblPr>
                        <w:tblGrid>
                          <w:gridCol w:w="9075"/>
                        </w:tblGrid>
                        <w:tr w:rsidR="0044692B" w:rsidRPr="0044692B" w14:paraId="48F99CD6" w14:textId="77777777">
                          <w:trPr>
                            <w:tblCellSpacing w:w="0" w:type="dxa"/>
                            <w:jc w:val="center"/>
                          </w:trPr>
                          <w:tc>
                            <w:tcPr>
                              <w:tcW w:w="0" w:type="auto"/>
                              <w:hideMark/>
                            </w:tcPr>
                            <w:p w14:paraId="640FB0AC" w14:textId="5E2D195D" w:rsidR="0044692B" w:rsidRPr="0044692B" w:rsidRDefault="0044692B">
                              <w:pPr>
                                <w:pStyle w:val="NormalWeb"/>
                                <w:jc w:val="center"/>
                                <w:rPr>
                                  <w:rFonts w:ascii="Times New Roman" w:hAnsi="Times New Roman" w:cs="Times New Roman"/>
                                  <w:sz w:val="24"/>
                                  <w:szCs w:val="24"/>
                                </w:rPr>
                              </w:pPr>
                              <w:bookmarkStart w:id="0" w:name="_MailOriginal"/>
                              <w:r w:rsidRPr="0044692B">
                                <w:rPr>
                                  <w:rFonts w:ascii="Times New Roman" w:hAnsi="Times New Roman" w:cs="Times New Roman"/>
                                  <w:color w:val="000000"/>
                                  <w:sz w:val="24"/>
                                  <w:szCs w:val="24"/>
                                </w:rPr>
                                <w:t> </w:t>
                              </w:r>
                              <w:r w:rsidRPr="0044692B">
                                <w:rPr>
                                  <w:rFonts w:ascii="Times New Roman" w:hAnsi="Times New Roman" w:cs="Times New Roman"/>
                                  <w:noProof/>
                                  <w:sz w:val="24"/>
                                  <w:szCs w:val="24"/>
                                </w:rPr>
                                <w:drawing>
                                  <wp:inline distT="0" distB="0" distL="0" distR="0" wp14:anchorId="10465415" wp14:editId="3DD2E1CC">
                                    <wp:extent cx="5715000" cy="1381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r w:rsidR="0044692B" w:rsidRPr="0044692B" w14:paraId="1E3038C9" w14:textId="77777777">
                          <w:trPr>
                            <w:tblCellSpacing w:w="0" w:type="dxa"/>
                            <w:jc w:val="center"/>
                          </w:trPr>
                          <w:tc>
                            <w:tcPr>
                              <w:tcW w:w="0" w:type="auto"/>
                              <w:shd w:val="clear" w:color="auto" w:fill="003A75"/>
                              <w:tcMar>
                                <w:top w:w="120" w:type="dxa"/>
                                <w:left w:w="120" w:type="dxa"/>
                                <w:bottom w:w="120" w:type="dxa"/>
                                <w:right w:w="120" w:type="dxa"/>
                              </w:tcMar>
                              <w:vAlign w:val="center"/>
                              <w:hideMark/>
                            </w:tcPr>
                            <w:p w14:paraId="2B029C3A" w14:textId="77777777" w:rsidR="0044692B" w:rsidRPr="0044692B" w:rsidRDefault="0044692B">
                              <w:pPr>
                                <w:rPr>
                                  <w:rFonts w:ascii="Times New Roman" w:eastAsia="Times New Roman" w:hAnsi="Times New Roman" w:cs="Times New Roman"/>
                                  <w:color w:val="003A75"/>
                                  <w:sz w:val="24"/>
                                  <w:szCs w:val="24"/>
                                </w:rPr>
                              </w:pPr>
                              <w:r w:rsidRPr="0044692B">
                                <w:rPr>
                                  <w:rStyle w:val="Strong"/>
                                  <w:rFonts w:ascii="Times New Roman" w:eastAsia="Times New Roman" w:hAnsi="Times New Roman" w:cs="Times New Roman"/>
                                  <w:color w:val="FFFFFF"/>
                                  <w:sz w:val="24"/>
                                  <w:szCs w:val="24"/>
                                </w:rPr>
                                <w:t>ISDA CRYPTO FORUM 2022 - NEW YORK, OCTOBER 26</w:t>
                              </w:r>
                            </w:p>
                          </w:tc>
                        </w:tr>
                        <w:tr w:rsidR="0044692B" w:rsidRPr="0044692B" w14:paraId="18832B39"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3AFF3715" w14:textId="5803E8FA" w:rsidR="0044692B" w:rsidRPr="0044692B" w:rsidRDefault="0044692B" w:rsidP="0044692B">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t> </w:t>
                              </w:r>
                              <w:r w:rsidRPr="0044692B">
                                <w:rPr>
                                  <w:rFonts w:ascii="Times New Roman" w:hAnsi="Times New Roman" w:cs="Times New Roman"/>
                                  <w:noProof/>
                                  <w:sz w:val="24"/>
                                  <w:szCs w:val="24"/>
                                </w:rPr>
                                <w:drawing>
                                  <wp:inline distT="0" distB="0" distL="0" distR="0" wp14:anchorId="751461AC" wp14:editId="3A40838F">
                                    <wp:extent cx="5438775" cy="1285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38775" cy="1285875"/>
                                            </a:xfrm>
                                            <a:prstGeom prst="rect">
                                              <a:avLst/>
                                            </a:prstGeom>
                                            <a:noFill/>
                                            <a:ln>
                                              <a:noFill/>
                                            </a:ln>
                                          </pic:spPr>
                                        </pic:pic>
                                      </a:graphicData>
                                    </a:graphic>
                                  </wp:inline>
                                </w:drawing>
                              </w:r>
                            </w:p>
                            <w:p w14:paraId="6BF10614" w14:textId="77777777" w:rsidR="0044692B" w:rsidRPr="0044692B" w:rsidRDefault="0044692B" w:rsidP="0044692B">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t xml:space="preserve">Join us in NYC on October 26 at ISDA's first Crypto Forum! Keynotes, </w:t>
                              </w:r>
                              <w:proofErr w:type="gramStart"/>
                              <w:r w:rsidRPr="0044692B">
                                <w:rPr>
                                  <w:rFonts w:ascii="Times New Roman" w:hAnsi="Times New Roman" w:cs="Times New Roman"/>
                                  <w:sz w:val="24"/>
                                  <w:szCs w:val="24"/>
                                </w:rPr>
                                <w:t>panels</w:t>
                              </w:r>
                              <w:proofErr w:type="gramEnd"/>
                              <w:r w:rsidRPr="0044692B">
                                <w:rPr>
                                  <w:rFonts w:ascii="Times New Roman" w:hAnsi="Times New Roman" w:cs="Times New Roman"/>
                                  <w:sz w:val="24"/>
                                  <w:szCs w:val="24"/>
                                </w:rPr>
                                <w:t xml:space="preserve"> and exhibitors covering all things crypto, digital assets and technology in derivatives markets. Network with other industry participants from institutional investors, </w:t>
                              </w:r>
                              <w:proofErr w:type="gramStart"/>
                              <w:r w:rsidRPr="0044692B">
                                <w:rPr>
                                  <w:rFonts w:ascii="Times New Roman" w:hAnsi="Times New Roman" w:cs="Times New Roman"/>
                                  <w:sz w:val="24"/>
                                  <w:szCs w:val="24"/>
                                </w:rPr>
                                <w:t>banks</w:t>
                              </w:r>
                              <w:proofErr w:type="gramEnd"/>
                              <w:r w:rsidRPr="0044692B">
                                <w:rPr>
                                  <w:rFonts w:ascii="Times New Roman" w:hAnsi="Times New Roman" w:cs="Times New Roman"/>
                                  <w:sz w:val="24"/>
                                  <w:szCs w:val="24"/>
                                </w:rPr>
                                <w:t xml:space="preserve"> and crypto trading firms, as well as policymakers and law firms. </w:t>
                              </w:r>
                              <w:hyperlink r:id="rId8" w:tgtFrame="_blank" w:history="1">
                                <w:r w:rsidRPr="0044692B">
                                  <w:rPr>
                                    <w:rStyle w:val="Hyperlink"/>
                                    <w:rFonts w:ascii="Times New Roman" w:hAnsi="Times New Roman" w:cs="Times New Roman"/>
                                    <w:b/>
                                    <w:bCs/>
                                    <w:sz w:val="24"/>
                                    <w:szCs w:val="24"/>
                                  </w:rPr>
                                  <w:t>Click here to register</w:t>
                                </w:r>
                              </w:hyperlink>
                              <w:r w:rsidRPr="0044692B">
                                <w:rPr>
                                  <w:rFonts w:ascii="Times New Roman" w:hAnsi="Times New Roman" w:cs="Times New Roman"/>
                                  <w:sz w:val="24"/>
                                  <w:szCs w:val="24"/>
                                </w:rPr>
                                <w:t>.</w:t>
                              </w:r>
                            </w:p>
                          </w:tc>
                        </w:tr>
                        <w:tr w:rsidR="0044692B" w:rsidRPr="0044692B" w14:paraId="45AF4F3E" w14:textId="77777777">
                          <w:trPr>
                            <w:tblCellSpacing w:w="0" w:type="dxa"/>
                            <w:jc w:val="center"/>
                          </w:trPr>
                          <w:tc>
                            <w:tcPr>
                              <w:tcW w:w="0" w:type="auto"/>
                              <w:shd w:val="clear" w:color="auto" w:fill="003A75"/>
                              <w:tcMar>
                                <w:top w:w="120" w:type="dxa"/>
                                <w:left w:w="120" w:type="dxa"/>
                                <w:bottom w:w="120" w:type="dxa"/>
                                <w:right w:w="120" w:type="dxa"/>
                              </w:tcMar>
                              <w:vAlign w:val="center"/>
                              <w:hideMark/>
                            </w:tcPr>
                            <w:p w14:paraId="7B1DEA38" w14:textId="77777777" w:rsidR="0044692B" w:rsidRPr="0044692B" w:rsidRDefault="0044692B">
                              <w:pPr>
                                <w:rPr>
                                  <w:rFonts w:ascii="Times New Roman" w:eastAsia="Times New Roman" w:hAnsi="Times New Roman" w:cs="Times New Roman"/>
                                  <w:color w:val="003A75"/>
                                  <w:sz w:val="24"/>
                                  <w:szCs w:val="24"/>
                                </w:rPr>
                              </w:pPr>
                              <w:r w:rsidRPr="0044692B">
                                <w:rPr>
                                  <w:rStyle w:val="Strong"/>
                                  <w:rFonts w:ascii="Times New Roman" w:eastAsia="Times New Roman" w:hAnsi="Times New Roman" w:cs="Times New Roman"/>
                                  <w:color w:val="FFFFFF"/>
                                  <w:sz w:val="24"/>
                                  <w:szCs w:val="24"/>
                                </w:rPr>
                                <w:t>NEW &amp; NOTABLE</w:t>
                              </w:r>
                            </w:p>
                          </w:tc>
                        </w:tr>
                        <w:tr w:rsidR="0044692B" w:rsidRPr="0044692B" w14:paraId="5464FC49"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0E40678D" w14:textId="13AD248D" w:rsidR="0044692B" w:rsidRPr="0044692B" w:rsidRDefault="0044692B" w:rsidP="0044692B">
                              <w:pPr>
                                <w:pStyle w:val="NormalWeb"/>
                                <w:spacing w:before="0" w:beforeAutospacing="0" w:after="0" w:afterAutospacing="0"/>
                                <w:rPr>
                                  <w:rFonts w:ascii="Times New Roman" w:hAnsi="Times New Roman" w:cs="Times New Roman"/>
                                  <w:b/>
                                  <w:bCs/>
                                  <w:sz w:val="24"/>
                                  <w:szCs w:val="24"/>
                                </w:rPr>
                              </w:pPr>
                              <w:hyperlink r:id="rId9" w:history="1">
                                <w:r w:rsidRPr="0044692B">
                                  <w:rPr>
                                    <w:rStyle w:val="Hyperlink"/>
                                    <w:rFonts w:ascii="Times New Roman" w:hAnsi="Times New Roman" w:cs="Times New Roman"/>
                                    <w:b/>
                                    <w:bCs/>
                                    <w:sz w:val="24"/>
                                    <w:szCs w:val="24"/>
                                  </w:rPr>
                                  <w:t xml:space="preserve">ISDA Teams Up with Imperial College Business School </w:t>
                                </w:r>
                                <w:proofErr w:type="gramStart"/>
                                <w:r w:rsidRPr="0044692B">
                                  <w:rPr>
                                    <w:rStyle w:val="Hyperlink"/>
                                    <w:rFonts w:ascii="Times New Roman" w:hAnsi="Times New Roman" w:cs="Times New Roman"/>
                                    <w:b/>
                                    <w:bCs/>
                                    <w:sz w:val="24"/>
                                    <w:szCs w:val="24"/>
                                  </w:rPr>
                                  <w:t>For</w:t>
                                </w:r>
                                <w:proofErr w:type="gramEnd"/>
                                <w:r w:rsidRPr="0044692B">
                                  <w:rPr>
                                    <w:rStyle w:val="Hyperlink"/>
                                    <w:rFonts w:ascii="Times New Roman" w:hAnsi="Times New Roman" w:cs="Times New Roman"/>
                                    <w:b/>
                                    <w:bCs/>
                                    <w:sz w:val="24"/>
                                    <w:szCs w:val="24"/>
                                  </w:rPr>
                                  <w:t xml:space="preserve"> Executive Education</w:t>
                                </w:r>
                              </w:hyperlink>
                              <w:r w:rsidRPr="0044692B">
                                <w:rPr>
                                  <w:rFonts w:ascii="Times New Roman" w:hAnsi="Times New Roman" w:cs="Times New Roman"/>
                                  <w:b/>
                                  <w:bCs/>
                                  <w:sz w:val="24"/>
                                  <w:szCs w:val="24"/>
                                </w:rPr>
                                <w:t xml:space="preserve"> </w:t>
                              </w:r>
                            </w:p>
                            <w:p w14:paraId="522AC8CC" w14:textId="2446C96A" w:rsidR="0044692B" w:rsidRDefault="0044692B" w:rsidP="0044692B">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t>ISDA has joined forces with Imperial College Business School to deliver targeted executive education programs to ISDA members.</w:t>
                              </w:r>
                            </w:p>
                            <w:p w14:paraId="4AA9A2ED" w14:textId="77777777" w:rsidR="0044692B" w:rsidRPr="0044692B" w:rsidRDefault="0044692B" w:rsidP="0044692B">
                              <w:pPr>
                                <w:pStyle w:val="NormalWeb"/>
                                <w:spacing w:before="0" w:beforeAutospacing="0" w:after="0" w:afterAutospacing="0"/>
                                <w:rPr>
                                  <w:rFonts w:ascii="Times New Roman" w:hAnsi="Times New Roman" w:cs="Times New Roman"/>
                                  <w:sz w:val="24"/>
                                  <w:szCs w:val="24"/>
                                </w:rPr>
                              </w:pPr>
                            </w:p>
                            <w:p w14:paraId="216B8A4D" w14:textId="2E93F8C6" w:rsidR="0044692B" w:rsidRPr="0044692B" w:rsidRDefault="0044692B" w:rsidP="0044692B">
                              <w:pPr>
                                <w:pStyle w:val="NormalWeb"/>
                                <w:spacing w:before="0" w:beforeAutospacing="0" w:after="0" w:afterAutospacing="0"/>
                                <w:rPr>
                                  <w:rFonts w:ascii="Times New Roman" w:hAnsi="Times New Roman" w:cs="Times New Roman"/>
                                  <w:b/>
                                  <w:bCs/>
                                  <w:sz w:val="24"/>
                                  <w:szCs w:val="24"/>
                                </w:rPr>
                              </w:pPr>
                              <w:hyperlink r:id="rId10" w:history="1">
                                <w:r w:rsidRPr="0044692B">
                                  <w:rPr>
                                    <w:rStyle w:val="Hyperlink"/>
                                    <w:rFonts w:ascii="Times New Roman" w:hAnsi="Times New Roman" w:cs="Times New Roman"/>
                                    <w:b/>
                                    <w:bCs/>
                                    <w:sz w:val="24"/>
                                    <w:szCs w:val="24"/>
                                  </w:rPr>
                                  <w:t>Statement on the Death of HM Queen Elizabeth II</w:t>
                                </w:r>
                              </w:hyperlink>
                            </w:p>
                            <w:p w14:paraId="63972124" w14:textId="77777777" w:rsidR="0044692B" w:rsidRPr="0044692B" w:rsidRDefault="0044692B" w:rsidP="0044692B">
                              <w:pPr>
                                <w:pStyle w:val="NormalWeb"/>
                                <w:spacing w:before="0" w:beforeAutospacing="0" w:after="0" w:afterAutospacing="0"/>
                                <w:rPr>
                                  <w:rFonts w:ascii="Times New Roman" w:hAnsi="Times New Roman" w:cs="Times New Roman"/>
                                  <w:sz w:val="24"/>
                                  <w:szCs w:val="24"/>
                                </w:rPr>
                              </w:pPr>
                            </w:p>
                            <w:p w14:paraId="1EC08159" w14:textId="43A0509D" w:rsidR="0044692B" w:rsidRPr="0044692B" w:rsidRDefault="0044692B" w:rsidP="0044692B">
                              <w:pPr>
                                <w:pStyle w:val="NormalWeb"/>
                                <w:spacing w:before="0" w:beforeAutospacing="0" w:after="0" w:afterAutospacing="0"/>
                                <w:rPr>
                                  <w:rFonts w:ascii="Times New Roman" w:hAnsi="Times New Roman" w:cs="Times New Roman"/>
                                  <w:b/>
                                  <w:bCs/>
                                  <w:sz w:val="24"/>
                                  <w:szCs w:val="24"/>
                                </w:rPr>
                              </w:pPr>
                              <w:hyperlink r:id="rId11" w:history="1">
                                <w:r w:rsidRPr="0044692B">
                                  <w:rPr>
                                    <w:rStyle w:val="Hyperlink"/>
                                    <w:rFonts w:ascii="Times New Roman" w:hAnsi="Times New Roman" w:cs="Times New Roman"/>
                                    <w:b/>
                                    <w:bCs/>
                                    <w:sz w:val="24"/>
                                    <w:szCs w:val="24"/>
                                  </w:rPr>
                                  <w:t>ISDA, ICMA and ISLA Appoint FINOS for CDM Repository</w:t>
                                </w:r>
                              </w:hyperlink>
                            </w:p>
                            <w:p w14:paraId="5786407E" w14:textId="77777777" w:rsidR="0044692B" w:rsidRPr="0044692B" w:rsidRDefault="0044692B" w:rsidP="0044692B">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t>ISDA, the International Capital Market Association (ICMA) and the International Securities Lending Association (ISLA) have announced the appointment of FINOS to provide a repository, with a view to fostering the growth of an open-source community for the Common Domain Model (CDM).</w:t>
                              </w:r>
                            </w:p>
                          </w:tc>
                        </w:tr>
                        <w:tr w:rsidR="0044692B" w:rsidRPr="0044692B" w14:paraId="527DBD29" w14:textId="77777777">
                          <w:trPr>
                            <w:tblCellSpacing w:w="0" w:type="dxa"/>
                            <w:jc w:val="center"/>
                          </w:trPr>
                          <w:tc>
                            <w:tcPr>
                              <w:tcW w:w="0" w:type="auto"/>
                              <w:shd w:val="clear" w:color="auto" w:fill="003A75"/>
                              <w:tcMar>
                                <w:top w:w="120" w:type="dxa"/>
                                <w:left w:w="120" w:type="dxa"/>
                                <w:bottom w:w="120" w:type="dxa"/>
                                <w:right w:w="120" w:type="dxa"/>
                              </w:tcMar>
                              <w:vAlign w:val="center"/>
                              <w:hideMark/>
                            </w:tcPr>
                            <w:p w14:paraId="412F668B" w14:textId="77777777" w:rsidR="0044692B" w:rsidRPr="0044692B" w:rsidRDefault="0044692B">
                              <w:pPr>
                                <w:rPr>
                                  <w:rFonts w:ascii="Times New Roman" w:eastAsia="Times New Roman" w:hAnsi="Times New Roman" w:cs="Times New Roman"/>
                                  <w:color w:val="003A75"/>
                                  <w:sz w:val="24"/>
                                  <w:szCs w:val="24"/>
                                </w:rPr>
                              </w:pPr>
                              <w:r w:rsidRPr="0044692B">
                                <w:rPr>
                                  <w:rStyle w:val="Strong"/>
                                  <w:rFonts w:ascii="Times New Roman" w:eastAsia="Times New Roman" w:hAnsi="Times New Roman" w:cs="Times New Roman"/>
                                  <w:color w:val="FFFFFF"/>
                                  <w:sz w:val="24"/>
                                  <w:szCs w:val="24"/>
                                  <w:shd w:val="clear" w:color="auto" w:fill="003A75"/>
                                </w:rPr>
                                <w:t>THE SWAP  </w:t>
                              </w:r>
                            </w:p>
                          </w:tc>
                        </w:tr>
                        <w:tr w:rsidR="0044692B" w:rsidRPr="0044692B" w14:paraId="0DB28E59"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3CCE9F7E" w14:textId="3AA64E83" w:rsidR="0044692B" w:rsidRPr="0044692B" w:rsidRDefault="0044692B">
                              <w:pPr>
                                <w:pStyle w:val="NormalWeb"/>
                                <w:rPr>
                                  <w:rFonts w:ascii="Times New Roman" w:hAnsi="Times New Roman" w:cs="Times New Roman"/>
                                  <w:sz w:val="24"/>
                                  <w:szCs w:val="24"/>
                                </w:rPr>
                              </w:pPr>
                              <w:r w:rsidRPr="0044692B">
                                <w:rPr>
                                  <w:rFonts w:ascii="Times New Roman" w:hAnsi="Times New Roman" w:cs="Times New Roman"/>
                                  <w:sz w:val="24"/>
                                  <w:szCs w:val="24"/>
                                </w:rPr>
                                <w:lastRenderedPageBreak/>
                                <w:t>                              </w:t>
                              </w:r>
                              <w:r w:rsidRPr="0044692B">
                                <w:rPr>
                                  <w:rFonts w:ascii="Times New Roman" w:hAnsi="Times New Roman" w:cs="Times New Roman"/>
                                  <w:noProof/>
                                  <w:sz w:val="24"/>
                                  <w:szCs w:val="24"/>
                                </w:rPr>
                                <w:drawing>
                                  <wp:inline distT="0" distB="0" distL="0" distR="0" wp14:anchorId="29F3FE98" wp14:editId="3F194C9B">
                                    <wp:extent cx="243840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DC97731" w14:textId="5AFDA35D" w:rsidR="0044692B" w:rsidRPr="0044692B" w:rsidRDefault="0044692B" w:rsidP="0044692B">
                              <w:pPr>
                                <w:pStyle w:val="NormalWeb"/>
                                <w:spacing w:before="0" w:beforeAutospacing="0" w:after="0" w:afterAutospacing="0"/>
                                <w:rPr>
                                  <w:rStyle w:val="Hyperlink"/>
                                  <w:rFonts w:ascii="Times New Roman" w:hAnsi="Times New Roman" w:cs="Times New Roman"/>
                                  <w:b/>
                                  <w:bCs/>
                                  <w:sz w:val="24"/>
                                  <w:szCs w:val="24"/>
                                </w:rPr>
                              </w:pPr>
                              <w:hyperlink r:id="rId14" w:tgtFrame="_blank" w:history="1">
                                <w:r w:rsidRPr="0044692B">
                                  <w:rPr>
                                    <w:rStyle w:val="Hyperlink"/>
                                    <w:rFonts w:ascii="Times New Roman" w:hAnsi="Times New Roman" w:cs="Times New Roman"/>
                                    <w:b/>
                                    <w:bCs/>
                                    <w:sz w:val="24"/>
                                    <w:szCs w:val="24"/>
                                  </w:rPr>
                                  <w:t>Episode 25: Outlook for Global Energy Prices</w:t>
                                </w:r>
                              </w:hyperlink>
                            </w:p>
                            <w:p w14:paraId="14EE8B83" w14:textId="4E22F511" w:rsidR="0044692B" w:rsidRDefault="0044692B" w:rsidP="0044692B">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t xml:space="preserve">Energy prices have reached stratospheric levels, triggering predictions of a challenging winter in the northern hemisphere. What’s the outlook for global energy markets, and how will the current landscape impact the switch to renewables? Scott O’Malia talks to Kevin Book at </w:t>
                              </w:r>
                              <w:proofErr w:type="spellStart"/>
                              <w:r w:rsidRPr="0044692B">
                                <w:rPr>
                                  <w:rFonts w:ascii="Times New Roman" w:hAnsi="Times New Roman" w:cs="Times New Roman"/>
                                  <w:sz w:val="24"/>
                                  <w:szCs w:val="24"/>
                                </w:rPr>
                                <w:t>ClearView</w:t>
                              </w:r>
                              <w:proofErr w:type="spellEnd"/>
                              <w:r w:rsidRPr="0044692B">
                                <w:rPr>
                                  <w:rFonts w:ascii="Times New Roman" w:hAnsi="Times New Roman" w:cs="Times New Roman"/>
                                  <w:sz w:val="24"/>
                                  <w:szCs w:val="24"/>
                                </w:rPr>
                                <w:t xml:space="preserve"> Energy Partners.</w:t>
                              </w:r>
                            </w:p>
                            <w:p w14:paraId="2E206525" w14:textId="77777777" w:rsidR="0044692B" w:rsidRPr="0044692B" w:rsidRDefault="0044692B" w:rsidP="0044692B">
                              <w:pPr>
                                <w:pStyle w:val="NormalWeb"/>
                                <w:spacing w:before="0" w:beforeAutospacing="0" w:after="0" w:afterAutospacing="0"/>
                                <w:rPr>
                                  <w:rFonts w:ascii="Times New Roman" w:hAnsi="Times New Roman" w:cs="Times New Roman"/>
                                  <w:sz w:val="24"/>
                                  <w:szCs w:val="24"/>
                                </w:rPr>
                              </w:pPr>
                            </w:p>
                            <w:p w14:paraId="1E6AEBF8" w14:textId="567C0824" w:rsidR="0044692B" w:rsidRPr="0044692B" w:rsidRDefault="0044692B" w:rsidP="0044692B">
                              <w:pPr>
                                <w:pStyle w:val="NormalWeb"/>
                                <w:spacing w:before="0" w:beforeAutospacing="0" w:after="0" w:afterAutospacing="0"/>
                                <w:rPr>
                                  <w:rStyle w:val="Hyperlink"/>
                                  <w:rFonts w:ascii="Times New Roman" w:hAnsi="Times New Roman" w:cs="Times New Roman"/>
                                  <w:b/>
                                  <w:bCs/>
                                  <w:sz w:val="24"/>
                                  <w:szCs w:val="24"/>
                                </w:rPr>
                              </w:pPr>
                              <w:hyperlink r:id="rId15" w:tgtFrame="_blank" w:history="1">
                                <w:r w:rsidRPr="0044692B">
                                  <w:rPr>
                                    <w:rStyle w:val="Hyperlink"/>
                                    <w:rFonts w:ascii="Times New Roman" w:hAnsi="Times New Roman" w:cs="Times New Roman"/>
                                    <w:b/>
                                    <w:bCs/>
                                    <w:sz w:val="24"/>
                                    <w:szCs w:val="24"/>
                                  </w:rPr>
                                  <w:t>Episode 24: Credibility in Carbon Trading</w:t>
                                </w:r>
                              </w:hyperlink>
                            </w:p>
                            <w:p w14:paraId="06EB5899" w14:textId="77777777" w:rsidR="0044692B" w:rsidRPr="0044692B" w:rsidRDefault="0044692B" w:rsidP="0044692B">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t>The voluntary carbon market is seen as having a key role in the transition to a green economy, but transparency and integrity are critical to its success. Annette Nazareth, chair of the Integrity Council for the Voluntary Carbon Market, talks to Scott O’Malia.</w:t>
                              </w:r>
                            </w:p>
                          </w:tc>
                        </w:tr>
                        <w:tr w:rsidR="0044692B" w:rsidRPr="0044692B" w14:paraId="55EAA649" w14:textId="77777777">
                          <w:trPr>
                            <w:tblCellSpacing w:w="0" w:type="dxa"/>
                            <w:jc w:val="center"/>
                          </w:trPr>
                          <w:tc>
                            <w:tcPr>
                              <w:tcW w:w="0" w:type="auto"/>
                              <w:shd w:val="clear" w:color="auto" w:fill="E6DED6"/>
                              <w:tcMar>
                                <w:top w:w="120" w:type="dxa"/>
                                <w:left w:w="120" w:type="dxa"/>
                                <w:bottom w:w="120" w:type="dxa"/>
                                <w:right w:w="120" w:type="dxa"/>
                              </w:tcMar>
                              <w:vAlign w:val="center"/>
                              <w:hideMark/>
                            </w:tcPr>
                            <w:p w14:paraId="160B989E" w14:textId="77777777" w:rsidR="0044692B" w:rsidRPr="0044692B" w:rsidRDefault="0044692B">
                              <w:pPr>
                                <w:rPr>
                                  <w:rFonts w:ascii="Times New Roman" w:eastAsia="Times New Roman" w:hAnsi="Times New Roman" w:cs="Times New Roman"/>
                                  <w:sz w:val="24"/>
                                  <w:szCs w:val="24"/>
                                </w:rPr>
                              </w:pPr>
                              <w:r w:rsidRPr="0044692B">
                                <w:rPr>
                                  <w:rStyle w:val="Strong"/>
                                  <w:rFonts w:ascii="Times New Roman" w:eastAsia="Times New Roman" w:hAnsi="Times New Roman" w:cs="Times New Roman"/>
                                  <w:sz w:val="24"/>
                                  <w:szCs w:val="24"/>
                                </w:rPr>
                                <w:t>INFRASTRUCTURE</w:t>
                              </w:r>
                              <w:r w:rsidRPr="0044692B">
                                <w:rPr>
                                  <w:rFonts w:ascii="Times New Roman" w:eastAsia="Times New Roman" w:hAnsi="Times New Roman" w:cs="Times New Roman"/>
                                  <w:sz w:val="24"/>
                                  <w:szCs w:val="24"/>
                                </w:rPr>
                                <w:t> </w:t>
                              </w:r>
                            </w:p>
                          </w:tc>
                        </w:tr>
                        <w:tr w:rsidR="0044692B" w:rsidRPr="0044692B" w14:paraId="1A2D4C46"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25FA23E6"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Clearing:</w:t>
                              </w:r>
                            </w:p>
                            <w:p w14:paraId="083FFF2E" w14:textId="16A0345F" w:rsidR="0044692B" w:rsidRPr="0044692B" w:rsidRDefault="0044692B" w:rsidP="0044692B">
                              <w:pPr>
                                <w:pStyle w:val="NormalWeb"/>
                                <w:spacing w:before="0" w:beforeAutospacing="0" w:after="0" w:afterAutospacing="0"/>
                                <w:rPr>
                                  <w:rFonts w:ascii="Times New Roman" w:hAnsi="Times New Roman" w:cs="Times New Roman"/>
                                  <w:b/>
                                  <w:bCs/>
                                  <w:sz w:val="24"/>
                                  <w:szCs w:val="24"/>
                                </w:rPr>
                              </w:pPr>
                              <w:hyperlink r:id="rId16" w:tgtFrame="_blank" w:history="1">
                                <w:r w:rsidRPr="0044692B">
                                  <w:rPr>
                                    <w:rStyle w:val="Hyperlink"/>
                                    <w:rFonts w:ascii="Times New Roman" w:hAnsi="Times New Roman" w:cs="Times New Roman"/>
                                    <w:b/>
                                    <w:bCs/>
                                    <w:sz w:val="24"/>
                                    <w:szCs w:val="24"/>
                                  </w:rPr>
                                  <w:t>ISDA Responds to ESMA on Clearing and Derivative Trading Obligations in View of 2022 Benchmark Transition Status</w:t>
                                </w:r>
                              </w:hyperlink>
                            </w:p>
                          </w:tc>
                        </w:tr>
                        <w:tr w:rsidR="0044692B" w:rsidRPr="0044692B" w14:paraId="1790C4A3" w14:textId="77777777">
                          <w:trPr>
                            <w:tblCellSpacing w:w="0" w:type="dxa"/>
                            <w:jc w:val="center"/>
                          </w:trPr>
                          <w:tc>
                            <w:tcPr>
                              <w:tcW w:w="0" w:type="auto"/>
                              <w:shd w:val="clear" w:color="auto" w:fill="E6DED6"/>
                              <w:tcMar>
                                <w:top w:w="120" w:type="dxa"/>
                                <w:left w:w="120" w:type="dxa"/>
                                <w:bottom w:w="120" w:type="dxa"/>
                                <w:right w:w="120" w:type="dxa"/>
                              </w:tcMar>
                              <w:vAlign w:val="center"/>
                              <w:hideMark/>
                            </w:tcPr>
                            <w:p w14:paraId="56D3D49F" w14:textId="77777777" w:rsidR="0044692B" w:rsidRPr="0044692B" w:rsidRDefault="0044692B">
                              <w:pPr>
                                <w:rPr>
                                  <w:rFonts w:ascii="Times New Roman" w:eastAsia="Times New Roman" w:hAnsi="Times New Roman" w:cs="Times New Roman"/>
                                  <w:sz w:val="24"/>
                                  <w:szCs w:val="24"/>
                                </w:rPr>
                              </w:pPr>
                              <w:r w:rsidRPr="0044692B">
                                <w:rPr>
                                  <w:rStyle w:val="Strong"/>
                                  <w:rFonts w:ascii="Times New Roman" w:eastAsia="Times New Roman" w:hAnsi="Times New Roman" w:cs="Times New Roman"/>
                                  <w:sz w:val="24"/>
                                  <w:szCs w:val="24"/>
                                </w:rPr>
                                <w:t>LEGAL</w:t>
                              </w:r>
                              <w:r w:rsidRPr="0044692B">
                                <w:rPr>
                                  <w:rFonts w:ascii="Times New Roman" w:eastAsia="Times New Roman" w:hAnsi="Times New Roman" w:cs="Times New Roman"/>
                                  <w:sz w:val="24"/>
                                  <w:szCs w:val="24"/>
                                </w:rPr>
                                <w:t> </w:t>
                              </w:r>
                            </w:p>
                          </w:tc>
                        </w:tr>
                        <w:tr w:rsidR="0044692B" w:rsidRPr="0044692B" w14:paraId="3666971D"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27D451C5" w14:textId="0CAFA9EA" w:rsidR="0044692B" w:rsidRPr="0044692B" w:rsidRDefault="0044692B" w:rsidP="0044692B">
                              <w:pPr>
                                <w:pStyle w:val="NormalWeb"/>
                                <w:spacing w:before="0" w:beforeAutospacing="0" w:after="0" w:afterAutospacing="0"/>
                                <w:rPr>
                                  <w:rStyle w:val="Hyperlink"/>
                                  <w:rFonts w:ascii="Times New Roman" w:hAnsi="Times New Roman" w:cs="Times New Roman"/>
                                  <w:b/>
                                  <w:bCs/>
                                  <w:sz w:val="24"/>
                                  <w:szCs w:val="24"/>
                                </w:rPr>
                              </w:pPr>
                              <w:hyperlink r:id="rId17" w:tgtFrame="_blank" w:history="1">
                                <w:r w:rsidRPr="0044692B">
                                  <w:rPr>
                                    <w:rStyle w:val="Hyperlink"/>
                                    <w:rFonts w:ascii="Times New Roman" w:hAnsi="Times New Roman" w:cs="Times New Roman"/>
                                    <w:b/>
                                    <w:bCs/>
                                    <w:sz w:val="24"/>
                                    <w:szCs w:val="24"/>
                                  </w:rPr>
                                  <w:t>The 2022 ISDA Securities Financing Transactions Definitions: Current and Future Use Cases</w:t>
                                </w:r>
                              </w:hyperlink>
                            </w:p>
                            <w:p w14:paraId="1751C105" w14:textId="77777777" w:rsidR="0044692B" w:rsidRPr="0044692B" w:rsidRDefault="0044692B" w:rsidP="0044692B">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lastRenderedPageBreak/>
                                <w:t>This paper provides a brief overview of the Securities Financing Transactions (SFT) Definitions and the SFT Schedule Provisions, describes the use cases currently identified for these documents, and highlights some possible future developments.</w:t>
                              </w:r>
                            </w:p>
                          </w:tc>
                        </w:tr>
                        <w:tr w:rsidR="0044692B" w:rsidRPr="0044692B" w14:paraId="16DFDAD0" w14:textId="77777777">
                          <w:trPr>
                            <w:tblCellSpacing w:w="0" w:type="dxa"/>
                            <w:jc w:val="center"/>
                          </w:trPr>
                          <w:tc>
                            <w:tcPr>
                              <w:tcW w:w="0" w:type="auto"/>
                              <w:shd w:val="clear" w:color="auto" w:fill="E6DED6"/>
                              <w:tcMar>
                                <w:top w:w="120" w:type="dxa"/>
                                <w:left w:w="120" w:type="dxa"/>
                                <w:bottom w:w="120" w:type="dxa"/>
                                <w:right w:w="120" w:type="dxa"/>
                              </w:tcMar>
                              <w:vAlign w:val="center"/>
                              <w:hideMark/>
                            </w:tcPr>
                            <w:p w14:paraId="18BFF327" w14:textId="77777777" w:rsidR="0044692B" w:rsidRPr="0044692B" w:rsidRDefault="0044692B">
                              <w:pPr>
                                <w:rPr>
                                  <w:rFonts w:ascii="Times New Roman" w:eastAsia="Times New Roman" w:hAnsi="Times New Roman" w:cs="Times New Roman"/>
                                  <w:sz w:val="24"/>
                                  <w:szCs w:val="24"/>
                                </w:rPr>
                              </w:pPr>
                              <w:r w:rsidRPr="0044692B">
                                <w:rPr>
                                  <w:rStyle w:val="Strong"/>
                                  <w:rFonts w:ascii="Times New Roman" w:eastAsia="Times New Roman" w:hAnsi="Times New Roman" w:cs="Times New Roman"/>
                                  <w:sz w:val="24"/>
                                  <w:szCs w:val="24"/>
                                </w:rPr>
                                <w:lastRenderedPageBreak/>
                                <w:t>MARGIN</w:t>
                              </w:r>
                              <w:r w:rsidRPr="0044692B">
                                <w:rPr>
                                  <w:rFonts w:ascii="Times New Roman" w:eastAsia="Times New Roman" w:hAnsi="Times New Roman" w:cs="Times New Roman"/>
                                  <w:sz w:val="24"/>
                                  <w:szCs w:val="24"/>
                                </w:rPr>
                                <w:t> </w:t>
                              </w:r>
                            </w:p>
                          </w:tc>
                        </w:tr>
                        <w:tr w:rsidR="0044692B" w:rsidRPr="0044692B" w14:paraId="16637B33"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24DA2785"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Documentation:</w:t>
                              </w:r>
                            </w:p>
                            <w:p w14:paraId="602AD781" w14:textId="77777777" w:rsidR="0044692B" w:rsidRPr="0044692B" w:rsidRDefault="0044692B">
                              <w:pPr>
                                <w:pStyle w:val="NormalWeb"/>
                                <w:rPr>
                                  <w:rFonts w:ascii="Times New Roman" w:hAnsi="Times New Roman" w:cs="Times New Roman"/>
                                  <w:sz w:val="24"/>
                                  <w:szCs w:val="24"/>
                                </w:rPr>
                              </w:pPr>
                              <w:hyperlink r:id="rId18" w:tgtFrame="_blank" w:history="1">
                                <w:r w:rsidRPr="0044692B">
                                  <w:rPr>
                                    <w:rStyle w:val="Hyperlink"/>
                                    <w:rFonts w:ascii="Times New Roman" w:hAnsi="Times New Roman" w:cs="Times New Roman"/>
                                    <w:sz w:val="24"/>
                                    <w:szCs w:val="24"/>
                                  </w:rPr>
                                  <w:t>ISDA Regulatory Margin Self-Disclosure Letter – India Supplement</w:t>
                                </w:r>
                              </w:hyperlink>
                              <w:r w:rsidRPr="0044692B">
                                <w:rPr>
                                  <w:rFonts w:ascii="Times New Roman" w:hAnsi="Times New Roman" w:cs="Times New Roman"/>
                                  <w:sz w:val="24"/>
                                  <w:szCs w:val="24"/>
                                </w:rPr>
                                <w:t xml:space="preserve"> (</w:t>
                              </w:r>
                              <w:hyperlink r:id="rId19" w:tgtFrame="_blank" w:history="1">
                                <w:r w:rsidRPr="0044692B">
                                  <w:rPr>
                                    <w:rStyle w:val="Hyperlink"/>
                                    <w:rFonts w:ascii="Times New Roman" w:hAnsi="Times New Roman" w:cs="Times New Roman"/>
                                    <w:sz w:val="24"/>
                                    <w:szCs w:val="24"/>
                                  </w:rPr>
                                  <w:t>fillable document</w:t>
                                </w:r>
                              </w:hyperlink>
                              <w:r w:rsidRPr="0044692B">
                                <w:rPr>
                                  <w:rFonts w:ascii="Times New Roman" w:hAnsi="Times New Roman" w:cs="Times New Roman"/>
                                  <w:sz w:val="24"/>
                                  <w:szCs w:val="24"/>
                                </w:rPr>
                                <w:t>)</w:t>
                              </w:r>
                            </w:p>
                            <w:p w14:paraId="669A66EC"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ISDA SIMM:</w:t>
                              </w:r>
                            </w:p>
                            <w:p w14:paraId="4C6B5DA0" w14:textId="77777777" w:rsidR="0044692B" w:rsidRPr="0044692B" w:rsidRDefault="0044692B">
                              <w:pPr>
                                <w:pStyle w:val="NormalWeb"/>
                                <w:rPr>
                                  <w:rFonts w:ascii="Times New Roman" w:hAnsi="Times New Roman" w:cs="Times New Roman"/>
                                  <w:sz w:val="24"/>
                                  <w:szCs w:val="24"/>
                                </w:rPr>
                              </w:pPr>
                              <w:hyperlink r:id="rId20" w:tgtFrame="_blank" w:history="1">
                                <w:r w:rsidRPr="0044692B">
                                  <w:rPr>
                                    <w:rStyle w:val="Hyperlink"/>
                                    <w:rFonts w:ascii="Times New Roman" w:hAnsi="Times New Roman" w:cs="Times New Roman"/>
                                    <w:sz w:val="24"/>
                                    <w:szCs w:val="24"/>
                                  </w:rPr>
                                  <w:t>ISDA Publishes ISDA SIMM v2.5</w:t>
                                </w:r>
                              </w:hyperlink>
                            </w:p>
                            <w:p w14:paraId="4DF3A08F" w14:textId="77777777" w:rsidR="0044692B" w:rsidRPr="0044692B" w:rsidRDefault="0044692B">
                              <w:pPr>
                                <w:pStyle w:val="NormalWeb"/>
                                <w:rPr>
                                  <w:rFonts w:ascii="Times New Roman" w:hAnsi="Times New Roman" w:cs="Times New Roman"/>
                                  <w:sz w:val="24"/>
                                  <w:szCs w:val="24"/>
                                </w:rPr>
                              </w:pPr>
                              <w:r w:rsidRPr="0044692B">
                                <w:rPr>
                                  <w:rFonts w:ascii="Times New Roman" w:hAnsi="Times New Roman" w:cs="Times New Roman"/>
                                  <w:sz w:val="24"/>
                                  <w:szCs w:val="24"/>
                                </w:rPr>
                                <w:t xml:space="preserve">ISDA published the </w:t>
                              </w:r>
                              <w:hyperlink r:id="rId21" w:tgtFrame="_blank" w:history="1">
                                <w:r w:rsidRPr="0044692B">
                                  <w:rPr>
                                    <w:rStyle w:val="Hyperlink"/>
                                    <w:rFonts w:ascii="Times New Roman" w:hAnsi="Times New Roman" w:cs="Times New Roman"/>
                                    <w:sz w:val="24"/>
                                    <w:szCs w:val="24"/>
                                  </w:rPr>
                                  <w:t>ISDA SIMM® Methodology, version 2.5</w:t>
                                </w:r>
                              </w:hyperlink>
                              <w:r w:rsidRPr="0044692B">
                                <w:rPr>
                                  <w:rFonts w:ascii="Times New Roman" w:hAnsi="Times New Roman" w:cs="Times New Roman"/>
                                  <w:sz w:val="24"/>
                                  <w:szCs w:val="24"/>
                                </w:rPr>
                                <w:t>, with an effective date of December 3, 2022.</w:t>
                              </w:r>
                            </w:p>
                          </w:tc>
                        </w:tr>
                        <w:tr w:rsidR="0044692B" w:rsidRPr="0044692B" w14:paraId="40744E28" w14:textId="77777777">
                          <w:trPr>
                            <w:tblCellSpacing w:w="0" w:type="dxa"/>
                            <w:jc w:val="center"/>
                          </w:trPr>
                          <w:tc>
                            <w:tcPr>
                              <w:tcW w:w="0" w:type="auto"/>
                              <w:shd w:val="clear" w:color="auto" w:fill="E6DED6"/>
                              <w:tcMar>
                                <w:top w:w="120" w:type="dxa"/>
                                <w:left w:w="120" w:type="dxa"/>
                                <w:bottom w:w="120" w:type="dxa"/>
                                <w:right w:w="120" w:type="dxa"/>
                              </w:tcMar>
                              <w:vAlign w:val="center"/>
                              <w:hideMark/>
                            </w:tcPr>
                            <w:p w14:paraId="017A0090" w14:textId="77777777" w:rsidR="0044692B" w:rsidRPr="0044692B" w:rsidRDefault="0044692B">
                              <w:pPr>
                                <w:rPr>
                                  <w:rFonts w:ascii="Times New Roman" w:eastAsia="Times New Roman" w:hAnsi="Times New Roman" w:cs="Times New Roman"/>
                                  <w:sz w:val="24"/>
                                  <w:szCs w:val="24"/>
                                </w:rPr>
                              </w:pPr>
                              <w:r w:rsidRPr="0044692B">
                                <w:rPr>
                                  <w:rStyle w:val="Strong"/>
                                  <w:rFonts w:ascii="Times New Roman" w:eastAsia="Times New Roman" w:hAnsi="Times New Roman" w:cs="Times New Roman"/>
                                  <w:color w:val="000000"/>
                                  <w:sz w:val="24"/>
                                  <w:szCs w:val="24"/>
                                  <w:shd w:val="clear" w:color="auto" w:fill="E6DED6"/>
                                </w:rPr>
                                <w:t>PUBLIC POLICY</w:t>
                              </w:r>
                              <w:r w:rsidRPr="0044692B">
                                <w:rPr>
                                  <w:rFonts w:ascii="Times New Roman" w:eastAsia="Times New Roman" w:hAnsi="Times New Roman" w:cs="Times New Roman"/>
                                  <w:sz w:val="24"/>
                                  <w:szCs w:val="24"/>
                                </w:rPr>
                                <w:t> </w:t>
                              </w:r>
                            </w:p>
                          </w:tc>
                        </w:tr>
                        <w:tr w:rsidR="0044692B" w:rsidRPr="0044692B" w14:paraId="45FE3F26"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48E73710"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Global:</w:t>
                              </w:r>
                            </w:p>
                            <w:p w14:paraId="693840A5" w14:textId="77777777" w:rsidR="0044692B" w:rsidRPr="0044692B" w:rsidRDefault="0044692B">
                              <w:pPr>
                                <w:pStyle w:val="NormalWeb"/>
                                <w:rPr>
                                  <w:rFonts w:ascii="Times New Roman" w:hAnsi="Times New Roman" w:cs="Times New Roman"/>
                                  <w:sz w:val="24"/>
                                  <w:szCs w:val="24"/>
                                </w:rPr>
                              </w:pPr>
                              <w:hyperlink r:id="rId22" w:tgtFrame="_blank" w:history="1">
                                <w:r w:rsidRPr="0044692B">
                                  <w:rPr>
                                    <w:rStyle w:val="Hyperlink"/>
                                    <w:rFonts w:ascii="Times New Roman" w:hAnsi="Times New Roman" w:cs="Times New Roman"/>
                                    <w:sz w:val="24"/>
                                    <w:szCs w:val="24"/>
                                  </w:rPr>
                                  <w:t>Updated OTC Derivatives Compliance Calendar – Updated for October 2022</w:t>
                                </w:r>
                              </w:hyperlink>
                            </w:p>
                            <w:p w14:paraId="2E14DFFF"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Asia-Pacific:</w:t>
                              </w:r>
                            </w:p>
                            <w:p w14:paraId="71E1FC3F" w14:textId="77777777" w:rsidR="0044692B" w:rsidRPr="0044692B" w:rsidRDefault="0044692B">
                              <w:pPr>
                                <w:pStyle w:val="NormalWeb"/>
                                <w:rPr>
                                  <w:rFonts w:ascii="Times New Roman" w:hAnsi="Times New Roman" w:cs="Times New Roman"/>
                                  <w:sz w:val="24"/>
                                  <w:szCs w:val="24"/>
                                </w:rPr>
                              </w:pPr>
                              <w:hyperlink r:id="rId23" w:tgtFrame="_blank" w:history="1">
                                <w:r w:rsidRPr="0044692B">
                                  <w:rPr>
                                    <w:rStyle w:val="Hyperlink"/>
                                    <w:rFonts w:ascii="Times New Roman" w:hAnsi="Times New Roman" w:cs="Times New Roman"/>
                                    <w:sz w:val="24"/>
                                    <w:szCs w:val="24"/>
                                  </w:rPr>
                                  <w:t>Regulatory Framework for Sustainability-Linked Derivatives: Hong Kong Analysis</w:t>
                                </w:r>
                              </w:hyperlink>
                            </w:p>
                            <w:p w14:paraId="0596E916" w14:textId="77777777" w:rsidR="0044692B" w:rsidRPr="0044692B" w:rsidRDefault="0044692B">
                              <w:pPr>
                                <w:pStyle w:val="NormalWeb"/>
                                <w:rPr>
                                  <w:rFonts w:ascii="Times New Roman" w:hAnsi="Times New Roman" w:cs="Times New Roman"/>
                                  <w:sz w:val="24"/>
                                  <w:szCs w:val="24"/>
                                </w:rPr>
                              </w:pPr>
                              <w:r w:rsidRPr="0044692B">
                                <w:rPr>
                                  <w:rFonts w:ascii="Times New Roman" w:hAnsi="Times New Roman" w:cs="Times New Roman"/>
                                  <w:sz w:val="24"/>
                                  <w:szCs w:val="24"/>
                                </w:rPr>
                                <w:t xml:space="preserve">This whitepaper analyzes two categories of sustainability-linked derivatives in the context of the </w:t>
                              </w:r>
                              <w:proofErr w:type="gramStart"/>
                              <w:r w:rsidRPr="0044692B">
                                <w:rPr>
                                  <w:rFonts w:ascii="Times New Roman" w:hAnsi="Times New Roman" w:cs="Times New Roman"/>
                                  <w:sz w:val="24"/>
                                  <w:szCs w:val="24"/>
                                </w:rPr>
                                <w:t>derivatives</w:t>
                              </w:r>
                              <w:proofErr w:type="gramEnd"/>
                              <w:r w:rsidRPr="0044692B">
                                <w:rPr>
                                  <w:rFonts w:ascii="Times New Roman" w:hAnsi="Times New Roman" w:cs="Times New Roman"/>
                                  <w:sz w:val="24"/>
                                  <w:szCs w:val="24"/>
                                </w:rPr>
                                <w:t xml:space="preserve"> regulatory framework in Hong Kong.</w:t>
                              </w:r>
                            </w:p>
                            <w:p w14:paraId="0978AF90"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Europe:</w:t>
                              </w:r>
                            </w:p>
                            <w:p w14:paraId="75F3CE1F" w14:textId="77777777" w:rsidR="0044692B" w:rsidRPr="0044692B" w:rsidRDefault="0044692B">
                              <w:pPr>
                                <w:pStyle w:val="NormalWeb"/>
                                <w:rPr>
                                  <w:rFonts w:ascii="Times New Roman" w:hAnsi="Times New Roman" w:cs="Times New Roman"/>
                                  <w:sz w:val="24"/>
                                  <w:szCs w:val="24"/>
                                </w:rPr>
                              </w:pPr>
                              <w:hyperlink r:id="rId24" w:tgtFrame="_blank" w:history="1">
                                <w:r w:rsidRPr="0044692B">
                                  <w:rPr>
                                    <w:rStyle w:val="Hyperlink"/>
                                    <w:rFonts w:ascii="Times New Roman" w:hAnsi="Times New Roman" w:cs="Times New Roman"/>
                                    <w:sz w:val="24"/>
                                    <w:szCs w:val="24"/>
                                  </w:rPr>
                                  <w:t>ISDA Commentary on Pre-trade Transparency in MIFIR</w:t>
                                </w:r>
                              </w:hyperlink>
                            </w:p>
                            <w:p w14:paraId="25377EEA" w14:textId="77777777" w:rsidR="0044692B" w:rsidRPr="0044692B" w:rsidRDefault="0044692B">
                              <w:pPr>
                                <w:pStyle w:val="NormalWeb"/>
                                <w:rPr>
                                  <w:rFonts w:ascii="Times New Roman" w:hAnsi="Times New Roman" w:cs="Times New Roman"/>
                                  <w:sz w:val="24"/>
                                  <w:szCs w:val="24"/>
                                </w:rPr>
                              </w:pPr>
                              <w:hyperlink r:id="rId25" w:tgtFrame="_blank" w:history="1">
                                <w:r w:rsidRPr="0044692B">
                                  <w:rPr>
                                    <w:rStyle w:val="Hyperlink"/>
                                    <w:rFonts w:ascii="Times New Roman" w:hAnsi="Times New Roman" w:cs="Times New Roman"/>
                                    <w:sz w:val="24"/>
                                    <w:szCs w:val="24"/>
                                  </w:rPr>
                                  <w:t>Associations Support a Designated Reporter Regime in the UK</w:t>
                                </w:r>
                              </w:hyperlink>
                            </w:p>
                            <w:p w14:paraId="5D0C9007" w14:textId="77777777" w:rsidR="0044692B" w:rsidRPr="0044692B" w:rsidRDefault="0044692B">
                              <w:pPr>
                                <w:pStyle w:val="NormalWeb"/>
                                <w:rPr>
                                  <w:rFonts w:ascii="Times New Roman" w:hAnsi="Times New Roman" w:cs="Times New Roman"/>
                                  <w:sz w:val="24"/>
                                  <w:szCs w:val="24"/>
                                </w:rPr>
                              </w:pPr>
                              <w:hyperlink r:id="rId26" w:tgtFrame="_blank" w:history="1">
                                <w:r w:rsidRPr="0044692B">
                                  <w:rPr>
                                    <w:rStyle w:val="Hyperlink"/>
                                    <w:rFonts w:ascii="Times New Roman" w:hAnsi="Times New Roman" w:cs="Times New Roman"/>
                                    <w:sz w:val="24"/>
                                    <w:szCs w:val="24"/>
                                  </w:rPr>
                                  <w:t>Trade Associations Sign Letter on Safeguarding the EU ETS</w:t>
                                </w:r>
                              </w:hyperlink>
                            </w:p>
                          </w:tc>
                        </w:tr>
                        <w:tr w:rsidR="0044692B" w:rsidRPr="0044692B" w14:paraId="5BDFFF06" w14:textId="77777777">
                          <w:trPr>
                            <w:tblCellSpacing w:w="0" w:type="dxa"/>
                            <w:jc w:val="center"/>
                          </w:trPr>
                          <w:tc>
                            <w:tcPr>
                              <w:tcW w:w="0" w:type="auto"/>
                              <w:shd w:val="clear" w:color="auto" w:fill="E6DED6"/>
                              <w:tcMar>
                                <w:top w:w="120" w:type="dxa"/>
                                <w:left w:w="120" w:type="dxa"/>
                                <w:bottom w:w="120" w:type="dxa"/>
                                <w:right w:w="120" w:type="dxa"/>
                              </w:tcMar>
                              <w:vAlign w:val="center"/>
                              <w:hideMark/>
                            </w:tcPr>
                            <w:p w14:paraId="45C97024" w14:textId="77777777" w:rsidR="0044692B" w:rsidRPr="0044692B" w:rsidRDefault="0044692B">
                              <w:pPr>
                                <w:rPr>
                                  <w:rFonts w:ascii="Times New Roman" w:eastAsia="Times New Roman" w:hAnsi="Times New Roman" w:cs="Times New Roman"/>
                                  <w:sz w:val="24"/>
                                  <w:szCs w:val="24"/>
                                </w:rPr>
                              </w:pPr>
                              <w:r w:rsidRPr="0044692B">
                                <w:rPr>
                                  <w:rStyle w:val="Strong"/>
                                  <w:rFonts w:ascii="Times New Roman" w:eastAsia="Times New Roman" w:hAnsi="Times New Roman" w:cs="Times New Roman"/>
                                  <w:sz w:val="24"/>
                                  <w:szCs w:val="24"/>
                                  <w:shd w:val="clear" w:color="auto" w:fill="E6DED6"/>
                                </w:rPr>
                                <w:t>RESEARCH</w:t>
                              </w:r>
                            </w:p>
                          </w:tc>
                        </w:tr>
                        <w:tr w:rsidR="0044692B" w:rsidRPr="0044692B" w14:paraId="273BC9E4"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3B47833D"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Research Notes:</w:t>
                              </w:r>
                            </w:p>
                            <w:p w14:paraId="418290E1" w14:textId="77777777" w:rsidR="0044692B" w:rsidRPr="0044692B" w:rsidRDefault="0044692B">
                              <w:pPr>
                                <w:pStyle w:val="NormalWeb"/>
                                <w:rPr>
                                  <w:rFonts w:ascii="Times New Roman" w:hAnsi="Times New Roman" w:cs="Times New Roman"/>
                                  <w:sz w:val="24"/>
                                  <w:szCs w:val="24"/>
                                </w:rPr>
                              </w:pPr>
                              <w:hyperlink r:id="rId27" w:tgtFrame="_blank" w:history="1">
                                <w:r w:rsidRPr="0044692B">
                                  <w:rPr>
                                    <w:rStyle w:val="Hyperlink"/>
                                    <w:rFonts w:ascii="Times New Roman" w:hAnsi="Times New Roman" w:cs="Times New Roman"/>
                                    <w:sz w:val="24"/>
                                    <w:szCs w:val="24"/>
                                  </w:rPr>
                                  <w:t>ISDA-Clarus RFR Adoption Indicator: August 2022</w:t>
                                </w:r>
                              </w:hyperlink>
                            </w:p>
                            <w:p w14:paraId="48FCD9C9" w14:textId="77777777" w:rsidR="0044692B" w:rsidRPr="0044692B" w:rsidRDefault="0044692B">
                              <w:pPr>
                                <w:pStyle w:val="NormalWeb"/>
                                <w:rPr>
                                  <w:rFonts w:ascii="Times New Roman" w:hAnsi="Times New Roman" w:cs="Times New Roman"/>
                                  <w:sz w:val="24"/>
                                  <w:szCs w:val="24"/>
                                </w:rPr>
                              </w:pPr>
                              <w:hyperlink r:id="rId28" w:tgtFrame="_blank" w:history="1">
                                <w:r w:rsidRPr="0044692B">
                                  <w:rPr>
                                    <w:rStyle w:val="Hyperlink"/>
                                    <w:rFonts w:ascii="Times New Roman" w:hAnsi="Times New Roman" w:cs="Times New Roman"/>
                                    <w:sz w:val="24"/>
                                    <w:szCs w:val="24"/>
                                  </w:rPr>
                                  <w:t xml:space="preserve">Interest Rate Derivatives Trading Activity Reported in EU, </w:t>
                                </w:r>
                                <w:proofErr w:type="gramStart"/>
                                <w:r w:rsidRPr="0044692B">
                                  <w:rPr>
                                    <w:rStyle w:val="Hyperlink"/>
                                    <w:rFonts w:ascii="Times New Roman" w:hAnsi="Times New Roman" w:cs="Times New Roman"/>
                                    <w:sz w:val="24"/>
                                    <w:szCs w:val="24"/>
                                  </w:rPr>
                                  <w:t>UK</w:t>
                                </w:r>
                                <w:proofErr w:type="gramEnd"/>
                                <w:r w:rsidRPr="0044692B">
                                  <w:rPr>
                                    <w:rStyle w:val="Hyperlink"/>
                                    <w:rFonts w:ascii="Times New Roman" w:hAnsi="Times New Roman" w:cs="Times New Roman"/>
                                    <w:sz w:val="24"/>
                                    <w:szCs w:val="24"/>
                                  </w:rPr>
                                  <w:t xml:space="preserve"> and US Markets: First Half of 2022 and Second Quarter of 2022</w:t>
                                </w:r>
                              </w:hyperlink>
                            </w:p>
                          </w:tc>
                        </w:tr>
                        <w:tr w:rsidR="0044692B" w:rsidRPr="0044692B" w14:paraId="5954AE67" w14:textId="77777777">
                          <w:trPr>
                            <w:tblCellSpacing w:w="0" w:type="dxa"/>
                            <w:jc w:val="center"/>
                          </w:trPr>
                          <w:tc>
                            <w:tcPr>
                              <w:tcW w:w="0" w:type="auto"/>
                              <w:shd w:val="clear" w:color="auto" w:fill="E6DED6"/>
                              <w:tcMar>
                                <w:top w:w="120" w:type="dxa"/>
                                <w:left w:w="120" w:type="dxa"/>
                                <w:bottom w:w="120" w:type="dxa"/>
                                <w:right w:w="120" w:type="dxa"/>
                              </w:tcMar>
                              <w:vAlign w:val="center"/>
                              <w:hideMark/>
                            </w:tcPr>
                            <w:p w14:paraId="3BBCE973" w14:textId="77777777" w:rsidR="0044692B" w:rsidRPr="0044692B" w:rsidRDefault="0044692B">
                              <w:pPr>
                                <w:rPr>
                                  <w:rFonts w:ascii="Times New Roman" w:eastAsia="Times New Roman" w:hAnsi="Times New Roman" w:cs="Times New Roman"/>
                                  <w:sz w:val="24"/>
                                  <w:szCs w:val="24"/>
                                </w:rPr>
                              </w:pPr>
                              <w:r w:rsidRPr="0044692B">
                                <w:rPr>
                                  <w:rStyle w:val="Strong"/>
                                  <w:rFonts w:ascii="Times New Roman" w:eastAsia="Times New Roman" w:hAnsi="Times New Roman" w:cs="Times New Roman"/>
                                  <w:sz w:val="24"/>
                                  <w:szCs w:val="24"/>
                                  <w:shd w:val="clear" w:color="auto" w:fill="E6DED6"/>
                                </w:rPr>
                                <w:lastRenderedPageBreak/>
                                <w:t>RISK &amp; CAPITAL</w:t>
                              </w:r>
                            </w:p>
                          </w:tc>
                        </w:tr>
                        <w:tr w:rsidR="0044692B" w:rsidRPr="0044692B" w14:paraId="65433FA2"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20B38627" w14:textId="25549414" w:rsidR="0044692B" w:rsidRPr="00A40427" w:rsidRDefault="0044692B" w:rsidP="00A40427">
                              <w:pPr>
                                <w:pStyle w:val="NormalWeb"/>
                                <w:spacing w:before="0" w:beforeAutospacing="0" w:after="0" w:afterAutospacing="0"/>
                                <w:rPr>
                                  <w:rStyle w:val="Hyperlink"/>
                                  <w:rFonts w:ascii="Times New Roman" w:hAnsi="Times New Roman" w:cs="Times New Roman"/>
                                  <w:sz w:val="24"/>
                                  <w:szCs w:val="24"/>
                                </w:rPr>
                              </w:pPr>
                              <w:hyperlink r:id="rId29" w:tgtFrame="_blank" w:history="1">
                                <w:r w:rsidRPr="00A40427">
                                  <w:rPr>
                                    <w:rStyle w:val="Hyperlink"/>
                                    <w:rFonts w:ascii="Times New Roman" w:hAnsi="Times New Roman" w:cs="Times New Roman"/>
                                    <w:b/>
                                    <w:bCs/>
                                    <w:sz w:val="24"/>
                                    <w:szCs w:val="24"/>
                                  </w:rPr>
                                  <w:t>Treatment of Instruments with Embedded Derivatives</w:t>
                                </w:r>
                              </w:hyperlink>
                            </w:p>
                            <w:p w14:paraId="222E4CC1" w14:textId="77777777" w:rsidR="0044692B" w:rsidRPr="0044692B" w:rsidRDefault="0044692B" w:rsidP="00A40427">
                              <w:pPr>
                                <w:pStyle w:val="NormalWeb"/>
                                <w:spacing w:before="0" w:beforeAutospacing="0" w:after="0" w:afterAutospacing="0"/>
                                <w:rPr>
                                  <w:rFonts w:ascii="Times New Roman" w:hAnsi="Times New Roman" w:cs="Times New Roman"/>
                                  <w:sz w:val="24"/>
                                  <w:szCs w:val="24"/>
                                </w:rPr>
                              </w:pPr>
                              <w:r w:rsidRPr="0044692B">
                                <w:rPr>
                                  <w:rFonts w:ascii="Times New Roman" w:hAnsi="Times New Roman" w:cs="Times New Roman"/>
                                  <w:sz w:val="24"/>
                                  <w:szCs w:val="24"/>
                                </w:rPr>
                                <w:t>ISDA and the Association for Financial Markets in Europe published a whitepaper on the prudential boundary between the banking and trading books in Europe and how that relates to instruments with embedded derivatives.</w:t>
                              </w:r>
                            </w:p>
                          </w:tc>
                        </w:tr>
                        <w:tr w:rsidR="0044692B" w:rsidRPr="0044692B" w14:paraId="26202788" w14:textId="77777777">
                          <w:trPr>
                            <w:tblCellSpacing w:w="0" w:type="dxa"/>
                            <w:jc w:val="center"/>
                          </w:trPr>
                          <w:tc>
                            <w:tcPr>
                              <w:tcW w:w="0" w:type="auto"/>
                              <w:shd w:val="clear" w:color="auto" w:fill="E6DED6"/>
                              <w:tcMar>
                                <w:top w:w="120" w:type="dxa"/>
                                <w:left w:w="120" w:type="dxa"/>
                                <w:bottom w:w="120" w:type="dxa"/>
                                <w:right w:w="120" w:type="dxa"/>
                              </w:tcMar>
                              <w:vAlign w:val="center"/>
                              <w:hideMark/>
                            </w:tcPr>
                            <w:p w14:paraId="5FED1A8B" w14:textId="77777777" w:rsidR="0044692B" w:rsidRPr="0044692B" w:rsidRDefault="0044692B">
                              <w:pPr>
                                <w:rPr>
                                  <w:rFonts w:ascii="Times New Roman" w:eastAsia="Times New Roman" w:hAnsi="Times New Roman" w:cs="Times New Roman"/>
                                  <w:sz w:val="24"/>
                                  <w:szCs w:val="24"/>
                                </w:rPr>
                              </w:pPr>
                              <w:r w:rsidRPr="0044692B">
                                <w:rPr>
                                  <w:rStyle w:val="Strong"/>
                                  <w:rFonts w:ascii="Times New Roman" w:eastAsia="Times New Roman" w:hAnsi="Times New Roman" w:cs="Times New Roman"/>
                                  <w:sz w:val="24"/>
                                  <w:szCs w:val="24"/>
                                </w:rPr>
                                <w:t>ISDA COMMENTARY</w:t>
                              </w:r>
                            </w:p>
                          </w:tc>
                        </w:tr>
                        <w:tr w:rsidR="0044692B" w:rsidRPr="0044692B" w14:paraId="6FA21254"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3A994880" w14:textId="77777777" w:rsidR="0044692B" w:rsidRPr="0044692B" w:rsidRDefault="0044692B">
                              <w:pPr>
                                <w:pStyle w:val="NormalWeb"/>
                                <w:rPr>
                                  <w:rFonts w:ascii="Times New Roman" w:hAnsi="Times New Roman" w:cs="Times New Roman"/>
                                  <w:sz w:val="24"/>
                                  <w:szCs w:val="24"/>
                                </w:rPr>
                              </w:pPr>
                              <w:r w:rsidRPr="0044692B">
                                <w:rPr>
                                  <w:rStyle w:val="Strong"/>
                                  <w:rFonts w:ascii="Times New Roman" w:hAnsi="Times New Roman" w:cs="Times New Roman"/>
                                  <w:sz w:val="24"/>
                                  <w:szCs w:val="24"/>
                                </w:rPr>
                                <w:t xml:space="preserve">Read recent </w:t>
                              </w:r>
                              <w:proofErr w:type="spellStart"/>
                              <w:r w:rsidRPr="0044692B">
                                <w:rPr>
                                  <w:rStyle w:val="Strong"/>
                                  <w:rFonts w:ascii="Times New Roman" w:hAnsi="Times New Roman" w:cs="Times New Roman"/>
                                  <w:sz w:val="24"/>
                                  <w:szCs w:val="24"/>
                                </w:rPr>
                                <w:t>derivatiViews</w:t>
                              </w:r>
                              <w:proofErr w:type="spellEnd"/>
                              <w:r w:rsidRPr="0044692B">
                                <w:rPr>
                                  <w:rStyle w:val="Strong"/>
                                  <w:rFonts w:ascii="Times New Roman" w:hAnsi="Times New Roman" w:cs="Times New Roman"/>
                                  <w:sz w:val="24"/>
                                  <w:szCs w:val="24"/>
                                </w:rPr>
                                <w:t xml:space="preserve"> posts:</w:t>
                              </w:r>
                            </w:p>
                            <w:p w14:paraId="257F23E7" w14:textId="77777777" w:rsidR="0044692B" w:rsidRPr="0044692B" w:rsidRDefault="0044692B">
                              <w:pPr>
                                <w:pStyle w:val="NormalWeb"/>
                                <w:rPr>
                                  <w:rFonts w:ascii="Times New Roman" w:hAnsi="Times New Roman" w:cs="Times New Roman"/>
                                  <w:sz w:val="24"/>
                                  <w:szCs w:val="24"/>
                                </w:rPr>
                              </w:pPr>
                              <w:hyperlink r:id="rId30" w:tgtFrame="_blank" w:history="1">
                                <w:r w:rsidRPr="0044692B">
                                  <w:rPr>
                                    <w:rStyle w:val="Hyperlink"/>
                                    <w:rFonts w:ascii="Times New Roman" w:hAnsi="Times New Roman" w:cs="Times New Roman"/>
                                    <w:sz w:val="24"/>
                                    <w:szCs w:val="24"/>
                                  </w:rPr>
                                  <w:t>Efficiency Through Reporting Best Practice</w:t>
                                </w:r>
                              </w:hyperlink>
                            </w:p>
                            <w:p w14:paraId="199120C0" w14:textId="77777777" w:rsidR="0044692B" w:rsidRPr="0044692B" w:rsidRDefault="0044692B">
                              <w:pPr>
                                <w:pStyle w:val="NormalWeb"/>
                                <w:rPr>
                                  <w:rFonts w:ascii="Times New Roman" w:hAnsi="Times New Roman" w:cs="Times New Roman"/>
                                  <w:sz w:val="24"/>
                                  <w:szCs w:val="24"/>
                                </w:rPr>
                              </w:pPr>
                              <w:hyperlink r:id="rId31" w:tgtFrame="_blank" w:history="1">
                                <w:r w:rsidRPr="0044692B">
                                  <w:rPr>
                                    <w:rStyle w:val="Hyperlink"/>
                                    <w:rFonts w:ascii="Times New Roman" w:hAnsi="Times New Roman" w:cs="Times New Roman"/>
                                    <w:sz w:val="24"/>
                                    <w:szCs w:val="24"/>
                                  </w:rPr>
                                  <w:t>Phase Six IM: The End of the Beginning</w:t>
                                </w:r>
                              </w:hyperlink>
                            </w:p>
                          </w:tc>
                        </w:tr>
                        <w:tr w:rsidR="0044692B" w:rsidRPr="0044692B" w14:paraId="7BB21F9E" w14:textId="77777777">
                          <w:trPr>
                            <w:tblCellSpacing w:w="0" w:type="dxa"/>
                            <w:jc w:val="center"/>
                          </w:trPr>
                          <w:tc>
                            <w:tcPr>
                              <w:tcW w:w="0" w:type="auto"/>
                              <w:shd w:val="clear" w:color="auto" w:fill="FEF5F2"/>
                              <w:tcMar>
                                <w:top w:w="120" w:type="dxa"/>
                                <w:left w:w="120" w:type="dxa"/>
                                <w:bottom w:w="120" w:type="dxa"/>
                                <w:right w:w="120" w:type="dxa"/>
                              </w:tcMar>
                              <w:vAlign w:val="center"/>
                              <w:hideMark/>
                            </w:tcPr>
                            <w:p w14:paraId="37A623A4" w14:textId="33192022" w:rsidR="0044692B" w:rsidRPr="0044692B" w:rsidRDefault="0044692B">
                              <w:pPr>
                                <w:rPr>
                                  <w:rFonts w:ascii="Times New Roman" w:eastAsia="Times New Roman" w:hAnsi="Times New Roman" w:cs="Times New Roman"/>
                                  <w:sz w:val="24"/>
                                  <w:szCs w:val="24"/>
                                </w:rPr>
                              </w:pPr>
                              <w:r w:rsidRPr="0044692B">
                                <w:rPr>
                                  <w:rFonts w:ascii="Times New Roman" w:eastAsia="Times New Roman" w:hAnsi="Times New Roman" w:cs="Times New Roman"/>
                                  <w:sz w:val="24"/>
                                  <w:szCs w:val="24"/>
                                </w:rPr>
                                <w:t>            </w:t>
                              </w:r>
                              <w:r w:rsidRPr="0044692B">
                                <w:rPr>
                                  <w:rFonts w:ascii="Times New Roman" w:eastAsia="Times New Roman" w:hAnsi="Times New Roman" w:cs="Times New Roman"/>
                                  <w:noProof/>
                                  <w:sz w:val="24"/>
                                  <w:szCs w:val="24"/>
                                </w:rPr>
                                <w:drawing>
                                  <wp:inline distT="0" distB="0" distL="0" distR="0" wp14:anchorId="107AD17B" wp14:editId="5A0CAB6B">
                                    <wp:extent cx="476250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762500" cy="857250"/>
                                            </a:xfrm>
                                            <a:prstGeom prst="rect">
                                              <a:avLst/>
                                            </a:prstGeom>
                                            <a:noFill/>
                                            <a:ln>
                                              <a:noFill/>
                                            </a:ln>
                                          </pic:spPr>
                                        </pic:pic>
                                      </a:graphicData>
                                    </a:graphic>
                                  </wp:inline>
                                </w:drawing>
                              </w:r>
                            </w:p>
                          </w:tc>
                        </w:tr>
                        <w:tr w:rsidR="0044692B" w:rsidRPr="0044692B" w14:paraId="2AD0AB09" w14:textId="77777777">
                          <w:trPr>
                            <w:tblCellSpacing w:w="0" w:type="dxa"/>
                            <w:jc w:val="center"/>
                          </w:trPr>
                          <w:tc>
                            <w:tcPr>
                              <w:tcW w:w="0" w:type="auto"/>
                              <w:shd w:val="clear" w:color="auto" w:fill="F1F7FE"/>
                              <w:vAlign w:val="center"/>
                              <w:hideMark/>
                            </w:tcPr>
                            <w:p w14:paraId="7B73F6D1" w14:textId="77777777" w:rsidR="0044692B" w:rsidRPr="0044692B" w:rsidRDefault="0044692B">
                              <w:pPr>
                                <w:pStyle w:val="NormalWeb"/>
                                <w:jc w:val="center"/>
                                <w:rPr>
                                  <w:rFonts w:ascii="Times New Roman" w:hAnsi="Times New Roman" w:cs="Times New Roman"/>
                                  <w:sz w:val="24"/>
                                  <w:szCs w:val="24"/>
                                </w:rPr>
                              </w:pPr>
                              <w:r w:rsidRPr="0044692B">
                                <w:rPr>
                                  <w:rFonts w:ascii="Times New Roman" w:hAnsi="Times New Roman" w:cs="Times New Roman"/>
                                  <w:color w:val="09223B"/>
                                  <w:sz w:val="24"/>
                                  <w:szCs w:val="24"/>
                                </w:rPr>
                                <w:t xml:space="preserve">ISDA In Review from previous months can be found at </w:t>
                              </w:r>
                              <w:r w:rsidRPr="0044692B">
                                <w:rPr>
                                  <w:rFonts w:ascii="Times New Roman" w:hAnsi="Times New Roman" w:cs="Times New Roman"/>
                                  <w:color w:val="09223B"/>
                                  <w:sz w:val="24"/>
                                  <w:szCs w:val="24"/>
                                </w:rPr>
                                <w:br/>
                              </w:r>
                              <w:hyperlink r:id="rId34" w:tgtFrame="_blank" w:history="1">
                                <w:r w:rsidRPr="0044692B">
                                  <w:rPr>
                                    <w:rStyle w:val="Hyperlink"/>
                                    <w:rFonts w:ascii="Times New Roman" w:hAnsi="Times New Roman" w:cs="Times New Roman"/>
                                    <w:sz w:val="24"/>
                                    <w:szCs w:val="24"/>
                                  </w:rPr>
                                  <w:t>https://www.isda.org/category/news/isda-in-review/</w:t>
                                </w:r>
                              </w:hyperlink>
                            </w:p>
                          </w:tc>
                        </w:tr>
                        <w:tr w:rsidR="0044692B" w:rsidRPr="0044692B" w14:paraId="7B0E9058" w14:textId="77777777">
                          <w:trPr>
                            <w:tblCellSpacing w:w="0" w:type="dxa"/>
                            <w:jc w:val="center"/>
                          </w:trPr>
                          <w:tc>
                            <w:tcPr>
                              <w:tcW w:w="0" w:type="auto"/>
                              <w:shd w:val="clear" w:color="auto" w:fill="003A50"/>
                              <w:hideMark/>
                            </w:tcPr>
                            <w:p w14:paraId="223E3C88" w14:textId="77777777" w:rsidR="0044692B" w:rsidRPr="0044692B" w:rsidRDefault="0044692B">
                              <w:pPr>
                                <w:shd w:val="clear" w:color="auto" w:fill="C0C0C0"/>
                                <w:spacing w:line="288" w:lineRule="auto"/>
                                <w:jc w:val="center"/>
                                <w:rPr>
                                  <w:rFonts w:ascii="Times New Roman" w:hAnsi="Times New Roman" w:cs="Times New Roman"/>
                                  <w:sz w:val="24"/>
                                  <w:szCs w:val="24"/>
                                </w:rPr>
                              </w:pPr>
                              <w:r w:rsidRPr="0044692B">
                                <w:rPr>
                                  <w:rFonts w:ascii="Times New Roman" w:hAnsi="Times New Roman" w:cs="Times New Roman"/>
                                  <w:color w:val="FFFFFF"/>
                                  <w:sz w:val="24"/>
                                  <w:szCs w:val="24"/>
                                </w:rPr>
                                <w:t xml:space="preserve">Please direct comments and questions about ISDA In Review to Lauren Dobbs at </w:t>
                              </w:r>
                              <w:hyperlink r:id="rId35" w:history="1">
                                <w:r w:rsidRPr="0044692B">
                                  <w:rPr>
                                    <w:rStyle w:val="Hyperlink"/>
                                    <w:rFonts w:ascii="Times New Roman" w:hAnsi="Times New Roman" w:cs="Times New Roman"/>
                                    <w:sz w:val="24"/>
                                    <w:szCs w:val="24"/>
                                  </w:rPr>
                                  <w:t>ldobbs@isda.org</w:t>
                                </w:r>
                              </w:hyperlink>
                              <w:r w:rsidRPr="0044692B">
                                <w:rPr>
                                  <w:rFonts w:ascii="Times New Roman" w:hAnsi="Times New Roman" w:cs="Times New Roman"/>
                                  <w:color w:val="FFFFFF"/>
                                  <w:sz w:val="24"/>
                                  <w:szCs w:val="24"/>
                                </w:rPr>
                                <w:t xml:space="preserve"> </w:t>
                              </w:r>
                            </w:p>
                            <w:p w14:paraId="48A4F317" w14:textId="77777777" w:rsidR="0044692B" w:rsidRPr="0044692B" w:rsidRDefault="0044692B">
                              <w:pPr>
                                <w:spacing w:line="288" w:lineRule="auto"/>
                                <w:jc w:val="center"/>
                                <w:rPr>
                                  <w:rFonts w:ascii="Times New Roman" w:hAnsi="Times New Roman" w:cs="Times New Roman"/>
                                  <w:sz w:val="24"/>
                                  <w:szCs w:val="24"/>
                                </w:rPr>
                              </w:pPr>
                              <w:r w:rsidRPr="0044692B">
                                <w:rPr>
                                  <w:rFonts w:ascii="Times New Roman" w:hAnsi="Times New Roman" w:cs="Times New Roman"/>
                                  <w:sz w:val="24"/>
                                  <w:szCs w:val="24"/>
                                </w:rPr>
                                <w:t> </w:t>
                              </w:r>
                            </w:p>
                          </w:tc>
                        </w:tr>
                      </w:tbl>
                      <w:p w14:paraId="78C47BBF" w14:textId="77777777" w:rsidR="0044692B" w:rsidRPr="0044692B" w:rsidRDefault="0044692B">
                        <w:pPr>
                          <w:pStyle w:val="NormalWeb"/>
                          <w:rPr>
                            <w:rFonts w:ascii="Times New Roman" w:hAnsi="Times New Roman" w:cs="Times New Roman"/>
                            <w:color w:val="000000"/>
                            <w:sz w:val="24"/>
                            <w:szCs w:val="24"/>
                          </w:rPr>
                        </w:pPr>
                        <w:r w:rsidRPr="0044692B">
                          <w:rPr>
                            <w:rFonts w:ascii="Times New Roman" w:hAnsi="Times New Roman" w:cs="Times New Roman"/>
                            <w:color w:val="000000"/>
                            <w:sz w:val="24"/>
                            <w:szCs w:val="24"/>
                          </w:rPr>
                          <w:t> </w:t>
                        </w:r>
                      </w:p>
                    </w:tc>
                  </w:tr>
                </w:tbl>
                <w:p w14:paraId="4D5743F2" w14:textId="77777777" w:rsidR="0044692B" w:rsidRPr="0044692B" w:rsidRDefault="0044692B">
                  <w:pPr>
                    <w:rPr>
                      <w:rFonts w:ascii="Times New Roman" w:eastAsia="Times New Roman" w:hAnsi="Times New Roman" w:cs="Times New Roman"/>
                      <w:sz w:val="24"/>
                      <w:szCs w:val="24"/>
                    </w:rPr>
                  </w:pPr>
                </w:p>
              </w:tc>
            </w:tr>
          </w:tbl>
          <w:p w14:paraId="6B076DBD" w14:textId="77777777" w:rsidR="0044692B" w:rsidRPr="0044692B" w:rsidRDefault="0044692B">
            <w:pPr>
              <w:pStyle w:val="NormalWeb"/>
              <w:jc w:val="center"/>
              <w:rPr>
                <w:rFonts w:ascii="Times New Roman" w:hAnsi="Times New Roman" w:cs="Times New Roman"/>
                <w:sz w:val="20"/>
                <w:szCs w:val="20"/>
              </w:rPr>
            </w:pPr>
            <w:r w:rsidRPr="0044692B">
              <w:rPr>
                <w:rFonts w:ascii="Times New Roman" w:hAnsi="Times New Roman" w:cs="Times New Roman"/>
                <w:color w:val="000000"/>
                <w:sz w:val="20"/>
                <w:szCs w:val="20"/>
              </w:rPr>
              <w:lastRenderedPageBreak/>
              <w:t xml:space="preserve">ISDA, 10 East 53rd Street, 9th Floor, New York, NY 10022, Phone </w:t>
            </w:r>
            <w:r w:rsidRPr="0044692B">
              <w:rPr>
                <w:rStyle w:val="baec5a81-e4d6-4674-97f3-e9220f0136c1"/>
                <w:rFonts w:ascii="Times New Roman" w:hAnsi="Times New Roman" w:cs="Times New Roman"/>
                <w:color w:val="000000"/>
                <w:sz w:val="20"/>
                <w:szCs w:val="20"/>
              </w:rPr>
              <w:t>+1 (212) 901-6000</w:t>
            </w:r>
            <w:r w:rsidRPr="0044692B">
              <w:rPr>
                <w:rFonts w:ascii="Times New Roman" w:hAnsi="Times New Roman" w:cs="Times New Roman"/>
                <w:color w:val="000000"/>
                <w:sz w:val="20"/>
                <w:szCs w:val="20"/>
              </w:rPr>
              <w:br/>
              <w:t>®ISDA is a registered trademark of the International Swaps and Derivatives Association, Inc.</w:t>
            </w:r>
            <w:r w:rsidRPr="0044692B">
              <w:rPr>
                <w:rFonts w:ascii="Times New Roman" w:hAnsi="Times New Roman" w:cs="Times New Roman"/>
                <w:color w:val="000000"/>
                <w:sz w:val="20"/>
                <w:szCs w:val="20"/>
              </w:rPr>
              <w:br/>
              <w:t>Copyright © 2022 International Swaps and Derivatives Association, Inc.</w:t>
            </w:r>
            <w:r w:rsidRPr="0044692B">
              <w:rPr>
                <w:rFonts w:ascii="Times New Roman" w:hAnsi="Times New Roman" w:cs="Times New Roman"/>
                <w:color w:val="000000"/>
                <w:sz w:val="20"/>
                <w:szCs w:val="20"/>
              </w:rPr>
              <w:br/>
            </w:r>
            <w:hyperlink r:id="rId36" w:tgtFrame="_blank" w:history="1">
              <w:r w:rsidRPr="0044692B">
                <w:rPr>
                  <w:rStyle w:val="Hyperlink"/>
                  <w:rFonts w:ascii="Times New Roman" w:hAnsi="Times New Roman" w:cs="Times New Roman"/>
                  <w:sz w:val="20"/>
                  <w:szCs w:val="20"/>
                </w:rPr>
                <w:t xml:space="preserve">Click here </w:t>
              </w:r>
            </w:hyperlink>
            <w:r w:rsidRPr="0044692B">
              <w:rPr>
                <w:rFonts w:ascii="Times New Roman" w:hAnsi="Times New Roman" w:cs="Times New Roman"/>
                <w:color w:val="000000"/>
                <w:sz w:val="20"/>
                <w:szCs w:val="20"/>
              </w:rPr>
              <w:t xml:space="preserve">for ISDA's Privacy Policy. </w:t>
            </w:r>
          </w:p>
          <w:p w14:paraId="1709D277" w14:textId="02556D12" w:rsidR="0044692B" w:rsidRPr="0044692B" w:rsidRDefault="0044692B">
            <w:pPr>
              <w:pStyle w:val="NormalWeb"/>
              <w:jc w:val="center"/>
              <w:rPr>
                <w:rFonts w:ascii="Times New Roman" w:hAnsi="Times New Roman" w:cs="Times New Roman"/>
                <w:sz w:val="24"/>
                <w:szCs w:val="24"/>
              </w:rPr>
            </w:pPr>
          </w:p>
        </w:tc>
      </w:tr>
    </w:tbl>
    <w:p w14:paraId="0365AD76" w14:textId="77777777" w:rsidR="0044692B" w:rsidRPr="0044692B" w:rsidRDefault="0044692B" w:rsidP="0044692B">
      <w:pPr>
        <w:rPr>
          <w:rFonts w:ascii="Times New Roman" w:eastAsia="Times New Roman" w:hAnsi="Times New Roman" w:cs="Times New Roman"/>
          <w:sz w:val="24"/>
          <w:szCs w:val="24"/>
        </w:rPr>
      </w:pPr>
    </w:p>
    <w:p w14:paraId="6519D740" w14:textId="7EBCD20E" w:rsidR="0044692B" w:rsidRPr="0044692B" w:rsidRDefault="0044692B" w:rsidP="0044692B">
      <w:pPr>
        <w:rPr>
          <w:rFonts w:ascii="Times New Roman" w:eastAsia="Times New Roman" w:hAnsi="Times New Roman" w:cs="Times New Roman"/>
          <w:sz w:val="24"/>
          <w:szCs w:val="24"/>
        </w:rPr>
      </w:pPr>
      <w:r w:rsidRPr="0044692B">
        <w:rPr>
          <w:rFonts w:ascii="Times New Roman" w:eastAsia="Times New Roman" w:hAnsi="Times New Roman" w:cs="Times New Roman"/>
          <w:noProof/>
          <w:sz w:val="24"/>
          <w:szCs w:val="24"/>
        </w:rPr>
        <w:drawing>
          <wp:inline distT="0" distB="0" distL="0" distR="0" wp14:anchorId="22E3EA24" wp14:editId="169C217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p>
    <w:p w14:paraId="1C412C2A" w14:textId="77777777" w:rsidR="00C410FF" w:rsidRPr="0044692B" w:rsidRDefault="00C410FF">
      <w:pPr>
        <w:rPr>
          <w:rFonts w:ascii="Times New Roman" w:hAnsi="Times New Roman" w:cs="Times New Roman"/>
          <w:sz w:val="24"/>
          <w:szCs w:val="24"/>
        </w:rPr>
      </w:pPr>
    </w:p>
    <w:sectPr w:rsidR="00C410FF" w:rsidRPr="0044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2B"/>
    <w:rsid w:val="0043030C"/>
    <w:rsid w:val="0044692B"/>
    <w:rsid w:val="00A40427"/>
    <w:rsid w:val="00C4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97FC"/>
  <w15:chartTrackingRefBased/>
  <w15:docId w15:val="{4019ED53-9C1C-4E3D-9169-9178CCAF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92B"/>
    <w:rPr>
      <w:color w:val="0000FF"/>
      <w:u w:val="single"/>
    </w:rPr>
  </w:style>
  <w:style w:type="paragraph" w:styleId="NormalWeb">
    <w:name w:val="Normal (Web)"/>
    <w:basedOn w:val="Normal"/>
    <w:uiPriority w:val="99"/>
    <w:semiHidden/>
    <w:unhideWhenUsed/>
    <w:rsid w:val="0044692B"/>
    <w:pPr>
      <w:spacing w:before="100" w:beforeAutospacing="1" w:after="100" w:afterAutospacing="1"/>
    </w:pPr>
  </w:style>
  <w:style w:type="character" w:customStyle="1" w:styleId="baec5a81-e4d6-4674-97f3-e9220f0136c1">
    <w:name w:val="baec5a81-e4d6-4674-97f3-e9220f0136c1"/>
    <w:basedOn w:val="DefaultParagraphFont"/>
    <w:rsid w:val="0044692B"/>
  </w:style>
  <w:style w:type="character" w:styleId="Strong">
    <w:name w:val="Strong"/>
    <w:basedOn w:val="DefaultParagraphFont"/>
    <w:uiPriority w:val="22"/>
    <w:qFormat/>
    <w:rsid w:val="0044692B"/>
    <w:rPr>
      <w:b/>
      <w:bCs/>
    </w:rPr>
  </w:style>
  <w:style w:type="character" w:styleId="UnresolvedMention">
    <w:name w:val="Unresolved Mention"/>
    <w:basedOn w:val="DefaultParagraphFont"/>
    <w:uiPriority w:val="99"/>
    <w:semiHidden/>
    <w:unhideWhenUsed/>
    <w:rsid w:val="00446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isda.informz.net/isda/data/images/SwapV3%20copy.jpg" TargetMode="External"/><Relationship Id="rId18" Type="http://schemas.openxmlformats.org/officeDocument/2006/relationships/hyperlink" Target="https://protect-usb.mimecast.com/s/UAI2Cg79rnFABrOugmA9P?domain=isda.informz.net" TargetMode="External"/><Relationship Id="rId26" Type="http://schemas.openxmlformats.org/officeDocument/2006/relationships/hyperlink" Target="https://protect-usb.mimecast.com/s/y1SKCqAkGlf82DKtn8-B7?domain=isda.informz.net" TargetMode="External"/><Relationship Id="rId39" Type="http://schemas.openxmlformats.org/officeDocument/2006/relationships/fontTable" Target="fontTable.xml"/><Relationship Id="rId21" Type="http://schemas.openxmlformats.org/officeDocument/2006/relationships/hyperlink" Target="https://protect-usb.mimecast.com/s/nGSdCl89z2I2My0HoDAY-?domain=isda.informz.net" TargetMode="External"/><Relationship Id="rId34" Type="http://schemas.openxmlformats.org/officeDocument/2006/relationships/hyperlink" Target="https://protect-usb.mimecast.com/s/pP0NCzqwR7SMr3Qu4oayoQ?domain=isda.informz.net" TargetMode="External"/><Relationship Id="rId7" Type="http://schemas.openxmlformats.org/officeDocument/2006/relationships/image" Target="https://isda.informz.net/isda/data/images/ISDA%20Crypto%20Forum%202022%20NY_dailyLead%20(002).png" TargetMode="External"/><Relationship Id="rId12" Type="http://schemas.openxmlformats.org/officeDocument/2006/relationships/image" Target="media/image3.jpeg"/><Relationship Id="rId17" Type="http://schemas.openxmlformats.org/officeDocument/2006/relationships/hyperlink" Target="https://www.isda.org/a/jX3gE/The-2022-ISDA-Securities-Financing-Transactions-Definitions-Current-and-Future-Use-Cases.pdf" TargetMode="External"/><Relationship Id="rId25" Type="http://schemas.openxmlformats.org/officeDocument/2006/relationships/hyperlink" Target="https://protect-usb.mimecast.com/s/9nfqCp9jEkTnwG1cKul10?domain=isda.informz.net" TargetMode="External"/><Relationship Id="rId33" Type="http://schemas.openxmlformats.org/officeDocument/2006/relationships/image" Target="http://isda.informz.net/isda/data/images/IIR%202013-08.bmp" TargetMode="External"/><Relationship Id="rId38" Type="http://schemas.openxmlformats.org/officeDocument/2006/relationships/image" Target="http://isda.informz.net/clk/red6d.aspx?mi=8825217&amp;u=759622812&amp;b=3113" TargetMode="External"/><Relationship Id="rId2" Type="http://schemas.openxmlformats.org/officeDocument/2006/relationships/settings" Target="settings.xml"/><Relationship Id="rId16" Type="http://schemas.openxmlformats.org/officeDocument/2006/relationships/hyperlink" Target="https://www.isda.org/2022/09/30/isda-responds-to-esma-on-clearing-and-derivative-trading-obligations-in-view-of-2022-benchmark-transition-status/" TargetMode="External"/><Relationship Id="rId20" Type="http://schemas.openxmlformats.org/officeDocument/2006/relationships/hyperlink" Target="https://protect-usb.mimecast.com/s/rh0tCk60yrIOw78sOhdBC?domain=isda.informz.net" TargetMode="External"/><Relationship Id="rId29" Type="http://schemas.openxmlformats.org/officeDocument/2006/relationships/hyperlink" Target="https://www.isda.org/a/Dx3gE/Treatment-of-Instruments-with-Embedded-Derivatives.pd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isda.org/a/Dp2gE/ISDA-ICMA-and-ISLA-Appoint-FINOS-for-CDM-Repository.pdf" TargetMode="External"/><Relationship Id="rId24" Type="http://schemas.openxmlformats.org/officeDocument/2006/relationships/hyperlink" Target="https://protect-usb.mimecast.com/s/w-pfCoAgDjfrwMjSyGKcN?domain=isda.informz.net" TargetMode="External"/><Relationship Id="rId32" Type="http://schemas.openxmlformats.org/officeDocument/2006/relationships/image" Target="media/image4.png"/><Relationship Id="rId37" Type="http://schemas.openxmlformats.org/officeDocument/2006/relationships/image" Target="media/image5.gif"/><Relationship Id="rId40" Type="http://schemas.openxmlformats.org/officeDocument/2006/relationships/theme" Target="theme/theme1.xml"/><Relationship Id="rId5" Type="http://schemas.openxmlformats.org/officeDocument/2006/relationships/image" Target="http://isda.informz.net/isda/data/images/inreview_v600.png" TargetMode="External"/><Relationship Id="rId15" Type="http://schemas.openxmlformats.org/officeDocument/2006/relationships/hyperlink" Target="https://www.isda.org/2022/09/06/episode-24-credibility-in-carbon-trading/" TargetMode="External"/><Relationship Id="rId23" Type="http://schemas.openxmlformats.org/officeDocument/2006/relationships/hyperlink" Target="https://protect-usb.mimecast.com/s/yvQDCnG9Bgi7WzAcWWj-L?domain=isda.informz.net" TargetMode="External"/><Relationship Id="rId28" Type="http://schemas.openxmlformats.org/officeDocument/2006/relationships/hyperlink" Target="https://protect-usb.mimecast.com/s/CT-zCvmpN8f7lGpcQQmBfT?domain=isda.informz.net" TargetMode="External"/><Relationship Id="rId36" Type="http://schemas.openxmlformats.org/officeDocument/2006/relationships/hyperlink" Target="https://protect-usb.mimecast.com/s/EUCuCA8YwMINRgLtGMLFZ1?domain=isda.informz.net" TargetMode="External"/><Relationship Id="rId10" Type="http://schemas.openxmlformats.org/officeDocument/2006/relationships/hyperlink" Target="https://www.isda.org/2022/09/09/statement-on-the-death-of-hm-queen-elizabeth-ii/" TargetMode="External"/><Relationship Id="rId19" Type="http://schemas.openxmlformats.org/officeDocument/2006/relationships/hyperlink" Target="https://protect-usb.mimecast.com/s/l787CjA9x0fnO2Kc0a4Yf?domain=isda.informz.net" TargetMode="External"/><Relationship Id="rId31" Type="http://schemas.openxmlformats.org/officeDocument/2006/relationships/hyperlink" Target="https://protect-usb.mimecast.com/s/N5w5Cypv09Ir4gqSZR3LUt?domain=isda.informz.net" TargetMode="External"/><Relationship Id="rId4" Type="http://schemas.openxmlformats.org/officeDocument/2006/relationships/image" Target="media/image1.png"/><Relationship Id="rId9" Type="http://schemas.openxmlformats.org/officeDocument/2006/relationships/hyperlink" Target="https://www.isda.org/a/Sn3gE/ISDA-Teams-Up-with-Imperial-College-Business-School-for-Executive-Education.pdf" TargetMode="External"/><Relationship Id="rId14" Type="http://schemas.openxmlformats.org/officeDocument/2006/relationships/hyperlink" Target="https://www.isda.org/2022/09/08/episode-25-outlook-for-global-energy-prices/" TargetMode="External"/><Relationship Id="rId22" Type="http://schemas.openxmlformats.org/officeDocument/2006/relationships/hyperlink" Target="https://protect-usb.mimecast.com/s/aDI9Cm79AYFjMZBIyswmh?domain=isda.informz.net" TargetMode="External"/><Relationship Id="rId27" Type="http://schemas.openxmlformats.org/officeDocument/2006/relationships/hyperlink" Target="https://protect-usb.mimecast.com/s/j8dcCrglJmc8mpPt7KvZ6I?domain=isda.informz.net" TargetMode="External"/><Relationship Id="rId30" Type="http://schemas.openxmlformats.org/officeDocument/2006/relationships/hyperlink" Target="https://protect-usb.mimecast.com/s/8FHiCxorP2T1Xynu8YjYTY?domain=isda.informz.net" TargetMode="External"/><Relationship Id="rId35" Type="http://schemas.openxmlformats.org/officeDocument/2006/relationships/hyperlink" Target="mailto:ldobbs@isda.org" TargetMode="External"/><Relationship Id="rId8" Type="http://schemas.openxmlformats.org/officeDocument/2006/relationships/hyperlink" Target="https://protect-usb.mimecast.com/s/mTrHC3Yx4yUp4w6Cmxmnm?domain=isda.informz.ne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Springer</dc:creator>
  <cp:keywords/>
  <dc:description/>
  <cp:lastModifiedBy>Lauren Springer</cp:lastModifiedBy>
  <cp:revision>1</cp:revision>
  <dcterms:created xsi:type="dcterms:W3CDTF">2022-10-03T13:39:00Z</dcterms:created>
  <dcterms:modified xsi:type="dcterms:W3CDTF">2022-10-03T13:52:00Z</dcterms:modified>
</cp:coreProperties>
</file>