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B03" w:rsidRDefault="004F6080">
      <w:pPr>
        <w:rPr>
          <w:noProof/>
        </w:rPr>
      </w:pPr>
      <w:r>
        <w:rPr>
          <w:noProof/>
        </w:rPr>
        <w:drawing>
          <wp:inline distT="0" distB="0" distL="0" distR="0">
            <wp:extent cx="1722120" cy="426720"/>
            <wp:effectExtent l="1905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1722120" cy="426720"/>
                    </a:xfrm>
                    <a:prstGeom prst="rect">
                      <a:avLst/>
                    </a:prstGeom>
                    <a:noFill/>
                    <a:ln w="9525">
                      <a:noFill/>
                      <a:miter lim="800000"/>
                      <a:headEnd/>
                      <a:tailEnd/>
                    </a:ln>
                  </pic:spPr>
                </pic:pic>
              </a:graphicData>
            </a:graphic>
          </wp:inline>
        </w:drawing>
      </w:r>
    </w:p>
    <w:p w:rsidR="004F6080" w:rsidRDefault="004F6080">
      <w:pPr>
        <w:rPr>
          <w:noProof/>
        </w:rPr>
      </w:pPr>
    </w:p>
    <w:p w:rsidR="004F6080" w:rsidRPr="004F6080" w:rsidRDefault="004F6080" w:rsidP="004F6080">
      <w:pPr>
        <w:autoSpaceDE w:val="0"/>
        <w:autoSpaceDN w:val="0"/>
        <w:adjustRightInd w:val="0"/>
        <w:contextualSpacing/>
        <w:rPr>
          <w:rFonts w:ascii="Times New Roman" w:hAnsi="Times New Roman"/>
          <w:b/>
          <w:bCs/>
          <w:sz w:val="24"/>
          <w:szCs w:val="24"/>
        </w:rPr>
      </w:pPr>
      <w:r w:rsidRPr="004F6080">
        <w:rPr>
          <w:rFonts w:ascii="Times New Roman" w:hAnsi="Times New Roman"/>
          <w:b/>
          <w:bCs/>
          <w:sz w:val="24"/>
          <w:szCs w:val="24"/>
        </w:rPr>
        <w:t>MARKET PRACTICE STATEMENT FOR VARIANCE SWAP</w:t>
      </w:r>
    </w:p>
    <w:p w:rsidR="004F6080" w:rsidRPr="004F6080" w:rsidRDefault="004F6080" w:rsidP="004F6080">
      <w:pPr>
        <w:autoSpaceDE w:val="0"/>
        <w:autoSpaceDN w:val="0"/>
        <w:adjustRightInd w:val="0"/>
        <w:contextualSpacing/>
        <w:rPr>
          <w:rFonts w:ascii="Times New Roman" w:hAnsi="Times New Roman"/>
          <w:b/>
          <w:bCs/>
          <w:sz w:val="24"/>
          <w:szCs w:val="24"/>
        </w:rPr>
      </w:pPr>
      <w:r w:rsidRPr="004F6080">
        <w:rPr>
          <w:rFonts w:ascii="Times New Roman" w:hAnsi="Times New Roman"/>
          <w:b/>
          <w:bCs/>
          <w:sz w:val="24"/>
          <w:szCs w:val="24"/>
        </w:rPr>
        <w:t>TRANSACTIONS INVOLVING U.S. SHARES REGARDING WHEN</w:t>
      </w:r>
    </w:p>
    <w:p w:rsidR="004F6080" w:rsidRPr="004F6080" w:rsidRDefault="004F6080" w:rsidP="004F6080">
      <w:pPr>
        <w:autoSpaceDE w:val="0"/>
        <w:autoSpaceDN w:val="0"/>
        <w:adjustRightInd w:val="0"/>
        <w:contextualSpacing/>
        <w:rPr>
          <w:rFonts w:ascii="Times New Roman" w:hAnsi="Times New Roman"/>
          <w:b/>
          <w:bCs/>
          <w:sz w:val="24"/>
          <w:szCs w:val="24"/>
        </w:rPr>
      </w:pPr>
      <w:r w:rsidRPr="004F6080">
        <w:rPr>
          <w:rFonts w:ascii="Times New Roman" w:hAnsi="Times New Roman"/>
          <w:b/>
          <w:bCs/>
          <w:sz w:val="24"/>
          <w:szCs w:val="24"/>
        </w:rPr>
        <w:t>PRICE LIMITATIONS WOULD CONSTITUTE A</w:t>
      </w:r>
    </w:p>
    <w:p w:rsidR="004F6080" w:rsidRPr="004F6080" w:rsidRDefault="004F6080" w:rsidP="004F6080">
      <w:pPr>
        <w:contextualSpacing/>
        <w:rPr>
          <w:rFonts w:ascii="Times New Roman" w:hAnsi="Times New Roman"/>
          <w:sz w:val="24"/>
          <w:szCs w:val="24"/>
        </w:rPr>
      </w:pPr>
      <w:r w:rsidRPr="004F6080">
        <w:rPr>
          <w:rFonts w:ascii="Times New Roman" w:hAnsi="Times New Roman"/>
          <w:b/>
          <w:bCs/>
          <w:sz w:val="24"/>
          <w:szCs w:val="24"/>
        </w:rPr>
        <w:t>MARKET DISRUPTION EVENT DUE TO A TRADING DISRUPTION</w:t>
      </w:r>
    </w:p>
    <w:p w:rsidR="004F6080" w:rsidRDefault="004F6080" w:rsidP="004F6080">
      <w:pPr>
        <w:contextualSpacing/>
        <w:jc w:val="both"/>
        <w:rPr>
          <w:rFonts w:ascii="Times New Roman" w:hAnsi="Times New Roman"/>
          <w:sz w:val="24"/>
          <w:szCs w:val="24"/>
        </w:rPr>
      </w:pPr>
    </w:p>
    <w:p w:rsidR="004F6080" w:rsidRPr="004F6080" w:rsidRDefault="004F6080" w:rsidP="004F6080">
      <w:pPr>
        <w:contextualSpacing/>
        <w:jc w:val="both"/>
        <w:rPr>
          <w:rFonts w:ascii="Times New Roman" w:hAnsi="Times New Roman"/>
          <w:sz w:val="24"/>
          <w:szCs w:val="24"/>
        </w:rPr>
      </w:pPr>
      <w:r w:rsidRPr="004F6080">
        <w:rPr>
          <w:rFonts w:ascii="Times New Roman" w:hAnsi="Times New Roman"/>
          <w:sz w:val="24"/>
          <w:szCs w:val="24"/>
        </w:rPr>
        <w:t>Re:  U.S. --Short Sale Related Circuit Breaker--Regulation SHO Rule 201</w:t>
      </w:r>
    </w:p>
    <w:p w:rsidR="004F6080" w:rsidRPr="004F6080" w:rsidRDefault="004F6080" w:rsidP="004F6080">
      <w:pPr>
        <w:contextualSpacing/>
        <w:jc w:val="both"/>
        <w:rPr>
          <w:rFonts w:ascii="Times New Roman" w:hAnsi="Times New Roman"/>
          <w:sz w:val="24"/>
          <w:szCs w:val="24"/>
        </w:rPr>
      </w:pPr>
      <w:r w:rsidRPr="004F6080">
        <w:rPr>
          <w:rFonts w:ascii="Times New Roman" w:hAnsi="Times New Roman"/>
          <w:sz w:val="24"/>
          <w:szCs w:val="24"/>
        </w:rPr>
        <w:t xml:space="preserve">April </w:t>
      </w:r>
      <w:r>
        <w:rPr>
          <w:rFonts w:ascii="Times New Roman" w:hAnsi="Times New Roman"/>
          <w:sz w:val="24"/>
          <w:szCs w:val="24"/>
        </w:rPr>
        <w:t>5</w:t>
      </w:r>
      <w:r w:rsidRPr="004F6080">
        <w:rPr>
          <w:rFonts w:ascii="Times New Roman" w:hAnsi="Times New Roman"/>
          <w:sz w:val="24"/>
          <w:szCs w:val="24"/>
        </w:rPr>
        <w:t>,  2011</w:t>
      </w:r>
    </w:p>
    <w:p w:rsidR="004F6080" w:rsidRPr="004F6080" w:rsidRDefault="004F6080" w:rsidP="004F6080">
      <w:pPr>
        <w:jc w:val="both"/>
        <w:rPr>
          <w:rFonts w:ascii="Times New Roman" w:hAnsi="Times New Roman"/>
          <w:sz w:val="24"/>
          <w:szCs w:val="24"/>
        </w:rPr>
      </w:pPr>
    </w:p>
    <w:p w:rsidR="004F6080" w:rsidRPr="004F6080" w:rsidRDefault="004F6080" w:rsidP="004F6080">
      <w:pPr>
        <w:autoSpaceDE w:val="0"/>
        <w:autoSpaceDN w:val="0"/>
        <w:adjustRightInd w:val="0"/>
        <w:jc w:val="both"/>
        <w:rPr>
          <w:rFonts w:ascii="Times New Roman" w:hAnsi="Times New Roman"/>
          <w:sz w:val="24"/>
          <w:szCs w:val="24"/>
        </w:rPr>
      </w:pPr>
      <w:r w:rsidRPr="004F6080">
        <w:rPr>
          <w:rFonts w:ascii="Times New Roman" w:hAnsi="Times New Roman"/>
          <w:sz w:val="24"/>
          <w:szCs w:val="24"/>
        </w:rPr>
        <w:t>The International Swaps &amp; Derivatives Association, Inc. (“</w:t>
      </w:r>
      <w:r w:rsidRPr="004F6080">
        <w:rPr>
          <w:rFonts w:ascii="Times New Roman" w:hAnsi="Times New Roman"/>
          <w:bCs/>
          <w:sz w:val="24"/>
          <w:szCs w:val="24"/>
        </w:rPr>
        <w:t>ISDA</w:t>
      </w:r>
      <w:r w:rsidRPr="004F6080">
        <w:rPr>
          <w:rFonts w:ascii="Times New Roman" w:hAnsi="Times New Roman"/>
          <w:sz w:val="24"/>
          <w:szCs w:val="24"/>
        </w:rPr>
        <w:t>”) today announced a market practice statement in regard to short sale price limitations triggered under Regulation SHO Rule 201 for U.S. share and index variance swaps (“</w:t>
      </w:r>
      <w:r w:rsidRPr="004F6080">
        <w:rPr>
          <w:rFonts w:ascii="Times New Roman" w:hAnsi="Times New Roman"/>
          <w:bCs/>
          <w:sz w:val="24"/>
          <w:szCs w:val="24"/>
        </w:rPr>
        <w:t>U.S. Variance Swaps</w:t>
      </w:r>
      <w:r w:rsidRPr="004F6080">
        <w:rPr>
          <w:rFonts w:ascii="Times New Roman" w:hAnsi="Times New Roman"/>
          <w:sz w:val="24"/>
          <w:szCs w:val="24"/>
        </w:rPr>
        <w:t>”).</w:t>
      </w:r>
    </w:p>
    <w:p w:rsidR="004F6080" w:rsidRPr="004F6080" w:rsidRDefault="004F6080" w:rsidP="004F6080">
      <w:pPr>
        <w:autoSpaceDE w:val="0"/>
        <w:autoSpaceDN w:val="0"/>
        <w:adjustRightInd w:val="0"/>
        <w:contextualSpacing/>
        <w:jc w:val="both"/>
        <w:rPr>
          <w:rFonts w:ascii="Times New Roman" w:hAnsi="Times New Roman"/>
          <w:sz w:val="24"/>
          <w:szCs w:val="24"/>
        </w:rPr>
      </w:pPr>
      <w:r w:rsidRPr="004F6080">
        <w:rPr>
          <w:rFonts w:ascii="Times New Roman" w:hAnsi="Times New Roman"/>
          <w:sz w:val="24"/>
          <w:szCs w:val="24"/>
        </w:rPr>
        <w:t xml:space="preserve">In the interest of promoting the orderly valuation and settlement of U.S. </w:t>
      </w:r>
    </w:p>
    <w:p w:rsidR="004F6080" w:rsidRPr="004F6080" w:rsidRDefault="004F6080" w:rsidP="004F6080">
      <w:pPr>
        <w:autoSpaceDE w:val="0"/>
        <w:autoSpaceDN w:val="0"/>
        <w:adjustRightInd w:val="0"/>
        <w:contextualSpacing/>
        <w:jc w:val="both"/>
        <w:rPr>
          <w:rFonts w:ascii="Times New Roman" w:hAnsi="Times New Roman"/>
          <w:sz w:val="24"/>
          <w:szCs w:val="24"/>
        </w:rPr>
      </w:pPr>
      <w:r w:rsidRPr="004F6080">
        <w:rPr>
          <w:rFonts w:ascii="Times New Roman" w:hAnsi="Times New Roman"/>
          <w:sz w:val="24"/>
          <w:szCs w:val="24"/>
        </w:rPr>
        <w:t>Variance Swaps, ISDA strongly urges all participants to apply the guidance set out in</w:t>
      </w:r>
    </w:p>
    <w:p w:rsidR="004F6080" w:rsidRPr="004F6080" w:rsidRDefault="004F6080" w:rsidP="004F6080">
      <w:pPr>
        <w:autoSpaceDE w:val="0"/>
        <w:autoSpaceDN w:val="0"/>
        <w:adjustRightInd w:val="0"/>
        <w:contextualSpacing/>
        <w:jc w:val="both"/>
        <w:rPr>
          <w:rFonts w:ascii="Times New Roman" w:hAnsi="Times New Roman"/>
          <w:sz w:val="24"/>
          <w:szCs w:val="24"/>
        </w:rPr>
      </w:pPr>
      <w:r w:rsidRPr="004F6080">
        <w:rPr>
          <w:rFonts w:ascii="Times New Roman" w:hAnsi="Times New Roman"/>
          <w:sz w:val="24"/>
          <w:szCs w:val="24"/>
        </w:rPr>
        <w:t>this Statement to all U.S. Variance Swaps in respect of events occurring on or after February 28, 2011.</w:t>
      </w:r>
    </w:p>
    <w:p w:rsidR="004F6080" w:rsidRDefault="004F6080" w:rsidP="004F6080">
      <w:pPr>
        <w:autoSpaceDE w:val="0"/>
        <w:autoSpaceDN w:val="0"/>
        <w:adjustRightInd w:val="0"/>
        <w:contextualSpacing/>
        <w:jc w:val="both"/>
        <w:rPr>
          <w:rFonts w:ascii="Times New Roman" w:hAnsi="Times New Roman"/>
          <w:b/>
          <w:bCs/>
          <w:sz w:val="24"/>
          <w:szCs w:val="24"/>
        </w:rPr>
      </w:pPr>
    </w:p>
    <w:p w:rsidR="004F6080" w:rsidRDefault="004F6080" w:rsidP="004F6080">
      <w:pPr>
        <w:autoSpaceDE w:val="0"/>
        <w:autoSpaceDN w:val="0"/>
        <w:adjustRightInd w:val="0"/>
        <w:contextualSpacing/>
        <w:jc w:val="both"/>
        <w:rPr>
          <w:rFonts w:ascii="Times New Roman" w:hAnsi="Times New Roman"/>
          <w:b/>
          <w:bCs/>
          <w:sz w:val="24"/>
          <w:szCs w:val="24"/>
        </w:rPr>
      </w:pPr>
      <w:r w:rsidRPr="004F6080">
        <w:rPr>
          <w:rFonts w:ascii="Times New Roman" w:hAnsi="Times New Roman"/>
          <w:b/>
          <w:bCs/>
          <w:sz w:val="24"/>
          <w:szCs w:val="24"/>
        </w:rPr>
        <w:t>Statement:</w:t>
      </w:r>
    </w:p>
    <w:p w:rsidR="004F6080" w:rsidRPr="004F6080" w:rsidRDefault="004F6080" w:rsidP="004F6080">
      <w:pPr>
        <w:autoSpaceDE w:val="0"/>
        <w:autoSpaceDN w:val="0"/>
        <w:adjustRightInd w:val="0"/>
        <w:contextualSpacing/>
        <w:jc w:val="both"/>
        <w:rPr>
          <w:rFonts w:ascii="Times New Roman" w:hAnsi="Times New Roman"/>
          <w:b/>
          <w:bCs/>
          <w:sz w:val="24"/>
          <w:szCs w:val="24"/>
        </w:rPr>
      </w:pPr>
      <w:r w:rsidRPr="004F6080">
        <w:rPr>
          <w:rFonts w:ascii="Times New Roman" w:hAnsi="Times New Roman"/>
          <w:b/>
          <w:sz w:val="24"/>
          <w:szCs w:val="24"/>
        </w:rPr>
        <w:t xml:space="preserve">With regard to any U.S. Share Variance Swap regardless of whether entered into on, prior to, or after the date hereof but only in respect of events occurring on or after February 28, 2011 and only insofar as short sale price limitations triggered under Regulation SHO Rule 201 are concerned, it will not be considered a Market Disruption Event in respect of the Observation Start Date or any Observation Day which is on or after February 28, 2011, due to the occurrence of a short sale price restriction on the Share for such U.S. Share Variance Swap </w:t>
      </w:r>
      <w:r w:rsidRPr="004F6080">
        <w:rPr>
          <w:rFonts w:ascii="Times New Roman" w:hAnsi="Times New Roman"/>
          <w:b/>
          <w:bCs/>
          <w:sz w:val="24"/>
          <w:szCs w:val="24"/>
        </w:rPr>
        <w:t>on the applicable Exchange.</w:t>
      </w:r>
      <w:r w:rsidRPr="004F6080">
        <w:rPr>
          <w:rFonts w:ascii="Times New Roman" w:hAnsi="Times New Roman"/>
          <w:sz w:val="24"/>
          <w:szCs w:val="24"/>
        </w:rPr>
        <w:t xml:space="preserve"> </w:t>
      </w:r>
    </w:p>
    <w:p w:rsidR="004F6080" w:rsidRDefault="004F6080" w:rsidP="004F6080">
      <w:pPr>
        <w:autoSpaceDE w:val="0"/>
        <w:autoSpaceDN w:val="0"/>
        <w:jc w:val="both"/>
        <w:rPr>
          <w:rFonts w:ascii="Times New Roman" w:hAnsi="Times New Roman"/>
          <w:b/>
          <w:bCs/>
          <w:sz w:val="24"/>
          <w:szCs w:val="24"/>
        </w:rPr>
      </w:pPr>
    </w:p>
    <w:p w:rsidR="004F6080" w:rsidRPr="004F6080" w:rsidRDefault="004F6080" w:rsidP="004F6080">
      <w:pPr>
        <w:autoSpaceDE w:val="0"/>
        <w:autoSpaceDN w:val="0"/>
        <w:jc w:val="both"/>
        <w:rPr>
          <w:rFonts w:ascii="Times New Roman" w:hAnsi="Times New Roman"/>
          <w:sz w:val="24"/>
          <w:szCs w:val="24"/>
        </w:rPr>
      </w:pPr>
      <w:r w:rsidRPr="004F6080">
        <w:rPr>
          <w:rFonts w:ascii="Times New Roman" w:hAnsi="Times New Roman"/>
          <w:b/>
          <w:bCs/>
          <w:sz w:val="24"/>
          <w:szCs w:val="24"/>
        </w:rPr>
        <w:t xml:space="preserve">With regard to any U.S. Index Variance Swap, regardless of whether entered into on, prior to, or after, the date hereof </w:t>
      </w:r>
      <w:r w:rsidRPr="004F6080">
        <w:rPr>
          <w:rFonts w:ascii="Times New Roman" w:hAnsi="Times New Roman"/>
          <w:b/>
          <w:sz w:val="24"/>
          <w:szCs w:val="24"/>
        </w:rPr>
        <w:t>but only in respect of events occurring on or after February 28, 2011 and only insofar as short sale price limitations triggered under Regulation SHO Rule 201 are concerned</w:t>
      </w:r>
      <w:r w:rsidRPr="004F6080">
        <w:rPr>
          <w:rFonts w:ascii="Times New Roman" w:hAnsi="Times New Roman"/>
          <w:b/>
          <w:bCs/>
          <w:sz w:val="24"/>
          <w:szCs w:val="24"/>
        </w:rPr>
        <w:t xml:space="preserve"> it will not be considered a Market Disruption Event in respect of the Observation Start Date or any Observation Day which is on or after February 28, 2011, </w:t>
      </w:r>
      <w:r w:rsidRPr="004F6080">
        <w:rPr>
          <w:rFonts w:ascii="Times New Roman" w:hAnsi="Times New Roman"/>
          <w:b/>
          <w:bCs/>
          <w:sz w:val="24"/>
          <w:szCs w:val="24"/>
        </w:rPr>
        <w:lastRenderedPageBreak/>
        <w:t>due to the occurrence of a short sale price restriction for any shares which comprise the Index for such Swap on any one or more of the Exchanges for such Swap.</w:t>
      </w:r>
      <w:r w:rsidRPr="004F6080">
        <w:rPr>
          <w:rFonts w:ascii="Times New Roman" w:hAnsi="Times New Roman"/>
          <w:sz w:val="24"/>
          <w:szCs w:val="24"/>
        </w:rPr>
        <w:t xml:space="preserve"> </w:t>
      </w:r>
    </w:p>
    <w:p w:rsidR="004F6080" w:rsidRPr="004F6080" w:rsidRDefault="004F6080" w:rsidP="004F6080">
      <w:pPr>
        <w:jc w:val="both"/>
        <w:rPr>
          <w:rFonts w:ascii="Times New Roman" w:hAnsi="Times New Roman"/>
          <w:b/>
          <w:sz w:val="24"/>
          <w:szCs w:val="24"/>
        </w:rPr>
      </w:pPr>
      <w:r w:rsidRPr="004F6080">
        <w:rPr>
          <w:rFonts w:ascii="Times New Roman" w:hAnsi="Times New Roman"/>
          <w:b/>
          <w:sz w:val="24"/>
          <w:szCs w:val="24"/>
        </w:rPr>
        <w:t xml:space="preserve">The Market Practice Statement provides certain market consensus reached among market  participants polled by ISDA and is not meant to be binding in any way. As with all market information and guidance that ISDA disseminates, parties are free to choose alternate means of addressing the event. Each member remains responsible for considering its own documentation and the specific terms of its own trades and forming its own conclusion on the proper interpretation of events. </w:t>
      </w:r>
    </w:p>
    <w:p w:rsidR="004F6080" w:rsidRPr="004F6080" w:rsidRDefault="004F6080" w:rsidP="004F6080">
      <w:pPr>
        <w:jc w:val="both"/>
        <w:rPr>
          <w:rFonts w:ascii="Times New Roman" w:hAnsi="Times New Roman"/>
          <w:sz w:val="24"/>
          <w:szCs w:val="24"/>
        </w:rPr>
      </w:pPr>
      <w:r w:rsidRPr="004F6080">
        <w:rPr>
          <w:rFonts w:ascii="Times New Roman" w:hAnsi="Times New Roman"/>
          <w:b/>
          <w:sz w:val="24"/>
          <w:szCs w:val="24"/>
        </w:rPr>
        <w:t xml:space="preserve">Background:  </w:t>
      </w:r>
      <w:r w:rsidRPr="004F6080">
        <w:rPr>
          <w:rFonts w:ascii="Times New Roman" w:hAnsi="Times New Roman"/>
          <w:sz w:val="24"/>
          <w:szCs w:val="24"/>
        </w:rPr>
        <w:t>On February 26, 2010, the SEC  adopted Rule 201 of Regulation SHO. Rule 201 restricts the price at which short sales may be effected when a stock has experienced significant downward price pressure. Rule 201 became effective on May 10, 2010. (Securities Exchange Act Release No. 61595 (Feb. 26, 2010), 75 FR 11232 (Mar. 10, 2010) and compliance with the new rule is required as of February 28, 2011.</w:t>
      </w:r>
    </w:p>
    <w:p w:rsidR="004F6080" w:rsidRPr="004F6080" w:rsidRDefault="004F6080" w:rsidP="004F6080">
      <w:pPr>
        <w:jc w:val="both"/>
        <w:rPr>
          <w:rFonts w:ascii="Times New Roman" w:hAnsi="Times New Roman"/>
          <w:sz w:val="24"/>
          <w:szCs w:val="24"/>
        </w:rPr>
      </w:pPr>
      <w:r w:rsidRPr="004F6080">
        <w:rPr>
          <w:rFonts w:ascii="Times New Roman" w:hAnsi="Times New Roman"/>
          <w:sz w:val="24"/>
          <w:szCs w:val="24"/>
        </w:rPr>
        <w:t>Among other things, Rule 201 requires that a trading center establish, maintain, and enforce written policies and procedures reasonably designed to prevent the execution or display of a short sale order of a covered security at a price that is less than or equal to the current National Best Bid if the price of that covered security decreases by 10% or more from the covered security’s closing price as of the end of regular trading hours on the prior day. Once the circuit breaker in Rule 201 has been triggered, you must execute short positions above the current National Best Bid price.  This restriction will remain in place for the remainder of the day triggered and the following day, unless an exception applies.</w:t>
      </w:r>
    </w:p>
    <w:p w:rsidR="004F6080" w:rsidRPr="004F6080" w:rsidRDefault="004F6080" w:rsidP="004F6080">
      <w:pPr>
        <w:jc w:val="both"/>
        <w:rPr>
          <w:rFonts w:ascii="Times New Roman" w:hAnsi="Times New Roman"/>
          <w:sz w:val="24"/>
          <w:szCs w:val="24"/>
        </w:rPr>
      </w:pPr>
    </w:p>
    <w:p w:rsidR="004F6080" w:rsidRPr="004F6080" w:rsidRDefault="004F6080" w:rsidP="004F6080">
      <w:pPr>
        <w:jc w:val="both"/>
        <w:rPr>
          <w:rFonts w:ascii="Times New Roman" w:hAnsi="Times New Roman"/>
          <w:sz w:val="24"/>
          <w:szCs w:val="24"/>
        </w:rPr>
      </w:pPr>
      <w:r w:rsidRPr="004F6080">
        <w:rPr>
          <w:rFonts w:ascii="Times New Roman" w:hAnsi="Times New Roman"/>
          <w:sz w:val="24"/>
          <w:szCs w:val="24"/>
        </w:rPr>
        <w:t>For more information please see:</w:t>
      </w:r>
    </w:p>
    <w:p w:rsidR="004F6080" w:rsidRPr="004F6080" w:rsidRDefault="004F6080" w:rsidP="004F6080">
      <w:pPr>
        <w:rPr>
          <w:rFonts w:ascii="Times New Roman" w:hAnsi="Times New Roman"/>
          <w:sz w:val="24"/>
          <w:szCs w:val="24"/>
        </w:rPr>
      </w:pPr>
      <w:r w:rsidRPr="004F6080">
        <w:rPr>
          <w:rFonts w:ascii="Times New Roman" w:hAnsi="Times New Roman"/>
          <w:sz w:val="24"/>
          <w:szCs w:val="24"/>
        </w:rPr>
        <w:t> </w:t>
      </w:r>
      <w:r w:rsidRPr="004F6080">
        <w:rPr>
          <w:rStyle w:val="HTMLCite"/>
          <w:rFonts w:ascii="Times New Roman" w:hAnsi="Times New Roman"/>
          <w:sz w:val="24"/>
          <w:szCs w:val="24"/>
        </w:rPr>
        <w:t xml:space="preserve">SEC Rule Release:  </w:t>
      </w:r>
      <w:hyperlink r:id="rId7" w:tooltip="http://www.sec.gov/rules/final/2010/34-61595.pdf" w:history="1">
        <w:r w:rsidRPr="004F6080">
          <w:rPr>
            <w:rStyle w:val="Hyperlink"/>
            <w:rFonts w:ascii="Times New Roman" w:hAnsi="Times New Roman"/>
            <w:i/>
            <w:iCs/>
            <w:sz w:val="24"/>
            <w:szCs w:val="24"/>
          </w:rPr>
          <w:t>http://www.sec.gov/rules/final/2010/34-61595.pdf</w:t>
        </w:r>
      </w:hyperlink>
    </w:p>
    <w:p w:rsidR="004F6080" w:rsidRPr="004F6080" w:rsidRDefault="004F6080" w:rsidP="004F6080">
      <w:pPr>
        <w:rPr>
          <w:rFonts w:ascii="Times New Roman" w:hAnsi="Times New Roman"/>
          <w:sz w:val="24"/>
          <w:szCs w:val="24"/>
        </w:rPr>
      </w:pPr>
      <w:r w:rsidRPr="004F6080">
        <w:rPr>
          <w:rFonts w:ascii="Times New Roman" w:hAnsi="Times New Roman"/>
          <w:sz w:val="24"/>
          <w:szCs w:val="24"/>
        </w:rPr>
        <w:t> </w:t>
      </w:r>
      <w:r w:rsidRPr="004F6080">
        <w:rPr>
          <w:rStyle w:val="HTMLCite"/>
          <w:rFonts w:ascii="Times New Roman" w:hAnsi="Times New Roman"/>
          <w:sz w:val="24"/>
          <w:szCs w:val="24"/>
        </w:rPr>
        <w:t xml:space="preserve">SEC FAQs:   </w:t>
      </w:r>
      <w:hyperlink r:id="rId8" w:tooltip="http://www.sec.gov/divisions/marketreg/rule201faq.htm" w:history="1">
        <w:r w:rsidRPr="004F6080">
          <w:rPr>
            <w:rStyle w:val="Emphasis"/>
            <w:rFonts w:ascii="Times New Roman" w:hAnsi="Times New Roman"/>
            <w:sz w:val="24"/>
            <w:szCs w:val="24"/>
            <w:u w:val="single"/>
          </w:rPr>
          <w:t>http://www.sec.gov/divisions/marketreg/rule201faq.htm</w:t>
        </w:r>
      </w:hyperlink>
    </w:p>
    <w:p w:rsidR="004F6080" w:rsidRPr="004F6080" w:rsidRDefault="004F6080" w:rsidP="004F6080">
      <w:pPr>
        <w:jc w:val="both"/>
        <w:rPr>
          <w:rFonts w:ascii="Times New Roman" w:hAnsi="Times New Roman"/>
          <w:sz w:val="24"/>
          <w:szCs w:val="24"/>
        </w:rPr>
      </w:pPr>
    </w:p>
    <w:p w:rsidR="004F6080" w:rsidRPr="004F6080" w:rsidRDefault="004F6080">
      <w:pPr>
        <w:rPr>
          <w:rFonts w:ascii="Times New Roman" w:hAnsi="Times New Roman"/>
          <w:sz w:val="24"/>
          <w:szCs w:val="24"/>
        </w:rPr>
      </w:pPr>
    </w:p>
    <w:p w:rsidR="004F6080" w:rsidRPr="004F6080" w:rsidRDefault="004F6080">
      <w:pPr>
        <w:rPr>
          <w:rFonts w:ascii="Times New Roman" w:hAnsi="Times New Roman"/>
          <w:sz w:val="24"/>
          <w:szCs w:val="24"/>
        </w:rPr>
      </w:pPr>
    </w:p>
    <w:sectPr w:rsidR="004F6080" w:rsidRPr="004F6080" w:rsidSect="00F77B03">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080" w:rsidRDefault="004F6080" w:rsidP="00DC7D62">
      <w:pPr>
        <w:spacing w:after="0" w:line="240" w:lineRule="auto"/>
      </w:pPr>
      <w:r>
        <w:separator/>
      </w:r>
    </w:p>
  </w:endnote>
  <w:endnote w:type="continuationSeparator" w:id="0">
    <w:p w:rsidR="004F6080" w:rsidRDefault="004F6080" w:rsidP="00DC7D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Janson Text LT Std">
    <w:panose1 w:val="00000000000000000000"/>
    <w:charset w:val="00"/>
    <w:family w:val="roman"/>
    <w:notTrueType/>
    <w:pitch w:val="variable"/>
    <w:sig w:usb0="00000003" w:usb1="00000000" w:usb2="00000000" w:usb3="00000000" w:csb0="00000001" w:csb1="00000000"/>
  </w:font>
  <w:font w:name="Trade Gothic LT Std">
    <w:panose1 w:val="00000000000000000000"/>
    <w:charset w:val="00"/>
    <w:family w:val="swiss"/>
    <w:notTrueType/>
    <w:pitch w:val="variable"/>
    <w:sig w:usb0="00000003" w:usb1="00000000" w:usb2="00000000" w:usb3="00000000" w:csb0="00000001" w:csb1="00000000"/>
  </w:font>
  <w:font w:name="TradeGothic-Gri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D62" w:rsidRPr="00647F65" w:rsidRDefault="00DC7D62" w:rsidP="00DC7D62">
    <w:pPr>
      <w:pStyle w:val="Footer"/>
      <w:spacing w:after="20"/>
      <w:rPr>
        <w:rFonts w:ascii="Janson Text LT Std" w:hAnsi="Janson Text LT Std"/>
        <w:b/>
        <w:sz w:val="17"/>
        <w:szCs w:val="17"/>
      </w:rPr>
    </w:pPr>
    <w:r>
      <w:rPr>
        <w:rFonts w:ascii="Janson Text LT Std" w:hAnsi="Janson Text LT Std"/>
        <w:b/>
        <w:noProof/>
        <w:sz w:val="17"/>
        <w:szCs w:val="17"/>
      </w:rPr>
      <w:pict>
        <v:line id="Straight Connector 7" o:spid="_x0000_s1027" style="position:absolute;z-index:251658752;visibility:visible;mso-height-relative:margin" from="333.45pt,2.6pt" to="333.45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" strokeweight=".5pt"/>
      </w:pict>
    </w:r>
    <w:r>
      <w:rPr>
        <w:rFonts w:ascii="Janson Text LT Std" w:hAnsi="Janson Text LT Std"/>
        <w:b/>
        <w:noProof/>
        <w:sz w:val="17"/>
        <w:szCs w:val="17"/>
      </w:rPr>
      <w:pict>
        <v:shapetype id="_x0000_t202" coordsize="21600,21600" o:spt="202" path="m,l,21600r21600,l21600,xe">
          <v:stroke joinstyle="miter"/>
          <v:path gradientshapeok="t" o:connecttype="rect"/>
        </v:shapetype>
        <v:shape id="Text Box 2" o:spid="_x0000_s1026" type="#_x0000_t202" style="position:absolute;margin-left:378.8pt;margin-top:-2.7pt;width:60.05pt;height:110.55pt;z-index:2516577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" filled="f" stroked="f">
          <v:textbox style="mso-fit-shape-to-text:t">
            <w:txbxContent>
              <w:p w:rsidR="00DC7D62" w:rsidRPr="00FA4E62" w:rsidRDefault="00DC7D62" w:rsidP="00DC7D62">
                <w:pPr>
                  <w:autoSpaceDE w:val="0"/>
                  <w:autoSpaceDN w:val="0"/>
                  <w:adjustRightInd w:val="0"/>
                  <w:spacing w:after="80" w:line="240" w:lineRule="auto"/>
                  <w:rPr>
                    <w:rFonts w:ascii="Trade Gothic LT Std" w:hAnsi="Trade Gothic LT Std" w:cs="TradeGothic-Grid"/>
                    <w:sz w:val="12"/>
                    <w:szCs w:val="12"/>
                  </w:rPr>
                </w:pPr>
                <w:r w:rsidRPr="00FA4E62">
                  <w:rPr>
                    <w:rFonts w:ascii="Trade Gothic LT Std" w:hAnsi="Trade Gothic LT Std" w:cs="TradeGothic-Grid"/>
                    <w:sz w:val="12"/>
                    <w:szCs w:val="12"/>
                  </w:rPr>
                  <w:t>WASHINGTON</w:t>
                </w:r>
              </w:p>
              <w:p w:rsidR="00DC7D62" w:rsidRPr="00FA4E62" w:rsidRDefault="00DC7D62" w:rsidP="00DC7D62">
                <w:pPr>
                  <w:autoSpaceDE w:val="0"/>
                  <w:autoSpaceDN w:val="0"/>
                  <w:adjustRightInd w:val="0"/>
                  <w:spacing w:after="80" w:line="240" w:lineRule="auto"/>
                  <w:rPr>
                    <w:rFonts w:ascii="Trade Gothic LT Std" w:hAnsi="Trade Gothic LT Std" w:cs="TradeGothic-Grid"/>
                    <w:sz w:val="12"/>
                    <w:szCs w:val="12"/>
                  </w:rPr>
                </w:pPr>
                <w:r w:rsidRPr="00FA4E62">
                  <w:rPr>
                    <w:rFonts w:ascii="Trade Gothic LT Std" w:hAnsi="Trade Gothic LT Std" w:cs="TradeGothic-Grid"/>
                    <w:sz w:val="12"/>
                    <w:szCs w:val="12"/>
                  </w:rPr>
                  <w:t>BRUSSELS</w:t>
                </w:r>
              </w:p>
              <w:p w:rsidR="00DC7D62" w:rsidRPr="00FA4E62" w:rsidRDefault="00DC7D62" w:rsidP="00DC7D62">
                <w:pPr>
                  <w:autoSpaceDE w:val="0"/>
                  <w:autoSpaceDN w:val="0"/>
                  <w:adjustRightInd w:val="0"/>
                  <w:spacing w:after="80" w:line="240" w:lineRule="auto"/>
                  <w:rPr>
                    <w:rFonts w:ascii="Trade Gothic LT Std" w:hAnsi="Trade Gothic LT Std" w:cs="TradeGothic-Grid"/>
                    <w:sz w:val="12"/>
                    <w:szCs w:val="12"/>
                  </w:rPr>
                </w:pPr>
                <w:r w:rsidRPr="00FA4E62">
                  <w:rPr>
                    <w:rFonts w:ascii="Trade Gothic LT Std" w:hAnsi="Trade Gothic LT Std" w:cs="TradeGothic-Grid"/>
                    <w:sz w:val="12"/>
                    <w:szCs w:val="12"/>
                  </w:rPr>
                  <w:t>SINGAPORE</w:t>
                </w:r>
              </w:p>
            </w:txbxContent>
          </v:textbox>
        </v:shape>
      </w:pict>
    </w:r>
    <w:r>
      <w:rPr>
        <w:rFonts w:ascii="Janson Text LT Std" w:hAnsi="Janson Text LT Std"/>
        <w:b/>
        <w:noProof/>
        <w:sz w:val="17"/>
        <w:szCs w:val="17"/>
      </w:rPr>
      <w:pict>
        <v:shape id="_x0000_s1025" type="#_x0000_t202" style="position:absolute;margin-left:331.85pt;margin-top:-2.75pt;width:52.55pt;height:110.55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" filled="f" stroked="f">
          <v:textbox style="mso-fit-shape-to-text:t">
            <w:txbxContent>
              <w:p w:rsidR="00DC7D62" w:rsidRPr="00FA4E62" w:rsidRDefault="00DC7D62" w:rsidP="00DC7D62">
                <w:pPr>
                  <w:autoSpaceDE w:val="0"/>
                  <w:autoSpaceDN w:val="0"/>
                  <w:adjustRightInd w:val="0"/>
                  <w:spacing w:after="80" w:line="240" w:lineRule="auto"/>
                  <w:rPr>
                    <w:rFonts w:ascii="Trade Gothic LT Std" w:hAnsi="Trade Gothic LT Std" w:cs="TradeGothic-Grid"/>
                    <w:sz w:val="12"/>
                    <w:szCs w:val="12"/>
                  </w:rPr>
                </w:pPr>
                <w:r w:rsidRPr="00FA4E62">
                  <w:rPr>
                    <w:rFonts w:ascii="Trade Gothic LT Std" w:hAnsi="Trade Gothic LT Std" w:cs="TradeGothic-Grid"/>
                    <w:sz w:val="12"/>
                    <w:szCs w:val="12"/>
                  </w:rPr>
                  <w:t>NEW YORK</w:t>
                </w:r>
              </w:p>
              <w:p w:rsidR="00DC7D62" w:rsidRPr="00FA4E62" w:rsidRDefault="00DC7D62" w:rsidP="00DC7D62">
                <w:pPr>
                  <w:autoSpaceDE w:val="0"/>
                  <w:autoSpaceDN w:val="0"/>
                  <w:adjustRightInd w:val="0"/>
                  <w:spacing w:after="80" w:line="240" w:lineRule="auto"/>
                  <w:rPr>
                    <w:rFonts w:ascii="Trade Gothic LT Std" w:hAnsi="Trade Gothic LT Std" w:cs="TradeGothic-Grid"/>
                    <w:sz w:val="12"/>
                    <w:szCs w:val="12"/>
                  </w:rPr>
                </w:pPr>
                <w:r w:rsidRPr="00FA4E62">
                  <w:rPr>
                    <w:rFonts w:ascii="Trade Gothic LT Std" w:hAnsi="Trade Gothic LT Std" w:cs="TradeGothic-Grid"/>
                    <w:sz w:val="12"/>
                    <w:szCs w:val="12"/>
                  </w:rPr>
                  <w:t>LONDON</w:t>
                </w:r>
              </w:p>
              <w:p w:rsidR="00DC7D62" w:rsidRDefault="00DC7D62" w:rsidP="00DC7D62">
                <w:pPr>
                  <w:spacing w:after="80" w:line="240" w:lineRule="auto"/>
                  <w:rPr>
                    <w:rFonts w:ascii="Trade Gothic LT Std" w:hAnsi="Trade Gothic LT Std" w:cs="TradeGothic-Grid"/>
                    <w:sz w:val="12"/>
                    <w:szCs w:val="12"/>
                  </w:rPr>
                </w:pPr>
                <w:r w:rsidRPr="00FA4E62">
                  <w:rPr>
                    <w:rFonts w:ascii="Trade Gothic LT Std" w:hAnsi="Trade Gothic LT Std" w:cs="TradeGothic-Grid"/>
                    <w:sz w:val="12"/>
                    <w:szCs w:val="12"/>
                  </w:rPr>
                  <w:t>HONG KONG</w:t>
                </w:r>
              </w:p>
              <w:p w:rsidR="00DC7D62" w:rsidRPr="008E5808" w:rsidRDefault="00DC7D62" w:rsidP="00DC7D62">
                <w:pPr>
                  <w:autoSpaceDE w:val="0"/>
                  <w:autoSpaceDN w:val="0"/>
                  <w:adjustRightInd w:val="0"/>
                  <w:spacing w:after="80" w:line="240" w:lineRule="auto"/>
                  <w:rPr>
                    <w:rFonts w:ascii="Trade Gothic LT Std" w:hAnsi="Trade Gothic LT Std" w:cs="TradeGothic-Grid"/>
                    <w:sz w:val="12"/>
                    <w:szCs w:val="12"/>
                  </w:rPr>
                </w:pPr>
                <w:r>
                  <w:rPr>
                    <w:rFonts w:ascii="Trade Gothic LT Std" w:hAnsi="Trade Gothic LT Std" w:cs="TradeGothic-Grid"/>
                    <w:sz w:val="12"/>
                    <w:szCs w:val="12"/>
                  </w:rPr>
                  <w:t>TOKYO</w:t>
                </w:r>
              </w:p>
            </w:txbxContent>
          </v:textbox>
        </v:shape>
      </w:pict>
    </w:r>
    <w:r w:rsidRPr="00647F65">
      <w:rPr>
        <w:rFonts w:ascii="Janson Text LT Std" w:hAnsi="Janson Text LT Std"/>
        <w:b/>
        <w:sz w:val="17"/>
        <w:szCs w:val="17"/>
      </w:rPr>
      <w:t>International Swaps and Derivatives Association, Inc.</w:t>
    </w:r>
  </w:p>
  <w:p w:rsidR="00DC7D62" w:rsidRPr="00647F65" w:rsidRDefault="00DC7D62" w:rsidP="00DC7D62">
    <w:pPr>
      <w:pStyle w:val="Footer"/>
      <w:spacing w:after="20"/>
      <w:rPr>
        <w:rFonts w:ascii="Janson Text LT Std" w:hAnsi="Janson Text LT Std"/>
        <w:sz w:val="17"/>
        <w:szCs w:val="17"/>
      </w:rPr>
    </w:pPr>
    <w:r w:rsidRPr="00647F65">
      <w:rPr>
        <w:rFonts w:ascii="Janson Text LT Std" w:hAnsi="Janson Text LT Std"/>
        <w:sz w:val="17"/>
        <w:szCs w:val="17"/>
      </w:rPr>
      <w:t>360 Madison Avenue, 16</w:t>
    </w:r>
    <w:r w:rsidRPr="00647F65">
      <w:rPr>
        <w:rFonts w:ascii="Janson Text LT Std" w:hAnsi="Janson Text LT Std"/>
        <w:sz w:val="17"/>
        <w:szCs w:val="17"/>
        <w:vertAlign w:val="superscript"/>
      </w:rPr>
      <w:t>th</w:t>
    </w:r>
    <w:r w:rsidRPr="00647F65">
      <w:rPr>
        <w:rFonts w:ascii="Janson Text LT Std" w:hAnsi="Janson Text LT Std"/>
        <w:sz w:val="17"/>
        <w:szCs w:val="17"/>
      </w:rPr>
      <w:t xml:space="preserve"> Floor</w:t>
    </w:r>
  </w:p>
  <w:p w:rsidR="00DC7D62" w:rsidRPr="00647F65" w:rsidRDefault="00DC7D62" w:rsidP="00DC7D62">
    <w:pPr>
      <w:pStyle w:val="Footer"/>
      <w:spacing w:after="20"/>
      <w:rPr>
        <w:rFonts w:ascii="Janson Text LT Std" w:hAnsi="Janson Text LT Std"/>
        <w:sz w:val="17"/>
        <w:szCs w:val="17"/>
      </w:rPr>
    </w:pPr>
    <w:r w:rsidRPr="00647F65">
      <w:rPr>
        <w:rFonts w:ascii="Janson Text LT Std" w:hAnsi="Janson Text LT Std"/>
        <w:sz w:val="17"/>
        <w:szCs w:val="17"/>
      </w:rPr>
      <w:t>New York, NY 10017</w:t>
    </w:r>
  </w:p>
  <w:p w:rsidR="00DC7D62" w:rsidRDefault="00DC7D62" w:rsidP="00DC7D62">
    <w:pPr>
      <w:pStyle w:val="Footer"/>
      <w:tabs>
        <w:tab w:val="left" w:pos="1350"/>
      </w:tabs>
      <w:spacing w:after="20"/>
      <w:rPr>
        <w:rFonts w:ascii="Janson Text LT Std" w:hAnsi="Janson Text LT Std"/>
        <w:sz w:val="18"/>
        <w:szCs w:val="18"/>
      </w:rPr>
    </w:pPr>
    <w:r w:rsidRPr="00647F65">
      <w:rPr>
        <w:rFonts w:ascii="Trade Gothic LT Std" w:hAnsi="Trade Gothic LT Std"/>
        <w:b/>
        <w:sz w:val="14"/>
        <w:szCs w:val="14"/>
      </w:rPr>
      <w:t>P</w:t>
    </w:r>
    <w:r>
      <w:rPr>
        <w:rFonts w:ascii="Janson Text LT Std" w:hAnsi="Janson Text LT Std"/>
        <w:sz w:val="18"/>
        <w:szCs w:val="18"/>
      </w:rPr>
      <w:t xml:space="preserve"> </w:t>
    </w:r>
    <w:r>
      <w:rPr>
        <w:rFonts w:ascii="Janson Text LT Std" w:hAnsi="Janson Text LT Std"/>
        <w:sz w:val="17"/>
        <w:szCs w:val="17"/>
      </w:rPr>
      <w:t>212 901 600</w:t>
    </w:r>
    <w:r w:rsidRPr="00647F65">
      <w:rPr>
        <w:rFonts w:ascii="Janson Text LT Std" w:hAnsi="Janson Text LT Std"/>
        <w:sz w:val="17"/>
        <w:szCs w:val="17"/>
      </w:rPr>
      <w:t>0</w:t>
    </w:r>
    <w:r>
      <w:rPr>
        <w:rFonts w:ascii="Janson Text LT Std" w:hAnsi="Janson Text LT Std"/>
        <w:sz w:val="18"/>
        <w:szCs w:val="18"/>
      </w:rPr>
      <w:tab/>
    </w:r>
    <w:r w:rsidRPr="00647F65">
      <w:rPr>
        <w:rFonts w:ascii="Trade Gothic LT Std" w:hAnsi="Trade Gothic LT Std"/>
        <w:b/>
        <w:sz w:val="14"/>
        <w:szCs w:val="14"/>
      </w:rPr>
      <w:t>F</w:t>
    </w:r>
    <w:r w:rsidRPr="00334402">
      <w:rPr>
        <w:rFonts w:ascii="Trade Gothic LT Std" w:hAnsi="Trade Gothic LT Std"/>
        <w:b/>
        <w:sz w:val="18"/>
        <w:szCs w:val="18"/>
      </w:rPr>
      <w:t xml:space="preserve"> </w:t>
    </w:r>
    <w:r>
      <w:rPr>
        <w:rFonts w:ascii="Janson Text LT Std" w:hAnsi="Janson Text LT Std"/>
        <w:sz w:val="17"/>
        <w:szCs w:val="17"/>
      </w:rPr>
      <w:t xml:space="preserve">212 901 </w:t>
    </w:r>
    <w:r w:rsidRPr="00647F65">
      <w:rPr>
        <w:rFonts w:ascii="Janson Text LT Std" w:hAnsi="Janson Text LT Std"/>
        <w:sz w:val="17"/>
        <w:szCs w:val="17"/>
      </w:rPr>
      <w:t>6001</w:t>
    </w:r>
    <w:r w:rsidRPr="007E1491">
      <w:rPr>
        <w:noProof/>
      </w:rPr>
      <w:t xml:space="preserve"> </w:t>
    </w:r>
  </w:p>
  <w:p w:rsidR="00DC7D62" w:rsidRPr="00092432" w:rsidRDefault="00DC7D62" w:rsidP="00DC7D62">
    <w:pPr>
      <w:pStyle w:val="Footer"/>
      <w:spacing w:after="20"/>
      <w:rPr>
        <w:rFonts w:ascii="Times New Roman" w:hAnsi="Times New Roman"/>
        <w:i/>
        <w:sz w:val="18"/>
        <w:szCs w:val="18"/>
      </w:rPr>
    </w:pPr>
    <w:r w:rsidRPr="00092432">
      <w:rPr>
        <w:rFonts w:ascii="Times New Roman" w:hAnsi="Times New Roman"/>
        <w:i/>
        <w:sz w:val="18"/>
        <w:szCs w:val="18"/>
      </w:rPr>
      <w:t>www.isda.org</w:t>
    </w:r>
  </w:p>
  <w:p w:rsidR="00DC7D62" w:rsidRDefault="00DC7D62">
    <w:pPr>
      <w:pStyle w:val="Footer"/>
    </w:pPr>
  </w:p>
  <w:p w:rsidR="00DC7D62" w:rsidRDefault="00DC7D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080" w:rsidRDefault="004F6080" w:rsidP="00DC7D62">
      <w:pPr>
        <w:spacing w:after="0" w:line="240" w:lineRule="auto"/>
      </w:pPr>
      <w:r>
        <w:separator/>
      </w:r>
    </w:p>
  </w:footnote>
  <w:footnote w:type="continuationSeparator" w:id="0">
    <w:p w:rsidR="004F6080" w:rsidRDefault="004F6080" w:rsidP="00DC7D6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rsids>
    <w:rsid w:val="004F6080"/>
    <w:rsid w:val="00992450"/>
    <w:rsid w:val="00DC7D62"/>
    <w:rsid w:val="00F77B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B0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7D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D62"/>
    <w:rPr>
      <w:rFonts w:ascii="Tahoma" w:hAnsi="Tahoma" w:cs="Tahoma"/>
      <w:sz w:val="16"/>
      <w:szCs w:val="16"/>
    </w:rPr>
  </w:style>
  <w:style w:type="paragraph" w:styleId="Header">
    <w:name w:val="header"/>
    <w:basedOn w:val="Normal"/>
    <w:link w:val="HeaderChar"/>
    <w:uiPriority w:val="99"/>
    <w:semiHidden/>
    <w:unhideWhenUsed/>
    <w:rsid w:val="00DC7D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C7D62"/>
  </w:style>
  <w:style w:type="paragraph" w:styleId="Footer">
    <w:name w:val="footer"/>
    <w:basedOn w:val="Normal"/>
    <w:link w:val="FooterChar"/>
    <w:uiPriority w:val="99"/>
    <w:unhideWhenUsed/>
    <w:rsid w:val="00DC7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D62"/>
  </w:style>
  <w:style w:type="character" w:styleId="Hyperlink">
    <w:name w:val="Hyperlink"/>
    <w:basedOn w:val="DefaultParagraphFont"/>
    <w:rsid w:val="004F6080"/>
    <w:rPr>
      <w:color w:val="0000FF"/>
      <w:u w:val="single"/>
    </w:rPr>
  </w:style>
  <w:style w:type="character" w:styleId="Emphasis">
    <w:name w:val="Emphasis"/>
    <w:basedOn w:val="DefaultParagraphFont"/>
    <w:uiPriority w:val="20"/>
    <w:qFormat/>
    <w:rsid w:val="004F6080"/>
    <w:rPr>
      <w:i/>
      <w:iCs/>
    </w:rPr>
  </w:style>
  <w:style w:type="character" w:styleId="HTMLCite">
    <w:name w:val="HTML Cite"/>
    <w:basedOn w:val="DefaultParagraphFont"/>
    <w:uiPriority w:val="99"/>
    <w:unhideWhenUsed/>
    <w:rsid w:val="004F6080"/>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c.gov/divisions/marketreg/rule201faq.htm" TargetMode="External"/><Relationship Id="rId3" Type="http://schemas.openxmlformats.org/officeDocument/2006/relationships/webSettings" Target="webSettings.xml"/><Relationship Id="rId7" Type="http://schemas.openxmlformats.org/officeDocument/2006/relationships/hyperlink" Target="http://www.sec.gov/rules/final/2010/34-61595.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adigan\Desktop\New%20Branding%20materials%20-%20ISDA\letter%20head%20-%20kc%2004-05-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head - kc 04-05-2011</Template>
  <TotalTime>3</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International Swaps and Derivatives Association, Inc</Company>
  <LinksUpToDate>false</LinksUpToDate>
  <CharactersWithSpaces>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2011-04-05T13:46:00Z</dcterms:created>
  <dcterms:modified xsi:type="dcterms:W3CDTF">2011-04-05T13:50:00Z</dcterms:modified>
</cp:coreProperties>
</file>