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D95553" w:rsidRPr="00D95553" w:rsidTr="00D95553">
        <w:trPr>
          <w:tblCellSpacing w:w="0" w:type="dxa"/>
        </w:trPr>
        <w:tc>
          <w:tcPr>
            <w:tcW w:w="0" w:type="auto"/>
            <w:vAlign w:val="center"/>
            <w:hideMark/>
          </w:tcPr>
          <w:p w:rsidR="00D95553" w:rsidRPr="00D95553" w:rsidRDefault="00D95553" w:rsidP="00D95553">
            <w:pPr>
              <w:spacing w:before="100" w:beforeAutospacing="1" w:after="100" w:afterAutospacing="1" w:line="240" w:lineRule="auto"/>
              <w:ind w:firstLine="0"/>
              <w:jc w:val="both"/>
              <w:rPr>
                <w:rFonts w:ascii="Arial" w:eastAsia="Times New Roman" w:hAnsi="Arial" w:cs="Arial"/>
                <w:sz w:val="20"/>
                <w:szCs w:val="20"/>
              </w:rPr>
            </w:pPr>
            <w:r w:rsidRPr="00D95553">
              <w:rPr>
                <w:rFonts w:ascii="Arial" w:eastAsia="Times New Roman" w:hAnsi="Arial" w:cs="Arial"/>
                <w:b/>
                <w:bCs/>
                <w:sz w:val="20"/>
                <w:szCs w:val="20"/>
              </w:rPr>
              <w:t>Guidance on selection of applicable annexes in side letters to the Equity MCA Protocol</w:t>
            </w:r>
          </w:p>
          <w:p w:rsidR="00D95553" w:rsidRPr="00D95553" w:rsidRDefault="00D95553" w:rsidP="00D95553">
            <w:pPr>
              <w:spacing w:before="100" w:beforeAutospacing="1" w:after="100" w:afterAutospacing="1" w:line="240" w:lineRule="auto"/>
              <w:ind w:firstLine="0"/>
              <w:jc w:val="both"/>
              <w:rPr>
                <w:rFonts w:ascii="Arial" w:eastAsia="Times New Roman" w:hAnsi="Arial" w:cs="Arial"/>
                <w:sz w:val="20"/>
                <w:szCs w:val="20"/>
              </w:rPr>
            </w:pPr>
            <w:r w:rsidRPr="00D95553">
              <w:rPr>
                <w:rFonts w:ascii="Arial" w:eastAsia="Times New Roman" w:hAnsi="Arial" w:cs="Arial"/>
                <w:sz w:val="20"/>
                <w:szCs w:val="20"/>
              </w:rPr>
              <w:t>The following language may be used under “Additional Provisions” in a side letter where parties wish to include or exclude specific Annexes.</w:t>
            </w:r>
          </w:p>
          <w:p w:rsidR="00D95553" w:rsidRPr="00D95553" w:rsidRDefault="00D95553" w:rsidP="00D95553">
            <w:pPr>
              <w:spacing w:before="100" w:beforeAutospacing="1" w:after="100" w:afterAutospacing="1" w:line="240" w:lineRule="auto"/>
              <w:ind w:firstLine="0"/>
              <w:jc w:val="both"/>
              <w:rPr>
                <w:rFonts w:ascii="Arial" w:eastAsia="Times New Roman" w:hAnsi="Arial" w:cs="Arial"/>
                <w:sz w:val="20"/>
                <w:szCs w:val="20"/>
              </w:rPr>
            </w:pPr>
            <w:r w:rsidRPr="00D95553">
              <w:rPr>
                <w:rFonts w:ascii="Arial" w:eastAsia="Times New Roman" w:hAnsi="Arial" w:cs="Arial"/>
                <w:b/>
                <w:bCs/>
                <w:sz w:val="20"/>
                <w:szCs w:val="20"/>
              </w:rPr>
              <w:t>1. Side Letter for the 2007 European Master Equity Derivatives Confirmation Agreement</w:t>
            </w:r>
          </w:p>
          <w:p w:rsidR="00D95553" w:rsidRPr="00D95553" w:rsidRDefault="00D95553" w:rsidP="00D95553">
            <w:pPr>
              <w:spacing w:before="100" w:beforeAutospacing="1" w:after="240" w:line="240" w:lineRule="auto"/>
              <w:ind w:firstLine="0"/>
              <w:jc w:val="both"/>
              <w:rPr>
                <w:rFonts w:ascii="Arial" w:eastAsia="Times New Roman" w:hAnsi="Arial" w:cs="Arial"/>
                <w:sz w:val="20"/>
                <w:szCs w:val="20"/>
              </w:rPr>
            </w:pPr>
            <w:r w:rsidRPr="00D95553">
              <w:rPr>
                <w:rFonts w:ascii="Arial" w:eastAsia="Times New Roman" w:hAnsi="Arial" w:cs="Arial"/>
                <w:sz w:val="20"/>
                <w:szCs w:val="20"/>
              </w:rPr>
              <w:t>Party A and Party B have agreed on the relevant Incorporation Date specified below that the following Annexes will be subject to the </w:t>
            </w:r>
            <w:r w:rsidRPr="00D95553">
              <w:rPr>
                <w:rFonts w:ascii="Arial" w:eastAsia="Times New Roman" w:hAnsi="Arial" w:cs="Arial"/>
                <w:b/>
                <w:bCs/>
                <w:sz w:val="20"/>
                <w:szCs w:val="20"/>
              </w:rPr>
              <w:t>2007 European Master Equity Derivatives Confirmation Agreement</w:t>
            </w:r>
            <w:r w:rsidRPr="00D95553">
              <w:rPr>
                <w:rFonts w:ascii="Arial" w:eastAsia="Times New Roman" w:hAnsi="Arial" w:cs="Arial"/>
                <w:sz w:val="20"/>
                <w:szCs w:val="20"/>
              </w:rPr>
              <w:t>, effective as of the Annex Effective Date specified below: </w:t>
            </w:r>
          </w:p>
        </w:tc>
      </w:tr>
    </w:tbl>
    <w:p w:rsidR="00D95553" w:rsidRPr="00D95553" w:rsidRDefault="00D95553" w:rsidP="00D95553">
      <w:pPr>
        <w:spacing w:line="240" w:lineRule="auto"/>
        <w:ind w:firstLine="0"/>
        <w:rPr>
          <w:rFonts w:eastAsia="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95553" w:rsidRPr="00D95553" w:rsidTr="00D95553">
        <w:trPr>
          <w:tblCellSpacing w:w="0" w:type="dxa"/>
        </w:trPr>
        <w:tc>
          <w:tcPr>
            <w:tcW w:w="3750" w:type="pct"/>
            <w:hideMark/>
          </w:tcPr>
          <w:p w:rsidR="00D95553" w:rsidRPr="00D95553" w:rsidRDefault="00D95553" w:rsidP="00D95553">
            <w:pPr>
              <w:spacing w:line="240" w:lineRule="auto"/>
              <w:ind w:firstLine="0"/>
              <w:rPr>
                <w:rFonts w:eastAsia="Times New Roman" w:cs="Times New Roman"/>
              </w:rPr>
            </w:pPr>
          </w:p>
        </w:tc>
      </w:tr>
      <w:tr w:rsidR="00D95553" w:rsidRPr="00D95553" w:rsidTr="00D95553">
        <w:trPr>
          <w:tblCellSpacing w:w="0" w:type="dxa"/>
        </w:trPr>
        <w:tc>
          <w:tcPr>
            <w:tcW w:w="0" w:type="auto"/>
            <w:vAlign w:val="center"/>
            <w:hideMark/>
          </w:tcPr>
          <w:tbl>
            <w:tblPr>
              <w:tblW w:w="5000" w:type="pct"/>
              <w:tblCellSpacing w:w="15" w:type="dxa"/>
              <w:tblBorders>
                <w:top w:val="outset" w:sz="6" w:space="0" w:color="000033"/>
                <w:left w:val="outset" w:sz="6" w:space="0" w:color="000033"/>
                <w:bottom w:val="outset" w:sz="6" w:space="0" w:color="000033"/>
                <w:right w:val="outset" w:sz="6" w:space="0" w:color="000033"/>
              </w:tblBorders>
              <w:shd w:val="clear" w:color="auto" w:fill="F2F2F2"/>
              <w:tblCellMar>
                <w:top w:w="15" w:type="dxa"/>
                <w:left w:w="15" w:type="dxa"/>
                <w:bottom w:w="15" w:type="dxa"/>
                <w:right w:w="15" w:type="dxa"/>
              </w:tblCellMar>
              <w:tblLook w:val="04A0" w:firstRow="1" w:lastRow="0" w:firstColumn="1" w:lastColumn="0" w:noHBand="0" w:noVBand="1"/>
            </w:tblPr>
            <w:tblGrid>
              <w:gridCol w:w="4657"/>
              <w:gridCol w:w="2336"/>
              <w:gridCol w:w="2351"/>
            </w:tblGrid>
            <w:tr w:rsidR="00D95553" w:rsidRPr="00D95553">
              <w:trPr>
                <w:tblCellSpacing w:w="15" w:type="dxa"/>
              </w:trPr>
              <w:tc>
                <w:tcPr>
                  <w:tcW w:w="2500" w:type="pct"/>
                  <w:tcBorders>
                    <w:top w:val="outset" w:sz="6" w:space="0" w:color="000033"/>
                    <w:left w:val="outset" w:sz="6" w:space="0" w:color="000033"/>
                    <w:bottom w:val="outset" w:sz="6" w:space="0" w:color="000033"/>
                    <w:right w:val="outset" w:sz="6" w:space="0" w:color="000033"/>
                  </w:tcBorders>
                  <w:shd w:val="clear" w:color="auto" w:fill="003366"/>
                  <w:vAlign w:val="center"/>
                  <w:hideMark/>
                </w:tcPr>
                <w:p w:rsidR="00D95553" w:rsidRPr="00D95553" w:rsidRDefault="00D95553" w:rsidP="00D95553">
                  <w:pPr>
                    <w:spacing w:line="240" w:lineRule="auto"/>
                    <w:ind w:firstLine="0"/>
                    <w:jc w:val="center"/>
                    <w:rPr>
                      <w:rFonts w:ascii="Arial" w:eastAsia="Times New Roman" w:hAnsi="Arial" w:cs="Arial"/>
                      <w:sz w:val="20"/>
                      <w:szCs w:val="20"/>
                    </w:rPr>
                  </w:pPr>
                  <w:r w:rsidRPr="00D95553">
                    <w:rPr>
                      <w:rFonts w:ascii="Arial" w:eastAsia="Times New Roman" w:hAnsi="Arial" w:cs="Arial"/>
                      <w:b/>
                      <w:bCs/>
                      <w:color w:val="FFFFFF"/>
                      <w:sz w:val="20"/>
                      <w:szCs w:val="20"/>
                    </w:rPr>
                    <w:t>Annex</w:t>
                  </w:r>
                </w:p>
              </w:tc>
              <w:tc>
                <w:tcPr>
                  <w:tcW w:w="1250" w:type="pct"/>
                  <w:tcBorders>
                    <w:top w:val="outset" w:sz="6" w:space="0" w:color="000033"/>
                    <w:left w:val="outset" w:sz="6" w:space="0" w:color="000033"/>
                    <w:bottom w:val="outset" w:sz="6" w:space="0" w:color="000033"/>
                    <w:right w:val="outset" w:sz="6" w:space="0" w:color="000033"/>
                  </w:tcBorders>
                  <w:shd w:val="clear" w:color="auto" w:fill="003366"/>
                  <w:vAlign w:val="center"/>
                  <w:hideMark/>
                </w:tcPr>
                <w:p w:rsidR="00D95553" w:rsidRPr="00D95553" w:rsidRDefault="00D95553" w:rsidP="00D95553">
                  <w:pPr>
                    <w:spacing w:line="240" w:lineRule="auto"/>
                    <w:ind w:firstLine="0"/>
                    <w:jc w:val="center"/>
                    <w:rPr>
                      <w:rFonts w:ascii="Arial" w:eastAsia="Times New Roman" w:hAnsi="Arial" w:cs="Arial"/>
                      <w:sz w:val="20"/>
                      <w:szCs w:val="20"/>
                    </w:rPr>
                  </w:pPr>
                  <w:r w:rsidRPr="00D95553">
                    <w:rPr>
                      <w:rFonts w:ascii="Arial" w:eastAsia="Times New Roman" w:hAnsi="Arial" w:cs="Arial"/>
                      <w:b/>
                      <w:bCs/>
                      <w:color w:val="FFFFFF"/>
                      <w:sz w:val="20"/>
                      <w:szCs w:val="20"/>
                    </w:rPr>
                    <w:t>Incorporation Date</w:t>
                  </w:r>
                </w:p>
              </w:tc>
              <w:tc>
                <w:tcPr>
                  <w:tcW w:w="1250" w:type="pct"/>
                  <w:tcBorders>
                    <w:top w:val="outset" w:sz="6" w:space="0" w:color="000033"/>
                    <w:left w:val="outset" w:sz="6" w:space="0" w:color="000033"/>
                    <w:bottom w:val="outset" w:sz="6" w:space="0" w:color="000033"/>
                    <w:right w:val="outset" w:sz="6" w:space="0" w:color="000033"/>
                  </w:tcBorders>
                  <w:shd w:val="clear" w:color="auto" w:fill="003366"/>
                  <w:vAlign w:val="center"/>
                  <w:hideMark/>
                </w:tcPr>
                <w:p w:rsidR="00D95553" w:rsidRPr="00D95553" w:rsidRDefault="00D95553" w:rsidP="00D95553">
                  <w:pPr>
                    <w:spacing w:line="240" w:lineRule="auto"/>
                    <w:ind w:firstLine="0"/>
                    <w:jc w:val="center"/>
                    <w:rPr>
                      <w:rFonts w:ascii="Arial" w:eastAsia="Times New Roman" w:hAnsi="Arial" w:cs="Arial"/>
                      <w:sz w:val="20"/>
                      <w:szCs w:val="20"/>
                    </w:rPr>
                  </w:pPr>
                  <w:r w:rsidRPr="00D95553">
                    <w:rPr>
                      <w:rFonts w:ascii="Arial" w:eastAsia="Times New Roman" w:hAnsi="Arial" w:cs="Arial"/>
                      <w:b/>
                      <w:bCs/>
                      <w:color w:val="FFFFFF"/>
                      <w:sz w:val="20"/>
                      <w:szCs w:val="20"/>
                    </w:rPr>
                    <w:t>Annex Effective Date</w:t>
                  </w:r>
                </w:p>
              </w:tc>
            </w:tr>
            <w:tr w:rsidR="00D95553" w:rsidRPr="00D95553">
              <w:trPr>
                <w:tblCellSpacing w:w="15" w:type="dxa"/>
              </w:trPr>
              <w:tc>
                <w:tcPr>
                  <w:tcW w:w="250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Multiple Exchange Index Annex</w:t>
                  </w:r>
                  <w:r w:rsidRPr="00D95553">
                    <w:rPr>
                      <w:rFonts w:ascii="Arial" w:eastAsia="Times New Roman" w:hAnsi="Arial" w:cs="Arial"/>
                      <w:sz w:val="20"/>
                      <w:szCs w:val="20"/>
                      <w:vertAlign w:val="superscript"/>
                    </w:rPr>
                    <w:t>[</w:t>
                  </w:r>
                  <w:hyperlink r:id="rId4" w:anchor="ft1" w:history="1">
                    <w:r w:rsidRPr="00D95553">
                      <w:rPr>
                        <w:rFonts w:ascii="Arial" w:eastAsia="Times New Roman" w:hAnsi="Arial" w:cs="Arial"/>
                        <w:color w:val="0000FF"/>
                        <w:sz w:val="20"/>
                        <w:szCs w:val="20"/>
                        <w:u w:val="single"/>
                        <w:vertAlign w:val="superscript"/>
                      </w:rPr>
                      <w:t>1</w:t>
                    </w:r>
                  </w:hyperlink>
                  <w:r w:rsidRPr="00D95553">
                    <w:rPr>
                      <w:rFonts w:ascii="Arial" w:eastAsia="Times New Roman" w:hAnsi="Arial" w:cs="Arial"/>
                      <w:sz w:val="20"/>
                      <w:szCs w:val="20"/>
                      <w:vertAlign w:val="superscript"/>
                    </w:rPr>
                    <w:t>]</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r>
            <w:tr w:rsidR="00D95553" w:rsidRPr="00D95553">
              <w:trPr>
                <w:tblCellSpacing w:w="15" w:type="dxa"/>
              </w:trPr>
              <w:tc>
                <w:tcPr>
                  <w:tcW w:w="250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Annex ISO (Cash/Physically-settled European/American Index/Share Option)</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r>
            <w:tr w:rsidR="00D95553" w:rsidRPr="00D95553">
              <w:trPr>
                <w:tblCellSpacing w:w="15" w:type="dxa"/>
              </w:trPr>
              <w:tc>
                <w:tcPr>
                  <w:tcW w:w="250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Annex EFS (Cash-settled Equity Finance Share Swap)</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r>
          </w:tbl>
          <w:p w:rsidR="00D95553" w:rsidRPr="00D95553" w:rsidRDefault="00D95553" w:rsidP="00D95553">
            <w:pPr>
              <w:spacing w:before="100" w:beforeAutospacing="1" w:after="100" w:afterAutospacing="1" w:line="240" w:lineRule="auto"/>
              <w:ind w:firstLine="0"/>
              <w:jc w:val="both"/>
              <w:rPr>
                <w:rFonts w:ascii="Arial" w:eastAsia="Times New Roman" w:hAnsi="Arial" w:cs="Arial"/>
                <w:sz w:val="20"/>
                <w:szCs w:val="20"/>
              </w:rPr>
            </w:pPr>
            <w:bookmarkStart w:id="0" w:name="ft1"/>
            <w:bookmarkEnd w:id="0"/>
            <w:r w:rsidRPr="00D95553">
              <w:rPr>
                <w:rFonts w:ascii="Arial" w:eastAsia="Times New Roman" w:hAnsi="Arial" w:cs="Arial"/>
                <w:sz w:val="20"/>
                <w:szCs w:val="20"/>
                <w:vertAlign w:val="superscript"/>
              </w:rPr>
              <w:t>[1]</w:t>
            </w:r>
            <w:r w:rsidRPr="00D95553">
              <w:rPr>
                <w:rFonts w:ascii="Arial" w:eastAsia="Times New Roman" w:hAnsi="Arial" w:cs="Arial"/>
                <w:sz w:val="20"/>
                <w:szCs w:val="20"/>
              </w:rPr>
              <w:t> If parties wish “Multiple Exchange” to apply to any Index Transaction, the Multiple Exchange Index Annex must be incorporated and the Annex Effective Date specified above with respect thereto must occur on or before the date on which that Index Transaction is entered into.</w:t>
            </w:r>
          </w:p>
          <w:p w:rsidR="00D95553" w:rsidRPr="00D95553" w:rsidRDefault="00D95553" w:rsidP="00D95553">
            <w:pPr>
              <w:spacing w:before="100" w:beforeAutospacing="1" w:after="100" w:afterAutospacing="1" w:line="240" w:lineRule="auto"/>
              <w:ind w:firstLine="0"/>
              <w:jc w:val="both"/>
              <w:rPr>
                <w:rFonts w:ascii="Arial" w:eastAsia="Times New Roman" w:hAnsi="Arial" w:cs="Arial"/>
                <w:sz w:val="20"/>
                <w:szCs w:val="20"/>
              </w:rPr>
            </w:pPr>
            <w:r w:rsidRPr="00D95553">
              <w:rPr>
                <w:rFonts w:ascii="Arial" w:eastAsia="Times New Roman" w:hAnsi="Arial" w:cs="Arial"/>
                <w:b/>
                <w:bCs/>
                <w:sz w:val="20"/>
                <w:szCs w:val="20"/>
              </w:rPr>
              <w:t>2. Side Letter for the 2007 Americas Master Variance Swap Confirmation Agreement</w:t>
            </w:r>
          </w:p>
          <w:p w:rsidR="00D95553" w:rsidRPr="00D95553" w:rsidRDefault="00D95553" w:rsidP="00D95553">
            <w:pPr>
              <w:spacing w:before="100" w:beforeAutospacing="1" w:after="100" w:afterAutospacing="1" w:line="240" w:lineRule="auto"/>
              <w:ind w:firstLine="0"/>
              <w:jc w:val="both"/>
              <w:rPr>
                <w:rFonts w:ascii="Arial" w:eastAsia="Times New Roman" w:hAnsi="Arial" w:cs="Arial"/>
                <w:sz w:val="20"/>
                <w:szCs w:val="20"/>
              </w:rPr>
            </w:pPr>
            <w:r w:rsidRPr="00D95553">
              <w:rPr>
                <w:rFonts w:ascii="Arial" w:eastAsia="Times New Roman" w:hAnsi="Arial" w:cs="Arial"/>
                <w:sz w:val="20"/>
                <w:szCs w:val="20"/>
              </w:rPr>
              <w:t>Party A and Party B have agreed on the relevant Incorporation Date specified below that the following Annexes will be subject to the </w:t>
            </w:r>
            <w:r w:rsidRPr="00D95553">
              <w:rPr>
                <w:rFonts w:ascii="Arial" w:eastAsia="Times New Roman" w:hAnsi="Arial" w:cs="Arial"/>
                <w:b/>
                <w:bCs/>
                <w:sz w:val="20"/>
                <w:szCs w:val="20"/>
              </w:rPr>
              <w:t>2007 Americas Master Variance Swap Confirmation Agreement</w:t>
            </w:r>
            <w:r w:rsidRPr="00D95553">
              <w:rPr>
                <w:rFonts w:ascii="Arial" w:eastAsia="Times New Roman" w:hAnsi="Arial" w:cs="Arial"/>
                <w:sz w:val="20"/>
                <w:szCs w:val="20"/>
              </w:rPr>
              <w:t>, effective as of the Annex Effective Date specified below:</w:t>
            </w:r>
          </w:p>
          <w:tbl>
            <w:tblPr>
              <w:tblW w:w="5000" w:type="pct"/>
              <w:tblCellSpacing w:w="15" w:type="dxa"/>
              <w:tblBorders>
                <w:top w:val="outset" w:sz="6" w:space="0" w:color="000033"/>
                <w:left w:val="outset" w:sz="6" w:space="0" w:color="000033"/>
                <w:bottom w:val="outset" w:sz="6" w:space="0" w:color="000033"/>
                <w:right w:val="outset" w:sz="6" w:space="0" w:color="000033"/>
              </w:tblBorders>
              <w:shd w:val="clear" w:color="auto" w:fill="F2F2F2"/>
              <w:tblCellMar>
                <w:top w:w="15" w:type="dxa"/>
                <w:left w:w="15" w:type="dxa"/>
                <w:bottom w:w="15" w:type="dxa"/>
                <w:right w:w="15" w:type="dxa"/>
              </w:tblCellMar>
              <w:tblLook w:val="04A0" w:firstRow="1" w:lastRow="0" w:firstColumn="1" w:lastColumn="0" w:noHBand="0" w:noVBand="1"/>
            </w:tblPr>
            <w:tblGrid>
              <w:gridCol w:w="4657"/>
              <w:gridCol w:w="2336"/>
              <w:gridCol w:w="2351"/>
            </w:tblGrid>
            <w:tr w:rsidR="00D95553" w:rsidRPr="00D95553">
              <w:trPr>
                <w:tblCellSpacing w:w="15" w:type="dxa"/>
              </w:trPr>
              <w:tc>
                <w:tcPr>
                  <w:tcW w:w="2500" w:type="pct"/>
                  <w:tcBorders>
                    <w:top w:val="outset" w:sz="6" w:space="0" w:color="000033"/>
                    <w:left w:val="outset" w:sz="6" w:space="0" w:color="000033"/>
                    <w:bottom w:val="outset" w:sz="6" w:space="0" w:color="000033"/>
                    <w:right w:val="outset" w:sz="6" w:space="0" w:color="000033"/>
                  </w:tcBorders>
                  <w:shd w:val="clear" w:color="auto" w:fill="003366"/>
                  <w:vAlign w:val="center"/>
                  <w:hideMark/>
                </w:tcPr>
                <w:p w:rsidR="00D95553" w:rsidRPr="00D95553" w:rsidRDefault="00D95553" w:rsidP="00D95553">
                  <w:pPr>
                    <w:spacing w:line="240" w:lineRule="auto"/>
                    <w:ind w:firstLine="0"/>
                    <w:jc w:val="center"/>
                    <w:rPr>
                      <w:rFonts w:ascii="Arial" w:eastAsia="Times New Roman" w:hAnsi="Arial" w:cs="Arial"/>
                      <w:sz w:val="20"/>
                      <w:szCs w:val="20"/>
                    </w:rPr>
                  </w:pPr>
                  <w:r w:rsidRPr="00D95553">
                    <w:rPr>
                      <w:rFonts w:ascii="Arial" w:eastAsia="Times New Roman" w:hAnsi="Arial" w:cs="Arial"/>
                      <w:b/>
                      <w:bCs/>
                      <w:color w:val="FFFFFF"/>
                      <w:sz w:val="20"/>
                      <w:szCs w:val="20"/>
                    </w:rPr>
                    <w:t>Annex</w:t>
                  </w:r>
                </w:p>
              </w:tc>
              <w:tc>
                <w:tcPr>
                  <w:tcW w:w="1250" w:type="pct"/>
                  <w:tcBorders>
                    <w:top w:val="outset" w:sz="6" w:space="0" w:color="000033"/>
                    <w:left w:val="outset" w:sz="6" w:space="0" w:color="000033"/>
                    <w:bottom w:val="outset" w:sz="6" w:space="0" w:color="000033"/>
                    <w:right w:val="outset" w:sz="6" w:space="0" w:color="000033"/>
                  </w:tcBorders>
                  <w:shd w:val="clear" w:color="auto" w:fill="003366"/>
                  <w:vAlign w:val="center"/>
                  <w:hideMark/>
                </w:tcPr>
                <w:p w:rsidR="00D95553" w:rsidRPr="00D95553" w:rsidRDefault="00D95553" w:rsidP="00D95553">
                  <w:pPr>
                    <w:spacing w:line="240" w:lineRule="auto"/>
                    <w:ind w:firstLine="0"/>
                    <w:jc w:val="center"/>
                    <w:rPr>
                      <w:rFonts w:ascii="Arial" w:eastAsia="Times New Roman" w:hAnsi="Arial" w:cs="Arial"/>
                      <w:sz w:val="20"/>
                      <w:szCs w:val="20"/>
                    </w:rPr>
                  </w:pPr>
                  <w:r w:rsidRPr="00D95553">
                    <w:rPr>
                      <w:rFonts w:ascii="Arial" w:eastAsia="Times New Roman" w:hAnsi="Arial" w:cs="Arial"/>
                      <w:b/>
                      <w:bCs/>
                      <w:color w:val="FFFFFF"/>
                      <w:sz w:val="20"/>
                      <w:szCs w:val="20"/>
                    </w:rPr>
                    <w:t>Incorporation Date</w:t>
                  </w:r>
                </w:p>
              </w:tc>
              <w:tc>
                <w:tcPr>
                  <w:tcW w:w="1250" w:type="pct"/>
                  <w:tcBorders>
                    <w:top w:val="outset" w:sz="6" w:space="0" w:color="000033"/>
                    <w:left w:val="outset" w:sz="6" w:space="0" w:color="000033"/>
                    <w:bottom w:val="outset" w:sz="6" w:space="0" w:color="000033"/>
                    <w:right w:val="outset" w:sz="6" w:space="0" w:color="000033"/>
                  </w:tcBorders>
                  <w:shd w:val="clear" w:color="auto" w:fill="003366"/>
                  <w:vAlign w:val="center"/>
                  <w:hideMark/>
                </w:tcPr>
                <w:p w:rsidR="00D95553" w:rsidRPr="00D95553" w:rsidRDefault="00D95553" w:rsidP="00D95553">
                  <w:pPr>
                    <w:spacing w:line="240" w:lineRule="auto"/>
                    <w:ind w:firstLine="0"/>
                    <w:jc w:val="center"/>
                    <w:rPr>
                      <w:rFonts w:ascii="Arial" w:eastAsia="Times New Roman" w:hAnsi="Arial" w:cs="Arial"/>
                      <w:sz w:val="20"/>
                      <w:szCs w:val="20"/>
                    </w:rPr>
                  </w:pPr>
                  <w:r w:rsidRPr="00D95553">
                    <w:rPr>
                      <w:rFonts w:ascii="Arial" w:eastAsia="Times New Roman" w:hAnsi="Arial" w:cs="Arial"/>
                      <w:b/>
                      <w:bCs/>
                      <w:color w:val="FFFFFF"/>
                      <w:sz w:val="20"/>
                      <w:szCs w:val="20"/>
                    </w:rPr>
                    <w:t>Annex Effective Date</w:t>
                  </w:r>
                </w:p>
              </w:tc>
            </w:tr>
            <w:tr w:rsidR="00D95553" w:rsidRPr="00D95553">
              <w:trPr>
                <w:tblCellSpacing w:w="15" w:type="dxa"/>
              </w:trPr>
              <w:tc>
                <w:tcPr>
                  <w:tcW w:w="250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Annex IVS (Cash-settled Index Variance Swap)</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r>
            <w:tr w:rsidR="00D95553" w:rsidRPr="00D95553">
              <w:trPr>
                <w:tblCellSpacing w:w="15" w:type="dxa"/>
              </w:trPr>
              <w:tc>
                <w:tcPr>
                  <w:tcW w:w="250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Annex SVS (Cash-settled Share Variance Swap)</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r>
          </w:tbl>
          <w:p w:rsidR="00D95553" w:rsidRPr="00D95553" w:rsidRDefault="00D95553" w:rsidP="00D95553">
            <w:pPr>
              <w:spacing w:before="100" w:beforeAutospacing="1" w:after="100" w:afterAutospacing="1" w:line="240" w:lineRule="auto"/>
              <w:ind w:firstLine="0"/>
              <w:jc w:val="both"/>
              <w:rPr>
                <w:rFonts w:ascii="Arial" w:eastAsia="Times New Roman" w:hAnsi="Arial" w:cs="Arial"/>
                <w:sz w:val="20"/>
                <w:szCs w:val="20"/>
              </w:rPr>
            </w:pPr>
            <w:r w:rsidRPr="00D95553">
              <w:rPr>
                <w:rFonts w:ascii="Arial" w:eastAsia="Times New Roman" w:hAnsi="Arial" w:cs="Arial"/>
                <w:b/>
                <w:bCs/>
                <w:sz w:val="20"/>
                <w:szCs w:val="20"/>
              </w:rPr>
              <w:t>3. Side Letter for the 2007 AEJ Master Variance Swap Confirmation Agreement</w:t>
            </w:r>
          </w:p>
          <w:p w:rsidR="00D95553" w:rsidRPr="00D95553" w:rsidRDefault="00D95553" w:rsidP="00D95553">
            <w:pPr>
              <w:spacing w:before="100" w:beforeAutospacing="1" w:after="100" w:afterAutospacing="1" w:line="240" w:lineRule="auto"/>
              <w:ind w:firstLine="0"/>
              <w:jc w:val="both"/>
              <w:rPr>
                <w:rFonts w:ascii="Arial" w:eastAsia="Times New Roman" w:hAnsi="Arial" w:cs="Arial"/>
                <w:sz w:val="20"/>
                <w:szCs w:val="20"/>
              </w:rPr>
            </w:pPr>
            <w:r w:rsidRPr="00D95553">
              <w:rPr>
                <w:rFonts w:ascii="Arial" w:eastAsia="Times New Roman" w:hAnsi="Arial" w:cs="Arial"/>
                <w:sz w:val="20"/>
                <w:szCs w:val="20"/>
              </w:rPr>
              <w:t>Party A and Party B have agreed on the relevant Incorporation Date specified below that the following Annexes will be subject to the </w:t>
            </w:r>
            <w:r w:rsidRPr="00D95553">
              <w:rPr>
                <w:rFonts w:ascii="Arial" w:eastAsia="Times New Roman" w:hAnsi="Arial" w:cs="Arial"/>
                <w:b/>
                <w:bCs/>
                <w:sz w:val="20"/>
                <w:szCs w:val="20"/>
              </w:rPr>
              <w:t>2007 AEJ Master Variance Swap Confirmation Agreement</w:t>
            </w:r>
            <w:r w:rsidRPr="00D95553">
              <w:rPr>
                <w:rFonts w:ascii="Arial" w:eastAsia="Times New Roman" w:hAnsi="Arial" w:cs="Arial"/>
                <w:sz w:val="20"/>
                <w:szCs w:val="20"/>
              </w:rPr>
              <w:t>, effective as of the Annex Effective Date specified below:</w:t>
            </w:r>
          </w:p>
          <w:tbl>
            <w:tblPr>
              <w:tblW w:w="5000" w:type="pct"/>
              <w:tblCellSpacing w:w="15" w:type="dxa"/>
              <w:tblBorders>
                <w:top w:val="outset" w:sz="6" w:space="0" w:color="000033"/>
                <w:left w:val="outset" w:sz="6" w:space="0" w:color="000033"/>
                <w:bottom w:val="outset" w:sz="6" w:space="0" w:color="000033"/>
                <w:right w:val="outset" w:sz="6" w:space="0" w:color="000033"/>
              </w:tblBorders>
              <w:shd w:val="clear" w:color="auto" w:fill="F2F2F2"/>
              <w:tblCellMar>
                <w:top w:w="15" w:type="dxa"/>
                <w:left w:w="15" w:type="dxa"/>
                <w:bottom w:w="15" w:type="dxa"/>
                <w:right w:w="15" w:type="dxa"/>
              </w:tblCellMar>
              <w:tblLook w:val="04A0" w:firstRow="1" w:lastRow="0" w:firstColumn="1" w:lastColumn="0" w:noHBand="0" w:noVBand="1"/>
            </w:tblPr>
            <w:tblGrid>
              <w:gridCol w:w="4657"/>
              <w:gridCol w:w="2336"/>
              <w:gridCol w:w="2351"/>
            </w:tblGrid>
            <w:tr w:rsidR="00D95553" w:rsidRPr="00D95553">
              <w:trPr>
                <w:tblCellSpacing w:w="15" w:type="dxa"/>
              </w:trPr>
              <w:tc>
                <w:tcPr>
                  <w:tcW w:w="2500" w:type="pct"/>
                  <w:tcBorders>
                    <w:top w:val="outset" w:sz="6" w:space="0" w:color="000033"/>
                    <w:left w:val="outset" w:sz="6" w:space="0" w:color="000033"/>
                    <w:bottom w:val="outset" w:sz="6" w:space="0" w:color="000033"/>
                    <w:right w:val="outset" w:sz="6" w:space="0" w:color="000033"/>
                  </w:tcBorders>
                  <w:shd w:val="clear" w:color="auto" w:fill="003366"/>
                  <w:vAlign w:val="center"/>
                  <w:hideMark/>
                </w:tcPr>
                <w:p w:rsidR="00D95553" w:rsidRPr="00D95553" w:rsidRDefault="00D95553" w:rsidP="00D95553">
                  <w:pPr>
                    <w:spacing w:line="240" w:lineRule="auto"/>
                    <w:ind w:firstLine="0"/>
                    <w:jc w:val="center"/>
                    <w:rPr>
                      <w:rFonts w:ascii="Arial" w:eastAsia="Times New Roman" w:hAnsi="Arial" w:cs="Arial"/>
                      <w:sz w:val="20"/>
                      <w:szCs w:val="20"/>
                    </w:rPr>
                  </w:pPr>
                  <w:r w:rsidRPr="00D95553">
                    <w:rPr>
                      <w:rFonts w:ascii="Arial" w:eastAsia="Times New Roman" w:hAnsi="Arial" w:cs="Arial"/>
                      <w:b/>
                      <w:bCs/>
                      <w:color w:val="FFFFFF"/>
                      <w:sz w:val="20"/>
                      <w:szCs w:val="20"/>
                    </w:rPr>
                    <w:t>Annex</w:t>
                  </w:r>
                </w:p>
              </w:tc>
              <w:tc>
                <w:tcPr>
                  <w:tcW w:w="1250" w:type="pct"/>
                  <w:tcBorders>
                    <w:top w:val="outset" w:sz="6" w:space="0" w:color="000033"/>
                    <w:left w:val="outset" w:sz="6" w:space="0" w:color="000033"/>
                    <w:bottom w:val="outset" w:sz="6" w:space="0" w:color="000033"/>
                    <w:right w:val="outset" w:sz="6" w:space="0" w:color="000033"/>
                  </w:tcBorders>
                  <w:shd w:val="clear" w:color="auto" w:fill="003366"/>
                  <w:vAlign w:val="center"/>
                  <w:hideMark/>
                </w:tcPr>
                <w:p w:rsidR="00D95553" w:rsidRPr="00D95553" w:rsidRDefault="00D95553" w:rsidP="00D95553">
                  <w:pPr>
                    <w:spacing w:line="240" w:lineRule="auto"/>
                    <w:ind w:firstLine="0"/>
                    <w:jc w:val="center"/>
                    <w:rPr>
                      <w:rFonts w:ascii="Arial" w:eastAsia="Times New Roman" w:hAnsi="Arial" w:cs="Arial"/>
                      <w:sz w:val="20"/>
                      <w:szCs w:val="20"/>
                    </w:rPr>
                  </w:pPr>
                  <w:r w:rsidRPr="00D95553">
                    <w:rPr>
                      <w:rFonts w:ascii="Arial" w:eastAsia="Times New Roman" w:hAnsi="Arial" w:cs="Arial"/>
                      <w:b/>
                      <w:bCs/>
                      <w:color w:val="FFFFFF"/>
                      <w:sz w:val="20"/>
                      <w:szCs w:val="20"/>
                    </w:rPr>
                    <w:t>Incorporation Date</w:t>
                  </w:r>
                </w:p>
              </w:tc>
              <w:tc>
                <w:tcPr>
                  <w:tcW w:w="1250" w:type="pct"/>
                  <w:tcBorders>
                    <w:top w:val="outset" w:sz="6" w:space="0" w:color="000033"/>
                    <w:left w:val="outset" w:sz="6" w:space="0" w:color="000033"/>
                    <w:bottom w:val="outset" w:sz="6" w:space="0" w:color="000033"/>
                    <w:right w:val="outset" w:sz="6" w:space="0" w:color="000033"/>
                  </w:tcBorders>
                  <w:shd w:val="clear" w:color="auto" w:fill="003366"/>
                  <w:vAlign w:val="center"/>
                  <w:hideMark/>
                </w:tcPr>
                <w:p w:rsidR="00D95553" w:rsidRPr="00D95553" w:rsidRDefault="00D95553" w:rsidP="00D95553">
                  <w:pPr>
                    <w:spacing w:line="240" w:lineRule="auto"/>
                    <w:ind w:firstLine="0"/>
                    <w:jc w:val="center"/>
                    <w:rPr>
                      <w:rFonts w:ascii="Arial" w:eastAsia="Times New Roman" w:hAnsi="Arial" w:cs="Arial"/>
                      <w:sz w:val="20"/>
                      <w:szCs w:val="20"/>
                    </w:rPr>
                  </w:pPr>
                  <w:r w:rsidRPr="00D95553">
                    <w:rPr>
                      <w:rFonts w:ascii="Arial" w:eastAsia="Times New Roman" w:hAnsi="Arial" w:cs="Arial"/>
                      <w:b/>
                      <w:bCs/>
                      <w:color w:val="FFFFFF"/>
                      <w:sz w:val="20"/>
                      <w:szCs w:val="20"/>
                    </w:rPr>
                    <w:t>Annex Effective Date</w:t>
                  </w:r>
                </w:p>
              </w:tc>
            </w:tr>
            <w:tr w:rsidR="00D95553" w:rsidRPr="00D95553">
              <w:trPr>
                <w:tblCellSpacing w:w="15" w:type="dxa"/>
              </w:trPr>
              <w:tc>
                <w:tcPr>
                  <w:tcW w:w="250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Annex IVS (Cash-settled Index Variance Swap)</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r>
            <w:tr w:rsidR="00D95553" w:rsidRPr="00D95553">
              <w:trPr>
                <w:tblCellSpacing w:w="15" w:type="dxa"/>
              </w:trPr>
              <w:tc>
                <w:tcPr>
                  <w:tcW w:w="250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Annex SVS (Cash-settled Share Variance Swap)</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r>
          </w:tbl>
          <w:p w:rsidR="00D95553" w:rsidRPr="00D95553" w:rsidRDefault="00D95553" w:rsidP="00D95553">
            <w:pPr>
              <w:spacing w:before="100" w:beforeAutospacing="1" w:after="100" w:afterAutospacing="1" w:line="240" w:lineRule="auto"/>
              <w:ind w:firstLine="0"/>
              <w:jc w:val="both"/>
              <w:rPr>
                <w:rFonts w:ascii="Arial" w:eastAsia="Times New Roman" w:hAnsi="Arial" w:cs="Arial"/>
                <w:sz w:val="20"/>
                <w:szCs w:val="20"/>
              </w:rPr>
            </w:pPr>
            <w:r w:rsidRPr="00D95553">
              <w:rPr>
                <w:rFonts w:ascii="Arial" w:eastAsia="Times New Roman" w:hAnsi="Arial" w:cs="Arial"/>
                <w:b/>
                <w:bCs/>
                <w:sz w:val="20"/>
                <w:szCs w:val="20"/>
              </w:rPr>
              <w:t>4. Side Letter for the Revised 2007 European Variance Swap Master Confirmation Agreement</w:t>
            </w:r>
          </w:p>
          <w:p w:rsidR="00D95553" w:rsidRPr="00D95553" w:rsidRDefault="00D95553" w:rsidP="00D95553">
            <w:pPr>
              <w:spacing w:before="100" w:beforeAutospacing="1" w:after="100" w:afterAutospacing="1" w:line="240" w:lineRule="auto"/>
              <w:ind w:firstLine="0"/>
              <w:jc w:val="both"/>
              <w:rPr>
                <w:rFonts w:ascii="Arial" w:eastAsia="Times New Roman" w:hAnsi="Arial" w:cs="Arial"/>
                <w:sz w:val="20"/>
                <w:szCs w:val="20"/>
              </w:rPr>
            </w:pPr>
            <w:r w:rsidRPr="00D95553">
              <w:rPr>
                <w:rFonts w:ascii="Arial" w:eastAsia="Times New Roman" w:hAnsi="Arial" w:cs="Arial"/>
                <w:sz w:val="20"/>
                <w:szCs w:val="20"/>
              </w:rPr>
              <w:lastRenderedPageBreak/>
              <w:t>Party A and Party B have agreed on the relevant Incorporation Date specified below that the following Annexes will be subject to the </w:t>
            </w:r>
            <w:r w:rsidRPr="00D95553">
              <w:rPr>
                <w:rFonts w:ascii="Arial" w:eastAsia="Times New Roman" w:hAnsi="Arial" w:cs="Arial"/>
                <w:b/>
                <w:bCs/>
                <w:sz w:val="20"/>
                <w:szCs w:val="20"/>
              </w:rPr>
              <w:t>Revised 2007 European Variance Swap Master Confirmation Agreement</w:t>
            </w:r>
            <w:r w:rsidRPr="00D95553">
              <w:rPr>
                <w:rFonts w:ascii="Arial" w:eastAsia="Times New Roman" w:hAnsi="Arial" w:cs="Arial"/>
                <w:sz w:val="20"/>
                <w:szCs w:val="20"/>
              </w:rPr>
              <w:t>, effective as of the Annex Effective Date specified below:</w:t>
            </w:r>
          </w:p>
          <w:tbl>
            <w:tblPr>
              <w:tblW w:w="5000" w:type="pct"/>
              <w:tblCellSpacing w:w="15" w:type="dxa"/>
              <w:tblBorders>
                <w:top w:val="outset" w:sz="6" w:space="0" w:color="000033"/>
                <w:left w:val="outset" w:sz="6" w:space="0" w:color="000033"/>
                <w:bottom w:val="outset" w:sz="6" w:space="0" w:color="000033"/>
                <w:right w:val="outset" w:sz="6" w:space="0" w:color="000033"/>
              </w:tblBorders>
              <w:shd w:val="clear" w:color="auto" w:fill="F2F2F2"/>
              <w:tblCellMar>
                <w:top w:w="15" w:type="dxa"/>
                <w:left w:w="15" w:type="dxa"/>
                <w:bottom w:w="15" w:type="dxa"/>
                <w:right w:w="15" w:type="dxa"/>
              </w:tblCellMar>
              <w:tblLook w:val="04A0" w:firstRow="1" w:lastRow="0" w:firstColumn="1" w:lastColumn="0" w:noHBand="0" w:noVBand="1"/>
            </w:tblPr>
            <w:tblGrid>
              <w:gridCol w:w="4657"/>
              <w:gridCol w:w="2336"/>
              <w:gridCol w:w="2351"/>
            </w:tblGrid>
            <w:tr w:rsidR="00D95553" w:rsidRPr="00D95553">
              <w:trPr>
                <w:tblCellSpacing w:w="15" w:type="dxa"/>
              </w:trPr>
              <w:tc>
                <w:tcPr>
                  <w:tcW w:w="2500" w:type="pct"/>
                  <w:tcBorders>
                    <w:top w:val="outset" w:sz="6" w:space="0" w:color="000033"/>
                    <w:left w:val="outset" w:sz="6" w:space="0" w:color="000033"/>
                    <w:bottom w:val="outset" w:sz="6" w:space="0" w:color="000033"/>
                    <w:right w:val="outset" w:sz="6" w:space="0" w:color="000033"/>
                  </w:tcBorders>
                  <w:shd w:val="clear" w:color="auto" w:fill="003366"/>
                  <w:vAlign w:val="center"/>
                  <w:hideMark/>
                </w:tcPr>
                <w:p w:rsidR="00D95553" w:rsidRPr="00D95553" w:rsidRDefault="00D95553" w:rsidP="00D95553">
                  <w:pPr>
                    <w:spacing w:line="240" w:lineRule="auto"/>
                    <w:ind w:firstLine="0"/>
                    <w:jc w:val="center"/>
                    <w:rPr>
                      <w:rFonts w:ascii="Arial" w:eastAsia="Times New Roman" w:hAnsi="Arial" w:cs="Arial"/>
                      <w:sz w:val="20"/>
                      <w:szCs w:val="20"/>
                    </w:rPr>
                  </w:pPr>
                  <w:r w:rsidRPr="00D95553">
                    <w:rPr>
                      <w:rFonts w:ascii="Arial" w:eastAsia="Times New Roman" w:hAnsi="Arial" w:cs="Arial"/>
                      <w:b/>
                      <w:bCs/>
                      <w:color w:val="FFFFFF"/>
                      <w:sz w:val="20"/>
                      <w:szCs w:val="20"/>
                    </w:rPr>
                    <w:t>Annex</w:t>
                  </w:r>
                </w:p>
              </w:tc>
              <w:tc>
                <w:tcPr>
                  <w:tcW w:w="1250" w:type="pct"/>
                  <w:tcBorders>
                    <w:top w:val="outset" w:sz="6" w:space="0" w:color="000033"/>
                    <w:left w:val="outset" w:sz="6" w:space="0" w:color="000033"/>
                    <w:bottom w:val="outset" w:sz="6" w:space="0" w:color="000033"/>
                    <w:right w:val="outset" w:sz="6" w:space="0" w:color="000033"/>
                  </w:tcBorders>
                  <w:shd w:val="clear" w:color="auto" w:fill="003366"/>
                  <w:vAlign w:val="center"/>
                  <w:hideMark/>
                </w:tcPr>
                <w:p w:rsidR="00D95553" w:rsidRPr="00D95553" w:rsidRDefault="00D95553" w:rsidP="00D95553">
                  <w:pPr>
                    <w:spacing w:line="240" w:lineRule="auto"/>
                    <w:ind w:firstLine="0"/>
                    <w:jc w:val="center"/>
                    <w:rPr>
                      <w:rFonts w:ascii="Arial" w:eastAsia="Times New Roman" w:hAnsi="Arial" w:cs="Arial"/>
                      <w:sz w:val="20"/>
                      <w:szCs w:val="20"/>
                    </w:rPr>
                  </w:pPr>
                  <w:r w:rsidRPr="00D95553">
                    <w:rPr>
                      <w:rFonts w:ascii="Arial" w:eastAsia="Times New Roman" w:hAnsi="Arial" w:cs="Arial"/>
                      <w:b/>
                      <w:bCs/>
                      <w:color w:val="FFFFFF"/>
                      <w:sz w:val="20"/>
                      <w:szCs w:val="20"/>
                    </w:rPr>
                    <w:t>Incorporation Date</w:t>
                  </w:r>
                </w:p>
              </w:tc>
              <w:tc>
                <w:tcPr>
                  <w:tcW w:w="1250" w:type="pct"/>
                  <w:tcBorders>
                    <w:top w:val="outset" w:sz="6" w:space="0" w:color="000033"/>
                    <w:left w:val="outset" w:sz="6" w:space="0" w:color="000033"/>
                    <w:bottom w:val="outset" w:sz="6" w:space="0" w:color="000033"/>
                    <w:right w:val="outset" w:sz="6" w:space="0" w:color="000033"/>
                  </w:tcBorders>
                  <w:shd w:val="clear" w:color="auto" w:fill="003366"/>
                  <w:vAlign w:val="center"/>
                  <w:hideMark/>
                </w:tcPr>
                <w:p w:rsidR="00D95553" w:rsidRPr="00D95553" w:rsidRDefault="00D95553" w:rsidP="00D95553">
                  <w:pPr>
                    <w:spacing w:line="240" w:lineRule="auto"/>
                    <w:ind w:firstLine="0"/>
                    <w:jc w:val="center"/>
                    <w:rPr>
                      <w:rFonts w:ascii="Arial" w:eastAsia="Times New Roman" w:hAnsi="Arial" w:cs="Arial"/>
                      <w:sz w:val="20"/>
                      <w:szCs w:val="20"/>
                    </w:rPr>
                  </w:pPr>
                  <w:r w:rsidRPr="00D95553">
                    <w:rPr>
                      <w:rFonts w:ascii="Arial" w:eastAsia="Times New Roman" w:hAnsi="Arial" w:cs="Arial"/>
                      <w:b/>
                      <w:bCs/>
                      <w:color w:val="FFFFFF"/>
                      <w:sz w:val="20"/>
                      <w:szCs w:val="20"/>
                    </w:rPr>
                    <w:t>Annex Effective Date</w:t>
                  </w:r>
                </w:p>
              </w:tc>
            </w:tr>
            <w:tr w:rsidR="00D95553" w:rsidRPr="00D95553">
              <w:trPr>
                <w:tblCellSpacing w:w="15" w:type="dxa"/>
              </w:trPr>
              <w:tc>
                <w:tcPr>
                  <w:tcW w:w="250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Annex IVS (Index Variance Swap)</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r>
            <w:tr w:rsidR="00D95553" w:rsidRPr="00D95553">
              <w:trPr>
                <w:tblCellSpacing w:w="15" w:type="dxa"/>
              </w:trPr>
              <w:tc>
                <w:tcPr>
                  <w:tcW w:w="250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Annex SVS (Share Variance Swap)</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r>
          </w:tbl>
          <w:p w:rsidR="00D95553" w:rsidRPr="00D95553" w:rsidRDefault="00D95553" w:rsidP="00D95553">
            <w:pPr>
              <w:spacing w:before="100" w:beforeAutospacing="1" w:after="100" w:afterAutospacing="1" w:line="240" w:lineRule="auto"/>
              <w:ind w:firstLine="0"/>
              <w:jc w:val="both"/>
              <w:rPr>
                <w:rFonts w:ascii="Arial" w:eastAsia="Times New Roman" w:hAnsi="Arial" w:cs="Arial"/>
                <w:sz w:val="20"/>
                <w:szCs w:val="20"/>
              </w:rPr>
            </w:pPr>
            <w:r w:rsidRPr="00D95553">
              <w:rPr>
                <w:rFonts w:ascii="Arial" w:eastAsia="Times New Roman" w:hAnsi="Arial" w:cs="Arial"/>
                <w:b/>
                <w:bCs/>
                <w:sz w:val="20"/>
                <w:szCs w:val="20"/>
              </w:rPr>
              <w:t>5. Side Letter for the 2006 Japan Master Variance Swap Confirmation Agreement</w:t>
            </w:r>
          </w:p>
          <w:p w:rsidR="00D95553" w:rsidRPr="00D95553" w:rsidRDefault="00D95553" w:rsidP="00D95553">
            <w:pPr>
              <w:spacing w:before="100" w:beforeAutospacing="1" w:after="100" w:afterAutospacing="1" w:line="240" w:lineRule="auto"/>
              <w:ind w:firstLine="0"/>
              <w:jc w:val="both"/>
              <w:rPr>
                <w:rFonts w:ascii="Arial" w:eastAsia="Times New Roman" w:hAnsi="Arial" w:cs="Arial"/>
                <w:sz w:val="20"/>
                <w:szCs w:val="20"/>
              </w:rPr>
            </w:pPr>
            <w:r w:rsidRPr="00D95553">
              <w:rPr>
                <w:rFonts w:ascii="Arial" w:eastAsia="Times New Roman" w:hAnsi="Arial" w:cs="Arial"/>
                <w:sz w:val="20"/>
                <w:szCs w:val="20"/>
              </w:rPr>
              <w:t>Party A and Party B have agreed on the relevant Incorporation Date specified below that the following Annexes will be subject to the </w:t>
            </w:r>
            <w:r w:rsidRPr="00D95553">
              <w:rPr>
                <w:rFonts w:ascii="Arial" w:eastAsia="Times New Roman" w:hAnsi="Arial" w:cs="Arial"/>
                <w:b/>
                <w:bCs/>
                <w:sz w:val="20"/>
                <w:szCs w:val="20"/>
              </w:rPr>
              <w:t>2006 Japan Master Variance Swap Confirmation Agreement</w:t>
            </w:r>
            <w:r w:rsidRPr="00D95553">
              <w:rPr>
                <w:rFonts w:ascii="Arial" w:eastAsia="Times New Roman" w:hAnsi="Arial" w:cs="Arial"/>
                <w:sz w:val="20"/>
                <w:szCs w:val="20"/>
              </w:rPr>
              <w:t>, effective as of the Annex Effective Date specified below:</w:t>
            </w:r>
          </w:p>
          <w:tbl>
            <w:tblPr>
              <w:tblW w:w="5000" w:type="pct"/>
              <w:tblCellSpacing w:w="15" w:type="dxa"/>
              <w:tblBorders>
                <w:top w:val="outset" w:sz="6" w:space="0" w:color="000033"/>
                <w:left w:val="outset" w:sz="6" w:space="0" w:color="000033"/>
                <w:bottom w:val="outset" w:sz="6" w:space="0" w:color="000033"/>
                <w:right w:val="outset" w:sz="6" w:space="0" w:color="000033"/>
              </w:tblBorders>
              <w:shd w:val="clear" w:color="auto" w:fill="F2F2F2"/>
              <w:tblCellMar>
                <w:top w:w="15" w:type="dxa"/>
                <w:left w:w="15" w:type="dxa"/>
                <w:bottom w:w="15" w:type="dxa"/>
                <w:right w:w="15" w:type="dxa"/>
              </w:tblCellMar>
              <w:tblLook w:val="04A0" w:firstRow="1" w:lastRow="0" w:firstColumn="1" w:lastColumn="0" w:noHBand="0" w:noVBand="1"/>
            </w:tblPr>
            <w:tblGrid>
              <w:gridCol w:w="4657"/>
              <w:gridCol w:w="2336"/>
              <w:gridCol w:w="2351"/>
            </w:tblGrid>
            <w:tr w:rsidR="00D95553" w:rsidRPr="00D95553">
              <w:trPr>
                <w:tblCellSpacing w:w="15" w:type="dxa"/>
              </w:trPr>
              <w:tc>
                <w:tcPr>
                  <w:tcW w:w="2500" w:type="pct"/>
                  <w:tcBorders>
                    <w:top w:val="outset" w:sz="6" w:space="0" w:color="000033"/>
                    <w:left w:val="outset" w:sz="6" w:space="0" w:color="000033"/>
                    <w:bottom w:val="outset" w:sz="6" w:space="0" w:color="000033"/>
                    <w:right w:val="outset" w:sz="6" w:space="0" w:color="000033"/>
                  </w:tcBorders>
                  <w:shd w:val="clear" w:color="auto" w:fill="003366"/>
                  <w:vAlign w:val="center"/>
                  <w:hideMark/>
                </w:tcPr>
                <w:p w:rsidR="00D95553" w:rsidRPr="00D95553" w:rsidRDefault="00D95553" w:rsidP="00D95553">
                  <w:pPr>
                    <w:spacing w:line="240" w:lineRule="auto"/>
                    <w:ind w:firstLine="0"/>
                    <w:jc w:val="center"/>
                    <w:rPr>
                      <w:rFonts w:ascii="Arial" w:eastAsia="Times New Roman" w:hAnsi="Arial" w:cs="Arial"/>
                      <w:sz w:val="20"/>
                      <w:szCs w:val="20"/>
                    </w:rPr>
                  </w:pPr>
                  <w:r w:rsidRPr="00D95553">
                    <w:rPr>
                      <w:rFonts w:ascii="Arial" w:eastAsia="Times New Roman" w:hAnsi="Arial" w:cs="Arial"/>
                      <w:b/>
                      <w:bCs/>
                      <w:color w:val="FFFFFF"/>
                      <w:sz w:val="20"/>
                      <w:szCs w:val="20"/>
                    </w:rPr>
                    <w:t>Annex</w:t>
                  </w:r>
                </w:p>
              </w:tc>
              <w:tc>
                <w:tcPr>
                  <w:tcW w:w="1250" w:type="pct"/>
                  <w:tcBorders>
                    <w:top w:val="outset" w:sz="6" w:space="0" w:color="000033"/>
                    <w:left w:val="outset" w:sz="6" w:space="0" w:color="000033"/>
                    <w:bottom w:val="outset" w:sz="6" w:space="0" w:color="000033"/>
                    <w:right w:val="outset" w:sz="6" w:space="0" w:color="000033"/>
                  </w:tcBorders>
                  <w:shd w:val="clear" w:color="auto" w:fill="003366"/>
                  <w:vAlign w:val="center"/>
                  <w:hideMark/>
                </w:tcPr>
                <w:p w:rsidR="00D95553" w:rsidRPr="00D95553" w:rsidRDefault="00D95553" w:rsidP="00D95553">
                  <w:pPr>
                    <w:spacing w:line="240" w:lineRule="auto"/>
                    <w:ind w:firstLine="0"/>
                    <w:jc w:val="center"/>
                    <w:rPr>
                      <w:rFonts w:ascii="Arial" w:eastAsia="Times New Roman" w:hAnsi="Arial" w:cs="Arial"/>
                      <w:sz w:val="20"/>
                      <w:szCs w:val="20"/>
                    </w:rPr>
                  </w:pPr>
                  <w:r w:rsidRPr="00D95553">
                    <w:rPr>
                      <w:rFonts w:ascii="Arial" w:eastAsia="Times New Roman" w:hAnsi="Arial" w:cs="Arial"/>
                      <w:b/>
                      <w:bCs/>
                      <w:color w:val="FFFFFF"/>
                      <w:sz w:val="20"/>
                      <w:szCs w:val="20"/>
                    </w:rPr>
                    <w:t>Incorporation Date</w:t>
                  </w:r>
                </w:p>
              </w:tc>
              <w:tc>
                <w:tcPr>
                  <w:tcW w:w="1250" w:type="pct"/>
                  <w:tcBorders>
                    <w:top w:val="outset" w:sz="6" w:space="0" w:color="000033"/>
                    <w:left w:val="outset" w:sz="6" w:space="0" w:color="000033"/>
                    <w:bottom w:val="outset" w:sz="6" w:space="0" w:color="000033"/>
                    <w:right w:val="outset" w:sz="6" w:space="0" w:color="000033"/>
                  </w:tcBorders>
                  <w:shd w:val="clear" w:color="auto" w:fill="003366"/>
                  <w:vAlign w:val="center"/>
                  <w:hideMark/>
                </w:tcPr>
                <w:p w:rsidR="00D95553" w:rsidRPr="00D95553" w:rsidRDefault="00D95553" w:rsidP="00D95553">
                  <w:pPr>
                    <w:spacing w:line="240" w:lineRule="auto"/>
                    <w:ind w:firstLine="0"/>
                    <w:jc w:val="center"/>
                    <w:rPr>
                      <w:rFonts w:ascii="Arial" w:eastAsia="Times New Roman" w:hAnsi="Arial" w:cs="Arial"/>
                      <w:sz w:val="20"/>
                      <w:szCs w:val="20"/>
                    </w:rPr>
                  </w:pPr>
                  <w:r w:rsidRPr="00D95553">
                    <w:rPr>
                      <w:rFonts w:ascii="Arial" w:eastAsia="Times New Roman" w:hAnsi="Arial" w:cs="Arial"/>
                      <w:b/>
                      <w:bCs/>
                      <w:color w:val="FFFFFF"/>
                      <w:sz w:val="20"/>
                      <w:szCs w:val="20"/>
                    </w:rPr>
                    <w:t>Annex Effective Date</w:t>
                  </w:r>
                </w:p>
              </w:tc>
            </w:tr>
            <w:tr w:rsidR="00D95553" w:rsidRPr="00D95553">
              <w:trPr>
                <w:tblCellSpacing w:w="15" w:type="dxa"/>
              </w:trPr>
              <w:tc>
                <w:tcPr>
                  <w:tcW w:w="250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Annex IVS (Cash-settled Index Variance Swap)</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r>
            <w:tr w:rsidR="00D95553" w:rsidRPr="00D95553">
              <w:trPr>
                <w:tblCellSpacing w:w="15" w:type="dxa"/>
              </w:trPr>
              <w:tc>
                <w:tcPr>
                  <w:tcW w:w="250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Annex SVS (Cash-settled Share Variance Swap)</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c>
                <w:tcPr>
                  <w:tcW w:w="1250" w:type="pct"/>
                  <w:tcBorders>
                    <w:top w:val="outset" w:sz="6" w:space="0" w:color="000033"/>
                    <w:left w:val="outset" w:sz="6" w:space="0" w:color="000033"/>
                    <w:bottom w:val="outset" w:sz="6" w:space="0" w:color="000033"/>
                    <w:right w:val="outset" w:sz="6" w:space="0" w:color="000033"/>
                  </w:tcBorders>
                  <w:shd w:val="clear" w:color="auto" w:fill="F2F2F2"/>
                  <w:vAlign w:val="center"/>
                  <w:hideMark/>
                </w:tcPr>
                <w:p w:rsidR="00D95553" w:rsidRPr="00D95553" w:rsidRDefault="00D95553" w:rsidP="00D95553">
                  <w:pPr>
                    <w:spacing w:line="240" w:lineRule="auto"/>
                    <w:ind w:firstLine="0"/>
                    <w:rPr>
                      <w:rFonts w:ascii="Arial" w:eastAsia="Times New Roman" w:hAnsi="Arial" w:cs="Arial"/>
                      <w:sz w:val="20"/>
                      <w:szCs w:val="20"/>
                    </w:rPr>
                  </w:pPr>
                  <w:r w:rsidRPr="00D95553">
                    <w:rPr>
                      <w:rFonts w:ascii="Arial" w:eastAsia="Times New Roman" w:hAnsi="Arial" w:cs="Arial"/>
                      <w:sz w:val="20"/>
                      <w:szCs w:val="20"/>
                    </w:rPr>
                    <w:t> </w:t>
                  </w:r>
                </w:p>
              </w:tc>
            </w:tr>
          </w:tbl>
          <w:p w:rsidR="00D95553" w:rsidRPr="00D95553" w:rsidRDefault="00D95553" w:rsidP="00D95553">
            <w:pPr>
              <w:spacing w:before="100" w:beforeAutospacing="1" w:after="100" w:afterAutospacing="1" w:line="240" w:lineRule="auto"/>
              <w:ind w:firstLine="0"/>
              <w:jc w:val="both"/>
              <w:rPr>
                <w:rFonts w:ascii="Arial" w:eastAsia="Times New Roman" w:hAnsi="Arial" w:cs="Arial"/>
                <w:sz w:val="20"/>
                <w:szCs w:val="20"/>
              </w:rPr>
            </w:pPr>
            <w:r w:rsidRPr="00D95553">
              <w:rPr>
                <w:rFonts w:ascii="Arial" w:eastAsia="Times New Roman" w:hAnsi="Arial" w:cs="Arial"/>
                <w:sz w:val="20"/>
                <w:szCs w:val="20"/>
              </w:rPr>
              <w:t> </w:t>
            </w:r>
          </w:p>
        </w:tc>
      </w:tr>
    </w:tbl>
    <w:p w:rsidR="00054772" w:rsidRDefault="00054772">
      <w:bookmarkStart w:id="1" w:name="_GoBack"/>
      <w:bookmarkEnd w:id="1"/>
    </w:p>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53"/>
    <w:rsid w:val="00054772"/>
    <w:rsid w:val="001560F7"/>
    <w:rsid w:val="006176CB"/>
    <w:rsid w:val="008C78A4"/>
    <w:rsid w:val="00D95553"/>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5C731-3120-43E0-A5C4-4A840F68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553"/>
    <w:pPr>
      <w:spacing w:before="100" w:beforeAutospacing="1" w:after="100" w:afterAutospacing="1" w:line="240" w:lineRule="auto"/>
      <w:ind w:firstLine="0"/>
    </w:pPr>
    <w:rPr>
      <w:rFonts w:eastAsia="Times New Roman" w:cs="Times New Roman"/>
    </w:rPr>
  </w:style>
  <w:style w:type="character" w:styleId="Strong">
    <w:name w:val="Strong"/>
    <w:basedOn w:val="DefaultParagraphFont"/>
    <w:uiPriority w:val="22"/>
    <w:qFormat/>
    <w:rsid w:val="00D95553"/>
    <w:rPr>
      <w:b/>
      <w:bCs/>
    </w:rPr>
  </w:style>
  <w:style w:type="character" w:styleId="Hyperlink">
    <w:name w:val="Hyperlink"/>
    <w:basedOn w:val="DefaultParagraphFont"/>
    <w:uiPriority w:val="99"/>
    <w:semiHidden/>
    <w:unhideWhenUsed/>
    <w:rsid w:val="00D955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2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da.org/equitymcaprot/equitymca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2017-12-06T15:32:00Z</dcterms:created>
  <dcterms:modified xsi:type="dcterms:W3CDTF">2017-12-06T15:32:00Z</dcterms:modified>
</cp:coreProperties>
</file>