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E1EB6" w14:textId="738E45A3" w:rsidR="00D24A18" w:rsidRDefault="00D24A18">
      <w:pPr>
        <w:pStyle w:val="BodyText"/>
        <w:rPr>
          <w:rFonts w:ascii="Times New Roman"/>
          <w:sz w:val="20"/>
        </w:rPr>
      </w:pPr>
    </w:p>
    <w:p w14:paraId="689E1EB7" w14:textId="341280BE" w:rsidR="00D24A18" w:rsidRDefault="00E96773">
      <w:pPr>
        <w:pStyle w:val="BodyText"/>
        <w:rPr>
          <w:rFonts w:ascii="Times New Roman"/>
          <w:sz w:val="20"/>
        </w:rPr>
      </w:pPr>
      <w:r>
        <w:rPr>
          <w:noProof/>
          <w:sz w:val="20"/>
        </w:rPr>
        <w:drawing>
          <wp:anchor distT="0" distB="0" distL="114300" distR="114300" simplePos="0" relativeHeight="251672576" behindDoc="1" locked="0" layoutInCell="1" allowOverlap="1" wp14:anchorId="463E0157" wp14:editId="4D0C40DD">
            <wp:simplePos x="0" y="0"/>
            <wp:positionH relativeFrom="column">
              <wp:posOffset>4937760</wp:posOffset>
            </wp:positionH>
            <wp:positionV relativeFrom="paragraph">
              <wp:posOffset>151765</wp:posOffset>
            </wp:positionV>
            <wp:extent cx="1721485" cy="602615"/>
            <wp:effectExtent l="0" t="0" r="0" b="0"/>
            <wp:wrapTight wrapText="bothSides">
              <wp:wrapPolygon edited="0">
                <wp:start x="0" y="0"/>
                <wp:lineTo x="0" y="21168"/>
                <wp:lineTo x="21273" y="21168"/>
                <wp:lineTo x="21273" y="0"/>
                <wp:lineTo x="0" y="0"/>
              </wp:wrapPolygon>
            </wp:wrapTight>
            <wp:docPr id="3" name="image2.jpeg"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close-up of a logo&#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1485" cy="602615"/>
                    </a:xfrm>
                    <a:prstGeom prst="rect">
                      <a:avLst/>
                    </a:prstGeom>
                  </pic:spPr>
                </pic:pic>
              </a:graphicData>
            </a:graphic>
          </wp:anchor>
        </w:drawing>
      </w:r>
    </w:p>
    <w:p w14:paraId="689E1EB8" w14:textId="0ED7987E" w:rsidR="00D24A18" w:rsidRDefault="009102D9">
      <w:pPr>
        <w:pStyle w:val="BodyText"/>
        <w:rPr>
          <w:rFonts w:ascii="Times New Roman"/>
          <w:sz w:val="20"/>
        </w:rPr>
      </w:pPr>
      <w:r>
        <w:rPr>
          <w:noProof/>
          <w:position w:val="4"/>
          <w:sz w:val="20"/>
        </w:rPr>
        <w:drawing>
          <wp:inline distT="0" distB="0" distL="0" distR="0" wp14:anchorId="22FC32AD" wp14:editId="4030D1D1">
            <wp:extent cx="1439904" cy="563879"/>
            <wp:effectExtent l="0" t="0" r="0" b="0"/>
            <wp:docPr id="1" name="image1.jpeg"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 company name&#10;&#10;Description automatically generated"/>
                    <pic:cNvPicPr/>
                  </pic:nvPicPr>
                  <pic:blipFill>
                    <a:blip r:embed="rId8" cstate="print"/>
                    <a:stretch>
                      <a:fillRect/>
                    </a:stretch>
                  </pic:blipFill>
                  <pic:spPr>
                    <a:xfrm>
                      <a:off x="0" y="0"/>
                      <a:ext cx="1439904" cy="563879"/>
                    </a:xfrm>
                    <a:prstGeom prst="rect">
                      <a:avLst/>
                    </a:prstGeom>
                  </pic:spPr>
                </pic:pic>
              </a:graphicData>
            </a:graphic>
          </wp:inline>
        </w:drawing>
      </w:r>
    </w:p>
    <w:p w14:paraId="689E1EB9" w14:textId="77777777" w:rsidR="00D24A18" w:rsidRDefault="00D24A18">
      <w:pPr>
        <w:pStyle w:val="BodyText"/>
        <w:rPr>
          <w:rFonts w:ascii="Times New Roman"/>
          <w:sz w:val="20"/>
        </w:rPr>
      </w:pPr>
    </w:p>
    <w:p w14:paraId="689E1EBA" w14:textId="77777777" w:rsidR="00D24A18" w:rsidRDefault="00D24A18">
      <w:pPr>
        <w:pStyle w:val="BodyText"/>
        <w:rPr>
          <w:rFonts w:ascii="Times New Roman"/>
          <w:sz w:val="20"/>
        </w:rPr>
      </w:pPr>
    </w:p>
    <w:p w14:paraId="689E1EBB" w14:textId="77777777" w:rsidR="00D24A18" w:rsidRDefault="00D24A18">
      <w:pPr>
        <w:pStyle w:val="BodyText"/>
        <w:rPr>
          <w:rFonts w:ascii="Times New Roman"/>
          <w:sz w:val="20"/>
        </w:rPr>
      </w:pPr>
    </w:p>
    <w:p w14:paraId="689E1ED4" w14:textId="6B07471B" w:rsidR="00D24A18" w:rsidRDefault="00350D62" w:rsidP="009102D9">
      <w:pPr>
        <w:pStyle w:val="Heading1"/>
        <w:spacing w:before="71"/>
        <w:ind w:left="0" w:firstLine="192"/>
      </w:pPr>
      <w:bookmarkStart w:id="0" w:name="(1)_Output_Floor"/>
      <w:bookmarkStart w:id="1" w:name="AFME_ISDA_Output_floor_position_paper_20"/>
      <w:bookmarkEnd w:id="0"/>
      <w:bookmarkEnd w:id="1"/>
      <w:r>
        <w:rPr>
          <w:color w:val="78A12E"/>
        </w:rPr>
        <w:t>CRR3 - Output Floor</w:t>
      </w:r>
    </w:p>
    <w:p w14:paraId="689E1ED5" w14:textId="77777777" w:rsidR="00D24A18" w:rsidRDefault="00FC2908">
      <w:pPr>
        <w:pStyle w:val="BodyText"/>
        <w:spacing w:before="4"/>
        <w:ind w:left="192"/>
      </w:pPr>
      <w:r>
        <w:pict w14:anchorId="689E243B">
          <v:shape id="_x0000_s2179" style="position:absolute;left:0;text-align:left;margin-left:41.2pt;margin-top:18.25pt;width:513pt;height:.1pt;z-index:-251657216;mso-wrap-distance-left:0;mso-wrap-distance-right:0;mso-position-horizontal-relative:page" coordorigin="824,365" coordsize="10260,0" path="m824,365r10260,e" filled="f" strokeweight=".4pt">
            <v:path arrowok="t"/>
            <w10:wrap type="topAndBottom" anchorx="page"/>
          </v:shape>
        </w:pict>
      </w:r>
      <w:r w:rsidR="00350D62">
        <w:t>February 2022</w:t>
      </w:r>
    </w:p>
    <w:p w14:paraId="689E1ED6" w14:textId="77777777" w:rsidR="00D24A18" w:rsidRDefault="00D24A18">
      <w:pPr>
        <w:pStyle w:val="BodyText"/>
        <w:spacing w:before="4"/>
        <w:rPr>
          <w:sz w:val="10"/>
        </w:rPr>
      </w:pPr>
    </w:p>
    <w:p w14:paraId="689E1ED7" w14:textId="77777777" w:rsidR="00D24A18" w:rsidRDefault="00FC2908">
      <w:pPr>
        <w:pStyle w:val="Heading3"/>
        <w:spacing w:before="100"/>
        <w:ind w:left="4271" w:right="4500"/>
        <w:jc w:val="center"/>
      </w:pPr>
      <w:r>
        <w:pict w14:anchorId="689E243C">
          <v:group id="_x0000_s2173" style="position:absolute;left:0;text-align:left;margin-left:42.6pt;margin-top:4.65pt;width:510.2pt;height:573.4pt;z-index:-254349312;mso-position-horizontal-relative:page" coordorigin="852,93" coordsize="10204,11468">
            <v:shape id="_x0000_s2178" style="position:absolute;left:860;top:101;width:10184;height:11452" coordorigin="860,101" coordsize="10184,11452" path="m11044,101l860,101r,11452l964,11553r9976,l11044,11553r,-11452e" fillcolor="#cae2a0" stroked="f">
              <v:path arrowok="t"/>
            </v:shape>
            <v:line id="_x0000_s2177" style="position:absolute" from="860,97" to="11048,97" strokeweight=".4pt"/>
            <v:line id="_x0000_s2176" style="position:absolute" from="860,103" to="11048,103" strokecolor="#cae2a0" strokeweight=".2pt"/>
            <v:shape id="_x0000_s2175" style="position:absolute;left:856;top:93;width:10192;height:11468" coordorigin="856,93" coordsize="10192,11468" o:spt="100" adj="0,,0" path="m856,93r,11468m860,11557r10188,e" filled="f" strokeweight=".4pt">
              <v:stroke joinstyle="round"/>
              <v:formulas/>
              <v:path arrowok="t" o:connecttype="segments"/>
            </v:shape>
            <v:line id="_x0000_s2174" style="position:absolute" from="11052,93" to="11052,11561" strokeweight=".4pt"/>
            <w10:wrap anchorx="page"/>
          </v:group>
        </w:pict>
      </w:r>
      <w:r w:rsidR="00350D62">
        <w:t>Executive Summary</w:t>
      </w:r>
    </w:p>
    <w:p w14:paraId="689E1ED8" w14:textId="77777777" w:rsidR="00D24A18" w:rsidRDefault="00D24A18">
      <w:pPr>
        <w:pStyle w:val="BodyText"/>
        <w:spacing w:before="7"/>
        <w:rPr>
          <w:b/>
          <w:sz w:val="18"/>
        </w:rPr>
      </w:pPr>
    </w:p>
    <w:p w14:paraId="689E1ED9" w14:textId="77777777" w:rsidR="00D24A18" w:rsidRDefault="00350D62">
      <w:pPr>
        <w:pStyle w:val="BodyText"/>
        <w:spacing w:before="100" w:line="276" w:lineRule="auto"/>
        <w:ind w:left="304" w:right="520"/>
        <w:jc w:val="both"/>
      </w:pPr>
      <w:r>
        <w:t>The</w:t>
      </w:r>
      <w:r>
        <w:rPr>
          <w:spacing w:val="-11"/>
        </w:rPr>
        <w:t xml:space="preserve"> </w:t>
      </w:r>
      <w:r>
        <w:t>Industry</w:t>
      </w:r>
      <w:r>
        <w:rPr>
          <w:spacing w:val="-15"/>
        </w:rPr>
        <w:t xml:space="preserve"> </w:t>
      </w:r>
      <w:r>
        <w:t>welcomes</w:t>
      </w:r>
      <w:r>
        <w:rPr>
          <w:spacing w:val="-13"/>
        </w:rPr>
        <w:t xml:space="preserve"> </w:t>
      </w:r>
      <w:r>
        <w:t>the</w:t>
      </w:r>
      <w:r>
        <w:rPr>
          <w:spacing w:val="-11"/>
        </w:rPr>
        <w:t xml:space="preserve"> </w:t>
      </w:r>
      <w:r>
        <w:t>Commission’s</w:t>
      </w:r>
      <w:r>
        <w:rPr>
          <w:spacing w:val="-10"/>
        </w:rPr>
        <w:t xml:space="preserve"> </w:t>
      </w:r>
      <w:r>
        <w:t>well-considered</w:t>
      </w:r>
      <w:r>
        <w:rPr>
          <w:spacing w:val="-10"/>
        </w:rPr>
        <w:t xml:space="preserve"> </w:t>
      </w:r>
      <w:r>
        <w:t>approach</w:t>
      </w:r>
      <w:r>
        <w:rPr>
          <w:spacing w:val="-12"/>
        </w:rPr>
        <w:t xml:space="preserve"> </w:t>
      </w:r>
      <w:r>
        <w:t>for</w:t>
      </w:r>
      <w:r>
        <w:rPr>
          <w:spacing w:val="-11"/>
        </w:rPr>
        <w:t xml:space="preserve"> </w:t>
      </w:r>
      <w:r>
        <w:t>the</w:t>
      </w:r>
      <w:r>
        <w:rPr>
          <w:spacing w:val="-11"/>
        </w:rPr>
        <w:t xml:space="preserve"> </w:t>
      </w:r>
      <w:r>
        <w:t>Output</w:t>
      </w:r>
      <w:r>
        <w:rPr>
          <w:spacing w:val="-13"/>
        </w:rPr>
        <w:t xml:space="preserve"> </w:t>
      </w:r>
      <w:r>
        <w:t>Floor</w:t>
      </w:r>
      <w:r>
        <w:rPr>
          <w:spacing w:val="-11"/>
        </w:rPr>
        <w:t xml:space="preserve"> </w:t>
      </w:r>
      <w:r>
        <w:t>in</w:t>
      </w:r>
      <w:r>
        <w:rPr>
          <w:spacing w:val="-11"/>
        </w:rPr>
        <w:t xml:space="preserve"> </w:t>
      </w:r>
      <w:r>
        <w:t>CRR3,</w:t>
      </w:r>
      <w:r>
        <w:rPr>
          <w:spacing w:val="-13"/>
        </w:rPr>
        <w:t xml:space="preserve"> </w:t>
      </w:r>
      <w:r>
        <w:t>to</w:t>
      </w:r>
      <w:r>
        <w:rPr>
          <w:spacing w:val="-12"/>
        </w:rPr>
        <w:t xml:space="preserve"> </w:t>
      </w:r>
      <w:r>
        <w:t>ensure its smooth implementation in Europe. We strongly support the intent to apply the floor at the consolidated level of the group, alongside a redistribution mechanism to address host Member States’ concerns. With regard</w:t>
      </w:r>
      <w:r>
        <w:rPr>
          <w:spacing w:val="-4"/>
        </w:rPr>
        <w:t xml:space="preserve"> </w:t>
      </w:r>
      <w:r>
        <w:t>to</w:t>
      </w:r>
      <w:r>
        <w:rPr>
          <w:spacing w:val="-7"/>
        </w:rPr>
        <w:t xml:space="preserve"> </w:t>
      </w:r>
      <w:r>
        <w:t>the</w:t>
      </w:r>
      <w:r>
        <w:rPr>
          <w:spacing w:val="-5"/>
        </w:rPr>
        <w:t xml:space="preserve"> </w:t>
      </w:r>
      <w:r>
        <w:t>timeline,</w:t>
      </w:r>
      <w:r>
        <w:rPr>
          <w:spacing w:val="-7"/>
        </w:rPr>
        <w:t xml:space="preserve"> </w:t>
      </w:r>
      <w:r>
        <w:t>we</w:t>
      </w:r>
      <w:r>
        <w:rPr>
          <w:spacing w:val="-5"/>
        </w:rPr>
        <w:t xml:space="preserve"> </w:t>
      </w:r>
      <w:r>
        <w:t>also</w:t>
      </w:r>
      <w:r>
        <w:rPr>
          <w:spacing w:val="-6"/>
        </w:rPr>
        <w:t xml:space="preserve"> </w:t>
      </w:r>
      <w:r>
        <w:t>welcome</w:t>
      </w:r>
      <w:r>
        <w:rPr>
          <w:spacing w:val="-5"/>
        </w:rPr>
        <w:t xml:space="preserve"> </w:t>
      </w:r>
      <w:r>
        <w:t>clarity</w:t>
      </w:r>
      <w:r>
        <w:rPr>
          <w:spacing w:val="-5"/>
        </w:rPr>
        <w:t xml:space="preserve"> </w:t>
      </w:r>
      <w:r>
        <w:t>on</w:t>
      </w:r>
      <w:r>
        <w:rPr>
          <w:spacing w:val="-5"/>
        </w:rPr>
        <w:t xml:space="preserve"> </w:t>
      </w:r>
      <w:r>
        <w:t>the</w:t>
      </w:r>
      <w:r>
        <w:rPr>
          <w:spacing w:val="-5"/>
        </w:rPr>
        <w:t xml:space="preserve"> </w:t>
      </w:r>
      <w:r>
        <w:t>transition</w:t>
      </w:r>
      <w:r>
        <w:rPr>
          <w:spacing w:val="-5"/>
        </w:rPr>
        <w:t xml:space="preserve"> </w:t>
      </w:r>
      <w:r>
        <w:t>to</w:t>
      </w:r>
      <w:r>
        <w:rPr>
          <w:spacing w:val="-6"/>
        </w:rPr>
        <w:t xml:space="preserve"> </w:t>
      </w:r>
      <w:r>
        <w:t>full</w:t>
      </w:r>
      <w:r>
        <w:rPr>
          <w:spacing w:val="-6"/>
        </w:rPr>
        <w:t xml:space="preserve"> </w:t>
      </w:r>
      <w:r>
        <w:t>application</w:t>
      </w:r>
      <w:r>
        <w:rPr>
          <w:spacing w:val="-5"/>
        </w:rPr>
        <w:t xml:space="preserve"> </w:t>
      </w:r>
      <w:r>
        <w:t>by</w:t>
      </w:r>
      <w:r>
        <w:rPr>
          <w:spacing w:val="-5"/>
        </w:rPr>
        <w:t xml:space="preserve"> </w:t>
      </w:r>
      <w:r>
        <w:t>2030,</w:t>
      </w:r>
      <w:r>
        <w:rPr>
          <w:spacing w:val="-7"/>
        </w:rPr>
        <w:t xml:space="preserve"> </w:t>
      </w:r>
      <w:r>
        <w:t>to</w:t>
      </w:r>
      <w:r>
        <w:rPr>
          <w:spacing w:val="-7"/>
        </w:rPr>
        <w:t xml:space="preserve"> </w:t>
      </w:r>
      <w:r>
        <w:t>take</w:t>
      </w:r>
      <w:r>
        <w:rPr>
          <w:spacing w:val="-4"/>
        </w:rPr>
        <w:t xml:space="preserve"> </w:t>
      </w:r>
      <w:r>
        <w:t>account of the revised international timeline as a result of the Covid-19</w:t>
      </w:r>
      <w:r>
        <w:rPr>
          <w:spacing w:val="-7"/>
        </w:rPr>
        <w:t xml:space="preserve"> </w:t>
      </w:r>
      <w:r>
        <w:t>pandemic.</w:t>
      </w:r>
    </w:p>
    <w:p w14:paraId="689E1EDA" w14:textId="77777777" w:rsidR="00D24A18" w:rsidRDefault="00D24A18">
      <w:pPr>
        <w:pStyle w:val="BodyText"/>
        <w:spacing w:before="5"/>
        <w:rPr>
          <w:sz w:val="15"/>
        </w:rPr>
      </w:pPr>
    </w:p>
    <w:p w14:paraId="689E1EDB" w14:textId="77777777" w:rsidR="00D24A18" w:rsidRDefault="00350D62">
      <w:pPr>
        <w:pStyle w:val="BodyText"/>
        <w:spacing w:before="101" w:line="276" w:lineRule="auto"/>
        <w:ind w:left="304" w:right="520"/>
        <w:jc w:val="both"/>
      </w:pPr>
      <w:r>
        <w:t>In terms of the calculation of the floor itself, the Commission has adopted the single stack approach with safeguards for double-counting of the EU-specific Pillar 2 and systemic risk buffer requirement (both of which</w:t>
      </w:r>
      <w:r>
        <w:rPr>
          <w:spacing w:val="-12"/>
        </w:rPr>
        <w:t xml:space="preserve"> </w:t>
      </w:r>
      <w:r>
        <w:t>will</w:t>
      </w:r>
      <w:r>
        <w:rPr>
          <w:spacing w:val="-10"/>
        </w:rPr>
        <w:t xml:space="preserve"> </w:t>
      </w:r>
      <w:r>
        <w:t>remain</w:t>
      </w:r>
      <w:r>
        <w:rPr>
          <w:spacing w:val="-10"/>
        </w:rPr>
        <w:t xml:space="preserve"> </w:t>
      </w:r>
      <w:r>
        <w:t>frozen</w:t>
      </w:r>
      <w:r>
        <w:rPr>
          <w:spacing w:val="-9"/>
        </w:rPr>
        <w:t xml:space="preserve"> </w:t>
      </w:r>
      <w:r>
        <w:t>until</w:t>
      </w:r>
      <w:r>
        <w:rPr>
          <w:spacing w:val="-11"/>
        </w:rPr>
        <w:t xml:space="preserve"> </w:t>
      </w:r>
      <w:r>
        <w:t>the</w:t>
      </w:r>
      <w:r>
        <w:rPr>
          <w:spacing w:val="-9"/>
        </w:rPr>
        <w:t xml:space="preserve"> </w:t>
      </w:r>
      <w:r>
        <w:t>supervisor</w:t>
      </w:r>
      <w:r>
        <w:rPr>
          <w:spacing w:val="-10"/>
        </w:rPr>
        <w:t xml:space="preserve"> </w:t>
      </w:r>
      <w:r>
        <w:t>reviews</w:t>
      </w:r>
      <w:r>
        <w:rPr>
          <w:spacing w:val="-8"/>
        </w:rPr>
        <w:t xml:space="preserve"> </w:t>
      </w:r>
      <w:r>
        <w:t>those</w:t>
      </w:r>
      <w:r>
        <w:rPr>
          <w:spacing w:val="-9"/>
        </w:rPr>
        <w:t xml:space="preserve"> </w:t>
      </w:r>
      <w:r>
        <w:t>requirements</w:t>
      </w:r>
      <w:r>
        <w:rPr>
          <w:spacing w:val="-9"/>
        </w:rPr>
        <w:t xml:space="preserve"> </w:t>
      </w:r>
      <w:r>
        <w:t>for</w:t>
      </w:r>
      <w:r>
        <w:rPr>
          <w:spacing w:val="-9"/>
        </w:rPr>
        <w:t xml:space="preserve"> </w:t>
      </w:r>
      <w:r>
        <w:t>double</w:t>
      </w:r>
      <w:r>
        <w:rPr>
          <w:spacing w:val="-10"/>
        </w:rPr>
        <w:t xml:space="preserve"> </w:t>
      </w:r>
      <w:r>
        <w:t>counting).</w:t>
      </w:r>
      <w:r>
        <w:rPr>
          <w:spacing w:val="-11"/>
        </w:rPr>
        <w:t xml:space="preserve"> </w:t>
      </w:r>
      <w:r>
        <w:t>In</w:t>
      </w:r>
      <w:r>
        <w:rPr>
          <w:spacing w:val="-10"/>
        </w:rPr>
        <w:t xml:space="preserve"> </w:t>
      </w:r>
      <w:r>
        <w:t>addition, the</w:t>
      </w:r>
      <w:r>
        <w:rPr>
          <w:spacing w:val="-11"/>
        </w:rPr>
        <w:t xml:space="preserve"> </w:t>
      </w:r>
      <w:r>
        <w:t>Commission</w:t>
      </w:r>
      <w:r>
        <w:rPr>
          <w:spacing w:val="-10"/>
        </w:rPr>
        <w:t xml:space="preserve"> </w:t>
      </w:r>
      <w:r>
        <w:t>has</w:t>
      </w:r>
      <w:r>
        <w:rPr>
          <w:spacing w:val="-10"/>
        </w:rPr>
        <w:t xml:space="preserve"> </w:t>
      </w:r>
      <w:r>
        <w:t>made</w:t>
      </w:r>
      <w:r>
        <w:rPr>
          <w:spacing w:val="-13"/>
        </w:rPr>
        <w:t xml:space="preserve"> </w:t>
      </w:r>
      <w:r>
        <w:t>several</w:t>
      </w:r>
      <w:r>
        <w:rPr>
          <w:spacing w:val="-11"/>
        </w:rPr>
        <w:t xml:space="preserve"> </w:t>
      </w:r>
      <w:r>
        <w:t>amendments</w:t>
      </w:r>
      <w:r>
        <w:rPr>
          <w:spacing w:val="-9"/>
        </w:rPr>
        <w:t xml:space="preserve"> </w:t>
      </w:r>
      <w:r>
        <w:t>to</w:t>
      </w:r>
      <w:r>
        <w:rPr>
          <w:spacing w:val="-12"/>
        </w:rPr>
        <w:t xml:space="preserve"> </w:t>
      </w:r>
      <w:r>
        <w:t>ensure</w:t>
      </w:r>
      <w:r>
        <w:rPr>
          <w:spacing w:val="-10"/>
        </w:rPr>
        <w:t xml:space="preserve"> </w:t>
      </w:r>
      <w:r>
        <w:t>that</w:t>
      </w:r>
      <w:r>
        <w:rPr>
          <w:spacing w:val="-10"/>
        </w:rPr>
        <w:t xml:space="preserve"> </w:t>
      </w:r>
      <w:r>
        <w:t>the</w:t>
      </w:r>
      <w:r>
        <w:rPr>
          <w:spacing w:val="-10"/>
        </w:rPr>
        <w:t xml:space="preserve"> </w:t>
      </w:r>
      <w:r>
        <w:t>floor</w:t>
      </w:r>
      <w:r>
        <w:rPr>
          <w:spacing w:val="-10"/>
        </w:rPr>
        <w:t xml:space="preserve"> </w:t>
      </w:r>
      <w:r>
        <w:t>does</w:t>
      </w:r>
      <w:r>
        <w:rPr>
          <w:spacing w:val="-9"/>
        </w:rPr>
        <w:t xml:space="preserve"> </w:t>
      </w:r>
      <w:r>
        <w:t>not</w:t>
      </w:r>
      <w:r>
        <w:rPr>
          <w:spacing w:val="-9"/>
        </w:rPr>
        <w:t xml:space="preserve"> </w:t>
      </w:r>
      <w:r>
        <w:t>unduly</w:t>
      </w:r>
      <w:r>
        <w:rPr>
          <w:spacing w:val="-10"/>
        </w:rPr>
        <w:t xml:space="preserve"> </w:t>
      </w:r>
      <w:r>
        <w:t>impact</w:t>
      </w:r>
      <w:r>
        <w:rPr>
          <w:spacing w:val="-9"/>
        </w:rPr>
        <w:t xml:space="preserve"> </w:t>
      </w:r>
      <w:r>
        <w:t>upon</w:t>
      </w:r>
      <w:r>
        <w:rPr>
          <w:spacing w:val="-10"/>
        </w:rPr>
        <w:t xml:space="preserve"> </w:t>
      </w:r>
      <w:r>
        <w:t>banks’ lending to corporates and low-risk mortgages through transitional arrangements lasting until</w:t>
      </w:r>
      <w:r>
        <w:rPr>
          <w:spacing w:val="-27"/>
        </w:rPr>
        <w:t xml:space="preserve"> </w:t>
      </w:r>
      <w:r>
        <w:t>2032.</w:t>
      </w:r>
    </w:p>
    <w:p w14:paraId="689E1EDC" w14:textId="77777777" w:rsidR="00D24A18" w:rsidRDefault="00D24A18">
      <w:pPr>
        <w:pStyle w:val="BodyText"/>
        <w:spacing w:before="4"/>
        <w:rPr>
          <w:sz w:val="15"/>
        </w:rPr>
      </w:pPr>
    </w:p>
    <w:p w14:paraId="689E1EDD" w14:textId="77777777" w:rsidR="00D24A18" w:rsidRDefault="00350D62">
      <w:pPr>
        <w:pStyle w:val="BodyText"/>
        <w:spacing w:before="101" w:line="276" w:lineRule="auto"/>
        <w:ind w:left="304" w:right="520"/>
        <w:jc w:val="both"/>
      </w:pPr>
      <w:r>
        <w:t>While the industry previously sought an alternative approach for calculating the floor in the lead up to the Commission’s proposal known as the “parallel stack”, we acknowledge that the Commission has tried to address</w:t>
      </w:r>
      <w:r>
        <w:rPr>
          <w:spacing w:val="-4"/>
        </w:rPr>
        <w:t xml:space="preserve"> </w:t>
      </w:r>
      <w:r>
        <w:t>the</w:t>
      </w:r>
      <w:r>
        <w:rPr>
          <w:spacing w:val="-5"/>
        </w:rPr>
        <w:t xml:space="preserve"> </w:t>
      </w:r>
      <w:r>
        <w:t>underlying</w:t>
      </w:r>
      <w:r>
        <w:rPr>
          <w:spacing w:val="-6"/>
        </w:rPr>
        <w:t xml:space="preserve"> </w:t>
      </w:r>
      <w:r>
        <w:t>concerns</w:t>
      </w:r>
      <w:r>
        <w:rPr>
          <w:spacing w:val="-4"/>
        </w:rPr>
        <w:t xml:space="preserve"> </w:t>
      </w:r>
      <w:r>
        <w:t>with</w:t>
      </w:r>
      <w:r>
        <w:rPr>
          <w:spacing w:val="-6"/>
        </w:rPr>
        <w:t xml:space="preserve"> </w:t>
      </w:r>
      <w:r>
        <w:t>the</w:t>
      </w:r>
      <w:r>
        <w:rPr>
          <w:spacing w:val="-5"/>
        </w:rPr>
        <w:t xml:space="preserve"> </w:t>
      </w:r>
      <w:r>
        <w:t>calculation</w:t>
      </w:r>
      <w:r>
        <w:rPr>
          <w:spacing w:val="-4"/>
        </w:rPr>
        <w:t xml:space="preserve"> </w:t>
      </w:r>
      <w:r>
        <w:t>of</w:t>
      </w:r>
      <w:r>
        <w:rPr>
          <w:spacing w:val="-5"/>
        </w:rPr>
        <w:t xml:space="preserve"> </w:t>
      </w:r>
      <w:r>
        <w:t>the</w:t>
      </w:r>
      <w:r>
        <w:rPr>
          <w:spacing w:val="-4"/>
        </w:rPr>
        <w:t xml:space="preserve"> </w:t>
      </w:r>
      <w:r>
        <w:t>Output</w:t>
      </w:r>
      <w:r>
        <w:rPr>
          <w:spacing w:val="-4"/>
        </w:rPr>
        <w:t xml:space="preserve"> </w:t>
      </w:r>
      <w:r>
        <w:t>Floor</w:t>
      </w:r>
      <w:r>
        <w:rPr>
          <w:spacing w:val="-4"/>
        </w:rPr>
        <w:t xml:space="preserve"> </w:t>
      </w:r>
      <w:r>
        <w:t>at</w:t>
      </w:r>
      <w:r>
        <w:rPr>
          <w:spacing w:val="-5"/>
        </w:rPr>
        <w:t xml:space="preserve"> </w:t>
      </w:r>
      <w:r>
        <w:t>EU</w:t>
      </w:r>
      <w:r>
        <w:rPr>
          <w:spacing w:val="-4"/>
        </w:rPr>
        <w:t xml:space="preserve"> </w:t>
      </w:r>
      <w:r>
        <w:t>level.</w:t>
      </w:r>
      <w:r>
        <w:rPr>
          <w:spacing w:val="-7"/>
        </w:rPr>
        <w:t xml:space="preserve"> </w:t>
      </w:r>
      <w:r>
        <w:t>Nonetheless,</w:t>
      </w:r>
      <w:r>
        <w:rPr>
          <w:spacing w:val="-6"/>
        </w:rPr>
        <w:t xml:space="preserve"> </w:t>
      </w:r>
      <w:r>
        <w:t>we</w:t>
      </w:r>
      <w:r>
        <w:rPr>
          <w:spacing w:val="-5"/>
        </w:rPr>
        <w:t xml:space="preserve"> </w:t>
      </w:r>
      <w:r>
        <w:t>think some</w:t>
      </w:r>
      <w:r>
        <w:rPr>
          <w:spacing w:val="-3"/>
        </w:rPr>
        <w:t xml:space="preserve"> </w:t>
      </w:r>
      <w:r>
        <w:t>further</w:t>
      </w:r>
      <w:r>
        <w:rPr>
          <w:spacing w:val="-6"/>
        </w:rPr>
        <w:t xml:space="preserve"> </w:t>
      </w:r>
      <w:r>
        <w:t>tailoring</w:t>
      </w:r>
      <w:r>
        <w:rPr>
          <w:spacing w:val="-4"/>
        </w:rPr>
        <w:t xml:space="preserve"> </w:t>
      </w:r>
      <w:r>
        <w:t>is</w:t>
      </w:r>
      <w:r>
        <w:rPr>
          <w:spacing w:val="-5"/>
        </w:rPr>
        <w:t xml:space="preserve"> </w:t>
      </w:r>
      <w:r>
        <w:t>warranted</w:t>
      </w:r>
      <w:r>
        <w:rPr>
          <w:spacing w:val="-1"/>
        </w:rPr>
        <w:t xml:space="preserve"> </w:t>
      </w:r>
      <w:r>
        <w:t>under</w:t>
      </w:r>
      <w:r>
        <w:rPr>
          <w:spacing w:val="-3"/>
        </w:rPr>
        <w:t xml:space="preserve"> </w:t>
      </w:r>
      <w:r>
        <w:t>a</w:t>
      </w:r>
      <w:r>
        <w:rPr>
          <w:spacing w:val="-6"/>
        </w:rPr>
        <w:t xml:space="preserve"> </w:t>
      </w:r>
      <w:r>
        <w:t>single</w:t>
      </w:r>
      <w:r>
        <w:rPr>
          <w:spacing w:val="-2"/>
        </w:rPr>
        <w:t xml:space="preserve"> </w:t>
      </w:r>
      <w:r>
        <w:t>stack</w:t>
      </w:r>
      <w:r>
        <w:rPr>
          <w:spacing w:val="-2"/>
        </w:rPr>
        <w:t xml:space="preserve"> </w:t>
      </w:r>
      <w:r>
        <w:t>approach</w:t>
      </w:r>
      <w:r>
        <w:rPr>
          <w:spacing w:val="-4"/>
        </w:rPr>
        <w:t xml:space="preserve"> </w:t>
      </w:r>
      <w:r>
        <w:t>with</w:t>
      </w:r>
      <w:r>
        <w:rPr>
          <w:spacing w:val="-4"/>
        </w:rPr>
        <w:t xml:space="preserve"> </w:t>
      </w:r>
      <w:r>
        <w:t>regard</w:t>
      </w:r>
      <w:r>
        <w:rPr>
          <w:spacing w:val="-5"/>
        </w:rPr>
        <w:t xml:space="preserve"> </w:t>
      </w:r>
      <w:r>
        <w:t>to</w:t>
      </w:r>
      <w:r>
        <w:rPr>
          <w:spacing w:val="-5"/>
        </w:rPr>
        <w:t xml:space="preserve"> </w:t>
      </w:r>
      <w:r>
        <w:t>the</w:t>
      </w:r>
      <w:r>
        <w:rPr>
          <w:spacing w:val="-2"/>
        </w:rPr>
        <w:t xml:space="preserve"> </w:t>
      </w:r>
      <w:r>
        <w:t>safeguards</w:t>
      </w:r>
      <w:r>
        <w:rPr>
          <w:spacing w:val="-5"/>
        </w:rPr>
        <w:t xml:space="preserve"> </w:t>
      </w:r>
      <w:r>
        <w:t>for</w:t>
      </w:r>
      <w:r>
        <w:rPr>
          <w:spacing w:val="-2"/>
        </w:rPr>
        <w:t xml:space="preserve"> </w:t>
      </w:r>
      <w:r>
        <w:t>double counting EU specific capital requirements and the transitional</w:t>
      </w:r>
      <w:r>
        <w:rPr>
          <w:spacing w:val="-9"/>
        </w:rPr>
        <w:t xml:space="preserve"> </w:t>
      </w:r>
      <w:r>
        <w:t>arrangements.</w:t>
      </w:r>
    </w:p>
    <w:p w14:paraId="689E1EDE" w14:textId="77777777" w:rsidR="00D24A18" w:rsidRDefault="00D24A18">
      <w:pPr>
        <w:pStyle w:val="BodyText"/>
        <w:spacing w:before="5"/>
        <w:rPr>
          <w:sz w:val="15"/>
        </w:rPr>
      </w:pPr>
    </w:p>
    <w:p w14:paraId="689E1EDF" w14:textId="77777777" w:rsidR="00D24A18" w:rsidRDefault="00350D62">
      <w:pPr>
        <w:pStyle w:val="BodyText"/>
        <w:spacing w:before="100" w:line="276" w:lineRule="auto"/>
        <w:ind w:left="304" w:right="522"/>
        <w:jc w:val="both"/>
      </w:pPr>
      <w:r>
        <w:t>In respect of unrated corporates, it is important the proposed transitional measures are extended to all banks (IRB and SA) and potential cliff-edge effects that could arise from a solely time-limited arrangement are avoided. To this end we propose the Commission be granted the possibility to extend the transition via a delegated act based on a more comprehensive EBA review.</w:t>
      </w:r>
    </w:p>
    <w:p w14:paraId="689E1EE0" w14:textId="77777777" w:rsidR="00D24A18" w:rsidRDefault="00D24A18">
      <w:pPr>
        <w:pStyle w:val="BodyText"/>
        <w:spacing w:before="1"/>
        <w:rPr>
          <w:sz w:val="15"/>
        </w:rPr>
      </w:pPr>
    </w:p>
    <w:p w14:paraId="689E1EE1" w14:textId="77777777" w:rsidR="00D24A18" w:rsidRDefault="00350D62">
      <w:pPr>
        <w:pStyle w:val="BodyText"/>
        <w:spacing w:before="101" w:line="276" w:lineRule="auto"/>
        <w:ind w:left="304" w:right="520"/>
        <w:jc w:val="both"/>
      </w:pPr>
      <w:r>
        <w:t>In terms of low-risk mortgages, we welcome the specific criteria (low loss rate and double recourse) introduced by the Commission to mitigate the impact of applying the Output Floor. Nonetheless, to safeguard the EU Single Rulebook and avoid major competitive distortions within the EU, we consider it of key</w:t>
      </w:r>
      <w:r>
        <w:rPr>
          <w:spacing w:val="-7"/>
        </w:rPr>
        <w:t xml:space="preserve"> </w:t>
      </w:r>
      <w:r>
        <w:t>importance</w:t>
      </w:r>
      <w:r>
        <w:rPr>
          <w:spacing w:val="-10"/>
        </w:rPr>
        <w:t xml:space="preserve"> </w:t>
      </w:r>
      <w:r>
        <w:t>that</w:t>
      </w:r>
      <w:r>
        <w:rPr>
          <w:spacing w:val="-5"/>
        </w:rPr>
        <w:t xml:space="preserve"> </w:t>
      </w:r>
      <w:r>
        <w:t>the</w:t>
      </w:r>
      <w:r>
        <w:rPr>
          <w:spacing w:val="-7"/>
        </w:rPr>
        <w:t xml:space="preserve"> </w:t>
      </w:r>
      <w:r>
        <w:t>current</w:t>
      </w:r>
      <w:r>
        <w:rPr>
          <w:spacing w:val="-9"/>
        </w:rPr>
        <w:t xml:space="preserve"> </w:t>
      </w:r>
      <w:r>
        <w:t>Member</w:t>
      </w:r>
      <w:r>
        <w:rPr>
          <w:spacing w:val="-6"/>
        </w:rPr>
        <w:t xml:space="preserve"> </w:t>
      </w:r>
      <w:r>
        <w:t>States’</w:t>
      </w:r>
      <w:r>
        <w:rPr>
          <w:spacing w:val="-9"/>
        </w:rPr>
        <w:t xml:space="preserve"> </w:t>
      </w:r>
      <w:r>
        <w:t>option</w:t>
      </w:r>
      <w:r>
        <w:rPr>
          <w:spacing w:val="-6"/>
        </w:rPr>
        <w:t xml:space="preserve"> </w:t>
      </w:r>
      <w:r>
        <w:t>to</w:t>
      </w:r>
      <w:r>
        <w:rPr>
          <w:spacing w:val="-8"/>
        </w:rPr>
        <w:t xml:space="preserve"> </w:t>
      </w:r>
      <w:r>
        <w:t>apply</w:t>
      </w:r>
      <w:r>
        <w:rPr>
          <w:spacing w:val="-10"/>
        </w:rPr>
        <w:t xml:space="preserve"> </w:t>
      </w:r>
      <w:r>
        <w:t>this</w:t>
      </w:r>
      <w:r>
        <w:rPr>
          <w:spacing w:val="-6"/>
        </w:rPr>
        <w:t xml:space="preserve"> </w:t>
      </w:r>
      <w:r>
        <w:t>is</w:t>
      </w:r>
      <w:r>
        <w:rPr>
          <w:spacing w:val="-9"/>
        </w:rPr>
        <w:t xml:space="preserve"> </w:t>
      </w:r>
      <w:r>
        <w:t>removed</w:t>
      </w:r>
      <w:r>
        <w:rPr>
          <w:spacing w:val="-5"/>
        </w:rPr>
        <w:t xml:space="preserve"> </w:t>
      </w:r>
      <w:r>
        <w:t>from</w:t>
      </w:r>
      <w:r>
        <w:rPr>
          <w:spacing w:val="-7"/>
        </w:rPr>
        <w:t xml:space="preserve"> </w:t>
      </w:r>
      <w:r>
        <w:t>the</w:t>
      </w:r>
      <w:r>
        <w:rPr>
          <w:spacing w:val="-6"/>
        </w:rPr>
        <w:t xml:space="preserve"> </w:t>
      </w:r>
      <w:r>
        <w:t>proposal.</w:t>
      </w:r>
      <w:r>
        <w:rPr>
          <w:spacing w:val="-12"/>
        </w:rPr>
        <w:t xml:space="preserve"> </w:t>
      </w:r>
      <w:r>
        <w:t>Further, given the specific nature of the European mortgage market and important societal role EU banks play in providing mortgages which are long term exposures, we believe this exposure type warrants a permanent treatment</w:t>
      </w:r>
      <w:r>
        <w:rPr>
          <w:spacing w:val="-11"/>
        </w:rPr>
        <w:t xml:space="preserve"> </w:t>
      </w:r>
      <w:r>
        <w:t>in</w:t>
      </w:r>
      <w:r>
        <w:rPr>
          <w:spacing w:val="-11"/>
        </w:rPr>
        <w:t xml:space="preserve"> </w:t>
      </w:r>
      <w:r>
        <w:t>the</w:t>
      </w:r>
      <w:r>
        <w:rPr>
          <w:spacing w:val="-6"/>
        </w:rPr>
        <w:t xml:space="preserve"> </w:t>
      </w:r>
      <w:proofErr w:type="spellStart"/>
      <w:r>
        <w:t>standardised</w:t>
      </w:r>
      <w:proofErr w:type="spellEnd"/>
      <w:r>
        <w:rPr>
          <w:spacing w:val="-10"/>
        </w:rPr>
        <w:t xml:space="preserve"> </w:t>
      </w:r>
      <w:r>
        <w:t>approach</w:t>
      </w:r>
      <w:r>
        <w:rPr>
          <w:spacing w:val="-9"/>
        </w:rPr>
        <w:t xml:space="preserve"> </w:t>
      </w:r>
      <w:r>
        <w:t>(i.e.</w:t>
      </w:r>
      <w:r>
        <w:rPr>
          <w:spacing w:val="-8"/>
        </w:rPr>
        <w:t xml:space="preserve"> </w:t>
      </w:r>
      <w:r>
        <w:t>to</w:t>
      </w:r>
      <w:r>
        <w:rPr>
          <w:spacing w:val="-9"/>
        </w:rPr>
        <w:t xml:space="preserve"> </w:t>
      </w:r>
      <w:r>
        <w:t>cover</w:t>
      </w:r>
      <w:r>
        <w:rPr>
          <w:spacing w:val="-7"/>
        </w:rPr>
        <w:t xml:space="preserve"> </w:t>
      </w:r>
      <w:r>
        <w:t>all</w:t>
      </w:r>
      <w:r>
        <w:rPr>
          <w:spacing w:val="-11"/>
        </w:rPr>
        <w:t xml:space="preserve"> </w:t>
      </w:r>
      <w:r>
        <w:t>banks)</w:t>
      </w:r>
      <w:r>
        <w:rPr>
          <w:spacing w:val="-8"/>
        </w:rPr>
        <w:t xml:space="preserve"> </w:t>
      </w:r>
      <w:r>
        <w:t>instead</w:t>
      </w:r>
      <w:r>
        <w:rPr>
          <w:spacing w:val="-6"/>
        </w:rPr>
        <w:t xml:space="preserve"> </w:t>
      </w:r>
      <w:r>
        <w:t>of</w:t>
      </w:r>
      <w:r>
        <w:rPr>
          <w:spacing w:val="-10"/>
        </w:rPr>
        <w:t xml:space="preserve"> </w:t>
      </w:r>
      <w:r>
        <w:t>a</w:t>
      </w:r>
      <w:r>
        <w:rPr>
          <w:spacing w:val="-7"/>
        </w:rPr>
        <w:t xml:space="preserve"> </w:t>
      </w:r>
      <w:r>
        <w:t>transitional</w:t>
      </w:r>
      <w:r>
        <w:rPr>
          <w:spacing w:val="-11"/>
        </w:rPr>
        <w:t xml:space="preserve"> </w:t>
      </w:r>
      <w:r>
        <w:t>arrangement</w:t>
      </w:r>
      <w:r>
        <w:rPr>
          <w:spacing w:val="-10"/>
        </w:rPr>
        <w:t xml:space="preserve"> </w:t>
      </w:r>
      <w:r>
        <w:t>which is only relevant for IRB</w:t>
      </w:r>
      <w:r>
        <w:rPr>
          <w:spacing w:val="1"/>
        </w:rPr>
        <w:t xml:space="preserve"> </w:t>
      </w:r>
      <w:r>
        <w:t>banks.</w:t>
      </w:r>
    </w:p>
    <w:p w14:paraId="689E1EE2" w14:textId="77777777" w:rsidR="00D24A18" w:rsidRDefault="00D24A18">
      <w:pPr>
        <w:pStyle w:val="BodyText"/>
        <w:spacing w:before="7"/>
        <w:rPr>
          <w:sz w:val="15"/>
        </w:rPr>
      </w:pPr>
    </w:p>
    <w:p w14:paraId="689E1EE3" w14:textId="77777777" w:rsidR="00D24A18" w:rsidRDefault="00350D62">
      <w:pPr>
        <w:pStyle w:val="BodyText"/>
        <w:spacing w:before="100" w:line="276" w:lineRule="auto"/>
        <w:ind w:left="304" w:right="521"/>
        <w:jc w:val="both"/>
      </w:pPr>
      <w:r>
        <w:t xml:space="preserve">The Basel Committee should also be invited to revisit and review the impact </w:t>
      </w:r>
      <w:r>
        <w:rPr>
          <w:spacing w:val="-3"/>
        </w:rPr>
        <w:t xml:space="preserve">of </w:t>
      </w:r>
      <w:r>
        <w:t>the floor on lending to corporates and low-risk mortgages. This review should have regard to the different structures of the mortgage</w:t>
      </w:r>
      <w:r>
        <w:rPr>
          <w:spacing w:val="-10"/>
        </w:rPr>
        <w:t xml:space="preserve"> </w:t>
      </w:r>
      <w:r>
        <w:t>and</w:t>
      </w:r>
      <w:r>
        <w:rPr>
          <w:spacing w:val="-8"/>
        </w:rPr>
        <w:t xml:space="preserve"> </w:t>
      </w:r>
      <w:r>
        <w:t>corporate</w:t>
      </w:r>
      <w:r>
        <w:rPr>
          <w:spacing w:val="-10"/>
        </w:rPr>
        <w:t xml:space="preserve"> </w:t>
      </w:r>
      <w:r>
        <w:t>lending</w:t>
      </w:r>
      <w:r>
        <w:rPr>
          <w:spacing w:val="-11"/>
        </w:rPr>
        <w:t xml:space="preserve"> </w:t>
      </w:r>
      <w:r>
        <w:t>markets</w:t>
      </w:r>
      <w:r>
        <w:rPr>
          <w:spacing w:val="-10"/>
        </w:rPr>
        <w:t xml:space="preserve"> </w:t>
      </w:r>
      <w:r>
        <w:t>across</w:t>
      </w:r>
      <w:r>
        <w:rPr>
          <w:spacing w:val="-8"/>
        </w:rPr>
        <w:t xml:space="preserve"> </w:t>
      </w:r>
      <w:r>
        <w:t>jurisdictions</w:t>
      </w:r>
      <w:r>
        <w:rPr>
          <w:spacing w:val="-9"/>
        </w:rPr>
        <w:t xml:space="preserve"> </w:t>
      </w:r>
      <w:r>
        <w:t>to</w:t>
      </w:r>
      <w:r>
        <w:rPr>
          <w:spacing w:val="-11"/>
        </w:rPr>
        <w:t xml:space="preserve"> </w:t>
      </w:r>
      <w:r>
        <w:t>ensure</w:t>
      </w:r>
      <w:r>
        <w:rPr>
          <w:spacing w:val="-9"/>
        </w:rPr>
        <w:t xml:space="preserve"> </w:t>
      </w:r>
      <w:r>
        <w:t>that</w:t>
      </w:r>
      <w:r>
        <w:rPr>
          <w:spacing w:val="-10"/>
        </w:rPr>
        <w:t xml:space="preserve"> </w:t>
      </w:r>
      <w:r>
        <w:t>the</w:t>
      </w:r>
      <w:r>
        <w:rPr>
          <w:spacing w:val="-9"/>
        </w:rPr>
        <w:t xml:space="preserve"> </w:t>
      </w:r>
      <w:r>
        <w:t>output</w:t>
      </w:r>
      <w:r>
        <w:rPr>
          <w:spacing w:val="-10"/>
        </w:rPr>
        <w:t xml:space="preserve"> </w:t>
      </w:r>
      <w:r>
        <w:t>from</w:t>
      </w:r>
      <w:r>
        <w:rPr>
          <w:spacing w:val="-9"/>
        </w:rPr>
        <w:t xml:space="preserve"> </w:t>
      </w:r>
      <w:r>
        <w:t>the</w:t>
      </w:r>
      <w:r>
        <w:rPr>
          <w:spacing w:val="-10"/>
        </w:rPr>
        <w:t xml:space="preserve"> </w:t>
      </w:r>
      <w:r>
        <w:t>application of its rules is broadly equivalent in terms of the impact on capital requirements for lending</w:t>
      </w:r>
      <w:r>
        <w:rPr>
          <w:spacing w:val="-34"/>
        </w:rPr>
        <w:t xml:space="preserve"> </w:t>
      </w:r>
      <w:r>
        <w:t>institutions.</w:t>
      </w:r>
    </w:p>
    <w:p w14:paraId="689E1EE4" w14:textId="77777777" w:rsidR="00D24A18" w:rsidRDefault="00D24A18">
      <w:pPr>
        <w:spacing w:line="276" w:lineRule="auto"/>
        <w:jc w:val="both"/>
        <w:sectPr w:rsidR="00D24A18">
          <w:pgSz w:w="11910" w:h="16840"/>
          <w:pgMar w:top="820" w:right="440" w:bottom="280" w:left="660" w:header="720" w:footer="720" w:gutter="0"/>
          <w:cols w:space="720"/>
        </w:sectPr>
      </w:pPr>
    </w:p>
    <w:p w14:paraId="689E1EE5" w14:textId="77777777" w:rsidR="00D24A18" w:rsidRDefault="00D24A18">
      <w:pPr>
        <w:pStyle w:val="BodyText"/>
        <w:rPr>
          <w:sz w:val="20"/>
        </w:rPr>
      </w:pPr>
    </w:p>
    <w:p w14:paraId="689E1EE6" w14:textId="77777777" w:rsidR="00D24A18" w:rsidRDefault="00D24A18">
      <w:pPr>
        <w:pStyle w:val="BodyText"/>
        <w:rPr>
          <w:sz w:val="20"/>
        </w:rPr>
      </w:pPr>
    </w:p>
    <w:p w14:paraId="689E1EE7" w14:textId="77777777" w:rsidR="00D24A18" w:rsidRDefault="00D24A18">
      <w:pPr>
        <w:pStyle w:val="BodyText"/>
        <w:spacing w:before="3"/>
        <w:rPr>
          <w:sz w:val="17"/>
        </w:rPr>
      </w:pPr>
    </w:p>
    <w:p w14:paraId="689E1EE8" w14:textId="77777777" w:rsidR="00D24A18" w:rsidRDefault="00FC2908">
      <w:pPr>
        <w:pStyle w:val="BodyText"/>
        <w:ind w:left="192"/>
        <w:rPr>
          <w:sz w:val="20"/>
        </w:rPr>
      </w:pPr>
      <w:r>
        <w:rPr>
          <w:sz w:val="20"/>
        </w:rPr>
      </w:r>
      <w:r>
        <w:rPr>
          <w:sz w:val="20"/>
        </w:rPr>
        <w:pict w14:anchorId="689E243F">
          <v:shapetype id="_x0000_t202" coordsize="21600,21600" o:spt="202" path="m,l,21600r21600,l21600,xe">
            <v:stroke joinstyle="miter"/>
            <v:path gradientshapeok="t" o:connecttype="rect"/>
          </v:shapetype>
          <v:shape id="_x0000_s2186" type="#_x0000_t202" style="width:509.8pt;height:236pt;mso-left-percent:-10001;mso-top-percent:-10001;mso-position-horizontal:absolute;mso-position-horizontal-relative:char;mso-position-vertical:absolute;mso-position-vertical-relative:line;mso-left-percent:-10001;mso-top-percent:-10001" fillcolor="#cae2a0" strokeweight=".4pt">
            <v:textbox inset="0,0,0,0">
              <w:txbxContent>
                <w:p w14:paraId="689E250E" w14:textId="77777777" w:rsidR="00D24A18" w:rsidRDefault="00350D62">
                  <w:pPr>
                    <w:pStyle w:val="BodyText"/>
                    <w:spacing w:line="276" w:lineRule="auto"/>
                    <w:ind w:left="103" w:right="101"/>
                    <w:jc w:val="both"/>
                  </w:pPr>
                  <w:r>
                    <w:t xml:space="preserve">In addition, we note that the Commission has sought to limit the impact of the </w:t>
                  </w:r>
                  <w:proofErr w:type="spellStart"/>
                  <w:r>
                    <w:t>standardised</w:t>
                  </w:r>
                  <w:proofErr w:type="spellEnd"/>
                  <w:r>
                    <w:t xml:space="preserve"> approach for counterparty credit risk (SA-CCR) on internally modelled banks through resetting the alpha factor to 1 for a</w:t>
                  </w:r>
                  <w:r>
                    <w:rPr>
                      <w:spacing w:val="-5"/>
                    </w:rPr>
                    <w:t xml:space="preserve"> </w:t>
                  </w:r>
                  <w:r>
                    <w:t>transitional</w:t>
                  </w:r>
                  <w:r>
                    <w:rPr>
                      <w:spacing w:val="-6"/>
                    </w:rPr>
                    <w:t xml:space="preserve"> </w:t>
                  </w:r>
                  <w:r>
                    <w:t>period</w:t>
                  </w:r>
                  <w:r>
                    <w:rPr>
                      <w:spacing w:val="-4"/>
                    </w:rPr>
                    <w:t xml:space="preserve"> </w:t>
                  </w:r>
                  <w:r>
                    <w:t>until</w:t>
                  </w:r>
                  <w:r>
                    <w:rPr>
                      <w:spacing w:val="-6"/>
                    </w:rPr>
                    <w:t xml:space="preserve"> </w:t>
                  </w:r>
                  <w:r>
                    <w:t>31</w:t>
                  </w:r>
                  <w:r>
                    <w:rPr>
                      <w:spacing w:val="-3"/>
                    </w:rPr>
                    <w:t xml:space="preserve"> </w:t>
                  </w:r>
                  <w:r>
                    <w:t>December</w:t>
                  </w:r>
                  <w:r>
                    <w:rPr>
                      <w:spacing w:val="-5"/>
                    </w:rPr>
                    <w:t xml:space="preserve"> </w:t>
                  </w:r>
                  <w:r>
                    <w:t>2029,</w:t>
                  </w:r>
                  <w:r>
                    <w:rPr>
                      <w:spacing w:val="-3"/>
                    </w:rPr>
                    <w:t xml:space="preserve"> </w:t>
                  </w:r>
                  <w:r>
                    <w:t>with</w:t>
                  </w:r>
                  <w:r>
                    <w:rPr>
                      <w:spacing w:val="-7"/>
                    </w:rPr>
                    <w:t xml:space="preserve"> </w:t>
                  </w:r>
                  <w:r>
                    <w:t>the</w:t>
                  </w:r>
                  <w:r>
                    <w:rPr>
                      <w:spacing w:val="-5"/>
                    </w:rPr>
                    <w:t xml:space="preserve"> </w:t>
                  </w:r>
                  <w:r>
                    <w:t>potential</w:t>
                  </w:r>
                  <w:r>
                    <w:rPr>
                      <w:spacing w:val="-5"/>
                    </w:rPr>
                    <w:t xml:space="preserve"> </w:t>
                  </w:r>
                  <w:r>
                    <w:t>for</w:t>
                  </w:r>
                  <w:r>
                    <w:rPr>
                      <w:spacing w:val="-5"/>
                    </w:rPr>
                    <w:t xml:space="preserve"> </w:t>
                  </w:r>
                  <w:r>
                    <w:t>this</w:t>
                  </w:r>
                  <w:r>
                    <w:rPr>
                      <w:spacing w:val="-4"/>
                    </w:rPr>
                    <w:t xml:space="preserve"> </w:t>
                  </w:r>
                  <w:r>
                    <w:t>to</w:t>
                  </w:r>
                  <w:r>
                    <w:rPr>
                      <w:spacing w:val="-7"/>
                    </w:rPr>
                    <w:t xml:space="preserve"> </w:t>
                  </w:r>
                  <w:r>
                    <w:t>be</w:t>
                  </w:r>
                  <w:r>
                    <w:rPr>
                      <w:spacing w:val="-1"/>
                    </w:rPr>
                    <w:t xml:space="preserve"> </w:t>
                  </w:r>
                  <w:r>
                    <w:t>permanent</w:t>
                  </w:r>
                  <w:r>
                    <w:rPr>
                      <w:spacing w:val="-4"/>
                    </w:rPr>
                    <w:t xml:space="preserve"> </w:t>
                  </w:r>
                  <w:r>
                    <w:t>subject</w:t>
                  </w:r>
                  <w:r>
                    <w:rPr>
                      <w:spacing w:val="-5"/>
                    </w:rPr>
                    <w:t xml:space="preserve"> </w:t>
                  </w:r>
                  <w:r>
                    <w:t>to</w:t>
                  </w:r>
                  <w:r>
                    <w:rPr>
                      <w:spacing w:val="-7"/>
                    </w:rPr>
                    <w:t xml:space="preserve"> </w:t>
                  </w:r>
                  <w:r>
                    <w:t>an</w:t>
                  </w:r>
                  <w:r>
                    <w:rPr>
                      <w:spacing w:val="-5"/>
                    </w:rPr>
                    <w:t xml:space="preserve"> </w:t>
                  </w:r>
                  <w:r>
                    <w:t xml:space="preserve">EBA report. Whilst we are supportive of this measure, design and calibration issues persistent within SA-CCR warrant its recalibration throughout the prudential framework. A recalibration of the alpha factor in the </w:t>
                  </w:r>
                  <w:proofErr w:type="spellStart"/>
                  <w:r>
                    <w:t>Standardised</w:t>
                  </w:r>
                  <w:proofErr w:type="spellEnd"/>
                  <w:r>
                    <w:t xml:space="preserve"> Approach (unfloored) capital framework would </w:t>
                  </w:r>
                  <w:r>
                    <w:rPr>
                      <w:spacing w:val="-3"/>
                    </w:rPr>
                    <w:t xml:space="preserve">be </w:t>
                  </w:r>
                  <w:r>
                    <w:t>a simple solution, which feeds through to the</w:t>
                  </w:r>
                  <w:r>
                    <w:rPr>
                      <w:spacing w:val="-14"/>
                    </w:rPr>
                    <w:t xml:space="preserve"> </w:t>
                  </w:r>
                  <w:r>
                    <w:t>Output</w:t>
                  </w:r>
                  <w:r>
                    <w:rPr>
                      <w:spacing w:val="-13"/>
                    </w:rPr>
                    <w:t xml:space="preserve"> </w:t>
                  </w:r>
                  <w:r>
                    <w:t>Floor,</w:t>
                  </w:r>
                  <w:r>
                    <w:rPr>
                      <w:spacing w:val="-16"/>
                    </w:rPr>
                    <w:t xml:space="preserve"> </w:t>
                  </w:r>
                  <w:r>
                    <w:t>leverage</w:t>
                  </w:r>
                  <w:r>
                    <w:rPr>
                      <w:spacing w:val="-14"/>
                    </w:rPr>
                    <w:t xml:space="preserve"> </w:t>
                  </w:r>
                  <w:r>
                    <w:t>ratio</w:t>
                  </w:r>
                  <w:r>
                    <w:rPr>
                      <w:spacing w:val="-16"/>
                    </w:rPr>
                    <w:t xml:space="preserve"> </w:t>
                  </w:r>
                  <w:r>
                    <w:t>and</w:t>
                  </w:r>
                  <w:r>
                    <w:rPr>
                      <w:spacing w:val="-12"/>
                    </w:rPr>
                    <w:t xml:space="preserve"> </w:t>
                  </w:r>
                  <w:r>
                    <w:t>large</w:t>
                  </w:r>
                  <w:r>
                    <w:rPr>
                      <w:spacing w:val="-14"/>
                    </w:rPr>
                    <w:t xml:space="preserve"> </w:t>
                  </w:r>
                  <w:r>
                    <w:t>exposures</w:t>
                  </w:r>
                  <w:r>
                    <w:rPr>
                      <w:spacing w:val="-13"/>
                    </w:rPr>
                    <w:t xml:space="preserve"> </w:t>
                  </w:r>
                  <w:r>
                    <w:t>framework</w:t>
                  </w:r>
                  <w:r>
                    <w:rPr>
                      <w:spacing w:val="-14"/>
                    </w:rPr>
                    <w:t xml:space="preserve"> </w:t>
                  </w:r>
                  <w:r>
                    <w:t>respectively.</w:t>
                  </w:r>
                  <w:r>
                    <w:rPr>
                      <w:spacing w:val="18"/>
                    </w:rPr>
                    <w:t xml:space="preserve"> </w:t>
                  </w:r>
                  <w:r>
                    <w:t>This</w:t>
                  </w:r>
                  <w:r>
                    <w:rPr>
                      <w:spacing w:val="-12"/>
                    </w:rPr>
                    <w:t xml:space="preserve"> </w:t>
                  </w:r>
                  <w:r>
                    <w:t>would</w:t>
                  </w:r>
                  <w:r>
                    <w:rPr>
                      <w:spacing w:val="-13"/>
                    </w:rPr>
                    <w:t xml:space="preserve"> </w:t>
                  </w:r>
                  <w:r>
                    <w:t>address</w:t>
                  </w:r>
                  <w:r>
                    <w:rPr>
                      <w:spacing w:val="-13"/>
                    </w:rPr>
                    <w:t xml:space="preserve"> </w:t>
                  </w:r>
                  <w:r>
                    <w:t>a</w:t>
                  </w:r>
                  <w:r>
                    <w:rPr>
                      <w:spacing w:val="-14"/>
                    </w:rPr>
                    <w:t xml:space="preserve"> </w:t>
                  </w:r>
                  <w:r>
                    <w:t>material aspect of the SA-CCR miscalibration throughout the prudential framework, helping to limit the otherwise potential undesirable impact of reduced bank capacity to provide end-users with risk management products and/or increases in the costs of hedging</w:t>
                  </w:r>
                  <w:r>
                    <w:rPr>
                      <w:spacing w:val="-4"/>
                    </w:rPr>
                    <w:t xml:space="preserve"> </w:t>
                  </w:r>
                  <w:r>
                    <w:t>activity.</w:t>
                  </w:r>
                </w:p>
                <w:p w14:paraId="689E250F" w14:textId="77777777" w:rsidR="00D24A18" w:rsidRDefault="00D24A18">
                  <w:pPr>
                    <w:pStyle w:val="BodyText"/>
                    <w:spacing w:before="11"/>
                    <w:rPr>
                      <w:sz w:val="23"/>
                    </w:rPr>
                  </w:pPr>
                </w:p>
                <w:p w14:paraId="689E2510" w14:textId="77777777" w:rsidR="00D24A18" w:rsidRDefault="00350D62">
                  <w:pPr>
                    <w:pStyle w:val="BodyText"/>
                    <w:spacing w:line="276" w:lineRule="auto"/>
                    <w:ind w:left="103" w:right="106"/>
                    <w:jc w:val="both"/>
                  </w:pPr>
                  <w:r>
                    <w:t>Finally,</w:t>
                  </w:r>
                  <w:r>
                    <w:rPr>
                      <w:spacing w:val="-16"/>
                    </w:rPr>
                    <w:t xml:space="preserve"> </w:t>
                  </w:r>
                  <w:r>
                    <w:t>we</w:t>
                  </w:r>
                  <w:r>
                    <w:rPr>
                      <w:spacing w:val="-13"/>
                    </w:rPr>
                    <w:t xml:space="preserve"> </w:t>
                  </w:r>
                  <w:r>
                    <w:t>recommend</w:t>
                  </w:r>
                  <w:r>
                    <w:rPr>
                      <w:spacing w:val="-13"/>
                    </w:rPr>
                    <w:t xml:space="preserve"> </w:t>
                  </w:r>
                  <w:r>
                    <w:t>calibration</w:t>
                  </w:r>
                  <w:r>
                    <w:rPr>
                      <w:spacing w:val="-14"/>
                    </w:rPr>
                    <w:t xml:space="preserve"> </w:t>
                  </w:r>
                  <w:r>
                    <w:t>of</w:t>
                  </w:r>
                  <w:r>
                    <w:rPr>
                      <w:spacing w:val="-13"/>
                    </w:rPr>
                    <w:t xml:space="preserve"> </w:t>
                  </w:r>
                  <w:r>
                    <w:t>the</w:t>
                  </w:r>
                  <w:r>
                    <w:rPr>
                      <w:spacing w:val="-14"/>
                    </w:rPr>
                    <w:t xml:space="preserve"> </w:t>
                  </w:r>
                  <w:r>
                    <w:t>Output</w:t>
                  </w:r>
                  <w:r>
                    <w:rPr>
                      <w:spacing w:val="-13"/>
                    </w:rPr>
                    <w:t xml:space="preserve"> </w:t>
                  </w:r>
                  <w:r>
                    <w:t>Floor</w:t>
                  </w:r>
                  <w:r>
                    <w:rPr>
                      <w:spacing w:val="-14"/>
                    </w:rPr>
                    <w:t xml:space="preserve"> </w:t>
                  </w:r>
                  <w:r>
                    <w:t>is</w:t>
                  </w:r>
                  <w:r>
                    <w:rPr>
                      <w:spacing w:val="-12"/>
                    </w:rPr>
                    <w:t xml:space="preserve"> </w:t>
                  </w:r>
                  <w:r>
                    <w:t>coherent</w:t>
                  </w:r>
                  <w:r>
                    <w:rPr>
                      <w:spacing w:val="-14"/>
                    </w:rPr>
                    <w:t xml:space="preserve"> </w:t>
                  </w:r>
                  <w:r>
                    <w:t>with</w:t>
                  </w:r>
                  <w:r>
                    <w:rPr>
                      <w:spacing w:val="-15"/>
                    </w:rPr>
                    <w:t xml:space="preserve"> </w:t>
                  </w:r>
                  <w:r>
                    <w:t>the</w:t>
                  </w:r>
                  <w:r>
                    <w:rPr>
                      <w:spacing w:val="-14"/>
                    </w:rPr>
                    <w:t xml:space="preserve"> </w:t>
                  </w:r>
                  <w:r>
                    <w:t>Commission’s</w:t>
                  </w:r>
                  <w:r>
                    <w:rPr>
                      <w:spacing w:val="-12"/>
                    </w:rPr>
                    <w:t xml:space="preserve"> </w:t>
                  </w:r>
                  <w:r>
                    <w:t>and</w:t>
                  </w:r>
                  <w:r>
                    <w:rPr>
                      <w:spacing w:val="-13"/>
                    </w:rPr>
                    <w:t xml:space="preserve"> </w:t>
                  </w:r>
                  <w:r>
                    <w:t>ESA’s</w:t>
                  </w:r>
                  <w:r>
                    <w:rPr>
                      <w:spacing w:val="-13"/>
                    </w:rPr>
                    <w:t xml:space="preserve"> </w:t>
                  </w:r>
                  <w:r>
                    <w:t xml:space="preserve">ongoing review of the </w:t>
                  </w:r>
                  <w:proofErr w:type="spellStart"/>
                  <w:r>
                    <w:t>securitisation</w:t>
                  </w:r>
                  <w:proofErr w:type="spellEnd"/>
                  <w:r>
                    <w:t xml:space="preserve"> framework.</w:t>
                  </w:r>
                </w:p>
                <w:p w14:paraId="689E2511" w14:textId="77777777" w:rsidR="00D24A18" w:rsidRDefault="00D24A18">
                  <w:pPr>
                    <w:pStyle w:val="BodyText"/>
                    <w:spacing w:before="9"/>
                    <w:rPr>
                      <w:sz w:val="23"/>
                    </w:rPr>
                  </w:pPr>
                </w:p>
                <w:p w14:paraId="689E2512" w14:textId="77777777" w:rsidR="00D24A18" w:rsidRDefault="00350D62">
                  <w:pPr>
                    <w:pStyle w:val="BodyText"/>
                    <w:spacing w:line="276" w:lineRule="auto"/>
                    <w:ind w:left="103" w:right="104"/>
                    <w:jc w:val="both"/>
                  </w:pPr>
                  <w:r>
                    <w:t>Our initial views on the Commission’s CRR3 proposals and potential improvements are set out in more detail below.</w:t>
                  </w:r>
                </w:p>
              </w:txbxContent>
            </v:textbox>
            <w10:anchorlock/>
          </v:shape>
        </w:pict>
      </w:r>
    </w:p>
    <w:p w14:paraId="689E1EE9" w14:textId="77777777" w:rsidR="00D24A18" w:rsidRDefault="00D24A18">
      <w:pPr>
        <w:pStyle w:val="BodyText"/>
        <w:spacing w:before="3"/>
        <w:rPr>
          <w:sz w:val="12"/>
        </w:rPr>
      </w:pPr>
    </w:p>
    <w:p w14:paraId="689E1EEA" w14:textId="77777777" w:rsidR="00D24A18" w:rsidRDefault="00350D62">
      <w:pPr>
        <w:pStyle w:val="Heading3"/>
        <w:spacing w:before="100"/>
        <w:ind w:left="192"/>
      </w:pPr>
      <w:r>
        <w:t>Level of Consolidation</w:t>
      </w:r>
    </w:p>
    <w:p w14:paraId="689E1EEB" w14:textId="77777777" w:rsidR="00D24A18" w:rsidRDefault="00D24A18">
      <w:pPr>
        <w:pStyle w:val="BodyText"/>
        <w:spacing w:before="1"/>
        <w:rPr>
          <w:b/>
          <w:sz w:val="27"/>
        </w:rPr>
      </w:pPr>
    </w:p>
    <w:p w14:paraId="689E1EEC" w14:textId="77777777" w:rsidR="00D24A18" w:rsidRDefault="00350D62">
      <w:pPr>
        <w:spacing w:line="276" w:lineRule="auto"/>
        <w:ind w:left="191" w:right="407"/>
        <w:jc w:val="both"/>
      </w:pPr>
      <w:r>
        <w:t xml:space="preserve">We support the Commission’s approach to apply at the group consolidated level and would note this reflects the way in which it was </w:t>
      </w:r>
      <w:proofErr w:type="spellStart"/>
      <w:r>
        <w:t>analysed</w:t>
      </w:r>
      <w:proofErr w:type="spellEnd"/>
      <w:r>
        <w:t xml:space="preserve"> and calibrated by the Basel committee and has also received the support </w:t>
      </w:r>
      <w:r>
        <w:rPr>
          <w:spacing w:val="-3"/>
        </w:rPr>
        <w:t xml:space="preserve">of </w:t>
      </w:r>
      <w:r>
        <w:t xml:space="preserve">the SSM, as noted by their Chairperson, Andrea </w:t>
      </w:r>
      <w:proofErr w:type="spellStart"/>
      <w:r>
        <w:t>Enria</w:t>
      </w:r>
      <w:proofErr w:type="spellEnd"/>
      <w:r>
        <w:t xml:space="preserve">: </w:t>
      </w:r>
      <w:r>
        <w:rPr>
          <w:i/>
        </w:rPr>
        <w:t>“This [consolidated application] would be simpler because each banking group would only have to calculate the output floor once. It would also be in line with our goal</w:t>
      </w:r>
      <w:r>
        <w:rPr>
          <w:i/>
          <w:spacing w:val="-7"/>
        </w:rPr>
        <w:t xml:space="preserve"> </w:t>
      </w:r>
      <w:r>
        <w:rPr>
          <w:i/>
        </w:rPr>
        <w:t>of</w:t>
      </w:r>
      <w:r>
        <w:rPr>
          <w:i/>
          <w:spacing w:val="-7"/>
        </w:rPr>
        <w:t xml:space="preserve"> </w:t>
      </w:r>
      <w:r>
        <w:rPr>
          <w:i/>
        </w:rPr>
        <w:t>supporting</w:t>
      </w:r>
      <w:r>
        <w:rPr>
          <w:i/>
          <w:spacing w:val="-6"/>
        </w:rPr>
        <w:t xml:space="preserve"> </w:t>
      </w:r>
      <w:r>
        <w:rPr>
          <w:i/>
        </w:rPr>
        <w:t>a</w:t>
      </w:r>
      <w:r>
        <w:rPr>
          <w:i/>
          <w:spacing w:val="-7"/>
        </w:rPr>
        <w:t xml:space="preserve"> </w:t>
      </w:r>
      <w:r>
        <w:rPr>
          <w:i/>
        </w:rPr>
        <w:t>truly</w:t>
      </w:r>
      <w:r>
        <w:rPr>
          <w:i/>
          <w:spacing w:val="-8"/>
        </w:rPr>
        <w:t xml:space="preserve"> </w:t>
      </w:r>
      <w:r>
        <w:rPr>
          <w:i/>
        </w:rPr>
        <w:t>European</w:t>
      </w:r>
      <w:r>
        <w:rPr>
          <w:i/>
          <w:spacing w:val="-9"/>
        </w:rPr>
        <w:t xml:space="preserve"> </w:t>
      </w:r>
      <w:r>
        <w:rPr>
          <w:i/>
        </w:rPr>
        <w:t>banking</w:t>
      </w:r>
      <w:r>
        <w:rPr>
          <w:i/>
          <w:spacing w:val="-2"/>
        </w:rPr>
        <w:t xml:space="preserve"> </w:t>
      </w:r>
      <w:r>
        <w:rPr>
          <w:i/>
        </w:rPr>
        <w:t>market.</w:t>
      </w:r>
      <w:r>
        <w:rPr>
          <w:i/>
          <w:spacing w:val="-7"/>
        </w:rPr>
        <w:t xml:space="preserve"> </w:t>
      </w:r>
      <w:r>
        <w:rPr>
          <w:i/>
        </w:rPr>
        <w:t>If</w:t>
      </w:r>
      <w:r>
        <w:rPr>
          <w:i/>
          <w:spacing w:val="-7"/>
        </w:rPr>
        <w:t xml:space="preserve"> </w:t>
      </w:r>
      <w:r>
        <w:rPr>
          <w:i/>
        </w:rPr>
        <w:t>the</w:t>
      </w:r>
      <w:r>
        <w:rPr>
          <w:i/>
          <w:spacing w:val="-7"/>
        </w:rPr>
        <w:t xml:space="preserve"> </w:t>
      </w:r>
      <w:r>
        <w:rPr>
          <w:i/>
        </w:rPr>
        <w:t>output</w:t>
      </w:r>
      <w:r>
        <w:rPr>
          <w:i/>
          <w:spacing w:val="-7"/>
        </w:rPr>
        <w:t xml:space="preserve"> </w:t>
      </w:r>
      <w:r>
        <w:rPr>
          <w:i/>
        </w:rPr>
        <w:t>floor</w:t>
      </w:r>
      <w:r>
        <w:rPr>
          <w:i/>
          <w:spacing w:val="-9"/>
        </w:rPr>
        <w:t xml:space="preserve"> </w:t>
      </w:r>
      <w:r>
        <w:rPr>
          <w:i/>
        </w:rPr>
        <w:t>were</w:t>
      </w:r>
      <w:r>
        <w:rPr>
          <w:i/>
          <w:spacing w:val="-7"/>
        </w:rPr>
        <w:t xml:space="preserve"> </w:t>
      </w:r>
      <w:r>
        <w:rPr>
          <w:i/>
        </w:rPr>
        <w:t>to</w:t>
      </w:r>
      <w:r>
        <w:rPr>
          <w:i/>
          <w:spacing w:val="-7"/>
        </w:rPr>
        <w:t xml:space="preserve"> </w:t>
      </w:r>
      <w:r>
        <w:rPr>
          <w:i/>
        </w:rPr>
        <w:t>be</w:t>
      </w:r>
      <w:r>
        <w:rPr>
          <w:i/>
          <w:spacing w:val="-7"/>
        </w:rPr>
        <w:t xml:space="preserve"> </w:t>
      </w:r>
      <w:r>
        <w:rPr>
          <w:i/>
        </w:rPr>
        <w:t>applied</w:t>
      </w:r>
      <w:r>
        <w:rPr>
          <w:i/>
          <w:spacing w:val="-10"/>
        </w:rPr>
        <w:t xml:space="preserve"> </w:t>
      </w:r>
      <w:r>
        <w:rPr>
          <w:i/>
        </w:rPr>
        <w:t>at</w:t>
      </w:r>
      <w:r>
        <w:rPr>
          <w:i/>
          <w:spacing w:val="-7"/>
        </w:rPr>
        <w:t xml:space="preserve"> </w:t>
      </w:r>
      <w:r>
        <w:rPr>
          <w:i/>
        </w:rPr>
        <w:t>the</w:t>
      </w:r>
      <w:r>
        <w:rPr>
          <w:i/>
          <w:spacing w:val="-7"/>
        </w:rPr>
        <w:t xml:space="preserve"> </w:t>
      </w:r>
      <w:r>
        <w:rPr>
          <w:i/>
        </w:rPr>
        <w:t>individual</w:t>
      </w:r>
      <w:r>
        <w:rPr>
          <w:i/>
          <w:spacing w:val="-6"/>
        </w:rPr>
        <w:t xml:space="preserve"> </w:t>
      </w:r>
      <w:r>
        <w:rPr>
          <w:i/>
        </w:rPr>
        <w:t>level, the European banking market would fragment further.”</w:t>
      </w:r>
      <w:hyperlink w:anchor="_bookmark0" w:history="1">
        <w:r>
          <w:rPr>
            <w:i/>
            <w:position w:val="5"/>
            <w:sz w:val="14"/>
          </w:rPr>
          <w:t>1</w:t>
        </w:r>
      </w:hyperlink>
      <w:r>
        <w:rPr>
          <w:i/>
          <w:position w:val="5"/>
          <w:sz w:val="14"/>
        </w:rPr>
        <w:t xml:space="preserve"> </w:t>
      </w:r>
      <w:r>
        <w:t xml:space="preserve">We therefore think applying it </w:t>
      </w:r>
      <w:r>
        <w:rPr>
          <w:spacing w:val="-3"/>
        </w:rPr>
        <w:t xml:space="preserve">in </w:t>
      </w:r>
      <w:r>
        <w:t xml:space="preserve">this way will ensure it is a truly business model-neutral measure and allow banks to diversify their risks and avoid regulatory fragmentation. We also </w:t>
      </w:r>
      <w:proofErr w:type="spellStart"/>
      <w:r>
        <w:t>recognise</w:t>
      </w:r>
      <w:proofErr w:type="spellEnd"/>
      <w:r>
        <w:t xml:space="preserve"> that a redistribution mechanism is important to allay the concerns of host Member</w:t>
      </w:r>
      <w:r>
        <w:rPr>
          <w:spacing w:val="-1"/>
        </w:rPr>
        <w:t xml:space="preserve"> </w:t>
      </w:r>
      <w:r>
        <w:t>States.</w:t>
      </w:r>
    </w:p>
    <w:p w14:paraId="689E1EED" w14:textId="77777777" w:rsidR="00D24A18" w:rsidRDefault="00D24A18">
      <w:pPr>
        <w:pStyle w:val="BodyText"/>
        <w:spacing w:before="1"/>
        <w:rPr>
          <w:sz w:val="24"/>
        </w:rPr>
      </w:pPr>
    </w:p>
    <w:p w14:paraId="689E1EEE" w14:textId="77777777" w:rsidR="00D24A18" w:rsidRDefault="00350D62">
      <w:pPr>
        <w:pStyle w:val="Heading3"/>
        <w:ind w:left="191"/>
      </w:pPr>
      <w:r>
        <w:t>Calculation of the Output Floor</w:t>
      </w:r>
    </w:p>
    <w:p w14:paraId="689E1EEF" w14:textId="77777777" w:rsidR="00D24A18" w:rsidRDefault="00D24A18">
      <w:pPr>
        <w:pStyle w:val="BodyText"/>
        <w:spacing w:before="2"/>
        <w:rPr>
          <w:b/>
          <w:sz w:val="27"/>
        </w:rPr>
      </w:pPr>
    </w:p>
    <w:p w14:paraId="689E1EF0" w14:textId="77777777" w:rsidR="00D24A18" w:rsidRDefault="00350D62">
      <w:pPr>
        <w:ind w:left="191"/>
        <w:rPr>
          <w:b/>
        </w:rPr>
      </w:pPr>
      <w:r>
        <w:rPr>
          <w:b/>
        </w:rPr>
        <w:t xml:space="preserve">Proposed safeguards for EU specific capital requirements (Pillar 2, </w:t>
      </w:r>
      <w:proofErr w:type="spellStart"/>
      <w:r>
        <w:rPr>
          <w:b/>
        </w:rPr>
        <w:t>SyRB</w:t>
      </w:r>
      <w:proofErr w:type="spellEnd"/>
      <w:r>
        <w:rPr>
          <w:b/>
        </w:rPr>
        <w:t>, O-SII buffers)</w:t>
      </w:r>
    </w:p>
    <w:p w14:paraId="689E1EF1" w14:textId="77777777" w:rsidR="00D24A18" w:rsidRDefault="00D24A18">
      <w:pPr>
        <w:pStyle w:val="BodyText"/>
        <w:spacing w:before="1"/>
        <w:rPr>
          <w:b/>
          <w:sz w:val="27"/>
        </w:rPr>
      </w:pPr>
    </w:p>
    <w:p w14:paraId="689E1EF2" w14:textId="77777777" w:rsidR="00D24A18" w:rsidRDefault="00350D62">
      <w:pPr>
        <w:pStyle w:val="BodyText"/>
        <w:spacing w:line="276" w:lineRule="auto"/>
        <w:ind w:left="191" w:right="408"/>
        <w:jc w:val="both"/>
      </w:pPr>
      <w:r>
        <w:t>We</w:t>
      </w:r>
      <w:r>
        <w:rPr>
          <w:spacing w:val="-3"/>
        </w:rPr>
        <w:t xml:space="preserve"> </w:t>
      </w:r>
      <w:r>
        <w:t>welcome</w:t>
      </w:r>
      <w:r>
        <w:rPr>
          <w:spacing w:val="-6"/>
        </w:rPr>
        <w:t xml:space="preserve"> </w:t>
      </w:r>
      <w:r>
        <w:t>the</w:t>
      </w:r>
      <w:r>
        <w:rPr>
          <w:spacing w:val="-3"/>
        </w:rPr>
        <w:t xml:space="preserve"> </w:t>
      </w:r>
      <w:r>
        <w:t>Commission’s</w:t>
      </w:r>
      <w:r>
        <w:rPr>
          <w:spacing w:val="-2"/>
        </w:rPr>
        <w:t xml:space="preserve"> </w:t>
      </w:r>
      <w:r>
        <w:t>intentions</w:t>
      </w:r>
      <w:r>
        <w:rPr>
          <w:spacing w:val="-5"/>
        </w:rPr>
        <w:t xml:space="preserve"> </w:t>
      </w:r>
      <w:r>
        <w:t>to</w:t>
      </w:r>
      <w:r>
        <w:rPr>
          <w:spacing w:val="-4"/>
        </w:rPr>
        <w:t xml:space="preserve"> </w:t>
      </w:r>
      <w:r>
        <w:t>safeguard</w:t>
      </w:r>
      <w:r>
        <w:rPr>
          <w:spacing w:val="-5"/>
        </w:rPr>
        <w:t xml:space="preserve"> </w:t>
      </w:r>
      <w:r>
        <w:t>against</w:t>
      </w:r>
      <w:r>
        <w:rPr>
          <w:spacing w:val="-5"/>
        </w:rPr>
        <w:t xml:space="preserve"> </w:t>
      </w:r>
      <w:r>
        <w:t>double</w:t>
      </w:r>
      <w:r>
        <w:rPr>
          <w:spacing w:val="-3"/>
        </w:rPr>
        <w:t xml:space="preserve"> </w:t>
      </w:r>
      <w:r>
        <w:t>counting</w:t>
      </w:r>
      <w:r>
        <w:rPr>
          <w:spacing w:val="-4"/>
        </w:rPr>
        <w:t xml:space="preserve"> </w:t>
      </w:r>
      <w:r>
        <w:t>of</w:t>
      </w:r>
      <w:r>
        <w:rPr>
          <w:spacing w:val="-2"/>
        </w:rPr>
        <w:t xml:space="preserve"> </w:t>
      </w:r>
      <w:r>
        <w:t>the</w:t>
      </w:r>
      <w:r>
        <w:rPr>
          <w:spacing w:val="-6"/>
        </w:rPr>
        <w:t xml:space="preserve"> </w:t>
      </w:r>
      <w:r>
        <w:t>EU-specific</w:t>
      </w:r>
      <w:r>
        <w:rPr>
          <w:spacing w:val="-4"/>
        </w:rPr>
        <w:t xml:space="preserve"> </w:t>
      </w:r>
      <w:r>
        <w:t>Pillar</w:t>
      </w:r>
      <w:r>
        <w:rPr>
          <w:spacing w:val="-2"/>
        </w:rPr>
        <w:t xml:space="preserve"> </w:t>
      </w:r>
      <w:r>
        <w:t>2</w:t>
      </w:r>
      <w:r>
        <w:rPr>
          <w:spacing w:val="-5"/>
        </w:rPr>
        <w:t xml:space="preserve"> </w:t>
      </w:r>
      <w:r>
        <w:t>and Systemic Risk buffer requirement, both of which will remain frozen until the next yearly assessment and the supervisor has reviewed those requirements for double counting. Furthermore, the CRD also requires a review</w:t>
      </w:r>
      <w:r>
        <w:rPr>
          <w:spacing w:val="-5"/>
        </w:rPr>
        <w:t xml:space="preserve"> </w:t>
      </w:r>
      <w:r>
        <w:t>of</w:t>
      </w:r>
      <w:r>
        <w:rPr>
          <w:spacing w:val="-5"/>
        </w:rPr>
        <w:t xml:space="preserve"> </w:t>
      </w:r>
      <w:r>
        <w:t>the</w:t>
      </w:r>
      <w:r>
        <w:rPr>
          <w:spacing w:val="-6"/>
        </w:rPr>
        <w:t xml:space="preserve"> </w:t>
      </w:r>
      <w:r>
        <w:t>calibration</w:t>
      </w:r>
      <w:r>
        <w:rPr>
          <w:spacing w:val="-5"/>
        </w:rPr>
        <w:t xml:space="preserve"> </w:t>
      </w:r>
      <w:r>
        <w:t>of</w:t>
      </w:r>
      <w:r>
        <w:rPr>
          <w:spacing w:val="-6"/>
        </w:rPr>
        <w:t xml:space="preserve"> </w:t>
      </w:r>
      <w:r>
        <w:t>the</w:t>
      </w:r>
      <w:r>
        <w:rPr>
          <w:spacing w:val="-5"/>
        </w:rPr>
        <w:t xml:space="preserve"> </w:t>
      </w:r>
      <w:r>
        <w:t>O-SII</w:t>
      </w:r>
      <w:r>
        <w:rPr>
          <w:spacing w:val="-2"/>
        </w:rPr>
        <w:t xml:space="preserve"> </w:t>
      </w:r>
      <w:r>
        <w:t>buffer</w:t>
      </w:r>
      <w:r>
        <w:rPr>
          <w:spacing w:val="-5"/>
        </w:rPr>
        <w:t xml:space="preserve"> </w:t>
      </w:r>
      <w:r>
        <w:t>requirement</w:t>
      </w:r>
      <w:r>
        <w:rPr>
          <w:spacing w:val="-5"/>
        </w:rPr>
        <w:t xml:space="preserve"> </w:t>
      </w:r>
      <w:r>
        <w:t>(when</w:t>
      </w:r>
      <w:r>
        <w:rPr>
          <w:spacing w:val="-5"/>
        </w:rPr>
        <w:t xml:space="preserve"> </w:t>
      </w:r>
      <w:r>
        <w:t>an</w:t>
      </w:r>
      <w:r>
        <w:rPr>
          <w:spacing w:val="-6"/>
        </w:rPr>
        <w:t xml:space="preserve"> </w:t>
      </w:r>
      <w:r>
        <w:t>O-SII</w:t>
      </w:r>
      <w:r>
        <w:rPr>
          <w:spacing w:val="-5"/>
        </w:rPr>
        <w:t xml:space="preserve"> </w:t>
      </w:r>
      <w:r>
        <w:t>becomes</w:t>
      </w:r>
      <w:r>
        <w:rPr>
          <w:spacing w:val="-5"/>
        </w:rPr>
        <w:t xml:space="preserve"> </w:t>
      </w:r>
      <w:r>
        <w:t>bound</w:t>
      </w:r>
      <w:r>
        <w:rPr>
          <w:spacing w:val="-5"/>
        </w:rPr>
        <w:t xml:space="preserve"> </w:t>
      </w:r>
      <w:r>
        <w:t>by</w:t>
      </w:r>
      <w:r>
        <w:rPr>
          <w:spacing w:val="-5"/>
        </w:rPr>
        <w:t xml:space="preserve"> </w:t>
      </w:r>
      <w:r>
        <w:t>the</w:t>
      </w:r>
      <w:r>
        <w:rPr>
          <w:spacing w:val="-6"/>
        </w:rPr>
        <w:t xml:space="preserve"> </w:t>
      </w:r>
      <w:r>
        <w:t>floor)</w:t>
      </w:r>
      <w:r>
        <w:rPr>
          <w:spacing w:val="-6"/>
        </w:rPr>
        <w:t xml:space="preserve"> </w:t>
      </w:r>
      <w:r>
        <w:t>to</w:t>
      </w:r>
      <w:r>
        <w:rPr>
          <w:spacing w:val="-8"/>
        </w:rPr>
        <w:t xml:space="preserve"> </w:t>
      </w:r>
      <w:r>
        <w:t>make sure that the calibration remains appropriate.</w:t>
      </w:r>
    </w:p>
    <w:p w14:paraId="689E1EF3" w14:textId="77777777" w:rsidR="00D24A18" w:rsidRDefault="00D24A18">
      <w:pPr>
        <w:pStyle w:val="BodyText"/>
        <w:spacing w:before="11"/>
        <w:rPr>
          <w:sz w:val="23"/>
        </w:rPr>
      </w:pPr>
    </w:p>
    <w:p w14:paraId="689E1EF4" w14:textId="77777777" w:rsidR="00D24A18" w:rsidRDefault="00350D62">
      <w:pPr>
        <w:pStyle w:val="BodyText"/>
        <w:spacing w:line="276" w:lineRule="auto"/>
        <w:ind w:left="191" w:right="410"/>
        <w:jc w:val="both"/>
      </w:pPr>
      <w:r>
        <w:t>Nonetheless, we think a more fundamental review of P2R in 2025 is needed, in order to eliminate any capital add-on that is no longer required, in particular due to the removal or reduction of internal models within</w:t>
      </w:r>
    </w:p>
    <w:p w14:paraId="689E1EF5" w14:textId="77777777" w:rsidR="00D24A18" w:rsidRDefault="00FC2908">
      <w:pPr>
        <w:pStyle w:val="BodyText"/>
        <w:spacing w:before="6"/>
        <w:rPr>
          <w:sz w:val="17"/>
        </w:rPr>
      </w:pPr>
      <w:r>
        <w:pict w14:anchorId="689E2440">
          <v:shape id="_x0000_s2171" style="position:absolute;margin-left:42.6pt;margin-top:12.55pt;width:2in;height:.1pt;z-index:-251654144;mso-wrap-distance-left:0;mso-wrap-distance-right:0;mso-position-horizontal-relative:page" coordorigin="852,251" coordsize="2880,0" path="m852,251r2880,e" filled="f" strokecolor="#78a12e" strokeweight=".21131mm">
            <v:path arrowok="t"/>
            <w10:wrap type="topAndBottom" anchorx="page"/>
          </v:shape>
        </w:pict>
      </w:r>
    </w:p>
    <w:p w14:paraId="689E1EF6" w14:textId="77777777" w:rsidR="00D24A18" w:rsidRDefault="00350D62">
      <w:pPr>
        <w:spacing w:before="63"/>
        <w:ind w:left="192"/>
        <w:rPr>
          <w:sz w:val="16"/>
        </w:rPr>
      </w:pPr>
      <w:bookmarkStart w:id="2" w:name="_bookmark0"/>
      <w:bookmarkEnd w:id="2"/>
      <w:r>
        <w:rPr>
          <w:position w:val="4"/>
          <w:sz w:val="10"/>
        </w:rPr>
        <w:t xml:space="preserve">1 </w:t>
      </w:r>
      <w:hyperlink r:id="rId9">
        <w:r>
          <w:rPr>
            <w:color w:val="78A12E"/>
            <w:sz w:val="16"/>
            <w:u w:val="single" w:color="78A12E"/>
          </w:rPr>
          <w:t>https://www.bankingsupervision.europa.eu/press/speeches/date/2019/html/ssm.sp191112_1~01be3b89b0.en.html</w:t>
        </w:r>
        <w:r>
          <w:rPr>
            <w:sz w:val="16"/>
          </w:rPr>
          <w:t>,</w:t>
        </w:r>
      </w:hyperlink>
    </w:p>
    <w:p w14:paraId="689E1EF7" w14:textId="77777777" w:rsidR="00D24A18" w:rsidRDefault="00D24A18">
      <w:pPr>
        <w:rPr>
          <w:sz w:val="16"/>
        </w:rPr>
        <w:sectPr w:rsidR="00D24A18">
          <w:footerReference w:type="default" r:id="rId10"/>
          <w:pgSz w:w="11910" w:h="16840"/>
          <w:pgMar w:top="1580" w:right="440" w:bottom="1100" w:left="660" w:header="0" w:footer="914" w:gutter="0"/>
          <w:pgNumType w:start="2"/>
          <w:cols w:space="720"/>
        </w:sectPr>
      </w:pPr>
    </w:p>
    <w:p w14:paraId="689E1EF8" w14:textId="77777777" w:rsidR="00D24A18" w:rsidRDefault="00D24A18">
      <w:pPr>
        <w:pStyle w:val="BodyText"/>
        <w:rPr>
          <w:sz w:val="20"/>
        </w:rPr>
      </w:pPr>
    </w:p>
    <w:p w14:paraId="689E1EF9" w14:textId="77777777" w:rsidR="00D24A18" w:rsidRDefault="00D24A18">
      <w:pPr>
        <w:pStyle w:val="BodyText"/>
        <w:spacing w:before="8"/>
        <w:rPr>
          <w:sz w:val="28"/>
        </w:rPr>
      </w:pPr>
    </w:p>
    <w:p w14:paraId="689E1EFA" w14:textId="77777777" w:rsidR="00D24A18" w:rsidRDefault="00350D62">
      <w:pPr>
        <w:pStyle w:val="BodyText"/>
        <w:spacing w:before="100" w:line="276" w:lineRule="auto"/>
        <w:ind w:left="191" w:right="407"/>
        <w:jc w:val="both"/>
      </w:pPr>
      <w:r>
        <w:t>certain</w:t>
      </w:r>
      <w:r>
        <w:rPr>
          <w:spacing w:val="-8"/>
        </w:rPr>
        <w:t xml:space="preserve"> </w:t>
      </w:r>
      <w:r>
        <w:t>risks</w:t>
      </w:r>
      <w:r>
        <w:rPr>
          <w:spacing w:val="-7"/>
        </w:rPr>
        <w:t xml:space="preserve"> </w:t>
      </w:r>
      <w:r>
        <w:t>categories</w:t>
      </w:r>
      <w:r>
        <w:rPr>
          <w:spacing w:val="-7"/>
        </w:rPr>
        <w:t xml:space="preserve"> </w:t>
      </w:r>
      <w:r>
        <w:t>(e.g.</w:t>
      </w:r>
      <w:r>
        <w:rPr>
          <w:spacing w:val="-10"/>
        </w:rPr>
        <w:t xml:space="preserve"> </w:t>
      </w:r>
      <w:r>
        <w:t>credit</w:t>
      </w:r>
      <w:r>
        <w:rPr>
          <w:spacing w:val="-7"/>
        </w:rPr>
        <w:t xml:space="preserve"> </w:t>
      </w:r>
      <w:r>
        <w:t>risk,</w:t>
      </w:r>
      <w:r>
        <w:rPr>
          <w:spacing w:val="-9"/>
        </w:rPr>
        <w:t xml:space="preserve"> </w:t>
      </w:r>
      <w:r>
        <w:t>operational</w:t>
      </w:r>
      <w:r>
        <w:rPr>
          <w:spacing w:val="-9"/>
        </w:rPr>
        <w:t xml:space="preserve"> </w:t>
      </w:r>
      <w:r>
        <w:t>risks).</w:t>
      </w:r>
      <w:r>
        <w:rPr>
          <w:spacing w:val="-9"/>
        </w:rPr>
        <w:t xml:space="preserve"> </w:t>
      </w:r>
      <w:r>
        <w:t>This</w:t>
      </w:r>
      <w:r>
        <w:rPr>
          <w:spacing w:val="-10"/>
        </w:rPr>
        <w:t xml:space="preserve"> </w:t>
      </w:r>
      <w:r>
        <w:t>analysis</w:t>
      </w:r>
      <w:r>
        <w:rPr>
          <w:spacing w:val="-7"/>
        </w:rPr>
        <w:t xml:space="preserve"> </w:t>
      </w:r>
      <w:r>
        <w:t>should</w:t>
      </w:r>
      <w:r>
        <w:rPr>
          <w:spacing w:val="-7"/>
        </w:rPr>
        <w:t xml:space="preserve"> </w:t>
      </w:r>
      <w:r>
        <w:t>be</w:t>
      </w:r>
      <w:r>
        <w:rPr>
          <w:spacing w:val="-11"/>
        </w:rPr>
        <w:t xml:space="preserve"> </w:t>
      </w:r>
      <w:r>
        <w:t>undertaken</w:t>
      </w:r>
      <w:r>
        <w:rPr>
          <w:spacing w:val="-11"/>
        </w:rPr>
        <w:t xml:space="preserve"> </w:t>
      </w:r>
      <w:r>
        <w:t>independent</w:t>
      </w:r>
      <w:r>
        <w:rPr>
          <w:spacing w:val="-7"/>
        </w:rPr>
        <w:t xml:space="preserve"> </w:t>
      </w:r>
      <w:r>
        <w:t>of whether or not the floor is binding for an</w:t>
      </w:r>
      <w:r>
        <w:rPr>
          <w:spacing w:val="-4"/>
        </w:rPr>
        <w:t xml:space="preserve"> </w:t>
      </w:r>
      <w:r>
        <w:t>institution.</w:t>
      </w:r>
    </w:p>
    <w:p w14:paraId="689E1EFB" w14:textId="77777777" w:rsidR="00D24A18" w:rsidRDefault="00D24A18">
      <w:pPr>
        <w:pStyle w:val="BodyText"/>
        <w:spacing w:before="9"/>
        <w:rPr>
          <w:sz w:val="23"/>
        </w:rPr>
      </w:pPr>
    </w:p>
    <w:p w14:paraId="689E1EFC" w14:textId="77777777" w:rsidR="00D24A18" w:rsidRDefault="00350D62">
      <w:pPr>
        <w:pStyle w:val="Heading3"/>
        <w:ind w:left="191"/>
        <w:jc w:val="both"/>
      </w:pPr>
      <w:r>
        <w:t>Transitional Arrangements for Unrated Corporates</w:t>
      </w:r>
    </w:p>
    <w:p w14:paraId="689E1EFD" w14:textId="77777777" w:rsidR="00D24A18" w:rsidRDefault="00D24A18">
      <w:pPr>
        <w:pStyle w:val="BodyText"/>
        <w:spacing w:before="1"/>
        <w:rPr>
          <w:b/>
          <w:sz w:val="27"/>
        </w:rPr>
      </w:pPr>
    </w:p>
    <w:p w14:paraId="689E1EFE" w14:textId="77777777" w:rsidR="00D24A18" w:rsidRDefault="00350D62">
      <w:pPr>
        <w:pStyle w:val="BodyText"/>
        <w:spacing w:line="276" w:lineRule="auto"/>
        <w:ind w:left="191" w:right="407"/>
        <w:jc w:val="both"/>
      </w:pPr>
      <w:r>
        <w:t>Industry welcomes the proposed Article 465 which provides a transitional treatment lasting until 2032 for how to calculate exposures to unrated corporates under a “hybrid approach”.</w:t>
      </w:r>
      <w:hyperlink w:anchor="_bookmark1" w:history="1">
        <w:r>
          <w:rPr>
            <w:position w:val="5"/>
            <w:sz w:val="14"/>
          </w:rPr>
          <w:t>2</w:t>
        </w:r>
      </w:hyperlink>
      <w:r>
        <w:rPr>
          <w:position w:val="5"/>
          <w:sz w:val="14"/>
        </w:rPr>
        <w:t xml:space="preserve"> </w:t>
      </w:r>
      <w:r>
        <w:t>This will mitigate the impact of the Output Floor on lending to corporates by encouraging banks to maintain lending to this vital sector of the economy, as they adjust to implementing the floor in full (by 2030). However, corporate exposures could be potentially negatively impacted as the transitional arrangements end in 2032 leading to a contraction in lending if there is not a wider availability of corporate</w:t>
      </w:r>
      <w:r>
        <w:rPr>
          <w:spacing w:val="-11"/>
        </w:rPr>
        <w:t xml:space="preserve"> </w:t>
      </w:r>
      <w:r>
        <w:t>ratings.</w:t>
      </w:r>
    </w:p>
    <w:p w14:paraId="689E1EFF" w14:textId="77777777" w:rsidR="00D24A18" w:rsidRDefault="00D24A18">
      <w:pPr>
        <w:pStyle w:val="BodyText"/>
        <w:spacing w:before="11"/>
        <w:rPr>
          <w:sz w:val="23"/>
        </w:rPr>
      </w:pPr>
    </w:p>
    <w:p w14:paraId="689E1F00" w14:textId="77777777" w:rsidR="00D24A18" w:rsidRDefault="00350D62">
      <w:pPr>
        <w:pStyle w:val="BodyText"/>
        <w:spacing w:line="276" w:lineRule="auto"/>
        <w:ind w:left="190" w:right="406" w:firstLine="1"/>
        <w:jc w:val="both"/>
      </w:pPr>
      <w:r>
        <w:t>We note that, as part of the proposed arrangements, the EBA is required to monitor the availability of ratings for exposures to corporates by 31 December 2028, and based on this review the Commission shall, if appropriate, propose legislation. We consider this review should be strengthened and more conditional criteria should be introduced in order to give certainty that the underlying issue of insufficient corporate ratings is addressed, and revisited at an international level to address any level playing field concerns. Consequently, the EBA should also assess evidence that the 65% RW has led to inappropriate risk weighting of exposures, the level to which corporate ratings are available, and the approaches of other jurisdictions in applying this treatment and long-term level playing field considerations that could arise. Should there be no significant</w:t>
      </w:r>
      <w:r>
        <w:rPr>
          <w:spacing w:val="-2"/>
        </w:rPr>
        <w:t xml:space="preserve"> </w:t>
      </w:r>
      <w:r>
        <w:t>increase</w:t>
      </w:r>
      <w:r>
        <w:rPr>
          <w:spacing w:val="-2"/>
        </w:rPr>
        <w:t xml:space="preserve"> </w:t>
      </w:r>
      <w:r>
        <w:t>of</w:t>
      </w:r>
      <w:r>
        <w:rPr>
          <w:spacing w:val="-3"/>
        </w:rPr>
        <w:t xml:space="preserve"> </w:t>
      </w:r>
      <w:r>
        <w:t>ratings</w:t>
      </w:r>
      <w:r>
        <w:rPr>
          <w:spacing w:val="-2"/>
        </w:rPr>
        <w:t xml:space="preserve"> </w:t>
      </w:r>
      <w:r>
        <w:t>coverage</w:t>
      </w:r>
      <w:r>
        <w:rPr>
          <w:spacing w:val="-2"/>
        </w:rPr>
        <w:t xml:space="preserve"> </w:t>
      </w:r>
      <w:r>
        <w:t>by</w:t>
      </w:r>
      <w:r>
        <w:rPr>
          <w:spacing w:val="-6"/>
        </w:rPr>
        <w:t xml:space="preserve"> </w:t>
      </w:r>
      <w:r>
        <w:t>the</w:t>
      </w:r>
      <w:r>
        <w:rPr>
          <w:spacing w:val="-3"/>
        </w:rPr>
        <w:t xml:space="preserve"> </w:t>
      </w:r>
      <w:r>
        <w:t>end</w:t>
      </w:r>
      <w:r>
        <w:rPr>
          <w:spacing w:val="-1"/>
        </w:rPr>
        <w:t xml:space="preserve"> </w:t>
      </w:r>
      <w:r>
        <w:t>of</w:t>
      </w:r>
      <w:r>
        <w:rPr>
          <w:spacing w:val="-2"/>
        </w:rPr>
        <w:t xml:space="preserve"> </w:t>
      </w:r>
      <w:r>
        <w:t>2028</w:t>
      </w:r>
      <w:r>
        <w:rPr>
          <w:spacing w:val="-6"/>
        </w:rPr>
        <w:t xml:space="preserve"> </w:t>
      </w:r>
      <w:r>
        <w:t>and,</w:t>
      </w:r>
      <w:r>
        <w:rPr>
          <w:spacing w:val="-4"/>
        </w:rPr>
        <w:t xml:space="preserve"> </w:t>
      </w:r>
      <w:r>
        <w:t>absent</w:t>
      </w:r>
      <w:r>
        <w:rPr>
          <w:spacing w:val="-5"/>
        </w:rPr>
        <w:t xml:space="preserve"> </w:t>
      </w:r>
      <w:r>
        <w:t>the</w:t>
      </w:r>
      <w:r>
        <w:rPr>
          <w:spacing w:val="-2"/>
        </w:rPr>
        <w:t xml:space="preserve"> </w:t>
      </w:r>
      <w:r>
        <w:t>development</w:t>
      </w:r>
      <w:r>
        <w:rPr>
          <w:spacing w:val="-2"/>
        </w:rPr>
        <w:t xml:space="preserve"> </w:t>
      </w:r>
      <w:r>
        <w:t>of</w:t>
      </w:r>
      <w:r>
        <w:rPr>
          <w:spacing w:val="-2"/>
        </w:rPr>
        <w:t xml:space="preserve"> </w:t>
      </w:r>
      <w:r>
        <w:t>any</w:t>
      </w:r>
      <w:r>
        <w:rPr>
          <w:spacing w:val="-2"/>
        </w:rPr>
        <w:t xml:space="preserve"> </w:t>
      </w:r>
      <w:r>
        <w:t>changes</w:t>
      </w:r>
      <w:r>
        <w:rPr>
          <w:spacing w:val="-2"/>
        </w:rPr>
        <w:t xml:space="preserve"> </w:t>
      </w:r>
      <w:r>
        <w:t>at</w:t>
      </w:r>
      <w:r>
        <w:rPr>
          <w:spacing w:val="-5"/>
        </w:rPr>
        <w:t xml:space="preserve"> </w:t>
      </w:r>
      <w:r>
        <w:t>the international level or alternative solutions such as credit benchmarking or central bank ratings, the Commission</w:t>
      </w:r>
      <w:r>
        <w:rPr>
          <w:spacing w:val="-6"/>
        </w:rPr>
        <w:t xml:space="preserve"> </w:t>
      </w:r>
      <w:r>
        <w:t>should</w:t>
      </w:r>
      <w:r>
        <w:rPr>
          <w:spacing w:val="-6"/>
        </w:rPr>
        <w:t xml:space="preserve"> </w:t>
      </w:r>
      <w:r>
        <w:t>be</w:t>
      </w:r>
      <w:r>
        <w:rPr>
          <w:spacing w:val="-5"/>
        </w:rPr>
        <w:t xml:space="preserve"> </w:t>
      </w:r>
      <w:r>
        <w:t>empowered</w:t>
      </w:r>
      <w:r>
        <w:rPr>
          <w:spacing w:val="-9"/>
        </w:rPr>
        <w:t xml:space="preserve"> </w:t>
      </w:r>
      <w:r>
        <w:t>to</w:t>
      </w:r>
      <w:r>
        <w:rPr>
          <w:spacing w:val="-8"/>
        </w:rPr>
        <w:t xml:space="preserve"> </w:t>
      </w:r>
      <w:r>
        <w:t>extend</w:t>
      </w:r>
      <w:r>
        <w:rPr>
          <w:spacing w:val="-5"/>
        </w:rPr>
        <w:t xml:space="preserve"> </w:t>
      </w:r>
      <w:r>
        <w:t>the</w:t>
      </w:r>
      <w:r>
        <w:rPr>
          <w:spacing w:val="-6"/>
        </w:rPr>
        <w:t xml:space="preserve"> </w:t>
      </w:r>
      <w:r>
        <w:t>provision</w:t>
      </w:r>
      <w:r>
        <w:rPr>
          <w:spacing w:val="-6"/>
        </w:rPr>
        <w:t xml:space="preserve"> </w:t>
      </w:r>
      <w:r>
        <w:t>by</w:t>
      </w:r>
      <w:r>
        <w:rPr>
          <w:spacing w:val="-6"/>
        </w:rPr>
        <w:t xml:space="preserve"> </w:t>
      </w:r>
      <w:r>
        <w:t>means</w:t>
      </w:r>
      <w:r>
        <w:rPr>
          <w:spacing w:val="-5"/>
        </w:rPr>
        <w:t xml:space="preserve"> </w:t>
      </w:r>
      <w:r>
        <w:t>of</w:t>
      </w:r>
      <w:r>
        <w:rPr>
          <w:spacing w:val="-6"/>
        </w:rPr>
        <w:t xml:space="preserve"> </w:t>
      </w:r>
      <w:r>
        <w:t>a</w:t>
      </w:r>
      <w:r>
        <w:rPr>
          <w:spacing w:val="-6"/>
        </w:rPr>
        <w:t xml:space="preserve"> </w:t>
      </w:r>
      <w:r>
        <w:t>delegated</w:t>
      </w:r>
      <w:r>
        <w:rPr>
          <w:spacing w:val="-5"/>
        </w:rPr>
        <w:t xml:space="preserve"> </w:t>
      </w:r>
      <w:r>
        <w:t>act.</w:t>
      </w:r>
      <w:r>
        <w:rPr>
          <w:spacing w:val="-12"/>
        </w:rPr>
        <w:t xml:space="preserve"> </w:t>
      </w:r>
      <w:r>
        <w:t>Future</w:t>
      </w:r>
      <w:r>
        <w:rPr>
          <w:spacing w:val="-6"/>
        </w:rPr>
        <w:t xml:space="preserve"> </w:t>
      </w:r>
      <w:r>
        <w:t>changes</w:t>
      </w:r>
      <w:r>
        <w:rPr>
          <w:spacing w:val="-5"/>
        </w:rPr>
        <w:t xml:space="preserve"> </w:t>
      </w:r>
      <w:r>
        <w:t>to</w:t>
      </w:r>
      <w:r>
        <w:rPr>
          <w:spacing w:val="-8"/>
        </w:rPr>
        <w:t xml:space="preserve"> </w:t>
      </w:r>
      <w:r>
        <w:t>the transitional</w:t>
      </w:r>
      <w:r>
        <w:rPr>
          <w:spacing w:val="-8"/>
        </w:rPr>
        <w:t xml:space="preserve"> </w:t>
      </w:r>
      <w:r>
        <w:t>arrangements</w:t>
      </w:r>
      <w:r>
        <w:rPr>
          <w:spacing w:val="-5"/>
        </w:rPr>
        <w:t xml:space="preserve"> </w:t>
      </w:r>
      <w:r>
        <w:t>must</w:t>
      </w:r>
      <w:r>
        <w:rPr>
          <w:spacing w:val="-10"/>
        </w:rPr>
        <w:t xml:space="preserve"> </w:t>
      </w:r>
      <w:r>
        <w:t>provide</w:t>
      </w:r>
      <w:r>
        <w:rPr>
          <w:spacing w:val="-10"/>
        </w:rPr>
        <w:t xml:space="preserve"> </w:t>
      </w:r>
      <w:r>
        <w:t>sufficient</w:t>
      </w:r>
      <w:r>
        <w:rPr>
          <w:spacing w:val="-6"/>
        </w:rPr>
        <w:t xml:space="preserve"> </w:t>
      </w:r>
      <w:r>
        <w:t>time</w:t>
      </w:r>
      <w:r>
        <w:rPr>
          <w:spacing w:val="-10"/>
        </w:rPr>
        <w:t xml:space="preserve"> </w:t>
      </w:r>
      <w:r>
        <w:t>for</w:t>
      </w:r>
      <w:r>
        <w:rPr>
          <w:spacing w:val="-7"/>
        </w:rPr>
        <w:t xml:space="preserve"> </w:t>
      </w:r>
      <w:r>
        <w:t>banks</w:t>
      </w:r>
      <w:r>
        <w:rPr>
          <w:spacing w:val="-9"/>
        </w:rPr>
        <w:t xml:space="preserve"> </w:t>
      </w:r>
      <w:r>
        <w:t>to</w:t>
      </w:r>
      <w:r>
        <w:rPr>
          <w:spacing w:val="-8"/>
        </w:rPr>
        <w:t xml:space="preserve"> </w:t>
      </w:r>
      <w:r>
        <w:t>adjust,</w:t>
      </w:r>
      <w:r>
        <w:rPr>
          <w:spacing w:val="-11"/>
        </w:rPr>
        <w:t xml:space="preserve"> </w:t>
      </w:r>
      <w:r>
        <w:t>and</w:t>
      </w:r>
      <w:r>
        <w:rPr>
          <w:spacing w:val="-10"/>
        </w:rPr>
        <w:t xml:space="preserve"> </w:t>
      </w:r>
      <w:r>
        <w:t>any</w:t>
      </w:r>
      <w:r>
        <w:rPr>
          <w:spacing w:val="-6"/>
        </w:rPr>
        <w:t xml:space="preserve"> </w:t>
      </w:r>
      <w:r>
        <w:t>lending</w:t>
      </w:r>
      <w:r>
        <w:rPr>
          <w:spacing w:val="-8"/>
        </w:rPr>
        <w:t xml:space="preserve"> </w:t>
      </w:r>
      <w:r>
        <w:t>granted</w:t>
      </w:r>
      <w:r>
        <w:rPr>
          <w:spacing w:val="-9"/>
        </w:rPr>
        <w:t xml:space="preserve"> </w:t>
      </w:r>
      <w:r>
        <w:t>under</w:t>
      </w:r>
      <w:r>
        <w:rPr>
          <w:spacing w:val="-11"/>
        </w:rPr>
        <w:t xml:space="preserve"> </w:t>
      </w:r>
      <w:r>
        <w:t>the transitional provisions should be subject to appropriate</w:t>
      </w:r>
      <w:r>
        <w:rPr>
          <w:spacing w:val="-8"/>
        </w:rPr>
        <w:t xml:space="preserve"> </w:t>
      </w:r>
      <w:r>
        <w:t>grandfathering.</w:t>
      </w:r>
    </w:p>
    <w:p w14:paraId="689E1F01" w14:textId="77777777" w:rsidR="00D24A18" w:rsidRDefault="00FC2908">
      <w:pPr>
        <w:pStyle w:val="BodyText"/>
        <w:spacing w:before="8"/>
        <w:rPr>
          <w:sz w:val="20"/>
        </w:rPr>
      </w:pPr>
      <w:r>
        <w:pict w14:anchorId="689E2441">
          <v:shape id="_x0000_s2170" type="#_x0000_t202" style="position:absolute;margin-left:42.8pt;margin-top:14.3pt;width:509.8pt;height:132.2pt;z-index:-251653120;mso-wrap-distance-left:0;mso-wrap-distance-right:0;mso-position-horizontal-relative:page" fillcolor="#cae2a0" strokeweight=".4pt">
            <v:textbox inset="0,0,0,0">
              <w:txbxContent>
                <w:p w14:paraId="689E2513" w14:textId="77777777" w:rsidR="00D24A18" w:rsidRDefault="00350D62">
                  <w:pPr>
                    <w:spacing w:before="3"/>
                    <w:ind w:left="1327" w:right="1332"/>
                    <w:jc w:val="center"/>
                    <w:rPr>
                      <w:b/>
                    </w:rPr>
                  </w:pPr>
                  <w:proofErr w:type="spellStart"/>
                  <w:r>
                    <w:rPr>
                      <w:b/>
                    </w:rPr>
                    <w:t>Unratedness</w:t>
                  </w:r>
                  <w:proofErr w:type="spellEnd"/>
                  <w:r>
                    <w:rPr>
                      <w:b/>
                    </w:rPr>
                    <w:t xml:space="preserve"> of Corporates (an</w:t>
                  </w:r>
                  <w:r>
                    <w:rPr>
                      <w:b/>
                      <w:spacing w:val="-1"/>
                    </w:rPr>
                    <w:t xml:space="preserve"> </w:t>
                  </w:r>
                  <w:r>
                    <w:rPr>
                      <w:b/>
                    </w:rPr>
                    <w:t>explainer)</w:t>
                  </w:r>
                </w:p>
                <w:p w14:paraId="689E2514" w14:textId="77777777" w:rsidR="00D24A18" w:rsidRDefault="00D24A18">
                  <w:pPr>
                    <w:pStyle w:val="BodyText"/>
                    <w:spacing w:before="1"/>
                    <w:rPr>
                      <w:b/>
                      <w:sz w:val="27"/>
                    </w:rPr>
                  </w:pPr>
                </w:p>
                <w:p w14:paraId="689E2515" w14:textId="77777777" w:rsidR="00D24A18" w:rsidRDefault="00350D62">
                  <w:pPr>
                    <w:pStyle w:val="BodyText"/>
                    <w:spacing w:line="276" w:lineRule="auto"/>
                    <w:ind w:left="103" w:right="102"/>
                    <w:jc w:val="both"/>
                  </w:pPr>
                  <w:r>
                    <w:t>It’s</w:t>
                  </w:r>
                  <w:r>
                    <w:rPr>
                      <w:spacing w:val="-9"/>
                    </w:rPr>
                    <w:t xml:space="preserve"> </w:t>
                  </w:r>
                  <w:r>
                    <w:t>estimated</w:t>
                  </w:r>
                  <w:r>
                    <w:rPr>
                      <w:spacing w:val="-8"/>
                    </w:rPr>
                    <w:t xml:space="preserve"> </w:t>
                  </w:r>
                  <w:r>
                    <w:t>around</w:t>
                  </w:r>
                  <w:r>
                    <w:rPr>
                      <w:spacing w:val="-9"/>
                    </w:rPr>
                    <w:t xml:space="preserve"> </w:t>
                  </w:r>
                  <w:r>
                    <w:t>75%</w:t>
                  </w:r>
                  <w:hyperlink w:anchor="_bookmark2" w:history="1">
                    <w:r>
                      <w:rPr>
                        <w:position w:val="5"/>
                        <w:sz w:val="14"/>
                      </w:rPr>
                      <w:t>3</w:t>
                    </w:r>
                    <w:r>
                      <w:rPr>
                        <w:spacing w:val="6"/>
                        <w:position w:val="5"/>
                        <w:sz w:val="14"/>
                      </w:rPr>
                      <w:t xml:space="preserve"> </w:t>
                    </w:r>
                  </w:hyperlink>
                  <w:r>
                    <w:t>of</w:t>
                  </w:r>
                  <w:r>
                    <w:rPr>
                      <w:spacing w:val="-9"/>
                    </w:rPr>
                    <w:t xml:space="preserve"> </w:t>
                  </w:r>
                  <w:r>
                    <w:t>corporates</w:t>
                  </w:r>
                  <w:hyperlink w:anchor="_bookmark3" w:history="1">
                    <w:r>
                      <w:rPr>
                        <w:position w:val="5"/>
                        <w:sz w:val="14"/>
                      </w:rPr>
                      <w:t>4</w:t>
                    </w:r>
                  </w:hyperlink>
                  <w:r>
                    <w:rPr>
                      <w:spacing w:val="14"/>
                      <w:position w:val="5"/>
                      <w:sz w:val="14"/>
                    </w:rPr>
                    <w:t xml:space="preserve"> </w:t>
                  </w:r>
                  <w:r>
                    <w:t>in</w:t>
                  </w:r>
                  <w:r>
                    <w:rPr>
                      <w:spacing w:val="-9"/>
                    </w:rPr>
                    <w:t xml:space="preserve"> </w:t>
                  </w:r>
                  <w:r>
                    <w:t>the</w:t>
                  </w:r>
                  <w:r>
                    <w:rPr>
                      <w:spacing w:val="-10"/>
                    </w:rPr>
                    <w:t xml:space="preserve"> </w:t>
                  </w:r>
                  <w:r>
                    <w:t>EU</w:t>
                  </w:r>
                  <w:r>
                    <w:rPr>
                      <w:spacing w:val="-9"/>
                    </w:rPr>
                    <w:t xml:space="preserve"> </w:t>
                  </w:r>
                  <w:r>
                    <w:t>are</w:t>
                  </w:r>
                  <w:r>
                    <w:rPr>
                      <w:spacing w:val="-9"/>
                    </w:rPr>
                    <w:t xml:space="preserve"> </w:t>
                  </w:r>
                  <w:r>
                    <w:t>unrated.</w:t>
                  </w:r>
                  <w:r>
                    <w:rPr>
                      <w:spacing w:val="-16"/>
                    </w:rPr>
                    <w:t xml:space="preserve"> </w:t>
                  </w:r>
                  <w:r>
                    <w:t>While</w:t>
                  </w:r>
                  <w:r>
                    <w:rPr>
                      <w:spacing w:val="-9"/>
                    </w:rPr>
                    <w:t xml:space="preserve"> </w:t>
                  </w:r>
                  <w:r>
                    <w:t>the</w:t>
                  </w:r>
                  <w:r>
                    <w:rPr>
                      <w:spacing w:val="-10"/>
                    </w:rPr>
                    <w:t xml:space="preserve"> </w:t>
                  </w:r>
                  <w:r>
                    <w:t>BCBS</w:t>
                  </w:r>
                  <w:r>
                    <w:rPr>
                      <w:spacing w:val="-11"/>
                    </w:rPr>
                    <w:t xml:space="preserve"> </w:t>
                  </w:r>
                  <w:r>
                    <w:t>has</w:t>
                  </w:r>
                  <w:r>
                    <w:rPr>
                      <w:spacing w:val="-8"/>
                    </w:rPr>
                    <w:t xml:space="preserve"> </w:t>
                  </w:r>
                  <w:r>
                    <w:t>conceded</w:t>
                  </w:r>
                  <w:r>
                    <w:rPr>
                      <w:spacing w:val="-13"/>
                    </w:rPr>
                    <w:t xml:space="preserve"> </w:t>
                  </w:r>
                  <w:r>
                    <w:t>that</w:t>
                  </w:r>
                  <w:r>
                    <w:rPr>
                      <w:spacing w:val="-9"/>
                    </w:rPr>
                    <w:t xml:space="preserve"> </w:t>
                  </w:r>
                  <w:r>
                    <w:t xml:space="preserve">unrated corporates are not higher-risk assets in the absence </w:t>
                  </w:r>
                  <w:r>
                    <w:rPr>
                      <w:spacing w:val="-3"/>
                    </w:rPr>
                    <w:t xml:space="preserve">of </w:t>
                  </w:r>
                  <w:r>
                    <w:t>other parameters to determine their creditworthiness,</w:t>
                  </w:r>
                  <w:r>
                    <w:rPr>
                      <w:spacing w:val="-15"/>
                    </w:rPr>
                    <w:t xml:space="preserve"> </w:t>
                  </w:r>
                  <w:r>
                    <w:t>they</w:t>
                  </w:r>
                  <w:r>
                    <w:rPr>
                      <w:spacing w:val="-13"/>
                    </w:rPr>
                    <w:t xml:space="preserve"> </w:t>
                  </w:r>
                  <w:r>
                    <w:t>nonetheless</w:t>
                  </w:r>
                  <w:r>
                    <w:rPr>
                      <w:spacing w:val="-11"/>
                    </w:rPr>
                    <w:t xml:space="preserve"> </w:t>
                  </w:r>
                  <w:r>
                    <w:t>receive</w:t>
                  </w:r>
                  <w:r>
                    <w:rPr>
                      <w:spacing w:val="-17"/>
                    </w:rPr>
                    <w:t xml:space="preserve"> </w:t>
                  </w:r>
                  <w:r>
                    <w:t>a</w:t>
                  </w:r>
                  <w:r>
                    <w:rPr>
                      <w:spacing w:val="-12"/>
                    </w:rPr>
                    <w:t xml:space="preserve"> </w:t>
                  </w:r>
                  <w:r>
                    <w:t>100%</w:t>
                  </w:r>
                  <w:r>
                    <w:rPr>
                      <w:spacing w:val="-14"/>
                    </w:rPr>
                    <w:t xml:space="preserve"> </w:t>
                  </w:r>
                  <w:r>
                    <w:t>risk</w:t>
                  </w:r>
                  <w:r>
                    <w:rPr>
                      <w:spacing w:val="-12"/>
                    </w:rPr>
                    <w:t xml:space="preserve"> </w:t>
                  </w:r>
                  <w:r>
                    <w:t>weight</w:t>
                  </w:r>
                  <w:r>
                    <w:rPr>
                      <w:spacing w:val="-12"/>
                    </w:rPr>
                    <w:t xml:space="preserve"> </w:t>
                  </w:r>
                  <w:r>
                    <w:t>(RW),</w:t>
                  </w:r>
                  <w:r>
                    <w:rPr>
                      <w:spacing w:val="-10"/>
                    </w:rPr>
                    <w:t xml:space="preserve"> </w:t>
                  </w:r>
                  <w:r>
                    <w:t>aside</w:t>
                  </w:r>
                  <w:r>
                    <w:rPr>
                      <w:spacing w:val="-13"/>
                    </w:rPr>
                    <w:t xml:space="preserve"> </w:t>
                  </w:r>
                  <w:r>
                    <w:t>from</w:t>
                  </w:r>
                  <w:r>
                    <w:rPr>
                      <w:spacing w:val="-12"/>
                    </w:rPr>
                    <w:t xml:space="preserve"> </w:t>
                  </w:r>
                  <w:r>
                    <w:t>in</w:t>
                  </w:r>
                  <w:r>
                    <w:rPr>
                      <w:spacing w:val="-13"/>
                    </w:rPr>
                    <w:t xml:space="preserve"> </w:t>
                  </w:r>
                  <w:r>
                    <w:t>the</w:t>
                  </w:r>
                  <w:r>
                    <w:rPr>
                      <w:spacing w:val="-9"/>
                    </w:rPr>
                    <w:t xml:space="preserve"> </w:t>
                  </w:r>
                  <w:r>
                    <w:t>case</w:t>
                  </w:r>
                  <w:r>
                    <w:rPr>
                      <w:spacing w:val="-12"/>
                    </w:rPr>
                    <w:t xml:space="preserve"> </w:t>
                  </w:r>
                  <w:r>
                    <w:t>of</w:t>
                  </w:r>
                  <w:r>
                    <w:rPr>
                      <w:spacing w:val="-13"/>
                    </w:rPr>
                    <w:t xml:space="preserve"> </w:t>
                  </w:r>
                  <w:r>
                    <w:t>SMEs</w:t>
                  </w:r>
                  <w:hyperlink w:anchor="_bookmark4" w:history="1">
                    <w:r>
                      <w:rPr>
                        <w:position w:val="5"/>
                        <w:sz w:val="14"/>
                      </w:rPr>
                      <w:t>5</w:t>
                    </w:r>
                    <w:r>
                      <w:rPr>
                        <w:spacing w:val="3"/>
                        <w:position w:val="5"/>
                        <w:sz w:val="14"/>
                      </w:rPr>
                      <w:t xml:space="preserve"> </w:t>
                    </w:r>
                  </w:hyperlink>
                  <w:r>
                    <w:t>,</w:t>
                  </w:r>
                  <w:r>
                    <w:rPr>
                      <w:spacing w:val="-11"/>
                    </w:rPr>
                    <w:t xml:space="preserve"> </w:t>
                  </w:r>
                  <w:r>
                    <w:t>under the External Credit Ratings Approach</w:t>
                  </w:r>
                  <w:r>
                    <w:rPr>
                      <w:spacing w:val="-4"/>
                    </w:rPr>
                    <w:t xml:space="preserve"> </w:t>
                  </w:r>
                  <w:r>
                    <w:t>(ECRA).</w:t>
                  </w:r>
                </w:p>
                <w:p w14:paraId="689E2516" w14:textId="77777777" w:rsidR="00D24A18" w:rsidRDefault="00D24A18">
                  <w:pPr>
                    <w:pStyle w:val="BodyText"/>
                    <w:rPr>
                      <w:sz w:val="24"/>
                    </w:rPr>
                  </w:pPr>
                </w:p>
                <w:p w14:paraId="689E2517" w14:textId="77777777" w:rsidR="00D24A18" w:rsidRDefault="00350D62">
                  <w:pPr>
                    <w:pStyle w:val="BodyText"/>
                    <w:spacing w:line="276" w:lineRule="auto"/>
                    <w:ind w:left="103" w:right="103"/>
                    <w:jc w:val="both"/>
                  </w:pPr>
                  <w:r>
                    <w:t>EU</w:t>
                  </w:r>
                  <w:r>
                    <w:rPr>
                      <w:spacing w:val="-3"/>
                    </w:rPr>
                    <w:t xml:space="preserve"> </w:t>
                  </w:r>
                  <w:r>
                    <w:t>banks</w:t>
                  </w:r>
                  <w:r>
                    <w:rPr>
                      <w:spacing w:val="-2"/>
                    </w:rPr>
                    <w:t xml:space="preserve"> </w:t>
                  </w:r>
                  <w:r>
                    <w:t>using</w:t>
                  </w:r>
                  <w:r>
                    <w:rPr>
                      <w:spacing w:val="-9"/>
                    </w:rPr>
                    <w:t xml:space="preserve"> </w:t>
                  </w:r>
                  <w:r>
                    <w:t>the</w:t>
                  </w:r>
                  <w:r>
                    <w:rPr>
                      <w:spacing w:val="-2"/>
                    </w:rPr>
                    <w:t xml:space="preserve"> </w:t>
                  </w:r>
                  <w:r>
                    <w:t>IRB</w:t>
                  </w:r>
                  <w:r>
                    <w:rPr>
                      <w:spacing w:val="-2"/>
                    </w:rPr>
                    <w:t xml:space="preserve"> </w:t>
                  </w:r>
                  <w:r>
                    <w:t>approach</w:t>
                  </w:r>
                  <w:r>
                    <w:rPr>
                      <w:spacing w:val="-5"/>
                    </w:rPr>
                    <w:t xml:space="preserve"> </w:t>
                  </w:r>
                  <w:r>
                    <w:t>will</w:t>
                  </w:r>
                  <w:r>
                    <w:rPr>
                      <w:spacing w:val="-3"/>
                    </w:rPr>
                    <w:t xml:space="preserve"> </w:t>
                  </w:r>
                  <w:r>
                    <w:t>need</w:t>
                  </w:r>
                  <w:r>
                    <w:rPr>
                      <w:spacing w:val="-6"/>
                    </w:rPr>
                    <w:t xml:space="preserve"> </w:t>
                  </w:r>
                  <w:r>
                    <w:t>to</w:t>
                  </w:r>
                  <w:r>
                    <w:rPr>
                      <w:spacing w:val="-4"/>
                    </w:rPr>
                    <w:t xml:space="preserve"> </w:t>
                  </w:r>
                  <w:r>
                    <w:t>apply</w:t>
                  </w:r>
                  <w:r>
                    <w:rPr>
                      <w:spacing w:val="-2"/>
                    </w:rPr>
                    <w:t xml:space="preserve"> </w:t>
                  </w:r>
                  <w:r>
                    <w:t>the</w:t>
                  </w:r>
                  <w:r>
                    <w:rPr>
                      <w:spacing w:val="-3"/>
                    </w:rPr>
                    <w:t xml:space="preserve"> </w:t>
                  </w:r>
                  <w:r>
                    <w:t>100%</w:t>
                  </w:r>
                  <w:r>
                    <w:rPr>
                      <w:spacing w:val="-3"/>
                    </w:rPr>
                    <w:t xml:space="preserve"> </w:t>
                  </w:r>
                  <w:r>
                    <w:t>RW</w:t>
                  </w:r>
                  <w:r>
                    <w:rPr>
                      <w:spacing w:val="-3"/>
                    </w:rPr>
                    <w:t xml:space="preserve"> </w:t>
                  </w:r>
                  <w:r>
                    <w:t>for</w:t>
                  </w:r>
                  <w:r>
                    <w:rPr>
                      <w:spacing w:val="-6"/>
                    </w:rPr>
                    <w:t xml:space="preserve"> </w:t>
                  </w:r>
                  <w:r>
                    <w:t>the</w:t>
                  </w:r>
                  <w:r>
                    <w:rPr>
                      <w:spacing w:val="-2"/>
                    </w:rPr>
                    <w:t xml:space="preserve"> </w:t>
                  </w:r>
                  <w:r>
                    <w:t>purpose</w:t>
                  </w:r>
                  <w:r>
                    <w:rPr>
                      <w:spacing w:val="-3"/>
                    </w:rPr>
                    <w:t xml:space="preserve"> </w:t>
                  </w:r>
                  <w:r>
                    <w:t>of</w:t>
                  </w:r>
                  <w:r>
                    <w:rPr>
                      <w:spacing w:val="-6"/>
                    </w:rPr>
                    <w:t xml:space="preserve"> </w:t>
                  </w:r>
                  <w:r>
                    <w:t>calculating</w:t>
                  </w:r>
                  <w:r>
                    <w:rPr>
                      <w:spacing w:val="-5"/>
                    </w:rPr>
                    <w:t xml:space="preserve"> </w:t>
                  </w:r>
                  <w:r>
                    <w:t>the</w:t>
                  </w:r>
                  <w:r>
                    <w:rPr>
                      <w:spacing w:val="-2"/>
                    </w:rPr>
                    <w:t xml:space="preserve"> </w:t>
                  </w:r>
                  <w:r>
                    <w:t>output floor, while an internal rating may be much lower. All other things being equal, the requirement to apply</w:t>
                  </w:r>
                  <w:r>
                    <w:rPr>
                      <w:spacing w:val="17"/>
                    </w:rPr>
                    <w:t xml:space="preserve"> </w:t>
                  </w:r>
                  <w:r>
                    <w:t>a</w:t>
                  </w:r>
                </w:p>
              </w:txbxContent>
            </v:textbox>
            <w10:wrap type="topAndBottom" anchorx="page"/>
          </v:shape>
        </w:pict>
      </w:r>
    </w:p>
    <w:p w14:paraId="689E1F02" w14:textId="77777777" w:rsidR="00D24A18" w:rsidRDefault="00D24A18">
      <w:pPr>
        <w:pStyle w:val="BodyText"/>
        <w:rPr>
          <w:sz w:val="20"/>
        </w:rPr>
      </w:pPr>
    </w:p>
    <w:p w14:paraId="689E1F03" w14:textId="77777777" w:rsidR="00D24A18" w:rsidRDefault="00FC2908">
      <w:pPr>
        <w:pStyle w:val="BodyText"/>
        <w:spacing w:before="5"/>
        <w:rPr>
          <w:sz w:val="16"/>
        </w:rPr>
      </w:pPr>
      <w:r>
        <w:pict w14:anchorId="689E2442">
          <v:shape id="_x0000_s2169" style="position:absolute;margin-left:42.6pt;margin-top:11.95pt;width:2in;height:.1pt;z-index:-251652096;mso-wrap-distance-left:0;mso-wrap-distance-right:0;mso-position-horizontal-relative:page" coordorigin="852,239" coordsize="2880,0" path="m852,239r2880,e" filled="f" strokecolor="#78a12e" strokeweight=".6pt">
            <v:path arrowok="t"/>
            <w10:wrap type="topAndBottom" anchorx="page"/>
          </v:shape>
        </w:pict>
      </w:r>
    </w:p>
    <w:p w14:paraId="689E1F04" w14:textId="77777777" w:rsidR="00D24A18" w:rsidRDefault="00350D62">
      <w:pPr>
        <w:spacing w:before="63"/>
        <w:ind w:left="191" w:right="430"/>
        <w:jc w:val="both"/>
        <w:rPr>
          <w:sz w:val="16"/>
        </w:rPr>
      </w:pPr>
      <w:bookmarkStart w:id="3" w:name="_bookmark1"/>
      <w:bookmarkEnd w:id="3"/>
      <w:r>
        <w:rPr>
          <w:position w:val="4"/>
          <w:sz w:val="10"/>
        </w:rPr>
        <w:t xml:space="preserve">2 </w:t>
      </w:r>
      <w:r>
        <w:rPr>
          <w:sz w:val="16"/>
        </w:rPr>
        <w:t>Under the ‘hybrid’ approach in article 465 (3) banks can apply a RW of 65% to corporates where the bank estimates the PD of those exposures, is no higher than 0,5 % under the IRB approach for the purpose of calculating the output floor.</w:t>
      </w:r>
    </w:p>
    <w:p w14:paraId="689E1F05" w14:textId="77777777" w:rsidR="00D24A18" w:rsidRDefault="00350D62">
      <w:pPr>
        <w:spacing w:before="1"/>
        <w:ind w:left="192"/>
        <w:jc w:val="both"/>
        <w:rPr>
          <w:sz w:val="16"/>
        </w:rPr>
      </w:pPr>
      <w:bookmarkStart w:id="4" w:name="_bookmark2"/>
      <w:bookmarkEnd w:id="4"/>
      <w:r>
        <w:rPr>
          <w:position w:val="4"/>
          <w:sz w:val="10"/>
        </w:rPr>
        <w:t xml:space="preserve">3 </w:t>
      </w:r>
      <w:r>
        <w:rPr>
          <w:sz w:val="16"/>
        </w:rPr>
        <w:t xml:space="preserve">EBA Basel III </w:t>
      </w:r>
      <w:hyperlink r:id="rId11">
        <w:r>
          <w:rPr>
            <w:color w:val="78A12E"/>
            <w:sz w:val="16"/>
            <w:u w:val="single" w:color="78A12E"/>
          </w:rPr>
          <w:t>credit risk advice</w:t>
        </w:r>
        <w:r>
          <w:rPr>
            <w:color w:val="78A12E"/>
            <w:sz w:val="16"/>
          </w:rPr>
          <w:t xml:space="preserve"> </w:t>
        </w:r>
      </w:hyperlink>
      <w:r>
        <w:rPr>
          <w:sz w:val="16"/>
        </w:rPr>
        <w:t>Table 8: Exposure class corporates (excluding SMEs): exposure amounts by rated/unrated</w:t>
      </w:r>
    </w:p>
    <w:p w14:paraId="689E1F06" w14:textId="77777777" w:rsidR="00D24A18" w:rsidRDefault="00350D62">
      <w:pPr>
        <w:ind w:left="192" w:right="405"/>
        <w:jc w:val="both"/>
        <w:rPr>
          <w:sz w:val="16"/>
        </w:rPr>
      </w:pPr>
      <w:bookmarkStart w:id="5" w:name="_bookmark3"/>
      <w:bookmarkEnd w:id="5"/>
      <w:r>
        <w:rPr>
          <w:position w:val="4"/>
          <w:sz w:val="10"/>
        </w:rPr>
        <w:t>4</w:t>
      </w:r>
      <w:r>
        <w:rPr>
          <w:spacing w:val="2"/>
          <w:position w:val="4"/>
          <w:sz w:val="10"/>
        </w:rPr>
        <w:t xml:space="preserve"> </w:t>
      </w:r>
      <w:r>
        <w:rPr>
          <w:sz w:val="16"/>
        </w:rPr>
        <w:t>The</w:t>
      </w:r>
      <w:r>
        <w:rPr>
          <w:spacing w:val="-9"/>
          <w:sz w:val="16"/>
        </w:rPr>
        <w:t xml:space="preserve"> </w:t>
      </w:r>
      <w:r>
        <w:rPr>
          <w:sz w:val="16"/>
        </w:rPr>
        <w:t>category</w:t>
      </w:r>
      <w:r>
        <w:rPr>
          <w:spacing w:val="-11"/>
          <w:sz w:val="16"/>
        </w:rPr>
        <w:t xml:space="preserve"> </w:t>
      </w:r>
      <w:r>
        <w:rPr>
          <w:sz w:val="16"/>
        </w:rPr>
        <w:t>of</w:t>
      </w:r>
      <w:r>
        <w:rPr>
          <w:spacing w:val="-11"/>
          <w:sz w:val="16"/>
        </w:rPr>
        <w:t xml:space="preserve"> </w:t>
      </w:r>
      <w:r>
        <w:rPr>
          <w:sz w:val="16"/>
        </w:rPr>
        <w:t>“corporates”</w:t>
      </w:r>
      <w:r>
        <w:rPr>
          <w:spacing w:val="-15"/>
          <w:sz w:val="16"/>
        </w:rPr>
        <w:t xml:space="preserve"> </w:t>
      </w:r>
      <w:r>
        <w:rPr>
          <w:sz w:val="16"/>
        </w:rPr>
        <w:t>covers</w:t>
      </w:r>
      <w:r>
        <w:rPr>
          <w:spacing w:val="-11"/>
          <w:sz w:val="16"/>
        </w:rPr>
        <w:t xml:space="preserve"> </w:t>
      </w:r>
      <w:r>
        <w:rPr>
          <w:sz w:val="16"/>
        </w:rPr>
        <w:t>incorporated</w:t>
      </w:r>
      <w:r>
        <w:rPr>
          <w:spacing w:val="-11"/>
          <w:sz w:val="16"/>
        </w:rPr>
        <w:t xml:space="preserve"> </w:t>
      </w:r>
      <w:r>
        <w:rPr>
          <w:sz w:val="16"/>
        </w:rPr>
        <w:t>entities,</w:t>
      </w:r>
      <w:r>
        <w:rPr>
          <w:spacing w:val="-12"/>
          <w:sz w:val="16"/>
        </w:rPr>
        <w:t xml:space="preserve"> </w:t>
      </w:r>
      <w:r>
        <w:rPr>
          <w:sz w:val="16"/>
        </w:rPr>
        <w:t>associations,</w:t>
      </w:r>
      <w:r>
        <w:rPr>
          <w:spacing w:val="-12"/>
          <w:sz w:val="16"/>
        </w:rPr>
        <w:t xml:space="preserve"> </w:t>
      </w:r>
      <w:r>
        <w:rPr>
          <w:sz w:val="16"/>
        </w:rPr>
        <w:t>partnerships,</w:t>
      </w:r>
      <w:r>
        <w:rPr>
          <w:spacing w:val="-12"/>
          <w:sz w:val="16"/>
        </w:rPr>
        <w:t xml:space="preserve"> </w:t>
      </w:r>
      <w:r>
        <w:rPr>
          <w:sz w:val="16"/>
        </w:rPr>
        <w:t>proprietorships,</w:t>
      </w:r>
      <w:r>
        <w:rPr>
          <w:spacing w:val="-12"/>
          <w:sz w:val="16"/>
        </w:rPr>
        <w:t xml:space="preserve"> </w:t>
      </w:r>
      <w:r>
        <w:rPr>
          <w:sz w:val="16"/>
        </w:rPr>
        <w:t>trust</w:t>
      </w:r>
      <w:r>
        <w:rPr>
          <w:spacing w:val="-10"/>
          <w:sz w:val="16"/>
        </w:rPr>
        <w:t xml:space="preserve"> </w:t>
      </w:r>
      <w:r>
        <w:rPr>
          <w:sz w:val="16"/>
        </w:rPr>
        <w:t>funds</w:t>
      </w:r>
      <w:r>
        <w:rPr>
          <w:spacing w:val="-11"/>
          <w:sz w:val="16"/>
        </w:rPr>
        <w:t xml:space="preserve"> </w:t>
      </w:r>
      <w:r>
        <w:rPr>
          <w:sz w:val="16"/>
        </w:rPr>
        <w:t>and</w:t>
      </w:r>
      <w:r>
        <w:rPr>
          <w:spacing w:val="-11"/>
          <w:sz w:val="16"/>
        </w:rPr>
        <w:t xml:space="preserve"> </w:t>
      </w:r>
      <w:r>
        <w:rPr>
          <w:sz w:val="16"/>
        </w:rPr>
        <w:t>other</w:t>
      </w:r>
      <w:r>
        <w:rPr>
          <w:spacing w:val="-12"/>
          <w:sz w:val="16"/>
        </w:rPr>
        <w:t xml:space="preserve"> </w:t>
      </w:r>
      <w:r>
        <w:rPr>
          <w:sz w:val="16"/>
        </w:rPr>
        <w:t>entities</w:t>
      </w:r>
      <w:r>
        <w:rPr>
          <w:spacing w:val="-15"/>
          <w:sz w:val="16"/>
        </w:rPr>
        <w:t xml:space="preserve"> </w:t>
      </w:r>
      <w:r>
        <w:rPr>
          <w:sz w:val="16"/>
        </w:rPr>
        <w:t>that</w:t>
      </w:r>
      <w:r>
        <w:rPr>
          <w:spacing w:val="-9"/>
          <w:sz w:val="16"/>
        </w:rPr>
        <w:t xml:space="preserve"> </w:t>
      </w:r>
      <w:r>
        <w:rPr>
          <w:sz w:val="16"/>
        </w:rPr>
        <w:t>do</w:t>
      </w:r>
      <w:r>
        <w:rPr>
          <w:spacing w:val="-12"/>
          <w:sz w:val="16"/>
        </w:rPr>
        <w:t xml:space="preserve"> </w:t>
      </w:r>
      <w:r>
        <w:rPr>
          <w:sz w:val="16"/>
        </w:rPr>
        <w:t>not</w:t>
      </w:r>
      <w:r>
        <w:rPr>
          <w:spacing w:val="-9"/>
          <w:sz w:val="16"/>
        </w:rPr>
        <w:t xml:space="preserve"> </w:t>
      </w:r>
      <w:r>
        <w:rPr>
          <w:sz w:val="16"/>
        </w:rPr>
        <w:t>qualify under another exposure class. The definition includes insurance companies and financial corporates that do not meet the definitions of exposures to banks, securities firms or other financial institutions, as determined by paragraphs 16 and 37 of the Basel III</w:t>
      </w:r>
      <w:r>
        <w:rPr>
          <w:spacing w:val="-17"/>
          <w:sz w:val="16"/>
        </w:rPr>
        <w:t xml:space="preserve"> </w:t>
      </w:r>
      <w:r>
        <w:rPr>
          <w:sz w:val="16"/>
        </w:rPr>
        <w:t>agreement.</w:t>
      </w:r>
    </w:p>
    <w:p w14:paraId="689E1F07" w14:textId="77777777" w:rsidR="00D24A18" w:rsidRDefault="00350D62">
      <w:pPr>
        <w:ind w:left="192" w:right="407"/>
        <w:jc w:val="both"/>
        <w:rPr>
          <w:sz w:val="16"/>
        </w:rPr>
      </w:pPr>
      <w:bookmarkStart w:id="6" w:name="_bookmark4"/>
      <w:bookmarkEnd w:id="6"/>
      <w:r>
        <w:rPr>
          <w:position w:val="4"/>
          <w:sz w:val="10"/>
        </w:rPr>
        <w:t xml:space="preserve">5 </w:t>
      </w:r>
      <w:r>
        <w:rPr>
          <w:sz w:val="16"/>
        </w:rPr>
        <w:t>For unrated exposures to corporate SMEs (defined as corporate exposures where the reported annual sales for the consolidated group of which the corporate counterparty is a part is less than or equal to €50 million for the most recent financial year), an 85% risk weight will be applied. Exposures to SMEs that meet the criteria in paragraph 55 will be treated as regulatory retail SME exposures and risk weighted at 75%.</w:t>
      </w:r>
    </w:p>
    <w:p w14:paraId="689E1F08" w14:textId="77777777" w:rsidR="00D24A18" w:rsidRDefault="00D24A18">
      <w:pPr>
        <w:jc w:val="both"/>
        <w:rPr>
          <w:sz w:val="16"/>
        </w:rPr>
        <w:sectPr w:rsidR="00D24A18">
          <w:pgSz w:w="11910" w:h="16840"/>
          <w:pgMar w:top="1580" w:right="440" w:bottom="1100" w:left="660" w:header="0" w:footer="914" w:gutter="0"/>
          <w:cols w:space="720"/>
        </w:sectPr>
      </w:pPr>
    </w:p>
    <w:p w14:paraId="689E1F09" w14:textId="77777777" w:rsidR="00D24A18" w:rsidRDefault="00D24A18">
      <w:pPr>
        <w:pStyle w:val="BodyText"/>
        <w:rPr>
          <w:sz w:val="20"/>
        </w:rPr>
      </w:pPr>
    </w:p>
    <w:p w14:paraId="689E1F0A" w14:textId="77777777" w:rsidR="00D24A18" w:rsidRDefault="00D24A18">
      <w:pPr>
        <w:pStyle w:val="BodyText"/>
        <w:rPr>
          <w:sz w:val="20"/>
        </w:rPr>
      </w:pPr>
    </w:p>
    <w:p w14:paraId="689E1F0B" w14:textId="77777777" w:rsidR="00D24A18" w:rsidRDefault="00D24A18">
      <w:pPr>
        <w:pStyle w:val="BodyText"/>
        <w:spacing w:before="3"/>
        <w:rPr>
          <w:sz w:val="17"/>
        </w:rPr>
      </w:pPr>
    </w:p>
    <w:p w14:paraId="689E1F0C" w14:textId="77777777" w:rsidR="00D24A18" w:rsidRDefault="00FC2908">
      <w:pPr>
        <w:pStyle w:val="BodyText"/>
        <w:ind w:left="192"/>
        <w:rPr>
          <w:sz w:val="20"/>
        </w:rPr>
      </w:pPr>
      <w:r>
        <w:rPr>
          <w:sz w:val="20"/>
        </w:rPr>
      </w:r>
      <w:r>
        <w:rPr>
          <w:sz w:val="20"/>
        </w:rPr>
        <w:pict w14:anchorId="689E2444">
          <v:shape id="_x0000_s2185" type="#_x0000_t202" style="width:509.8pt;height:265.6pt;mso-left-percent:-10001;mso-top-percent:-10001;mso-position-horizontal:absolute;mso-position-horizontal-relative:char;mso-position-vertical:absolute;mso-position-vertical-relative:line;mso-left-percent:-10001;mso-top-percent:-10001" fillcolor="#cae2a0" strokeweight=".4pt">
            <v:textbox inset="0,0,0,0">
              <w:txbxContent>
                <w:p w14:paraId="689E2518" w14:textId="77777777" w:rsidR="00D24A18" w:rsidRDefault="00350D62">
                  <w:pPr>
                    <w:pStyle w:val="BodyText"/>
                    <w:spacing w:line="278" w:lineRule="auto"/>
                    <w:ind w:left="103" w:right="101"/>
                    <w:jc w:val="both"/>
                  </w:pPr>
                  <w:r>
                    <w:t>100%</w:t>
                  </w:r>
                  <w:r>
                    <w:rPr>
                      <w:spacing w:val="-8"/>
                    </w:rPr>
                    <w:t xml:space="preserve"> </w:t>
                  </w:r>
                  <w:r>
                    <w:t>RW</w:t>
                  </w:r>
                  <w:r>
                    <w:rPr>
                      <w:spacing w:val="-7"/>
                    </w:rPr>
                    <w:t xml:space="preserve"> </w:t>
                  </w:r>
                  <w:r>
                    <w:t>to</w:t>
                  </w:r>
                  <w:r>
                    <w:rPr>
                      <w:spacing w:val="-9"/>
                    </w:rPr>
                    <w:t xml:space="preserve"> </w:t>
                  </w:r>
                  <w:r>
                    <w:t>unrated</w:t>
                  </w:r>
                  <w:r>
                    <w:rPr>
                      <w:spacing w:val="-6"/>
                    </w:rPr>
                    <w:t xml:space="preserve"> </w:t>
                  </w:r>
                  <w:r>
                    <w:t>corporates</w:t>
                  </w:r>
                  <w:r>
                    <w:rPr>
                      <w:spacing w:val="-6"/>
                    </w:rPr>
                    <w:t xml:space="preserve"> </w:t>
                  </w:r>
                  <w:r>
                    <w:t>in</w:t>
                  </w:r>
                  <w:r>
                    <w:rPr>
                      <w:spacing w:val="-11"/>
                    </w:rPr>
                    <w:t xml:space="preserve"> </w:t>
                  </w:r>
                  <w:r>
                    <w:t>the</w:t>
                  </w:r>
                  <w:r>
                    <w:rPr>
                      <w:spacing w:val="-7"/>
                    </w:rPr>
                    <w:t xml:space="preserve"> </w:t>
                  </w:r>
                  <w:proofErr w:type="spellStart"/>
                  <w:r>
                    <w:t>standardised</w:t>
                  </w:r>
                  <w:proofErr w:type="spellEnd"/>
                  <w:r>
                    <w:rPr>
                      <w:spacing w:val="-9"/>
                    </w:rPr>
                    <w:t xml:space="preserve"> </w:t>
                  </w:r>
                  <w:r>
                    <w:t>approach</w:t>
                  </w:r>
                  <w:r>
                    <w:rPr>
                      <w:spacing w:val="-9"/>
                    </w:rPr>
                    <w:t xml:space="preserve"> </w:t>
                  </w:r>
                  <w:r>
                    <w:t>could</w:t>
                  </w:r>
                  <w:r>
                    <w:rPr>
                      <w:spacing w:val="-6"/>
                    </w:rPr>
                    <w:t xml:space="preserve"> </w:t>
                  </w:r>
                  <w:r>
                    <w:t>result</w:t>
                  </w:r>
                  <w:r>
                    <w:rPr>
                      <w:spacing w:val="-10"/>
                    </w:rPr>
                    <w:t xml:space="preserve"> </w:t>
                  </w:r>
                  <w:r>
                    <w:t>therefore</w:t>
                  </w:r>
                  <w:r>
                    <w:rPr>
                      <w:spacing w:val="-7"/>
                    </w:rPr>
                    <w:t xml:space="preserve"> </w:t>
                  </w:r>
                  <w:r>
                    <w:t>in</w:t>
                  </w:r>
                  <w:r>
                    <w:rPr>
                      <w:spacing w:val="-11"/>
                    </w:rPr>
                    <w:t xml:space="preserve"> </w:t>
                  </w:r>
                  <w:r>
                    <w:t>financing</w:t>
                  </w:r>
                  <w:r>
                    <w:rPr>
                      <w:spacing w:val="-8"/>
                    </w:rPr>
                    <w:t xml:space="preserve"> </w:t>
                  </w:r>
                  <w:r>
                    <w:t>becoming more expensive for the EU corporate</w:t>
                  </w:r>
                  <w:r>
                    <w:rPr>
                      <w:spacing w:val="-9"/>
                    </w:rPr>
                    <w:t xml:space="preserve"> </w:t>
                  </w:r>
                  <w:r>
                    <w:t>sector.</w:t>
                  </w:r>
                </w:p>
                <w:p w14:paraId="689E2519" w14:textId="77777777" w:rsidR="00D24A18" w:rsidRDefault="00D24A18">
                  <w:pPr>
                    <w:pStyle w:val="BodyText"/>
                    <w:spacing w:before="6"/>
                    <w:rPr>
                      <w:sz w:val="23"/>
                    </w:rPr>
                  </w:pPr>
                </w:p>
                <w:p w14:paraId="689E251A" w14:textId="77777777" w:rsidR="00D24A18" w:rsidRDefault="00350D62">
                  <w:pPr>
                    <w:pStyle w:val="BodyText"/>
                    <w:spacing w:before="1" w:line="276" w:lineRule="auto"/>
                    <w:ind w:left="103" w:right="100"/>
                    <w:jc w:val="both"/>
                  </w:pPr>
                  <w:r>
                    <w:t xml:space="preserve">The hybrid approach proposed by the Commission partially solves the issue of </w:t>
                  </w:r>
                  <w:proofErr w:type="spellStart"/>
                  <w:r>
                    <w:t>unratedness</w:t>
                  </w:r>
                  <w:proofErr w:type="spellEnd"/>
                  <w:r>
                    <w:t xml:space="preserve"> unduly impacting</w:t>
                  </w:r>
                  <w:r>
                    <w:rPr>
                      <w:spacing w:val="-16"/>
                    </w:rPr>
                    <w:t xml:space="preserve"> </w:t>
                  </w:r>
                  <w:r>
                    <w:t>investment</w:t>
                  </w:r>
                  <w:r>
                    <w:rPr>
                      <w:spacing w:val="-13"/>
                    </w:rPr>
                    <w:t xml:space="preserve"> </w:t>
                  </w:r>
                  <w:r>
                    <w:t>grade</w:t>
                  </w:r>
                  <w:r>
                    <w:rPr>
                      <w:spacing w:val="-13"/>
                    </w:rPr>
                    <w:t xml:space="preserve"> </w:t>
                  </w:r>
                  <w:r>
                    <w:t>corporates</w:t>
                  </w:r>
                  <w:r>
                    <w:rPr>
                      <w:spacing w:val="-13"/>
                    </w:rPr>
                    <w:t xml:space="preserve"> </w:t>
                  </w:r>
                  <w:r>
                    <w:t>by</w:t>
                  </w:r>
                  <w:r>
                    <w:rPr>
                      <w:spacing w:val="-13"/>
                    </w:rPr>
                    <w:t xml:space="preserve"> </w:t>
                  </w:r>
                  <w:r>
                    <w:t>lowering</w:t>
                  </w:r>
                  <w:r>
                    <w:rPr>
                      <w:spacing w:val="-16"/>
                    </w:rPr>
                    <w:t xml:space="preserve"> </w:t>
                  </w:r>
                  <w:r>
                    <w:t>the</w:t>
                  </w:r>
                  <w:r>
                    <w:rPr>
                      <w:spacing w:val="-13"/>
                    </w:rPr>
                    <w:t xml:space="preserve"> </w:t>
                  </w:r>
                  <w:r>
                    <w:t>RW</w:t>
                  </w:r>
                  <w:r>
                    <w:rPr>
                      <w:spacing w:val="-14"/>
                    </w:rPr>
                    <w:t xml:space="preserve"> </w:t>
                  </w:r>
                  <w:r>
                    <w:t>to</w:t>
                  </w:r>
                  <w:r>
                    <w:rPr>
                      <w:spacing w:val="-15"/>
                    </w:rPr>
                    <w:t xml:space="preserve"> </w:t>
                  </w:r>
                  <w:r>
                    <w:t>65%</w:t>
                  </w:r>
                  <w:r>
                    <w:rPr>
                      <w:spacing w:val="-15"/>
                    </w:rPr>
                    <w:t xml:space="preserve"> </w:t>
                  </w:r>
                  <w:r>
                    <w:t>if</w:t>
                  </w:r>
                  <w:r>
                    <w:rPr>
                      <w:spacing w:val="-13"/>
                    </w:rPr>
                    <w:t xml:space="preserve"> </w:t>
                  </w:r>
                  <w:r>
                    <w:t>they</w:t>
                  </w:r>
                  <w:r>
                    <w:rPr>
                      <w:spacing w:val="-14"/>
                    </w:rPr>
                    <w:t xml:space="preserve"> </w:t>
                  </w:r>
                  <w:r>
                    <w:t>do</w:t>
                  </w:r>
                  <w:r>
                    <w:rPr>
                      <w:spacing w:val="-15"/>
                    </w:rPr>
                    <w:t xml:space="preserve"> </w:t>
                  </w:r>
                  <w:r>
                    <w:t>not</w:t>
                  </w:r>
                  <w:r>
                    <w:rPr>
                      <w:spacing w:val="-13"/>
                    </w:rPr>
                    <w:t xml:space="preserve"> </w:t>
                  </w:r>
                  <w:r>
                    <w:t>have</w:t>
                  </w:r>
                  <w:r>
                    <w:rPr>
                      <w:spacing w:val="-13"/>
                    </w:rPr>
                    <w:t xml:space="preserve"> </w:t>
                  </w:r>
                  <w:r>
                    <w:t>a</w:t>
                  </w:r>
                  <w:r>
                    <w:rPr>
                      <w:spacing w:val="-14"/>
                    </w:rPr>
                    <w:t xml:space="preserve"> </w:t>
                  </w:r>
                  <w:r>
                    <w:t>rating.</w:t>
                  </w:r>
                  <w:r>
                    <w:rPr>
                      <w:spacing w:val="-15"/>
                    </w:rPr>
                    <w:t xml:space="preserve"> </w:t>
                  </w:r>
                  <w:r>
                    <w:t>Nonetheless, this is not a long-term solution – ultimately corporates that wish to lower their cost of funding will need to get a rating which comes at an additional cost that may be passed onto customers. this also runs contrary to the regulatory drive since the financial crisis to move away from reliance or mechanistic application of ratings within the prudential</w:t>
                  </w:r>
                  <w:r>
                    <w:rPr>
                      <w:spacing w:val="-2"/>
                    </w:rPr>
                    <w:t xml:space="preserve"> </w:t>
                  </w:r>
                  <w:r>
                    <w:t>framework.</w:t>
                  </w:r>
                </w:p>
                <w:p w14:paraId="689E251B" w14:textId="77777777" w:rsidR="00D24A18" w:rsidRDefault="00D24A18">
                  <w:pPr>
                    <w:pStyle w:val="BodyText"/>
                    <w:spacing w:before="10"/>
                    <w:rPr>
                      <w:sz w:val="23"/>
                    </w:rPr>
                  </w:pPr>
                </w:p>
                <w:p w14:paraId="689E251C" w14:textId="77777777" w:rsidR="00D24A18" w:rsidRDefault="00350D62">
                  <w:pPr>
                    <w:pStyle w:val="BodyText"/>
                    <w:spacing w:line="276" w:lineRule="auto"/>
                    <w:ind w:left="103" w:right="102"/>
                    <w:jc w:val="both"/>
                  </w:pPr>
                  <w:r>
                    <w:t>There are other longer-term solutions that could be developed. One would be to develop a central bank rating</w:t>
                  </w:r>
                  <w:r>
                    <w:rPr>
                      <w:spacing w:val="-8"/>
                    </w:rPr>
                    <w:t xml:space="preserve"> </w:t>
                  </w:r>
                  <w:r>
                    <w:t>process</w:t>
                  </w:r>
                  <w:r>
                    <w:rPr>
                      <w:spacing w:val="-4"/>
                    </w:rPr>
                    <w:t xml:space="preserve"> </w:t>
                  </w:r>
                  <w:r>
                    <w:t>for</w:t>
                  </w:r>
                  <w:r>
                    <w:rPr>
                      <w:spacing w:val="-5"/>
                    </w:rPr>
                    <w:t xml:space="preserve"> </w:t>
                  </w:r>
                  <w:r>
                    <w:t>corporates,</w:t>
                  </w:r>
                  <w:r>
                    <w:rPr>
                      <w:spacing w:val="-8"/>
                    </w:rPr>
                    <w:t xml:space="preserve"> </w:t>
                  </w:r>
                  <w:r>
                    <w:t>such</w:t>
                  </w:r>
                  <w:r>
                    <w:rPr>
                      <w:spacing w:val="-7"/>
                    </w:rPr>
                    <w:t xml:space="preserve"> </w:t>
                  </w:r>
                  <w:r>
                    <w:t>a</w:t>
                  </w:r>
                  <w:r>
                    <w:rPr>
                      <w:spacing w:val="-5"/>
                    </w:rPr>
                    <w:t xml:space="preserve"> </w:t>
                  </w:r>
                  <w:r>
                    <w:t>system</w:t>
                  </w:r>
                  <w:r>
                    <w:rPr>
                      <w:spacing w:val="-6"/>
                    </w:rPr>
                    <w:t xml:space="preserve"> </w:t>
                  </w:r>
                  <w:r>
                    <w:t>has</w:t>
                  </w:r>
                  <w:r>
                    <w:rPr>
                      <w:spacing w:val="-5"/>
                    </w:rPr>
                    <w:t xml:space="preserve"> </w:t>
                  </w:r>
                  <w:r>
                    <w:t>already</w:t>
                  </w:r>
                  <w:r>
                    <w:rPr>
                      <w:spacing w:val="-5"/>
                    </w:rPr>
                    <w:t xml:space="preserve"> </w:t>
                  </w:r>
                  <w:r>
                    <w:t>been</w:t>
                  </w:r>
                  <w:r>
                    <w:rPr>
                      <w:spacing w:val="-6"/>
                    </w:rPr>
                    <w:t xml:space="preserve"> </w:t>
                  </w:r>
                  <w:r>
                    <w:t>developed</w:t>
                  </w:r>
                  <w:r>
                    <w:rPr>
                      <w:spacing w:val="-4"/>
                    </w:rPr>
                    <w:t xml:space="preserve"> </w:t>
                  </w:r>
                  <w:r>
                    <w:t>by</w:t>
                  </w:r>
                  <w:r>
                    <w:rPr>
                      <w:spacing w:val="-5"/>
                    </w:rPr>
                    <w:t xml:space="preserve"> </w:t>
                  </w:r>
                  <w:r>
                    <w:t>the</w:t>
                  </w:r>
                  <w:r>
                    <w:rPr>
                      <w:spacing w:val="-6"/>
                    </w:rPr>
                    <w:t xml:space="preserve"> </w:t>
                  </w:r>
                  <w:r>
                    <w:t>Banque</w:t>
                  </w:r>
                  <w:r>
                    <w:rPr>
                      <w:spacing w:val="-5"/>
                    </w:rPr>
                    <w:t xml:space="preserve"> </w:t>
                  </w:r>
                  <w:r>
                    <w:t>de</w:t>
                  </w:r>
                  <w:r>
                    <w:rPr>
                      <w:spacing w:val="-5"/>
                    </w:rPr>
                    <w:t xml:space="preserve"> </w:t>
                  </w:r>
                  <w:r>
                    <w:t>France</w:t>
                  </w:r>
                  <w:r>
                    <w:rPr>
                      <w:spacing w:val="-6"/>
                    </w:rPr>
                    <w:t xml:space="preserve"> </w:t>
                  </w:r>
                  <w:r>
                    <w:t>based</w:t>
                  </w:r>
                  <w:r>
                    <w:rPr>
                      <w:spacing w:val="-4"/>
                    </w:rPr>
                    <w:t xml:space="preserve"> </w:t>
                  </w:r>
                  <w:r>
                    <w:t xml:space="preserve">on the FIBEN companies database established in 1978. Other alternatives could be to establish a credit benchmarking platform for banks to pool their company data on or for credit bureaus to be approved as external ECAIs and develop a mechanism to map their assessments to RWs. Should the EU pursue these solutions – which may take time to develop – these should ultimately be reviewed </w:t>
                  </w:r>
                  <w:r>
                    <w:rPr>
                      <w:spacing w:val="-3"/>
                    </w:rPr>
                    <w:t xml:space="preserve">by </w:t>
                  </w:r>
                  <w:r>
                    <w:t>Basel and, where possible, incorporated into the international framework. Industry supports investigation of these alternatives; however, it should be noted that they also pose implementation</w:t>
                  </w:r>
                  <w:r>
                    <w:rPr>
                      <w:spacing w:val="-8"/>
                    </w:rPr>
                    <w:t xml:space="preserve"> </w:t>
                  </w:r>
                  <w:r>
                    <w:t>challenges.</w:t>
                  </w:r>
                </w:p>
              </w:txbxContent>
            </v:textbox>
            <w10:anchorlock/>
          </v:shape>
        </w:pict>
      </w:r>
    </w:p>
    <w:p w14:paraId="689E1F0D" w14:textId="77777777" w:rsidR="00D24A18" w:rsidRDefault="00D24A18">
      <w:pPr>
        <w:pStyle w:val="BodyText"/>
        <w:spacing w:before="10"/>
        <w:rPr>
          <w:sz w:val="12"/>
        </w:rPr>
      </w:pPr>
    </w:p>
    <w:p w14:paraId="689E1F0E" w14:textId="77777777" w:rsidR="00D24A18" w:rsidRDefault="00350D62">
      <w:pPr>
        <w:pStyle w:val="BodyText"/>
        <w:spacing w:before="100" w:line="276" w:lineRule="auto"/>
        <w:ind w:left="191" w:right="405"/>
        <w:jc w:val="both"/>
      </w:pPr>
      <w:r>
        <w:t>The</w:t>
      </w:r>
      <w:r>
        <w:rPr>
          <w:spacing w:val="-5"/>
        </w:rPr>
        <w:t xml:space="preserve"> </w:t>
      </w:r>
      <w:r>
        <w:t>issue</w:t>
      </w:r>
      <w:r>
        <w:rPr>
          <w:spacing w:val="-5"/>
        </w:rPr>
        <w:t xml:space="preserve"> </w:t>
      </w:r>
      <w:r>
        <w:t>of</w:t>
      </w:r>
      <w:r>
        <w:rPr>
          <w:spacing w:val="-5"/>
        </w:rPr>
        <w:t xml:space="preserve"> </w:t>
      </w:r>
      <w:r>
        <w:t>lack</w:t>
      </w:r>
      <w:r>
        <w:rPr>
          <w:spacing w:val="-5"/>
        </w:rPr>
        <w:t xml:space="preserve"> </w:t>
      </w:r>
      <w:r>
        <w:t>of</w:t>
      </w:r>
      <w:r>
        <w:rPr>
          <w:spacing w:val="-5"/>
        </w:rPr>
        <w:t xml:space="preserve"> </w:t>
      </w:r>
      <w:r>
        <w:t>ratings</w:t>
      </w:r>
      <w:r>
        <w:rPr>
          <w:spacing w:val="-4"/>
        </w:rPr>
        <w:t xml:space="preserve"> </w:t>
      </w:r>
      <w:r>
        <w:t>is</w:t>
      </w:r>
      <w:r>
        <w:rPr>
          <w:spacing w:val="-4"/>
        </w:rPr>
        <w:t xml:space="preserve"> </w:t>
      </w:r>
      <w:r>
        <w:t>not</w:t>
      </w:r>
      <w:r>
        <w:rPr>
          <w:spacing w:val="-5"/>
        </w:rPr>
        <w:t xml:space="preserve"> </w:t>
      </w:r>
      <w:r>
        <w:t>only</w:t>
      </w:r>
      <w:r>
        <w:rPr>
          <w:spacing w:val="-4"/>
        </w:rPr>
        <w:t xml:space="preserve"> </w:t>
      </w:r>
      <w:r>
        <w:t>limited</w:t>
      </w:r>
      <w:r>
        <w:rPr>
          <w:spacing w:val="-4"/>
        </w:rPr>
        <w:t xml:space="preserve"> </w:t>
      </w:r>
      <w:r>
        <w:t>to</w:t>
      </w:r>
      <w:r>
        <w:rPr>
          <w:spacing w:val="-6"/>
        </w:rPr>
        <w:t xml:space="preserve"> </w:t>
      </w:r>
      <w:r>
        <w:t>banks</w:t>
      </w:r>
      <w:r>
        <w:rPr>
          <w:spacing w:val="-5"/>
        </w:rPr>
        <w:t xml:space="preserve"> </w:t>
      </w:r>
      <w:r>
        <w:t>which</w:t>
      </w:r>
      <w:r>
        <w:rPr>
          <w:spacing w:val="-7"/>
        </w:rPr>
        <w:t xml:space="preserve"> </w:t>
      </w:r>
      <w:r>
        <w:t>use</w:t>
      </w:r>
      <w:r>
        <w:rPr>
          <w:spacing w:val="-5"/>
        </w:rPr>
        <w:t xml:space="preserve"> </w:t>
      </w:r>
      <w:r>
        <w:t>models,</w:t>
      </w:r>
      <w:r>
        <w:rPr>
          <w:spacing w:val="-7"/>
        </w:rPr>
        <w:t xml:space="preserve"> </w:t>
      </w:r>
      <w:r>
        <w:t>but</w:t>
      </w:r>
      <w:r>
        <w:rPr>
          <w:spacing w:val="-5"/>
        </w:rPr>
        <w:t xml:space="preserve"> </w:t>
      </w:r>
      <w:r>
        <w:t>also</w:t>
      </w:r>
      <w:r>
        <w:rPr>
          <w:spacing w:val="-7"/>
        </w:rPr>
        <w:t xml:space="preserve"> </w:t>
      </w:r>
      <w:r>
        <w:t>extends</w:t>
      </w:r>
      <w:r>
        <w:rPr>
          <w:spacing w:val="-4"/>
        </w:rPr>
        <w:t xml:space="preserve"> </w:t>
      </w:r>
      <w:r>
        <w:t>to</w:t>
      </w:r>
      <w:r>
        <w:rPr>
          <w:spacing w:val="-7"/>
        </w:rPr>
        <w:t xml:space="preserve"> </w:t>
      </w:r>
      <w:r>
        <w:t>banks</w:t>
      </w:r>
      <w:r>
        <w:rPr>
          <w:spacing w:val="-4"/>
        </w:rPr>
        <w:t xml:space="preserve"> </w:t>
      </w:r>
      <w:r>
        <w:t>that</w:t>
      </w:r>
      <w:r>
        <w:rPr>
          <w:spacing w:val="-4"/>
        </w:rPr>
        <w:t xml:space="preserve"> </w:t>
      </w:r>
      <w:r>
        <w:t xml:space="preserve">apply the </w:t>
      </w:r>
      <w:proofErr w:type="spellStart"/>
      <w:r>
        <w:t>Standardised</w:t>
      </w:r>
      <w:proofErr w:type="spellEnd"/>
      <w:r>
        <w:t xml:space="preserve"> Approach, especially with regard to investment grade corporates, which all banks are able to identify. Consequently, we propose commensurate treatment of unrated corporates should be extended to banks</w:t>
      </w:r>
      <w:r>
        <w:rPr>
          <w:spacing w:val="-7"/>
        </w:rPr>
        <w:t xml:space="preserve"> </w:t>
      </w:r>
      <w:r>
        <w:t>using</w:t>
      </w:r>
      <w:r>
        <w:rPr>
          <w:spacing w:val="-9"/>
        </w:rPr>
        <w:t xml:space="preserve"> </w:t>
      </w:r>
      <w:r>
        <w:t>the</w:t>
      </w:r>
      <w:r>
        <w:rPr>
          <w:spacing w:val="-7"/>
        </w:rPr>
        <w:t xml:space="preserve"> </w:t>
      </w:r>
      <w:proofErr w:type="spellStart"/>
      <w:r>
        <w:t>Standardised</w:t>
      </w:r>
      <w:proofErr w:type="spellEnd"/>
      <w:r>
        <w:rPr>
          <w:spacing w:val="-6"/>
        </w:rPr>
        <w:t xml:space="preserve"> </w:t>
      </w:r>
      <w:r>
        <w:t>Approach</w:t>
      </w:r>
      <w:r>
        <w:rPr>
          <w:spacing w:val="-9"/>
        </w:rPr>
        <w:t xml:space="preserve"> </w:t>
      </w:r>
      <w:r>
        <w:t>where</w:t>
      </w:r>
      <w:r>
        <w:rPr>
          <w:spacing w:val="-7"/>
        </w:rPr>
        <w:t xml:space="preserve"> </w:t>
      </w:r>
      <w:r>
        <w:t>it</w:t>
      </w:r>
      <w:r>
        <w:rPr>
          <w:spacing w:val="-6"/>
        </w:rPr>
        <w:t xml:space="preserve"> </w:t>
      </w:r>
      <w:r>
        <w:t>can</w:t>
      </w:r>
      <w:r>
        <w:rPr>
          <w:spacing w:val="-7"/>
        </w:rPr>
        <w:t xml:space="preserve"> </w:t>
      </w:r>
      <w:r>
        <w:t>be</w:t>
      </w:r>
      <w:r>
        <w:rPr>
          <w:spacing w:val="-7"/>
        </w:rPr>
        <w:t xml:space="preserve"> </w:t>
      </w:r>
      <w:r>
        <w:t>demonstrated</w:t>
      </w:r>
      <w:r>
        <w:rPr>
          <w:spacing w:val="-6"/>
        </w:rPr>
        <w:t xml:space="preserve"> </w:t>
      </w:r>
      <w:r>
        <w:t>that</w:t>
      </w:r>
      <w:r>
        <w:rPr>
          <w:spacing w:val="-10"/>
        </w:rPr>
        <w:t xml:space="preserve"> </w:t>
      </w:r>
      <w:r>
        <w:t>the</w:t>
      </w:r>
      <w:r>
        <w:rPr>
          <w:spacing w:val="-7"/>
        </w:rPr>
        <w:t xml:space="preserve"> </w:t>
      </w:r>
      <w:r>
        <w:t>corporate</w:t>
      </w:r>
      <w:r>
        <w:rPr>
          <w:spacing w:val="-7"/>
        </w:rPr>
        <w:t xml:space="preserve"> </w:t>
      </w:r>
      <w:r>
        <w:t>is</w:t>
      </w:r>
      <w:r>
        <w:rPr>
          <w:spacing w:val="-6"/>
        </w:rPr>
        <w:t xml:space="preserve"> </w:t>
      </w:r>
      <w:r>
        <w:t>investment</w:t>
      </w:r>
      <w:r>
        <w:rPr>
          <w:spacing w:val="-6"/>
        </w:rPr>
        <w:t xml:space="preserve"> </w:t>
      </w:r>
      <w:r>
        <w:t>grade. For</w:t>
      </w:r>
      <w:r>
        <w:rPr>
          <w:spacing w:val="-15"/>
        </w:rPr>
        <w:t xml:space="preserve"> </w:t>
      </w:r>
      <w:r>
        <w:t>instance,</w:t>
      </w:r>
      <w:r>
        <w:rPr>
          <w:spacing w:val="-16"/>
        </w:rPr>
        <w:t xml:space="preserve"> </w:t>
      </w:r>
      <w:r>
        <w:t>this</w:t>
      </w:r>
      <w:r>
        <w:rPr>
          <w:spacing w:val="-14"/>
        </w:rPr>
        <w:t xml:space="preserve"> </w:t>
      </w:r>
      <w:r>
        <w:t>could</w:t>
      </w:r>
      <w:r>
        <w:rPr>
          <w:spacing w:val="-13"/>
        </w:rPr>
        <w:t xml:space="preserve"> </w:t>
      </w:r>
      <w:r>
        <w:t>be</w:t>
      </w:r>
      <w:r>
        <w:rPr>
          <w:spacing w:val="-14"/>
        </w:rPr>
        <w:t xml:space="preserve"> </w:t>
      </w:r>
      <w:r>
        <w:t>achieved</w:t>
      </w:r>
      <w:r>
        <w:rPr>
          <w:spacing w:val="-13"/>
        </w:rPr>
        <w:t xml:space="preserve"> </w:t>
      </w:r>
      <w:r>
        <w:t>by</w:t>
      </w:r>
      <w:r>
        <w:rPr>
          <w:spacing w:val="-14"/>
        </w:rPr>
        <w:t xml:space="preserve"> </w:t>
      </w:r>
      <w:r>
        <w:t>allowing</w:t>
      </w:r>
      <w:r>
        <w:rPr>
          <w:spacing w:val="-16"/>
        </w:rPr>
        <w:t xml:space="preserve"> </w:t>
      </w:r>
      <w:r>
        <w:t>institutions</w:t>
      </w:r>
      <w:r>
        <w:rPr>
          <w:spacing w:val="-14"/>
        </w:rPr>
        <w:t xml:space="preserve"> </w:t>
      </w:r>
      <w:r>
        <w:t>to</w:t>
      </w:r>
      <w:r>
        <w:rPr>
          <w:spacing w:val="-15"/>
        </w:rPr>
        <w:t xml:space="preserve"> </w:t>
      </w:r>
      <w:r>
        <w:t>make</w:t>
      </w:r>
      <w:r>
        <w:rPr>
          <w:spacing w:val="-14"/>
        </w:rPr>
        <w:t xml:space="preserve"> </w:t>
      </w:r>
      <w:r>
        <w:t>use</w:t>
      </w:r>
      <w:r>
        <w:rPr>
          <w:spacing w:val="-14"/>
        </w:rPr>
        <w:t xml:space="preserve"> </w:t>
      </w:r>
      <w:r>
        <w:t>of</w:t>
      </w:r>
      <w:r>
        <w:rPr>
          <w:spacing w:val="-18"/>
        </w:rPr>
        <w:t xml:space="preserve"> </w:t>
      </w:r>
      <w:r>
        <w:t>the</w:t>
      </w:r>
      <w:r>
        <w:rPr>
          <w:spacing w:val="-14"/>
        </w:rPr>
        <w:t xml:space="preserve"> </w:t>
      </w:r>
      <w:r>
        <w:t>internally</w:t>
      </w:r>
      <w:r>
        <w:rPr>
          <w:spacing w:val="-18"/>
        </w:rPr>
        <w:t xml:space="preserve"> </w:t>
      </w:r>
      <w:r>
        <w:t>estimated</w:t>
      </w:r>
      <w:r>
        <w:rPr>
          <w:spacing w:val="-13"/>
        </w:rPr>
        <w:t xml:space="preserve"> </w:t>
      </w:r>
      <w:r>
        <w:t>Probability of Default (PDs) for those exposures for the purposes of either the economic capital calculation or the accounting expected credit loss calculation.</w:t>
      </w:r>
      <w:hyperlink w:anchor="_bookmark5" w:history="1">
        <w:r>
          <w:rPr>
            <w:position w:val="5"/>
            <w:sz w:val="14"/>
          </w:rPr>
          <w:t>6</w:t>
        </w:r>
      </w:hyperlink>
      <w:r>
        <w:rPr>
          <w:position w:val="5"/>
          <w:sz w:val="14"/>
        </w:rPr>
        <w:t xml:space="preserve"> </w:t>
      </w:r>
      <w:r>
        <w:t xml:space="preserve">These metrics (PDs) follow existing EU regulations, are decoupled from the capital metrics, and are used </w:t>
      </w:r>
      <w:r>
        <w:rPr>
          <w:spacing w:val="-3"/>
        </w:rPr>
        <w:t xml:space="preserve">by </w:t>
      </w:r>
      <w:r>
        <w:t xml:space="preserve">all institutions regardless </w:t>
      </w:r>
      <w:r>
        <w:rPr>
          <w:spacing w:val="-3"/>
        </w:rPr>
        <w:t xml:space="preserve">of </w:t>
      </w:r>
      <w:r>
        <w:t xml:space="preserve">the approach they use </w:t>
      </w:r>
      <w:r>
        <w:rPr>
          <w:spacing w:val="-3"/>
        </w:rPr>
        <w:t xml:space="preserve">and </w:t>
      </w:r>
      <w:r>
        <w:t>allow them to identify investment grade unrated corporates with the same level of guarantee as regulatory PDs:</w:t>
      </w:r>
    </w:p>
    <w:p w14:paraId="689E1F0F" w14:textId="77777777" w:rsidR="00D24A18" w:rsidRDefault="00D24A18">
      <w:pPr>
        <w:pStyle w:val="BodyText"/>
        <w:rPr>
          <w:sz w:val="24"/>
        </w:rPr>
      </w:pPr>
    </w:p>
    <w:p w14:paraId="689E1F10" w14:textId="77777777" w:rsidR="00D24A18" w:rsidRDefault="00350D62">
      <w:pPr>
        <w:pStyle w:val="ListParagraph"/>
        <w:numPr>
          <w:ilvl w:val="0"/>
          <w:numId w:val="28"/>
        </w:numPr>
        <w:tabs>
          <w:tab w:val="left" w:pos="913"/>
        </w:tabs>
        <w:spacing w:line="276" w:lineRule="auto"/>
        <w:ind w:left="911" w:right="405" w:hanging="360"/>
      </w:pPr>
      <w:r>
        <w:rPr>
          <w:b/>
        </w:rPr>
        <w:t>PDs</w:t>
      </w:r>
      <w:r>
        <w:rPr>
          <w:b/>
          <w:spacing w:val="-8"/>
        </w:rPr>
        <w:t xml:space="preserve"> </w:t>
      </w:r>
      <w:r>
        <w:rPr>
          <w:b/>
        </w:rPr>
        <w:t>used</w:t>
      </w:r>
      <w:r>
        <w:rPr>
          <w:b/>
          <w:spacing w:val="-6"/>
        </w:rPr>
        <w:t xml:space="preserve"> </w:t>
      </w:r>
      <w:r>
        <w:rPr>
          <w:b/>
        </w:rPr>
        <w:t>for</w:t>
      </w:r>
      <w:r>
        <w:rPr>
          <w:b/>
          <w:spacing w:val="-4"/>
        </w:rPr>
        <w:t xml:space="preserve"> </w:t>
      </w:r>
      <w:r>
        <w:rPr>
          <w:b/>
        </w:rPr>
        <w:t>Provisions</w:t>
      </w:r>
      <w:r>
        <w:rPr>
          <w:b/>
          <w:spacing w:val="-3"/>
        </w:rPr>
        <w:t xml:space="preserve"> </w:t>
      </w:r>
      <w:r>
        <w:rPr>
          <w:b/>
        </w:rPr>
        <w:t>(under</w:t>
      </w:r>
      <w:r>
        <w:rPr>
          <w:b/>
          <w:spacing w:val="-4"/>
        </w:rPr>
        <w:t xml:space="preserve"> </w:t>
      </w:r>
      <w:r>
        <w:rPr>
          <w:b/>
        </w:rPr>
        <w:t>IFRS9):</w:t>
      </w:r>
      <w:r>
        <w:rPr>
          <w:b/>
          <w:spacing w:val="-8"/>
        </w:rPr>
        <w:t xml:space="preserve"> </w:t>
      </w:r>
      <w:r>
        <w:t>They</w:t>
      </w:r>
      <w:r>
        <w:rPr>
          <w:spacing w:val="-6"/>
        </w:rPr>
        <w:t xml:space="preserve"> </w:t>
      </w:r>
      <w:r>
        <w:t>are</w:t>
      </w:r>
      <w:r>
        <w:rPr>
          <w:spacing w:val="-5"/>
        </w:rPr>
        <w:t xml:space="preserve"> </w:t>
      </w:r>
      <w:r>
        <w:t>calculated</w:t>
      </w:r>
      <w:r>
        <w:rPr>
          <w:spacing w:val="-5"/>
        </w:rPr>
        <w:t xml:space="preserve"> </w:t>
      </w:r>
      <w:r>
        <w:t>by</w:t>
      </w:r>
      <w:r>
        <w:rPr>
          <w:spacing w:val="-6"/>
        </w:rPr>
        <w:t xml:space="preserve"> </w:t>
      </w:r>
      <w:r>
        <w:t>all</w:t>
      </w:r>
      <w:r>
        <w:rPr>
          <w:spacing w:val="-6"/>
        </w:rPr>
        <w:t xml:space="preserve"> </w:t>
      </w:r>
      <w:r>
        <w:t>entities</w:t>
      </w:r>
      <w:r>
        <w:rPr>
          <w:spacing w:val="-6"/>
        </w:rPr>
        <w:t xml:space="preserve"> </w:t>
      </w:r>
      <w:r>
        <w:t>using</w:t>
      </w:r>
      <w:r>
        <w:rPr>
          <w:spacing w:val="-8"/>
        </w:rPr>
        <w:t xml:space="preserve"> </w:t>
      </w:r>
      <w:r>
        <w:t>common</w:t>
      </w:r>
      <w:r>
        <w:rPr>
          <w:spacing w:val="-6"/>
        </w:rPr>
        <w:t xml:space="preserve"> </w:t>
      </w:r>
      <w:r>
        <w:t>principles and rules which homogenize this measure across entities: the “EBA Guidelines on Credit institutions’ credit risk management practices and accounting for expected credit losses (2017)”</w:t>
      </w:r>
      <w:hyperlink w:anchor="_bookmark6" w:history="1">
        <w:r>
          <w:rPr>
            <w:position w:val="5"/>
            <w:sz w:val="14"/>
          </w:rPr>
          <w:t>7</w:t>
        </w:r>
      </w:hyperlink>
      <w:r>
        <w:t>. The reliability of these PDs is illustrated by the EBA Guidelines themselves, by giving then priority over ratings provided by credit rating</w:t>
      </w:r>
      <w:r>
        <w:rPr>
          <w:spacing w:val="-5"/>
        </w:rPr>
        <w:t xml:space="preserve"> </w:t>
      </w:r>
      <w:r>
        <w:t>agencies</w:t>
      </w:r>
    </w:p>
    <w:p w14:paraId="689E1F11" w14:textId="77777777" w:rsidR="00D24A18" w:rsidRDefault="00350D62">
      <w:pPr>
        <w:pStyle w:val="ListParagraph"/>
        <w:numPr>
          <w:ilvl w:val="0"/>
          <w:numId w:val="28"/>
        </w:numPr>
        <w:tabs>
          <w:tab w:val="left" w:pos="913"/>
        </w:tabs>
        <w:spacing w:line="273" w:lineRule="auto"/>
        <w:ind w:left="911" w:right="407" w:hanging="360"/>
      </w:pPr>
      <w:r>
        <w:rPr>
          <w:b/>
        </w:rPr>
        <w:t>PDs</w:t>
      </w:r>
      <w:r>
        <w:rPr>
          <w:b/>
          <w:spacing w:val="-8"/>
        </w:rPr>
        <w:t xml:space="preserve"> </w:t>
      </w:r>
      <w:r>
        <w:rPr>
          <w:b/>
        </w:rPr>
        <w:t>used</w:t>
      </w:r>
      <w:r>
        <w:rPr>
          <w:b/>
          <w:spacing w:val="-5"/>
        </w:rPr>
        <w:t xml:space="preserve"> </w:t>
      </w:r>
      <w:r>
        <w:rPr>
          <w:b/>
        </w:rPr>
        <w:t>for</w:t>
      </w:r>
      <w:r>
        <w:rPr>
          <w:b/>
          <w:spacing w:val="-4"/>
        </w:rPr>
        <w:t xml:space="preserve"> </w:t>
      </w:r>
      <w:r>
        <w:rPr>
          <w:b/>
        </w:rPr>
        <w:t>Economic</w:t>
      </w:r>
      <w:r>
        <w:rPr>
          <w:b/>
          <w:spacing w:val="-5"/>
        </w:rPr>
        <w:t xml:space="preserve"> </w:t>
      </w:r>
      <w:r>
        <w:rPr>
          <w:b/>
        </w:rPr>
        <w:t>Capital:</w:t>
      </w:r>
      <w:r>
        <w:rPr>
          <w:b/>
          <w:spacing w:val="-5"/>
        </w:rPr>
        <w:t xml:space="preserve"> </w:t>
      </w:r>
      <w:r>
        <w:t>PDs</w:t>
      </w:r>
      <w:r>
        <w:rPr>
          <w:spacing w:val="-4"/>
        </w:rPr>
        <w:t xml:space="preserve"> </w:t>
      </w:r>
      <w:r>
        <w:t>used</w:t>
      </w:r>
      <w:r>
        <w:rPr>
          <w:spacing w:val="-1"/>
        </w:rPr>
        <w:t xml:space="preserve"> </w:t>
      </w:r>
      <w:r>
        <w:t>as</w:t>
      </w:r>
      <w:r>
        <w:rPr>
          <w:spacing w:val="-6"/>
        </w:rPr>
        <w:t xml:space="preserve"> </w:t>
      </w:r>
      <w:r>
        <w:t>risk</w:t>
      </w:r>
      <w:r>
        <w:rPr>
          <w:spacing w:val="-5"/>
        </w:rPr>
        <w:t xml:space="preserve"> </w:t>
      </w:r>
      <w:r>
        <w:t>parameters</w:t>
      </w:r>
      <w:r>
        <w:rPr>
          <w:spacing w:val="-5"/>
        </w:rPr>
        <w:t xml:space="preserve"> </w:t>
      </w:r>
      <w:r>
        <w:t>for</w:t>
      </w:r>
      <w:r>
        <w:rPr>
          <w:spacing w:val="-5"/>
        </w:rPr>
        <w:t xml:space="preserve"> </w:t>
      </w:r>
      <w:r>
        <w:t>Economic</w:t>
      </w:r>
      <w:r>
        <w:rPr>
          <w:spacing w:val="-7"/>
        </w:rPr>
        <w:t xml:space="preserve"> </w:t>
      </w:r>
      <w:r>
        <w:t>Capital</w:t>
      </w:r>
      <w:r>
        <w:rPr>
          <w:spacing w:val="-7"/>
        </w:rPr>
        <w:t xml:space="preserve"> </w:t>
      </w:r>
      <w:r>
        <w:t>are</w:t>
      </w:r>
      <w:r>
        <w:rPr>
          <w:spacing w:val="-5"/>
        </w:rPr>
        <w:t xml:space="preserve"> </w:t>
      </w:r>
      <w:r>
        <w:t>an</w:t>
      </w:r>
      <w:r>
        <w:rPr>
          <w:spacing w:val="-6"/>
        </w:rPr>
        <w:t xml:space="preserve"> </w:t>
      </w:r>
      <w:r>
        <w:t>alternative mechanism to identify investment grade unrated corporates provided that they meet minimum governance</w:t>
      </w:r>
      <w:r>
        <w:rPr>
          <w:spacing w:val="-15"/>
        </w:rPr>
        <w:t xml:space="preserve"> </w:t>
      </w:r>
      <w:r>
        <w:t>and</w:t>
      </w:r>
      <w:r>
        <w:rPr>
          <w:spacing w:val="-13"/>
        </w:rPr>
        <w:t xml:space="preserve"> </w:t>
      </w:r>
      <w:r>
        <w:t>robustness</w:t>
      </w:r>
      <w:r>
        <w:rPr>
          <w:spacing w:val="-13"/>
        </w:rPr>
        <w:t xml:space="preserve"> </w:t>
      </w:r>
      <w:r>
        <w:t>requirements.</w:t>
      </w:r>
      <w:r>
        <w:rPr>
          <w:spacing w:val="-16"/>
        </w:rPr>
        <w:t xml:space="preserve"> </w:t>
      </w:r>
      <w:r>
        <w:t>Such</w:t>
      </w:r>
      <w:r>
        <w:rPr>
          <w:spacing w:val="-16"/>
        </w:rPr>
        <w:t xml:space="preserve"> </w:t>
      </w:r>
      <w:r>
        <w:t>is</w:t>
      </w:r>
      <w:r>
        <w:rPr>
          <w:spacing w:val="-13"/>
        </w:rPr>
        <w:t xml:space="preserve"> </w:t>
      </w:r>
      <w:r>
        <w:t>the</w:t>
      </w:r>
      <w:r>
        <w:rPr>
          <w:spacing w:val="-15"/>
        </w:rPr>
        <w:t xml:space="preserve"> </w:t>
      </w:r>
      <w:r>
        <w:t>case</w:t>
      </w:r>
      <w:r>
        <w:rPr>
          <w:spacing w:val="-14"/>
        </w:rPr>
        <w:t xml:space="preserve"> </w:t>
      </w:r>
      <w:r>
        <w:t>of</w:t>
      </w:r>
      <w:r>
        <w:rPr>
          <w:spacing w:val="-14"/>
        </w:rPr>
        <w:t xml:space="preserve"> </w:t>
      </w:r>
      <w:r>
        <w:t>PDs</w:t>
      </w:r>
      <w:r>
        <w:rPr>
          <w:spacing w:val="-9"/>
        </w:rPr>
        <w:t xml:space="preserve"> </w:t>
      </w:r>
      <w:r>
        <w:t>used</w:t>
      </w:r>
      <w:r>
        <w:rPr>
          <w:spacing w:val="-14"/>
        </w:rPr>
        <w:t xml:space="preserve"> </w:t>
      </w:r>
      <w:r>
        <w:t>for</w:t>
      </w:r>
      <w:r>
        <w:rPr>
          <w:spacing w:val="-14"/>
        </w:rPr>
        <w:t xml:space="preserve"> </w:t>
      </w:r>
      <w:r>
        <w:t>Economic</w:t>
      </w:r>
      <w:r>
        <w:rPr>
          <w:spacing w:val="-16"/>
        </w:rPr>
        <w:t xml:space="preserve"> </w:t>
      </w:r>
      <w:r>
        <w:t>Capital</w:t>
      </w:r>
      <w:r>
        <w:rPr>
          <w:spacing w:val="-15"/>
        </w:rPr>
        <w:t xml:space="preserve"> </w:t>
      </w:r>
      <w:r>
        <w:t>that</w:t>
      </w:r>
      <w:r>
        <w:rPr>
          <w:spacing w:val="-13"/>
        </w:rPr>
        <w:t xml:space="preserve"> </w:t>
      </w:r>
      <w:r>
        <w:t>follow</w:t>
      </w:r>
    </w:p>
    <w:p w14:paraId="689E1F12" w14:textId="77777777" w:rsidR="00D24A18" w:rsidRDefault="00D24A18">
      <w:pPr>
        <w:pStyle w:val="BodyText"/>
        <w:rPr>
          <w:sz w:val="20"/>
        </w:rPr>
      </w:pPr>
    </w:p>
    <w:p w14:paraId="689E1F13" w14:textId="77777777" w:rsidR="00D24A18" w:rsidRDefault="00D24A18">
      <w:pPr>
        <w:pStyle w:val="BodyText"/>
        <w:rPr>
          <w:sz w:val="20"/>
        </w:rPr>
      </w:pPr>
    </w:p>
    <w:p w14:paraId="689E1F14" w14:textId="77777777" w:rsidR="00D24A18" w:rsidRDefault="00FC2908">
      <w:pPr>
        <w:pStyle w:val="BodyText"/>
        <w:spacing w:before="1"/>
        <w:rPr>
          <w:sz w:val="14"/>
        </w:rPr>
      </w:pPr>
      <w:r>
        <w:pict w14:anchorId="689E2445">
          <v:shape id="_x0000_s2167" style="position:absolute;margin-left:42.6pt;margin-top:10.5pt;width:2in;height:.1pt;z-index:-251650048;mso-wrap-distance-left:0;mso-wrap-distance-right:0;mso-position-horizontal-relative:page" coordorigin="852,210" coordsize="2880,0" path="m852,210r2880,e" filled="f" strokecolor="#78a12e" strokeweight=".21131mm">
            <v:path arrowok="t"/>
            <w10:wrap type="topAndBottom" anchorx="page"/>
          </v:shape>
        </w:pict>
      </w:r>
    </w:p>
    <w:p w14:paraId="689E1F15" w14:textId="77777777" w:rsidR="00D24A18" w:rsidRDefault="00350D62">
      <w:pPr>
        <w:spacing w:before="63"/>
        <w:ind w:left="192" w:right="408"/>
        <w:rPr>
          <w:sz w:val="16"/>
        </w:rPr>
      </w:pPr>
      <w:bookmarkStart w:id="7" w:name="_bookmark5"/>
      <w:bookmarkEnd w:id="7"/>
      <w:r>
        <w:rPr>
          <w:position w:val="4"/>
          <w:sz w:val="10"/>
        </w:rPr>
        <w:t xml:space="preserve">6 </w:t>
      </w:r>
      <w:r>
        <w:rPr>
          <w:sz w:val="16"/>
        </w:rPr>
        <w:t>Consistent with the ‘EU Guidelines for the estimation of risk parameters for the IRB approach’ or the ‘EU Guidelines for the credit institutions' credit risk management practices and accounting for expected credit losses’, respectively</w:t>
      </w:r>
    </w:p>
    <w:p w14:paraId="689E1F16" w14:textId="77777777" w:rsidR="00D24A18" w:rsidRDefault="00350D62">
      <w:pPr>
        <w:spacing w:before="1"/>
        <w:ind w:left="192"/>
        <w:rPr>
          <w:sz w:val="16"/>
        </w:rPr>
      </w:pPr>
      <w:bookmarkStart w:id="8" w:name="_bookmark6"/>
      <w:bookmarkEnd w:id="8"/>
      <w:r>
        <w:rPr>
          <w:position w:val="4"/>
          <w:sz w:val="10"/>
        </w:rPr>
        <w:t xml:space="preserve">7 </w:t>
      </w:r>
      <w:r>
        <w:rPr>
          <w:sz w:val="16"/>
        </w:rPr>
        <w:t>EBA Guidelines on Credit institutions’ credit risk management practices and accounting for expected credit losses (published in 2017) (</w:t>
      </w:r>
      <w:hyperlink r:id="rId12">
        <w:r>
          <w:rPr>
            <w:color w:val="78A12E"/>
            <w:sz w:val="16"/>
            <w:u w:val="single" w:color="78A12E"/>
          </w:rPr>
          <w:t>Link</w:t>
        </w:r>
      </w:hyperlink>
      <w:r>
        <w:rPr>
          <w:sz w:val="16"/>
        </w:rPr>
        <w:t>)</w:t>
      </w:r>
    </w:p>
    <w:p w14:paraId="689E1F17" w14:textId="77777777" w:rsidR="00D24A18" w:rsidRDefault="00D24A18">
      <w:pPr>
        <w:rPr>
          <w:sz w:val="16"/>
        </w:rPr>
        <w:sectPr w:rsidR="00D24A18">
          <w:pgSz w:w="11910" w:h="16840"/>
          <w:pgMar w:top="1580" w:right="440" w:bottom="1100" w:left="660" w:header="0" w:footer="914" w:gutter="0"/>
          <w:cols w:space="720"/>
        </w:sectPr>
      </w:pPr>
    </w:p>
    <w:p w14:paraId="689E1F18" w14:textId="77777777" w:rsidR="00D24A18" w:rsidRDefault="00D24A18">
      <w:pPr>
        <w:pStyle w:val="BodyText"/>
        <w:rPr>
          <w:sz w:val="20"/>
        </w:rPr>
      </w:pPr>
    </w:p>
    <w:p w14:paraId="689E1F19" w14:textId="77777777" w:rsidR="00D24A18" w:rsidRDefault="00D24A18">
      <w:pPr>
        <w:pStyle w:val="BodyText"/>
        <w:spacing w:before="8"/>
        <w:rPr>
          <w:sz w:val="28"/>
        </w:rPr>
      </w:pPr>
    </w:p>
    <w:p w14:paraId="689E1F1A" w14:textId="77777777" w:rsidR="00D24A18" w:rsidRDefault="00350D62">
      <w:pPr>
        <w:pStyle w:val="BodyText"/>
        <w:spacing w:before="100" w:line="276" w:lineRule="auto"/>
        <w:ind w:left="911" w:right="408"/>
      </w:pPr>
      <w:r>
        <w:t>the “EBA Guidelines on PD estimation, LGD estimation and the treatment of defaulted exposures (2017)”</w:t>
      </w:r>
      <w:hyperlink w:anchor="_bookmark7" w:history="1">
        <w:r>
          <w:rPr>
            <w:position w:val="5"/>
            <w:sz w:val="14"/>
          </w:rPr>
          <w:t>8</w:t>
        </w:r>
      </w:hyperlink>
      <w:r>
        <w:t>.</w:t>
      </w:r>
    </w:p>
    <w:p w14:paraId="689E1F1B" w14:textId="77777777" w:rsidR="00D24A18" w:rsidRDefault="00D24A18">
      <w:pPr>
        <w:pStyle w:val="BodyText"/>
        <w:spacing w:before="9"/>
        <w:rPr>
          <w:sz w:val="23"/>
        </w:rPr>
      </w:pPr>
    </w:p>
    <w:p w14:paraId="689E1F1C" w14:textId="77777777" w:rsidR="00D24A18" w:rsidRDefault="00350D62">
      <w:pPr>
        <w:pStyle w:val="BodyText"/>
        <w:spacing w:line="276" w:lineRule="auto"/>
        <w:ind w:left="191" w:right="407"/>
        <w:jc w:val="both"/>
      </w:pPr>
      <w:r>
        <w:t>Such PDs should have followed the necessary internal validation, supervisory review and governance processes to ensure maximum rigor and compliance with the principles set out in the above-mentioned guidelines, including any necessary adjustments if needed in their operations. These PDs are calculated by counterparty and are widely used by banks. The proposed treatment would correspond to those counterparties with a PD&lt;0.5% and apply a RW of 65% to them.</w:t>
      </w:r>
    </w:p>
    <w:p w14:paraId="689E1F1D" w14:textId="77777777" w:rsidR="00D24A18" w:rsidRDefault="00D24A18">
      <w:pPr>
        <w:pStyle w:val="BodyText"/>
        <w:spacing w:before="11"/>
        <w:rPr>
          <w:sz w:val="23"/>
        </w:rPr>
      </w:pPr>
    </w:p>
    <w:p w14:paraId="689E1F1E" w14:textId="77777777" w:rsidR="00D24A18" w:rsidRDefault="00350D62">
      <w:pPr>
        <w:pStyle w:val="BodyText"/>
        <w:spacing w:line="276" w:lineRule="auto"/>
        <w:ind w:left="191" w:right="412"/>
        <w:jc w:val="both"/>
      </w:pPr>
      <w:r>
        <w:t>In</w:t>
      </w:r>
      <w:r>
        <w:rPr>
          <w:spacing w:val="-3"/>
        </w:rPr>
        <w:t xml:space="preserve"> </w:t>
      </w:r>
      <w:r>
        <w:t>the</w:t>
      </w:r>
      <w:r>
        <w:rPr>
          <w:spacing w:val="-3"/>
        </w:rPr>
        <w:t xml:space="preserve"> </w:t>
      </w:r>
      <w:r>
        <w:t>same</w:t>
      </w:r>
      <w:r>
        <w:rPr>
          <w:spacing w:val="-3"/>
        </w:rPr>
        <w:t xml:space="preserve"> </w:t>
      </w:r>
      <w:r>
        <w:t>vein,</w:t>
      </w:r>
      <w:r>
        <w:rPr>
          <w:spacing w:val="-4"/>
        </w:rPr>
        <w:t xml:space="preserve"> </w:t>
      </w:r>
      <w:r>
        <w:t>it</w:t>
      </w:r>
      <w:r>
        <w:rPr>
          <w:spacing w:val="-3"/>
        </w:rPr>
        <w:t xml:space="preserve"> </w:t>
      </w:r>
      <w:r>
        <w:t>should</w:t>
      </w:r>
      <w:r>
        <w:rPr>
          <w:spacing w:val="-2"/>
        </w:rPr>
        <w:t xml:space="preserve"> </w:t>
      </w:r>
      <w:r>
        <w:t>be</w:t>
      </w:r>
      <w:r>
        <w:rPr>
          <w:spacing w:val="-3"/>
        </w:rPr>
        <w:t xml:space="preserve"> </w:t>
      </w:r>
      <w:r>
        <w:t>noted</w:t>
      </w:r>
      <w:r>
        <w:rPr>
          <w:spacing w:val="-1"/>
        </w:rPr>
        <w:t xml:space="preserve"> </w:t>
      </w:r>
      <w:r>
        <w:t>that</w:t>
      </w:r>
      <w:r>
        <w:rPr>
          <w:spacing w:val="-3"/>
        </w:rPr>
        <w:t xml:space="preserve"> </w:t>
      </w:r>
      <w:r>
        <w:t>some</w:t>
      </w:r>
      <w:r>
        <w:rPr>
          <w:spacing w:val="-3"/>
        </w:rPr>
        <w:t xml:space="preserve"> </w:t>
      </w:r>
      <w:r>
        <w:t>advanced</w:t>
      </w:r>
      <w:r>
        <w:rPr>
          <w:spacing w:val="-2"/>
        </w:rPr>
        <w:t xml:space="preserve"> </w:t>
      </w:r>
      <w:r>
        <w:t>banks</w:t>
      </w:r>
      <w:r>
        <w:rPr>
          <w:spacing w:val="-2"/>
        </w:rPr>
        <w:t xml:space="preserve"> </w:t>
      </w:r>
      <w:r>
        <w:t>have</w:t>
      </w:r>
      <w:r>
        <w:rPr>
          <w:spacing w:val="-3"/>
        </w:rPr>
        <w:t xml:space="preserve"> </w:t>
      </w:r>
      <w:r>
        <w:t>entities</w:t>
      </w:r>
      <w:r>
        <w:rPr>
          <w:spacing w:val="-6"/>
        </w:rPr>
        <w:t xml:space="preserve"> </w:t>
      </w:r>
      <w:r>
        <w:t>within</w:t>
      </w:r>
      <w:r>
        <w:rPr>
          <w:spacing w:val="-3"/>
        </w:rPr>
        <w:t xml:space="preserve"> </w:t>
      </w:r>
      <w:r>
        <w:t>their</w:t>
      </w:r>
      <w:r>
        <w:rPr>
          <w:spacing w:val="-2"/>
        </w:rPr>
        <w:t xml:space="preserve"> </w:t>
      </w:r>
      <w:r>
        <w:t>group</w:t>
      </w:r>
      <w:r>
        <w:rPr>
          <w:spacing w:val="-3"/>
        </w:rPr>
        <w:t xml:space="preserve"> </w:t>
      </w:r>
      <w:r>
        <w:t>which</w:t>
      </w:r>
      <w:r>
        <w:rPr>
          <w:spacing w:val="-5"/>
        </w:rPr>
        <w:t xml:space="preserve"> </w:t>
      </w:r>
      <w:r>
        <w:t>use</w:t>
      </w:r>
      <w:r>
        <w:rPr>
          <w:spacing w:val="-2"/>
        </w:rPr>
        <w:t xml:space="preserve"> </w:t>
      </w:r>
      <w:r>
        <w:t xml:space="preserve">the </w:t>
      </w:r>
      <w:proofErr w:type="spellStart"/>
      <w:r>
        <w:t>standardised</w:t>
      </w:r>
      <w:proofErr w:type="spellEnd"/>
      <w:r>
        <w:t xml:space="preserve"> approach, in this instance such entities should be allowed to use the PDs within the group’s IRB entity to apply the hybrid</w:t>
      </w:r>
      <w:r>
        <w:rPr>
          <w:spacing w:val="-6"/>
        </w:rPr>
        <w:t xml:space="preserve"> </w:t>
      </w:r>
      <w:r>
        <w:t>approach.</w:t>
      </w:r>
    </w:p>
    <w:p w14:paraId="689E1F1F" w14:textId="77777777" w:rsidR="00D24A18" w:rsidRDefault="00D24A18">
      <w:pPr>
        <w:pStyle w:val="BodyText"/>
        <w:rPr>
          <w:sz w:val="24"/>
        </w:rPr>
      </w:pPr>
    </w:p>
    <w:p w14:paraId="689E1F20" w14:textId="77777777" w:rsidR="00D24A18" w:rsidRDefault="00350D62">
      <w:pPr>
        <w:pStyle w:val="Heading3"/>
        <w:spacing w:before="1"/>
        <w:ind w:left="191"/>
        <w:jc w:val="both"/>
      </w:pPr>
      <w:r>
        <w:t>Transitional arrangements for low-risk mortgages</w:t>
      </w:r>
    </w:p>
    <w:p w14:paraId="689E1F21" w14:textId="77777777" w:rsidR="00D24A18" w:rsidRDefault="00D24A18">
      <w:pPr>
        <w:pStyle w:val="BodyText"/>
        <w:spacing w:before="1"/>
        <w:rPr>
          <w:b/>
          <w:sz w:val="27"/>
        </w:rPr>
      </w:pPr>
    </w:p>
    <w:p w14:paraId="689E1F22" w14:textId="77777777" w:rsidR="00D24A18" w:rsidRDefault="00350D62">
      <w:pPr>
        <w:pStyle w:val="BodyText"/>
        <w:spacing w:line="276" w:lineRule="auto"/>
        <w:ind w:left="191" w:right="405"/>
        <w:jc w:val="both"/>
      </w:pPr>
      <w:r>
        <w:t>In terms of how to address the cliff edge effects of bringing the transition for low-risk mortgages to an end, this is potentially more challenging for a number of reasons. Notably, these types of exposures are by nature long-tenure, so a transition period is not very effective to cushion a cliff-edge effect. This is because, when originating new mortgages, the fully loaded situation after phase-out already needs to be taken into account in pricing. It follows that gradual phasing in approaches are unlikely to have much of an effect as it is difficult to link pricing/origination to the “steps”. Hence the benefit of the Commission’s proposed transitional treatment will only support a small tranche of mortgages that fall into the criteria now.</w:t>
      </w:r>
    </w:p>
    <w:p w14:paraId="689E1F23" w14:textId="77777777" w:rsidR="00D24A18" w:rsidRDefault="00D24A18">
      <w:pPr>
        <w:pStyle w:val="BodyText"/>
        <w:spacing w:before="11"/>
        <w:rPr>
          <w:sz w:val="23"/>
        </w:rPr>
      </w:pPr>
    </w:p>
    <w:p w14:paraId="689E1F24" w14:textId="77777777" w:rsidR="00D24A18" w:rsidRDefault="00350D62">
      <w:pPr>
        <w:pStyle w:val="BodyText"/>
        <w:spacing w:line="276" w:lineRule="auto"/>
        <w:ind w:left="192" w:right="406"/>
        <w:jc w:val="both"/>
      </w:pPr>
      <w:r>
        <w:t>For</w:t>
      </w:r>
      <w:r>
        <w:rPr>
          <w:spacing w:val="-7"/>
        </w:rPr>
        <w:t xml:space="preserve"> </w:t>
      </w:r>
      <w:r>
        <w:t>Europe</w:t>
      </w:r>
      <w:r>
        <w:rPr>
          <w:spacing w:val="-11"/>
        </w:rPr>
        <w:t xml:space="preserve"> </w:t>
      </w:r>
      <w:r>
        <w:t>this</w:t>
      </w:r>
      <w:r>
        <w:rPr>
          <w:spacing w:val="-5"/>
        </w:rPr>
        <w:t xml:space="preserve"> </w:t>
      </w:r>
      <w:r>
        <w:t>is</w:t>
      </w:r>
      <w:r>
        <w:rPr>
          <w:spacing w:val="-10"/>
        </w:rPr>
        <w:t xml:space="preserve"> </w:t>
      </w:r>
      <w:r>
        <w:t>a</w:t>
      </w:r>
      <w:r>
        <w:rPr>
          <w:spacing w:val="-7"/>
        </w:rPr>
        <w:t xml:space="preserve"> </w:t>
      </w:r>
      <w:r>
        <w:t>particularly</w:t>
      </w:r>
      <w:r>
        <w:rPr>
          <w:spacing w:val="-10"/>
        </w:rPr>
        <w:t xml:space="preserve"> </w:t>
      </w:r>
      <w:r>
        <w:t>relevant</w:t>
      </w:r>
      <w:r>
        <w:rPr>
          <w:spacing w:val="-6"/>
        </w:rPr>
        <w:t xml:space="preserve"> </w:t>
      </w:r>
      <w:r>
        <w:t>issue,</w:t>
      </w:r>
      <w:r>
        <w:rPr>
          <w:spacing w:val="-9"/>
        </w:rPr>
        <w:t xml:space="preserve"> </w:t>
      </w:r>
      <w:r>
        <w:t>given</w:t>
      </w:r>
      <w:r>
        <w:rPr>
          <w:spacing w:val="-6"/>
        </w:rPr>
        <w:t xml:space="preserve"> </w:t>
      </w:r>
      <w:r>
        <w:t>the</w:t>
      </w:r>
      <w:r>
        <w:rPr>
          <w:spacing w:val="-7"/>
        </w:rPr>
        <w:t xml:space="preserve"> </w:t>
      </w:r>
      <w:r>
        <w:t>difference</w:t>
      </w:r>
      <w:r>
        <w:rPr>
          <w:spacing w:val="-7"/>
        </w:rPr>
        <w:t xml:space="preserve"> </w:t>
      </w:r>
      <w:r>
        <w:t>in</w:t>
      </w:r>
      <w:r>
        <w:rPr>
          <w:spacing w:val="-10"/>
        </w:rPr>
        <w:t xml:space="preserve"> </w:t>
      </w:r>
      <w:r>
        <w:t>the</w:t>
      </w:r>
      <w:r>
        <w:rPr>
          <w:spacing w:val="-7"/>
        </w:rPr>
        <w:t xml:space="preserve"> </w:t>
      </w:r>
      <w:r>
        <w:t>structure</w:t>
      </w:r>
      <w:r>
        <w:rPr>
          <w:spacing w:val="-7"/>
        </w:rPr>
        <w:t xml:space="preserve"> </w:t>
      </w:r>
      <w:r>
        <w:t>of</w:t>
      </w:r>
      <w:r>
        <w:rPr>
          <w:spacing w:val="-10"/>
        </w:rPr>
        <w:t xml:space="preserve"> </w:t>
      </w:r>
      <w:r>
        <w:t>the</w:t>
      </w:r>
      <w:r>
        <w:rPr>
          <w:spacing w:val="-7"/>
        </w:rPr>
        <w:t xml:space="preserve"> </w:t>
      </w:r>
      <w:r>
        <w:t>banking</w:t>
      </w:r>
      <w:r>
        <w:rPr>
          <w:spacing w:val="-9"/>
        </w:rPr>
        <w:t xml:space="preserve"> </w:t>
      </w:r>
      <w:r>
        <w:t>market</w:t>
      </w:r>
      <w:r>
        <w:rPr>
          <w:spacing w:val="-9"/>
        </w:rPr>
        <w:t xml:space="preserve"> </w:t>
      </w:r>
      <w:r>
        <w:t xml:space="preserve">and provision of mortgages </w:t>
      </w:r>
      <w:r>
        <w:rPr>
          <w:spacing w:val="-3"/>
        </w:rPr>
        <w:t xml:space="preserve">by </w:t>
      </w:r>
      <w:r>
        <w:t>banks, which is not the case in other jurisdictions. We therefore think in the first instance</w:t>
      </w:r>
      <w:r>
        <w:rPr>
          <w:spacing w:val="-6"/>
        </w:rPr>
        <w:t xml:space="preserve"> </w:t>
      </w:r>
      <w:r>
        <w:t>regulators</w:t>
      </w:r>
      <w:r>
        <w:rPr>
          <w:spacing w:val="-5"/>
        </w:rPr>
        <w:t xml:space="preserve"> </w:t>
      </w:r>
      <w:r>
        <w:t>should</w:t>
      </w:r>
      <w:r>
        <w:rPr>
          <w:spacing w:val="-5"/>
        </w:rPr>
        <w:t xml:space="preserve"> </w:t>
      </w:r>
      <w:r>
        <w:t>consider</w:t>
      </w:r>
      <w:r>
        <w:rPr>
          <w:spacing w:val="-6"/>
        </w:rPr>
        <w:t xml:space="preserve"> </w:t>
      </w:r>
      <w:r>
        <w:t>permanently</w:t>
      </w:r>
      <w:r>
        <w:rPr>
          <w:spacing w:val="-5"/>
        </w:rPr>
        <w:t xml:space="preserve"> </w:t>
      </w:r>
      <w:proofErr w:type="spellStart"/>
      <w:r>
        <w:t>recognising</w:t>
      </w:r>
      <w:proofErr w:type="spellEnd"/>
      <w:r>
        <w:rPr>
          <w:spacing w:val="-8"/>
        </w:rPr>
        <w:t xml:space="preserve"> </w:t>
      </w:r>
      <w:r>
        <w:t>the</w:t>
      </w:r>
      <w:r>
        <w:rPr>
          <w:spacing w:val="-6"/>
        </w:rPr>
        <w:t xml:space="preserve"> </w:t>
      </w:r>
      <w:r>
        <w:t>impact</w:t>
      </w:r>
      <w:r>
        <w:rPr>
          <w:spacing w:val="-6"/>
        </w:rPr>
        <w:t xml:space="preserve"> </w:t>
      </w:r>
      <w:r>
        <w:t>of</w:t>
      </w:r>
      <w:r>
        <w:rPr>
          <w:spacing w:val="-5"/>
        </w:rPr>
        <w:t xml:space="preserve"> </w:t>
      </w:r>
      <w:r>
        <w:t>the</w:t>
      </w:r>
      <w:r>
        <w:rPr>
          <w:spacing w:val="-6"/>
        </w:rPr>
        <w:t xml:space="preserve"> </w:t>
      </w:r>
      <w:r>
        <w:t>Output</w:t>
      </w:r>
      <w:r>
        <w:rPr>
          <w:spacing w:val="-6"/>
        </w:rPr>
        <w:t xml:space="preserve"> </w:t>
      </w:r>
      <w:r>
        <w:t>Floor</w:t>
      </w:r>
      <w:r>
        <w:rPr>
          <w:spacing w:val="-6"/>
        </w:rPr>
        <w:t xml:space="preserve"> </w:t>
      </w:r>
      <w:r>
        <w:t>on</w:t>
      </w:r>
      <w:r>
        <w:rPr>
          <w:spacing w:val="-5"/>
        </w:rPr>
        <w:t xml:space="preserve"> </w:t>
      </w:r>
      <w:r>
        <w:t>this</w:t>
      </w:r>
      <w:r>
        <w:rPr>
          <w:spacing w:val="-4"/>
        </w:rPr>
        <w:t xml:space="preserve"> </w:t>
      </w:r>
      <w:r>
        <w:t xml:space="preserve">exposure type as part of the </w:t>
      </w:r>
      <w:proofErr w:type="spellStart"/>
      <w:r>
        <w:t>Standardised</w:t>
      </w:r>
      <w:proofErr w:type="spellEnd"/>
      <w:r>
        <w:t xml:space="preserve"> Approach – i.e. enable all banks to apply this treatment if they can demonstrate the same level of risk – rather than as a transitional measure only available to IRB banks. This could be achieved potentially via the creation of a specific subset of low-risk mortgages that meet the criteria suggested by the Commission. Alongside this it will of course be important to undertake a comprehensive review,</w:t>
      </w:r>
      <w:r>
        <w:rPr>
          <w:spacing w:val="-10"/>
        </w:rPr>
        <w:t xml:space="preserve"> </w:t>
      </w:r>
      <w:r>
        <w:t>ideally</w:t>
      </w:r>
      <w:r>
        <w:rPr>
          <w:spacing w:val="-7"/>
        </w:rPr>
        <w:t xml:space="preserve"> </w:t>
      </w:r>
      <w:r>
        <w:t>at</w:t>
      </w:r>
      <w:r>
        <w:rPr>
          <w:spacing w:val="-6"/>
        </w:rPr>
        <w:t xml:space="preserve"> </w:t>
      </w:r>
      <w:r>
        <w:t>the</w:t>
      </w:r>
      <w:r>
        <w:rPr>
          <w:spacing w:val="-11"/>
        </w:rPr>
        <w:t xml:space="preserve"> </w:t>
      </w:r>
      <w:r>
        <w:t>Basel</w:t>
      </w:r>
      <w:r>
        <w:rPr>
          <w:spacing w:val="-8"/>
        </w:rPr>
        <w:t xml:space="preserve"> </w:t>
      </w:r>
      <w:r>
        <w:t>level,</w:t>
      </w:r>
      <w:r>
        <w:rPr>
          <w:spacing w:val="-10"/>
        </w:rPr>
        <w:t xml:space="preserve"> </w:t>
      </w:r>
      <w:r>
        <w:t>which</w:t>
      </w:r>
      <w:r>
        <w:rPr>
          <w:spacing w:val="-9"/>
        </w:rPr>
        <w:t xml:space="preserve"> </w:t>
      </w:r>
      <w:r>
        <w:t>should</w:t>
      </w:r>
      <w:r>
        <w:rPr>
          <w:spacing w:val="-6"/>
        </w:rPr>
        <w:t xml:space="preserve"> </w:t>
      </w:r>
      <w:r>
        <w:t>re-assess</w:t>
      </w:r>
      <w:r>
        <w:rPr>
          <w:spacing w:val="-10"/>
        </w:rPr>
        <w:t xml:space="preserve"> </w:t>
      </w:r>
      <w:r>
        <w:t>the</w:t>
      </w:r>
      <w:r>
        <w:rPr>
          <w:spacing w:val="-7"/>
        </w:rPr>
        <w:t xml:space="preserve"> </w:t>
      </w:r>
      <w:r>
        <w:t>appropriateness</w:t>
      </w:r>
      <w:r>
        <w:rPr>
          <w:spacing w:val="-10"/>
        </w:rPr>
        <w:t xml:space="preserve"> </w:t>
      </w:r>
      <w:r>
        <w:t>of</w:t>
      </w:r>
      <w:r>
        <w:rPr>
          <w:spacing w:val="-8"/>
        </w:rPr>
        <w:t xml:space="preserve"> </w:t>
      </w:r>
      <w:r>
        <w:t>risk</w:t>
      </w:r>
      <w:r>
        <w:rPr>
          <w:spacing w:val="-7"/>
        </w:rPr>
        <w:t xml:space="preserve"> </w:t>
      </w:r>
      <w:r>
        <w:t>weightings</w:t>
      </w:r>
      <w:r>
        <w:rPr>
          <w:spacing w:val="-6"/>
        </w:rPr>
        <w:t xml:space="preserve"> </w:t>
      </w:r>
      <w:r>
        <w:t>for</w:t>
      </w:r>
      <w:r>
        <w:rPr>
          <w:spacing w:val="-8"/>
        </w:rPr>
        <w:t xml:space="preserve"> </w:t>
      </w:r>
      <w:r>
        <w:t>mortgages in</w:t>
      </w:r>
      <w:r>
        <w:rPr>
          <w:spacing w:val="-5"/>
        </w:rPr>
        <w:t xml:space="preserve"> </w:t>
      </w:r>
      <w:r>
        <w:t>general.</w:t>
      </w:r>
      <w:r>
        <w:rPr>
          <w:spacing w:val="-6"/>
        </w:rPr>
        <w:t xml:space="preserve"> </w:t>
      </w:r>
      <w:r>
        <w:t>Irrespective</w:t>
      </w:r>
      <w:r>
        <w:rPr>
          <w:spacing w:val="-5"/>
        </w:rPr>
        <w:t xml:space="preserve"> </w:t>
      </w:r>
      <w:r>
        <w:t>of</w:t>
      </w:r>
      <w:r>
        <w:rPr>
          <w:spacing w:val="-3"/>
        </w:rPr>
        <w:t xml:space="preserve"> </w:t>
      </w:r>
      <w:r>
        <w:t>an</w:t>
      </w:r>
      <w:r>
        <w:rPr>
          <w:spacing w:val="-5"/>
        </w:rPr>
        <w:t xml:space="preserve"> </w:t>
      </w:r>
      <w:r>
        <w:t>international</w:t>
      </w:r>
      <w:r>
        <w:rPr>
          <w:spacing w:val="-5"/>
        </w:rPr>
        <w:t xml:space="preserve"> </w:t>
      </w:r>
      <w:r>
        <w:t>review,</w:t>
      </w:r>
      <w:r>
        <w:rPr>
          <w:spacing w:val="-6"/>
        </w:rPr>
        <w:t xml:space="preserve"> </w:t>
      </w:r>
      <w:r>
        <w:t>the</w:t>
      </w:r>
      <w:r>
        <w:rPr>
          <w:spacing w:val="-5"/>
        </w:rPr>
        <w:t xml:space="preserve"> </w:t>
      </w:r>
      <w:r>
        <w:t>EBA</w:t>
      </w:r>
      <w:r>
        <w:rPr>
          <w:spacing w:val="-6"/>
        </w:rPr>
        <w:t xml:space="preserve"> </w:t>
      </w:r>
      <w:r>
        <w:t>report</w:t>
      </w:r>
      <w:r>
        <w:rPr>
          <w:spacing w:val="-5"/>
        </w:rPr>
        <w:t xml:space="preserve"> </w:t>
      </w:r>
      <w:r>
        <w:t>due</w:t>
      </w:r>
      <w:r>
        <w:rPr>
          <w:spacing w:val="-4"/>
        </w:rPr>
        <w:t xml:space="preserve"> </w:t>
      </w:r>
      <w:r>
        <w:t>by</w:t>
      </w:r>
      <w:r>
        <w:rPr>
          <w:spacing w:val="-4"/>
        </w:rPr>
        <w:t xml:space="preserve"> </w:t>
      </w:r>
      <w:r>
        <w:t>the</w:t>
      </w:r>
      <w:r>
        <w:rPr>
          <w:spacing w:val="-5"/>
        </w:rPr>
        <w:t xml:space="preserve"> </w:t>
      </w:r>
      <w:r>
        <w:t>31</w:t>
      </w:r>
      <w:r>
        <w:rPr>
          <w:spacing w:val="-3"/>
        </w:rPr>
        <w:t xml:space="preserve"> </w:t>
      </w:r>
      <w:r>
        <w:t>December</w:t>
      </w:r>
      <w:r>
        <w:rPr>
          <w:spacing w:val="-5"/>
        </w:rPr>
        <w:t xml:space="preserve"> </w:t>
      </w:r>
      <w:r>
        <w:t>2028</w:t>
      </w:r>
      <w:r>
        <w:rPr>
          <w:spacing w:val="-3"/>
        </w:rPr>
        <w:t xml:space="preserve"> </w:t>
      </w:r>
      <w:r>
        <w:t>to</w:t>
      </w:r>
      <w:r>
        <w:rPr>
          <w:spacing w:val="-7"/>
        </w:rPr>
        <w:t xml:space="preserve"> </w:t>
      </w:r>
      <w:r>
        <w:t>assess</w:t>
      </w:r>
      <w:r>
        <w:rPr>
          <w:spacing w:val="-3"/>
        </w:rPr>
        <w:t xml:space="preserve"> </w:t>
      </w:r>
      <w:r>
        <w:t xml:space="preserve">the appropriateness of the associated transitional risk weights for low-risk mortgages should be more comprehensive. It should consider the overall structure of the European housing market and consider the progress made towards wider </w:t>
      </w:r>
      <w:proofErr w:type="spellStart"/>
      <w:r>
        <w:t>securitisation</w:t>
      </w:r>
      <w:proofErr w:type="spellEnd"/>
      <w:r>
        <w:t xml:space="preserve"> of such assets resulting from a deeper Capital Markets Union, as well as </w:t>
      </w:r>
      <w:r>
        <w:rPr>
          <w:color w:val="232323"/>
        </w:rPr>
        <w:t>assess the actual performance of mortgages with a set number of characteristics (e.g. LTV or LTI at inception)</w:t>
      </w:r>
      <w:r>
        <w:t>. The review should also consider the EU level playing field in respect of how the mortgage risk weights</w:t>
      </w:r>
      <w:r>
        <w:rPr>
          <w:spacing w:val="-2"/>
        </w:rPr>
        <w:t xml:space="preserve"> </w:t>
      </w:r>
      <w:r>
        <w:t>in</w:t>
      </w:r>
      <w:r>
        <w:rPr>
          <w:spacing w:val="-2"/>
        </w:rPr>
        <w:t xml:space="preserve"> </w:t>
      </w:r>
      <w:r>
        <w:t>CRR</w:t>
      </w:r>
      <w:r>
        <w:rPr>
          <w:spacing w:val="-4"/>
        </w:rPr>
        <w:t xml:space="preserve"> </w:t>
      </w:r>
      <w:r>
        <w:t>are</w:t>
      </w:r>
      <w:r>
        <w:rPr>
          <w:spacing w:val="-2"/>
        </w:rPr>
        <w:t xml:space="preserve"> </w:t>
      </w:r>
      <w:r>
        <w:t>applied</w:t>
      </w:r>
      <w:r>
        <w:rPr>
          <w:spacing w:val="-1"/>
        </w:rPr>
        <w:t xml:space="preserve"> </w:t>
      </w:r>
      <w:r>
        <w:t>and</w:t>
      </w:r>
      <w:r>
        <w:rPr>
          <w:spacing w:val="-1"/>
        </w:rPr>
        <w:t xml:space="preserve"> </w:t>
      </w:r>
      <w:r>
        <w:t>whether</w:t>
      </w:r>
      <w:r>
        <w:rPr>
          <w:spacing w:val="-6"/>
        </w:rPr>
        <w:t xml:space="preserve"> </w:t>
      </w:r>
      <w:r>
        <w:t>the</w:t>
      </w:r>
      <w:r>
        <w:rPr>
          <w:spacing w:val="-2"/>
        </w:rPr>
        <w:t xml:space="preserve"> </w:t>
      </w:r>
      <w:r>
        <w:t>new</w:t>
      </w:r>
      <w:r>
        <w:rPr>
          <w:spacing w:val="-1"/>
        </w:rPr>
        <w:t xml:space="preserve"> </w:t>
      </w:r>
      <w:r>
        <w:t>risk</w:t>
      </w:r>
      <w:r>
        <w:rPr>
          <w:spacing w:val="-5"/>
        </w:rPr>
        <w:t xml:space="preserve"> </w:t>
      </w:r>
      <w:r>
        <w:t>weights</w:t>
      </w:r>
      <w:r>
        <w:rPr>
          <w:spacing w:val="-2"/>
        </w:rPr>
        <w:t xml:space="preserve"> </w:t>
      </w:r>
      <w:r>
        <w:t>have</w:t>
      </w:r>
      <w:r>
        <w:rPr>
          <w:spacing w:val="-2"/>
        </w:rPr>
        <w:t xml:space="preserve"> </w:t>
      </w:r>
      <w:r>
        <w:t>led</w:t>
      </w:r>
      <w:r>
        <w:rPr>
          <w:spacing w:val="-1"/>
        </w:rPr>
        <w:t xml:space="preserve"> </w:t>
      </w:r>
      <w:r>
        <w:t>to</w:t>
      </w:r>
      <w:r>
        <w:rPr>
          <w:spacing w:val="-4"/>
        </w:rPr>
        <w:t xml:space="preserve"> </w:t>
      </w:r>
      <w:r>
        <w:t>excessive</w:t>
      </w:r>
      <w:r>
        <w:rPr>
          <w:spacing w:val="-2"/>
        </w:rPr>
        <w:t xml:space="preserve"> </w:t>
      </w:r>
      <w:r>
        <w:t>or</w:t>
      </w:r>
      <w:r>
        <w:rPr>
          <w:spacing w:val="-6"/>
        </w:rPr>
        <w:t xml:space="preserve"> </w:t>
      </w:r>
      <w:r>
        <w:t>inappropriate</w:t>
      </w:r>
      <w:r>
        <w:rPr>
          <w:spacing w:val="-1"/>
        </w:rPr>
        <w:t xml:space="preserve"> </w:t>
      </w:r>
      <w:r>
        <w:t>lending.</w:t>
      </w:r>
    </w:p>
    <w:p w14:paraId="689E1F25" w14:textId="77777777" w:rsidR="00D24A18" w:rsidRDefault="00D24A18">
      <w:pPr>
        <w:pStyle w:val="BodyText"/>
        <w:spacing w:before="9"/>
        <w:rPr>
          <w:sz w:val="23"/>
        </w:rPr>
      </w:pPr>
    </w:p>
    <w:p w14:paraId="689E1F26" w14:textId="77777777" w:rsidR="00D24A18" w:rsidRDefault="00350D62">
      <w:pPr>
        <w:pStyle w:val="BodyText"/>
        <w:spacing w:line="276" w:lineRule="auto"/>
        <w:ind w:left="191" w:right="408"/>
        <w:jc w:val="both"/>
      </w:pPr>
      <w:r>
        <w:t xml:space="preserve">Furthermore, in order to ensure a level playing field across the EU, the permanent application of lower risk- weights to this subset of low-risk mortgages should be an EU wide discretion, as opposed </w:t>
      </w:r>
      <w:r>
        <w:rPr>
          <w:spacing w:val="7"/>
        </w:rPr>
        <w:t xml:space="preserve"> </w:t>
      </w:r>
      <w:r>
        <w:t>to a Member State</w:t>
      </w:r>
    </w:p>
    <w:p w14:paraId="689E1F27" w14:textId="77777777" w:rsidR="00D24A18" w:rsidRDefault="00FC2908">
      <w:pPr>
        <w:pStyle w:val="BodyText"/>
        <w:spacing w:before="5"/>
        <w:rPr>
          <w:sz w:val="16"/>
        </w:rPr>
      </w:pPr>
      <w:r>
        <w:pict w14:anchorId="689E2446">
          <v:shape id="_x0000_s2166" style="position:absolute;margin-left:42.6pt;margin-top:11.9pt;width:2in;height:.1pt;z-index:-251649024;mso-wrap-distance-left:0;mso-wrap-distance-right:0;mso-position-horizontal-relative:page" coordorigin="852,238" coordsize="2880,0" path="m852,238r2880,e" filled="f" strokecolor="#78a12e" strokeweight=".21131mm">
            <v:path arrowok="t"/>
            <w10:wrap type="topAndBottom" anchorx="page"/>
          </v:shape>
        </w:pict>
      </w:r>
    </w:p>
    <w:p w14:paraId="689E1F28" w14:textId="77777777" w:rsidR="00D24A18" w:rsidRDefault="00350D62">
      <w:pPr>
        <w:spacing w:before="63"/>
        <w:ind w:left="192"/>
        <w:rPr>
          <w:sz w:val="16"/>
        </w:rPr>
      </w:pPr>
      <w:bookmarkStart w:id="9" w:name="_bookmark7"/>
      <w:bookmarkEnd w:id="9"/>
      <w:r>
        <w:rPr>
          <w:position w:val="4"/>
          <w:sz w:val="10"/>
        </w:rPr>
        <w:t xml:space="preserve">8 </w:t>
      </w:r>
      <w:r>
        <w:rPr>
          <w:sz w:val="16"/>
        </w:rPr>
        <w:t xml:space="preserve">EBA Guidelines on PD estimation, LGD estimation and the treatment of defaulted exposures (published in 2017) </w:t>
      </w:r>
      <w:hyperlink r:id="rId13">
        <w:r>
          <w:rPr>
            <w:sz w:val="16"/>
          </w:rPr>
          <w:t>(</w:t>
        </w:r>
        <w:r>
          <w:rPr>
            <w:color w:val="78A12E"/>
            <w:sz w:val="16"/>
            <w:u w:val="single" w:color="78A12E"/>
          </w:rPr>
          <w:t>Link</w:t>
        </w:r>
      </w:hyperlink>
      <w:r>
        <w:rPr>
          <w:sz w:val="16"/>
        </w:rPr>
        <w:t>)</w:t>
      </w:r>
    </w:p>
    <w:p w14:paraId="689E1F29" w14:textId="77777777" w:rsidR="00D24A18" w:rsidRDefault="00D24A18">
      <w:pPr>
        <w:rPr>
          <w:sz w:val="16"/>
        </w:rPr>
        <w:sectPr w:rsidR="00D24A18">
          <w:pgSz w:w="11910" w:h="16840"/>
          <w:pgMar w:top="1580" w:right="440" w:bottom="1100" w:left="660" w:header="0" w:footer="914" w:gutter="0"/>
          <w:cols w:space="720"/>
        </w:sectPr>
      </w:pPr>
    </w:p>
    <w:p w14:paraId="689E1F2A" w14:textId="77777777" w:rsidR="00D24A18" w:rsidRDefault="00D24A18">
      <w:pPr>
        <w:pStyle w:val="BodyText"/>
        <w:rPr>
          <w:sz w:val="20"/>
        </w:rPr>
      </w:pPr>
    </w:p>
    <w:p w14:paraId="689E1F2B" w14:textId="77777777" w:rsidR="00D24A18" w:rsidRDefault="00D24A18">
      <w:pPr>
        <w:pStyle w:val="BodyText"/>
        <w:spacing w:before="8"/>
        <w:rPr>
          <w:sz w:val="28"/>
        </w:rPr>
      </w:pPr>
    </w:p>
    <w:p w14:paraId="689E1F2C" w14:textId="77777777" w:rsidR="00D24A18" w:rsidRDefault="00350D62">
      <w:pPr>
        <w:pStyle w:val="BodyText"/>
        <w:spacing w:before="100" w:line="276" w:lineRule="auto"/>
        <w:ind w:left="191" w:right="405"/>
        <w:jc w:val="both"/>
      </w:pPr>
      <w:r>
        <w:t xml:space="preserve">one – with appropriate oversight </w:t>
      </w:r>
      <w:r>
        <w:rPr>
          <w:spacing w:val="-3"/>
        </w:rPr>
        <w:t xml:space="preserve">by </w:t>
      </w:r>
      <w:r>
        <w:t xml:space="preserve">the ECB and ESRB. Maintaining a Member State discretion goes against the ambition of the single market and a banking union and undermines the principle of </w:t>
      </w:r>
      <w:proofErr w:type="spellStart"/>
      <w:r>
        <w:t>harmonisation</w:t>
      </w:r>
      <w:proofErr w:type="spellEnd"/>
      <w:r>
        <w:t xml:space="preserve"> of micro-prudential requirements, which already allow for Member States to raise the risk weights if necessary under</w:t>
      </w:r>
      <w:r>
        <w:rPr>
          <w:spacing w:val="-10"/>
        </w:rPr>
        <w:t xml:space="preserve"> </w:t>
      </w:r>
      <w:r>
        <w:t>Article</w:t>
      </w:r>
      <w:r>
        <w:rPr>
          <w:spacing w:val="-9"/>
        </w:rPr>
        <w:t xml:space="preserve"> </w:t>
      </w:r>
      <w:r>
        <w:t>124.</w:t>
      </w:r>
      <w:r>
        <w:rPr>
          <w:spacing w:val="-12"/>
        </w:rPr>
        <w:t xml:space="preserve"> </w:t>
      </w:r>
      <w:r>
        <w:t>The</w:t>
      </w:r>
      <w:r>
        <w:rPr>
          <w:spacing w:val="-5"/>
        </w:rPr>
        <w:t xml:space="preserve"> </w:t>
      </w:r>
      <w:r>
        <w:t>proposed</w:t>
      </w:r>
      <w:r>
        <w:rPr>
          <w:spacing w:val="-8"/>
        </w:rPr>
        <w:t xml:space="preserve"> </w:t>
      </w:r>
      <w:r>
        <w:t>subset</w:t>
      </w:r>
      <w:r>
        <w:rPr>
          <w:spacing w:val="-9"/>
        </w:rPr>
        <w:t xml:space="preserve"> </w:t>
      </w:r>
      <w:r>
        <w:t>of</w:t>
      </w:r>
      <w:r>
        <w:rPr>
          <w:spacing w:val="-8"/>
        </w:rPr>
        <w:t xml:space="preserve"> </w:t>
      </w:r>
      <w:r>
        <w:t>low</w:t>
      </w:r>
      <w:r>
        <w:rPr>
          <w:spacing w:val="-9"/>
        </w:rPr>
        <w:t xml:space="preserve"> </w:t>
      </w:r>
      <w:r>
        <w:t>risk</w:t>
      </w:r>
      <w:r>
        <w:rPr>
          <w:spacing w:val="-9"/>
        </w:rPr>
        <w:t xml:space="preserve"> </w:t>
      </w:r>
      <w:r>
        <w:t>mortgages</w:t>
      </w:r>
      <w:r>
        <w:rPr>
          <w:spacing w:val="-9"/>
        </w:rPr>
        <w:t xml:space="preserve"> </w:t>
      </w:r>
      <w:r>
        <w:t>should</w:t>
      </w:r>
      <w:r>
        <w:rPr>
          <w:spacing w:val="-9"/>
        </w:rPr>
        <w:t xml:space="preserve"> </w:t>
      </w:r>
      <w:r>
        <w:t>likewise</w:t>
      </w:r>
      <w:r>
        <w:rPr>
          <w:spacing w:val="-9"/>
        </w:rPr>
        <w:t xml:space="preserve"> </w:t>
      </w:r>
      <w:r>
        <w:t>ensure</w:t>
      </w:r>
      <w:r>
        <w:rPr>
          <w:spacing w:val="-9"/>
        </w:rPr>
        <w:t xml:space="preserve"> </w:t>
      </w:r>
      <w:r>
        <w:t>appropriate</w:t>
      </w:r>
      <w:r>
        <w:rPr>
          <w:spacing w:val="-10"/>
        </w:rPr>
        <w:t xml:space="preserve"> </w:t>
      </w:r>
      <w:r>
        <w:t xml:space="preserve">recognition of the different features of European mortgages which result in being low risk e.g. credit </w:t>
      </w:r>
      <w:proofErr w:type="spellStart"/>
      <w:r>
        <w:t>lodgement</w:t>
      </w:r>
      <w:proofErr w:type="spellEnd"/>
      <w:r>
        <w:t xml:space="preserve"> and dual recourse.</w:t>
      </w:r>
    </w:p>
    <w:p w14:paraId="689E1F2D" w14:textId="77777777" w:rsidR="00D24A18" w:rsidRDefault="00D24A18">
      <w:pPr>
        <w:pStyle w:val="BodyText"/>
        <w:spacing w:before="10"/>
        <w:rPr>
          <w:sz w:val="23"/>
        </w:rPr>
      </w:pPr>
    </w:p>
    <w:p w14:paraId="689E1F2E" w14:textId="77777777" w:rsidR="00D24A18" w:rsidRDefault="00350D62">
      <w:pPr>
        <w:pStyle w:val="Heading3"/>
        <w:spacing w:line="276" w:lineRule="auto"/>
        <w:ind w:left="191" w:right="789"/>
      </w:pPr>
      <w:r>
        <w:t xml:space="preserve">Re-calibration of the Alpha factor in the </w:t>
      </w:r>
      <w:proofErr w:type="spellStart"/>
      <w:r>
        <w:t>Standardised</w:t>
      </w:r>
      <w:proofErr w:type="spellEnd"/>
      <w:r>
        <w:t xml:space="preserve"> Approach for Counterparty Credit Risk (SA- CCR) beyond the Output floor</w:t>
      </w:r>
    </w:p>
    <w:p w14:paraId="689E1F2F" w14:textId="77777777" w:rsidR="00D24A18" w:rsidRDefault="00D24A18">
      <w:pPr>
        <w:pStyle w:val="BodyText"/>
        <w:spacing w:before="9"/>
        <w:rPr>
          <w:b/>
          <w:sz w:val="23"/>
        </w:rPr>
      </w:pPr>
    </w:p>
    <w:p w14:paraId="689E1F30" w14:textId="77777777" w:rsidR="00D24A18" w:rsidRDefault="00350D62">
      <w:pPr>
        <w:pStyle w:val="BodyText"/>
        <w:spacing w:line="278" w:lineRule="auto"/>
        <w:ind w:left="191" w:right="408"/>
        <w:jc w:val="both"/>
        <w:rPr>
          <w:sz w:val="14"/>
        </w:rPr>
      </w:pPr>
      <w:r>
        <w:t>SA-CCR</w:t>
      </w:r>
      <w:r>
        <w:rPr>
          <w:spacing w:val="-5"/>
        </w:rPr>
        <w:t xml:space="preserve"> </w:t>
      </w:r>
      <w:r>
        <w:t>is</w:t>
      </w:r>
      <w:r>
        <w:rPr>
          <w:spacing w:val="-4"/>
        </w:rPr>
        <w:t xml:space="preserve"> </w:t>
      </w:r>
      <w:r>
        <w:t>a</w:t>
      </w:r>
      <w:r>
        <w:rPr>
          <w:spacing w:val="-3"/>
        </w:rPr>
        <w:t xml:space="preserve"> </w:t>
      </w:r>
      <w:r>
        <w:t>new</w:t>
      </w:r>
      <w:r>
        <w:rPr>
          <w:spacing w:val="-6"/>
        </w:rPr>
        <w:t xml:space="preserve"> </w:t>
      </w:r>
      <w:r>
        <w:t>approach</w:t>
      </w:r>
      <w:r>
        <w:rPr>
          <w:spacing w:val="-5"/>
        </w:rPr>
        <w:t xml:space="preserve"> </w:t>
      </w:r>
      <w:r>
        <w:t>which</w:t>
      </w:r>
      <w:r>
        <w:rPr>
          <w:spacing w:val="-5"/>
        </w:rPr>
        <w:t xml:space="preserve"> </w:t>
      </w:r>
      <w:r>
        <w:t>replaced</w:t>
      </w:r>
      <w:r>
        <w:rPr>
          <w:spacing w:val="-6"/>
        </w:rPr>
        <w:t xml:space="preserve"> </w:t>
      </w:r>
      <w:r>
        <w:t>the</w:t>
      </w:r>
      <w:r>
        <w:rPr>
          <w:spacing w:val="-3"/>
        </w:rPr>
        <w:t xml:space="preserve"> </w:t>
      </w:r>
      <w:r>
        <w:t>Current</w:t>
      </w:r>
      <w:r>
        <w:rPr>
          <w:spacing w:val="-6"/>
        </w:rPr>
        <w:t xml:space="preserve"> </w:t>
      </w:r>
      <w:r>
        <w:t>Exposure</w:t>
      </w:r>
      <w:r>
        <w:rPr>
          <w:spacing w:val="-3"/>
        </w:rPr>
        <w:t xml:space="preserve"> </w:t>
      </w:r>
      <w:r>
        <w:t>Method</w:t>
      </w:r>
      <w:r>
        <w:rPr>
          <w:spacing w:val="-2"/>
        </w:rPr>
        <w:t xml:space="preserve"> </w:t>
      </w:r>
      <w:r>
        <w:t>(CEM)</w:t>
      </w:r>
      <w:r>
        <w:rPr>
          <w:spacing w:val="-4"/>
        </w:rPr>
        <w:t xml:space="preserve"> </w:t>
      </w:r>
      <w:r>
        <w:t>and</w:t>
      </w:r>
      <w:r>
        <w:rPr>
          <w:spacing w:val="-6"/>
        </w:rPr>
        <w:t xml:space="preserve"> </w:t>
      </w:r>
      <w:r>
        <w:t>the</w:t>
      </w:r>
      <w:r>
        <w:rPr>
          <w:spacing w:val="-3"/>
        </w:rPr>
        <w:t xml:space="preserve"> </w:t>
      </w:r>
      <w:r>
        <w:t>Standardized</w:t>
      </w:r>
      <w:r>
        <w:rPr>
          <w:spacing w:val="-2"/>
        </w:rPr>
        <w:t xml:space="preserve"> </w:t>
      </w:r>
      <w:r>
        <w:t>Method (SM), for the calculation of Counterparty Credit Risk (CCR)</w:t>
      </w:r>
      <w:hyperlink w:anchor="_bookmark8" w:history="1">
        <w:r>
          <w:rPr>
            <w:position w:val="5"/>
            <w:sz w:val="14"/>
          </w:rPr>
          <w:t>9</w:t>
        </w:r>
      </w:hyperlink>
      <w:r>
        <w:rPr>
          <w:position w:val="5"/>
          <w:sz w:val="14"/>
        </w:rPr>
        <w:t xml:space="preserve"> </w:t>
      </w:r>
      <w:r>
        <w:t>as applied to derivatives transactions, as part of the Regulation (EU) 2019/876</w:t>
      </w:r>
      <w:r>
        <w:rPr>
          <w:spacing w:val="-5"/>
        </w:rPr>
        <w:t xml:space="preserve"> </w:t>
      </w:r>
      <w:r>
        <w:t>(“CRR2”).</w:t>
      </w:r>
      <w:hyperlink w:anchor="_bookmark9" w:history="1">
        <w:r>
          <w:rPr>
            <w:position w:val="5"/>
            <w:sz w:val="14"/>
          </w:rPr>
          <w:t>10</w:t>
        </w:r>
      </w:hyperlink>
    </w:p>
    <w:p w14:paraId="689E1F31" w14:textId="77777777" w:rsidR="00D24A18" w:rsidRDefault="00D24A18">
      <w:pPr>
        <w:pStyle w:val="BodyText"/>
        <w:spacing w:before="5"/>
        <w:rPr>
          <w:sz w:val="23"/>
        </w:rPr>
      </w:pPr>
    </w:p>
    <w:p w14:paraId="689E1F32" w14:textId="77777777" w:rsidR="00D24A18" w:rsidRDefault="00350D62">
      <w:pPr>
        <w:pStyle w:val="BodyText"/>
        <w:spacing w:before="1" w:line="276" w:lineRule="auto"/>
        <w:ind w:left="191" w:right="406"/>
        <w:jc w:val="both"/>
      </w:pPr>
      <w:r>
        <w:t>While</w:t>
      </w:r>
      <w:r>
        <w:rPr>
          <w:spacing w:val="-16"/>
        </w:rPr>
        <w:t xml:space="preserve"> </w:t>
      </w:r>
      <w:r>
        <w:t>more</w:t>
      </w:r>
      <w:r>
        <w:rPr>
          <w:spacing w:val="-15"/>
        </w:rPr>
        <w:t xml:space="preserve"> </w:t>
      </w:r>
      <w:r>
        <w:t>risk-sensitive,</w:t>
      </w:r>
      <w:r>
        <w:rPr>
          <w:spacing w:val="-16"/>
        </w:rPr>
        <w:t xml:space="preserve"> </w:t>
      </w:r>
      <w:r>
        <w:t>SA-CCR,</w:t>
      </w:r>
      <w:r>
        <w:rPr>
          <w:spacing w:val="-17"/>
        </w:rPr>
        <w:t xml:space="preserve"> </w:t>
      </w:r>
      <w:r>
        <w:t>in</w:t>
      </w:r>
      <w:r>
        <w:rPr>
          <w:spacing w:val="-12"/>
        </w:rPr>
        <w:t xml:space="preserve"> </w:t>
      </w:r>
      <w:r>
        <w:t>its</w:t>
      </w:r>
      <w:r>
        <w:rPr>
          <w:spacing w:val="-14"/>
        </w:rPr>
        <w:t xml:space="preserve"> </w:t>
      </w:r>
      <w:r>
        <w:t>current</w:t>
      </w:r>
      <w:r>
        <w:rPr>
          <w:spacing w:val="-14"/>
        </w:rPr>
        <w:t xml:space="preserve"> </w:t>
      </w:r>
      <w:r>
        <w:t>design</w:t>
      </w:r>
      <w:r>
        <w:rPr>
          <w:spacing w:val="-15"/>
        </w:rPr>
        <w:t xml:space="preserve"> </w:t>
      </w:r>
      <w:r>
        <w:t>and</w:t>
      </w:r>
      <w:r>
        <w:rPr>
          <w:spacing w:val="-14"/>
        </w:rPr>
        <w:t xml:space="preserve"> </w:t>
      </w:r>
      <w:r>
        <w:t>calibration,</w:t>
      </w:r>
      <w:r>
        <w:rPr>
          <w:spacing w:val="-17"/>
        </w:rPr>
        <w:t xml:space="preserve"> </w:t>
      </w:r>
      <w:r>
        <w:t>will</w:t>
      </w:r>
      <w:r>
        <w:rPr>
          <w:spacing w:val="-16"/>
        </w:rPr>
        <w:t xml:space="preserve"> </w:t>
      </w:r>
      <w:r>
        <w:t>lead</w:t>
      </w:r>
      <w:r>
        <w:rPr>
          <w:spacing w:val="-14"/>
        </w:rPr>
        <w:t xml:space="preserve"> </w:t>
      </w:r>
      <w:r>
        <w:t>to</w:t>
      </w:r>
      <w:r>
        <w:rPr>
          <w:spacing w:val="-17"/>
        </w:rPr>
        <w:t xml:space="preserve"> </w:t>
      </w:r>
      <w:r>
        <w:t>disproportionate</w:t>
      </w:r>
      <w:r>
        <w:rPr>
          <w:spacing w:val="-15"/>
        </w:rPr>
        <w:t xml:space="preserve"> </w:t>
      </w:r>
      <w:r>
        <w:t>increases in</w:t>
      </w:r>
      <w:r>
        <w:rPr>
          <w:spacing w:val="-7"/>
        </w:rPr>
        <w:t xml:space="preserve"> </w:t>
      </w:r>
      <w:r>
        <w:t>capital</w:t>
      </w:r>
      <w:r>
        <w:rPr>
          <w:spacing w:val="-8"/>
        </w:rPr>
        <w:t xml:space="preserve"> </w:t>
      </w:r>
      <w:r>
        <w:t>requirements</w:t>
      </w:r>
      <w:r>
        <w:rPr>
          <w:spacing w:val="-10"/>
        </w:rPr>
        <w:t xml:space="preserve"> </w:t>
      </w:r>
      <w:r>
        <w:t>for</w:t>
      </w:r>
      <w:r>
        <w:rPr>
          <w:spacing w:val="-6"/>
        </w:rPr>
        <w:t xml:space="preserve"> </w:t>
      </w:r>
      <w:r>
        <w:t>banks</w:t>
      </w:r>
      <w:hyperlink w:anchor="_bookmark10" w:history="1">
        <w:r>
          <w:rPr>
            <w:position w:val="5"/>
            <w:sz w:val="14"/>
          </w:rPr>
          <w:t>11</w:t>
        </w:r>
        <w:r>
          <w:rPr>
            <w:spacing w:val="8"/>
            <w:position w:val="5"/>
            <w:sz w:val="14"/>
          </w:rPr>
          <w:t xml:space="preserve"> </w:t>
        </w:r>
      </w:hyperlink>
      <w:r>
        <w:t>and</w:t>
      </w:r>
      <w:r>
        <w:rPr>
          <w:spacing w:val="-6"/>
        </w:rPr>
        <w:t xml:space="preserve"> </w:t>
      </w:r>
      <w:r>
        <w:t>significantly</w:t>
      </w:r>
      <w:r>
        <w:rPr>
          <w:spacing w:val="-6"/>
        </w:rPr>
        <w:t xml:space="preserve"> </w:t>
      </w:r>
      <w:r>
        <w:t>increased</w:t>
      </w:r>
      <w:r>
        <w:rPr>
          <w:spacing w:val="-6"/>
        </w:rPr>
        <w:t xml:space="preserve"> </w:t>
      </w:r>
      <w:r>
        <w:t>costs</w:t>
      </w:r>
      <w:r>
        <w:rPr>
          <w:spacing w:val="-6"/>
        </w:rPr>
        <w:t xml:space="preserve"> </w:t>
      </w:r>
      <w:r>
        <w:t>for</w:t>
      </w:r>
      <w:r>
        <w:rPr>
          <w:spacing w:val="-7"/>
        </w:rPr>
        <w:t xml:space="preserve"> </w:t>
      </w:r>
      <w:r>
        <w:t>end-users</w:t>
      </w:r>
      <w:r>
        <w:rPr>
          <w:spacing w:val="-6"/>
        </w:rPr>
        <w:t xml:space="preserve"> </w:t>
      </w:r>
      <w:r>
        <w:t>(e.g.</w:t>
      </w:r>
      <w:r>
        <w:rPr>
          <w:spacing w:val="-8"/>
        </w:rPr>
        <w:t xml:space="preserve"> </w:t>
      </w:r>
      <w:r>
        <w:t>corporates</w:t>
      </w:r>
      <w:r>
        <w:rPr>
          <w:spacing w:val="-6"/>
        </w:rPr>
        <w:t xml:space="preserve"> </w:t>
      </w:r>
      <w:r>
        <w:t>–</w:t>
      </w:r>
      <w:r>
        <w:rPr>
          <w:spacing w:val="-6"/>
        </w:rPr>
        <w:t xml:space="preserve"> </w:t>
      </w:r>
      <w:r>
        <w:t>including SMEs,</w:t>
      </w:r>
      <w:r>
        <w:rPr>
          <w:spacing w:val="-14"/>
        </w:rPr>
        <w:t xml:space="preserve"> </w:t>
      </w:r>
      <w:r>
        <w:t>pension</w:t>
      </w:r>
      <w:r>
        <w:rPr>
          <w:spacing w:val="-12"/>
        </w:rPr>
        <w:t xml:space="preserve"> </w:t>
      </w:r>
      <w:r>
        <w:t>funds,</w:t>
      </w:r>
      <w:r>
        <w:rPr>
          <w:spacing w:val="-13"/>
        </w:rPr>
        <w:t xml:space="preserve"> </w:t>
      </w:r>
      <w:r>
        <w:t>etc.)</w:t>
      </w:r>
      <w:r>
        <w:rPr>
          <w:spacing w:val="-13"/>
        </w:rPr>
        <w:t xml:space="preserve"> </w:t>
      </w:r>
      <w:r>
        <w:t>which</w:t>
      </w:r>
      <w:r>
        <w:rPr>
          <w:spacing w:val="-13"/>
        </w:rPr>
        <w:t xml:space="preserve"> </w:t>
      </w:r>
      <w:r>
        <w:t>often</w:t>
      </w:r>
      <w:r>
        <w:rPr>
          <w:spacing w:val="-12"/>
        </w:rPr>
        <w:t xml:space="preserve"> </w:t>
      </w:r>
      <w:r>
        <w:t>use</w:t>
      </w:r>
      <w:r>
        <w:rPr>
          <w:spacing w:val="-15"/>
        </w:rPr>
        <w:t xml:space="preserve"> </w:t>
      </w:r>
      <w:r>
        <w:t>long</w:t>
      </w:r>
      <w:r>
        <w:rPr>
          <w:spacing w:val="-13"/>
        </w:rPr>
        <w:t xml:space="preserve"> </w:t>
      </w:r>
      <w:r>
        <w:t>dated</w:t>
      </w:r>
      <w:r>
        <w:rPr>
          <w:spacing w:val="-11"/>
        </w:rPr>
        <w:t xml:space="preserve"> </w:t>
      </w:r>
      <w:r>
        <w:t>non-cleared</w:t>
      </w:r>
      <w:r>
        <w:rPr>
          <w:spacing w:val="-14"/>
        </w:rPr>
        <w:t xml:space="preserve"> </w:t>
      </w:r>
      <w:r>
        <w:t>(typically</w:t>
      </w:r>
      <w:r>
        <w:rPr>
          <w:spacing w:val="-12"/>
        </w:rPr>
        <w:t xml:space="preserve"> </w:t>
      </w:r>
      <w:r>
        <w:t>unmargined)</w:t>
      </w:r>
      <w:r>
        <w:rPr>
          <w:spacing w:val="-13"/>
        </w:rPr>
        <w:t xml:space="preserve"> </w:t>
      </w:r>
      <w:r>
        <w:t>derivatives</w:t>
      </w:r>
      <w:r>
        <w:rPr>
          <w:spacing w:val="-10"/>
        </w:rPr>
        <w:t xml:space="preserve"> </w:t>
      </w:r>
      <w:r>
        <w:t>to</w:t>
      </w:r>
      <w:r>
        <w:rPr>
          <w:spacing w:val="-14"/>
        </w:rPr>
        <w:t xml:space="preserve"> </w:t>
      </w:r>
      <w:r>
        <w:t>hedge risk, and benefit less from the improvements made through the introduction of SA-CCR in capturing portfolio netting</w:t>
      </w:r>
      <w:r>
        <w:rPr>
          <w:spacing w:val="-2"/>
        </w:rPr>
        <w:t xml:space="preserve"> </w:t>
      </w:r>
      <w:r>
        <w:t>benefits.</w:t>
      </w:r>
    </w:p>
    <w:p w14:paraId="689E1F33" w14:textId="77777777" w:rsidR="00D24A18" w:rsidRDefault="00D24A18">
      <w:pPr>
        <w:pStyle w:val="BodyText"/>
        <w:spacing w:before="6"/>
        <w:rPr>
          <w:sz w:val="23"/>
        </w:rPr>
      </w:pPr>
    </w:p>
    <w:p w14:paraId="689E1F34" w14:textId="77777777" w:rsidR="00D24A18" w:rsidRDefault="00350D62">
      <w:pPr>
        <w:pStyle w:val="BodyText"/>
        <w:spacing w:before="1" w:line="276" w:lineRule="auto"/>
        <w:ind w:left="191" w:right="407"/>
        <w:jc w:val="both"/>
      </w:pPr>
      <w:r>
        <w:t>Since</w:t>
      </w:r>
      <w:r>
        <w:rPr>
          <w:spacing w:val="-11"/>
        </w:rPr>
        <w:t xml:space="preserve"> </w:t>
      </w:r>
      <w:r>
        <w:t>June</w:t>
      </w:r>
      <w:r>
        <w:rPr>
          <w:spacing w:val="-10"/>
        </w:rPr>
        <w:t xml:space="preserve"> </w:t>
      </w:r>
      <w:r>
        <w:t>2021,</w:t>
      </w:r>
      <w:r>
        <w:rPr>
          <w:spacing w:val="-8"/>
        </w:rPr>
        <w:t xml:space="preserve"> </w:t>
      </w:r>
      <w:r>
        <w:t>SA-CCR</w:t>
      </w:r>
      <w:r>
        <w:rPr>
          <w:spacing w:val="-9"/>
        </w:rPr>
        <w:t xml:space="preserve"> </w:t>
      </w:r>
      <w:r>
        <w:t>is</w:t>
      </w:r>
      <w:r>
        <w:rPr>
          <w:spacing w:val="-9"/>
        </w:rPr>
        <w:t xml:space="preserve"> </w:t>
      </w:r>
      <w:r>
        <w:t>used</w:t>
      </w:r>
      <w:r>
        <w:rPr>
          <w:spacing w:val="-10"/>
        </w:rPr>
        <w:t xml:space="preserve"> </w:t>
      </w:r>
      <w:r>
        <w:t>in</w:t>
      </w:r>
      <w:r>
        <w:rPr>
          <w:spacing w:val="-10"/>
        </w:rPr>
        <w:t xml:space="preserve"> </w:t>
      </w:r>
      <w:r>
        <w:t>many</w:t>
      </w:r>
      <w:r>
        <w:rPr>
          <w:spacing w:val="-10"/>
        </w:rPr>
        <w:t xml:space="preserve"> </w:t>
      </w:r>
      <w:r>
        <w:t>areas</w:t>
      </w:r>
      <w:r>
        <w:rPr>
          <w:spacing w:val="-10"/>
        </w:rPr>
        <w:t xml:space="preserve"> </w:t>
      </w:r>
      <w:r>
        <w:t>across</w:t>
      </w:r>
      <w:r>
        <w:rPr>
          <w:spacing w:val="-10"/>
        </w:rPr>
        <w:t xml:space="preserve"> </w:t>
      </w:r>
      <w:r>
        <w:t>the</w:t>
      </w:r>
      <w:r>
        <w:rPr>
          <w:spacing w:val="-10"/>
        </w:rPr>
        <w:t xml:space="preserve"> </w:t>
      </w:r>
      <w:r>
        <w:t>prudential</w:t>
      </w:r>
      <w:r>
        <w:rPr>
          <w:spacing w:val="-11"/>
        </w:rPr>
        <w:t xml:space="preserve"> </w:t>
      </w:r>
      <w:r>
        <w:t>framework,</w:t>
      </w:r>
      <w:r>
        <w:rPr>
          <w:spacing w:val="-13"/>
        </w:rPr>
        <w:t xml:space="preserve"> </w:t>
      </w:r>
      <w:r>
        <w:t>such</w:t>
      </w:r>
      <w:r>
        <w:rPr>
          <w:spacing w:val="-12"/>
        </w:rPr>
        <w:t xml:space="preserve"> </w:t>
      </w:r>
      <w:r>
        <w:t>as</w:t>
      </w:r>
      <w:r>
        <w:rPr>
          <w:spacing w:val="-14"/>
        </w:rPr>
        <w:t xml:space="preserve"> </w:t>
      </w:r>
      <w:r>
        <w:t>for</w:t>
      </w:r>
      <w:r>
        <w:rPr>
          <w:spacing w:val="-10"/>
        </w:rPr>
        <w:t xml:space="preserve"> </w:t>
      </w:r>
      <w:r>
        <w:t>calculating</w:t>
      </w:r>
      <w:r>
        <w:rPr>
          <w:spacing w:val="-12"/>
        </w:rPr>
        <w:t xml:space="preserve"> </w:t>
      </w:r>
      <w:r>
        <w:t>capital requirements for CVA risk, for Large Exposures framework</w:t>
      </w:r>
      <w:hyperlink w:anchor="_bookmark11" w:history="1">
        <w:r>
          <w:rPr>
            <w:position w:val="5"/>
            <w:sz w:val="14"/>
          </w:rPr>
          <w:t>12</w:t>
        </w:r>
      </w:hyperlink>
      <w:r>
        <w:rPr>
          <w:position w:val="5"/>
          <w:sz w:val="14"/>
        </w:rPr>
        <w:t xml:space="preserve"> </w:t>
      </w:r>
      <w:r>
        <w:t>and for the Leverage Ratio. It affects all banks and</w:t>
      </w:r>
      <w:r>
        <w:rPr>
          <w:spacing w:val="-6"/>
        </w:rPr>
        <w:t xml:space="preserve"> </w:t>
      </w:r>
      <w:r>
        <w:t>users</w:t>
      </w:r>
      <w:r>
        <w:rPr>
          <w:spacing w:val="-6"/>
        </w:rPr>
        <w:t xml:space="preserve"> </w:t>
      </w:r>
      <w:r>
        <w:t>of</w:t>
      </w:r>
      <w:r>
        <w:rPr>
          <w:spacing w:val="-11"/>
        </w:rPr>
        <w:t xml:space="preserve"> </w:t>
      </w:r>
      <w:r>
        <w:t>derivatives,</w:t>
      </w:r>
      <w:r>
        <w:rPr>
          <w:spacing w:val="-8"/>
        </w:rPr>
        <w:t xml:space="preserve"> </w:t>
      </w:r>
      <w:r>
        <w:t>and</w:t>
      </w:r>
      <w:r>
        <w:rPr>
          <w:spacing w:val="-10"/>
        </w:rPr>
        <w:t xml:space="preserve"> </w:t>
      </w:r>
      <w:r>
        <w:t>the</w:t>
      </w:r>
      <w:r>
        <w:rPr>
          <w:spacing w:val="-6"/>
        </w:rPr>
        <w:t xml:space="preserve"> </w:t>
      </w:r>
      <w:r>
        <w:t>impact</w:t>
      </w:r>
      <w:r>
        <w:rPr>
          <w:spacing w:val="-10"/>
        </w:rPr>
        <w:t xml:space="preserve"> </w:t>
      </w:r>
      <w:r>
        <w:t>is</w:t>
      </w:r>
      <w:r>
        <w:rPr>
          <w:spacing w:val="-6"/>
        </w:rPr>
        <w:t xml:space="preserve"> </w:t>
      </w:r>
      <w:r>
        <w:t>not</w:t>
      </w:r>
      <w:r>
        <w:rPr>
          <w:spacing w:val="-7"/>
        </w:rPr>
        <w:t xml:space="preserve"> </w:t>
      </w:r>
      <w:r>
        <w:t>restricted</w:t>
      </w:r>
      <w:r>
        <w:rPr>
          <w:spacing w:val="-9"/>
        </w:rPr>
        <w:t xml:space="preserve"> </w:t>
      </w:r>
      <w:r>
        <w:t>to</w:t>
      </w:r>
      <w:r>
        <w:rPr>
          <w:spacing w:val="-9"/>
        </w:rPr>
        <w:t xml:space="preserve"> </w:t>
      </w:r>
      <w:r>
        <w:t>those</w:t>
      </w:r>
      <w:r>
        <w:rPr>
          <w:spacing w:val="-10"/>
        </w:rPr>
        <w:t xml:space="preserve"> </w:t>
      </w:r>
      <w:r>
        <w:t>that</w:t>
      </w:r>
      <w:r>
        <w:rPr>
          <w:spacing w:val="-7"/>
        </w:rPr>
        <w:t xml:space="preserve"> </w:t>
      </w:r>
      <w:r>
        <w:t>apply</w:t>
      </w:r>
      <w:r>
        <w:rPr>
          <w:spacing w:val="-7"/>
        </w:rPr>
        <w:t xml:space="preserve"> </w:t>
      </w:r>
      <w:r>
        <w:t>standardized</w:t>
      </w:r>
      <w:r>
        <w:rPr>
          <w:spacing w:val="-6"/>
        </w:rPr>
        <w:t xml:space="preserve"> </w:t>
      </w:r>
      <w:r>
        <w:t>methodologies</w:t>
      </w:r>
      <w:r>
        <w:rPr>
          <w:spacing w:val="-5"/>
        </w:rPr>
        <w:t xml:space="preserve"> </w:t>
      </w:r>
      <w:r>
        <w:t>only. In CRR3, this impact will become even more pronounced as SA-CCR will also contribute towards the calculation of the newly introduced Output</w:t>
      </w:r>
      <w:r>
        <w:rPr>
          <w:spacing w:val="-3"/>
        </w:rPr>
        <w:t xml:space="preserve"> </w:t>
      </w:r>
      <w:r>
        <w:t>Floor.</w:t>
      </w:r>
    </w:p>
    <w:p w14:paraId="689E1F35" w14:textId="77777777" w:rsidR="00D24A18" w:rsidRDefault="00D24A18">
      <w:pPr>
        <w:pStyle w:val="BodyText"/>
        <w:spacing w:before="11"/>
        <w:rPr>
          <w:sz w:val="23"/>
        </w:rPr>
      </w:pPr>
    </w:p>
    <w:p w14:paraId="689E1F36" w14:textId="77777777" w:rsidR="00D24A18" w:rsidRDefault="00350D62">
      <w:pPr>
        <w:pStyle w:val="BodyText"/>
        <w:spacing w:line="276" w:lineRule="auto"/>
        <w:ind w:left="192" w:right="407"/>
        <w:jc w:val="both"/>
      </w:pPr>
      <w:r>
        <w:t xml:space="preserve">Among the major reasons for the disproportionate impact of SA-CCR are its design and outdated calibration objectives, since the alpha factor of the formula, which increases exposures by 40%, was set at 1.4 in 2005 by the Basel Committee and was meant to be used to account for general wrong way risk and perceived flaws in </w:t>
      </w:r>
      <w:r>
        <w:rPr>
          <w:u w:val="single"/>
        </w:rPr>
        <w:t>internal models</w:t>
      </w:r>
      <w:r>
        <w:t xml:space="preserve">, not for </w:t>
      </w:r>
      <w:proofErr w:type="spellStart"/>
      <w:r>
        <w:t>standardised</w:t>
      </w:r>
      <w:proofErr w:type="spellEnd"/>
      <w:r>
        <w:t xml:space="preserve"> approaches.</w:t>
      </w:r>
    </w:p>
    <w:p w14:paraId="689E1F37" w14:textId="77777777" w:rsidR="00D24A18" w:rsidRDefault="00D24A18">
      <w:pPr>
        <w:pStyle w:val="BodyText"/>
        <w:spacing w:before="6"/>
        <w:rPr>
          <w:sz w:val="15"/>
        </w:rPr>
      </w:pPr>
    </w:p>
    <w:p w14:paraId="689E1F38" w14:textId="77777777" w:rsidR="00D24A18" w:rsidRDefault="00350D62">
      <w:pPr>
        <w:pStyle w:val="BodyText"/>
        <w:spacing w:before="100" w:line="276" w:lineRule="auto"/>
        <w:ind w:left="191" w:right="408"/>
      </w:pPr>
      <w:r>
        <w:t>We are supportive, therefore, of the Commission’s proposals</w:t>
      </w:r>
      <w:hyperlink w:anchor="_bookmark12" w:history="1">
        <w:r>
          <w:rPr>
            <w:position w:val="5"/>
            <w:sz w:val="14"/>
          </w:rPr>
          <w:t>13</w:t>
        </w:r>
      </w:hyperlink>
      <w:r>
        <w:rPr>
          <w:position w:val="5"/>
          <w:sz w:val="14"/>
        </w:rPr>
        <w:t xml:space="preserve"> </w:t>
      </w:r>
      <w:r>
        <w:t>to reduce the impact on the output floor RWA, per CRR Article 465(4), by resetting the alpha factor to 1 for a transitional period until 31 December 2029,</w:t>
      </w:r>
    </w:p>
    <w:p w14:paraId="689E1F39" w14:textId="77777777" w:rsidR="00D24A18" w:rsidRDefault="00D24A18">
      <w:pPr>
        <w:pStyle w:val="BodyText"/>
        <w:rPr>
          <w:sz w:val="20"/>
        </w:rPr>
      </w:pPr>
    </w:p>
    <w:p w14:paraId="689E1F3A" w14:textId="77777777" w:rsidR="00D24A18" w:rsidRDefault="00D24A18">
      <w:pPr>
        <w:pStyle w:val="BodyText"/>
        <w:rPr>
          <w:sz w:val="20"/>
        </w:rPr>
      </w:pPr>
    </w:p>
    <w:p w14:paraId="689E1F3B" w14:textId="77777777" w:rsidR="00D24A18" w:rsidRDefault="00D24A18">
      <w:pPr>
        <w:pStyle w:val="BodyText"/>
        <w:rPr>
          <w:sz w:val="20"/>
        </w:rPr>
      </w:pPr>
    </w:p>
    <w:p w14:paraId="689E1F3C" w14:textId="77777777" w:rsidR="00D24A18" w:rsidRDefault="00D24A18">
      <w:pPr>
        <w:pStyle w:val="BodyText"/>
        <w:rPr>
          <w:sz w:val="20"/>
        </w:rPr>
      </w:pPr>
    </w:p>
    <w:p w14:paraId="689E1F3D" w14:textId="77777777" w:rsidR="00D24A18" w:rsidRDefault="00FC2908">
      <w:pPr>
        <w:pStyle w:val="BodyText"/>
        <w:spacing w:before="8"/>
        <w:rPr>
          <w:sz w:val="20"/>
        </w:rPr>
      </w:pPr>
      <w:r>
        <w:pict w14:anchorId="689E2447">
          <v:shape id="_x0000_s2165" style="position:absolute;margin-left:42.6pt;margin-top:14.4pt;width:2in;height:.1pt;z-index:-251648000;mso-wrap-distance-left:0;mso-wrap-distance-right:0;mso-position-horizontal-relative:page" coordorigin="852,288" coordsize="2880,0" path="m852,288r2880,e" filled="f" strokecolor="#78a12e" strokeweight=".21131mm">
            <v:path arrowok="t"/>
            <w10:wrap type="topAndBottom" anchorx="page"/>
          </v:shape>
        </w:pict>
      </w:r>
    </w:p>
    <w:p w14:paraId="689E1F3E" w14:textId="77777777" w:rsidR="00D24A18" w:rsidRDefault="00350D62">
      <w:pPr>
        <w:spacing w:before="65" w:line="256" w:lineRule="auto"/>
        <w:ind w:left="192" w:right="408"/>
        <w:rPr>
          <w:sz w:val="16"/>
        </w:rPr>
      </w:pPr>
      <w:bookmarkStart w:id="10" w:name="_bookmark8"/>
      <w:bookmarkEnd w:id="10"/>
      <w:r>
        <w:rPr>
          <w:rFonts w:ascii="Arial"/>
          <w:position w:val="6"/>
          <w:sz w:val="10"/>
        </w:rPr>
        <w:t xml:space="preserve">9 </w:t>
      </w:r>
      <w:r>
        <w:rPr>
          <w:color w:val="202020"/>
          <w:sz w:val="16"/>
        </w:rPr>
        <w:t>Counterparty credit risk (CCR) is the risk that the counterparty to a transaction could default before the final settlement of the transaction's cash flows.</w:t>
      </w:r>
    </w:p>
    <w:p w14:paraId="689E1F3F" w14:textId="77777777" w:rsidR="00D24A18" w:rsidRDefault="00350D62">
      <w:pPr>
        <w:spacing w:line="186" w:lineRule="exact"/>
        <w:ind w:left="192"/>
        <w:rPr>
          <w:sz w:val="16"/>
        </w:rPr>
      </w:pPr>
      <w:bookmarkStart w:id="11" w:name="_bookmark9"/>
      <w:bookmarkEnd w:id="11"/>
      <w:r>
        <w:rPr>
          <w:position w:val="4"/>
          <w:sz w:val="10"/>
        </w:rPr>
        <w:t xml:space="preserve">10 </w:t>
      </w:r>
      <w:hyperlink r:id="rId14">
        <w:r>
          <w:rPr>
            <w:color w:val="78A12E"/>
            <w:sz w:val="16"/>
            <w:u w:val="single" w:color="78A12E"/>
          </w:rPr>
          <w:t>https://eur-lex.europa.eu/legal-content/EN/TXT/?uri=CELEX%3A32019R0876</w:t>
        </w:r>
      </w:hyperlink>
    </w:p>
    <w:p w14:paraId="689E1F40" w14:textId="77777777" w:rsidR="00D24A18" w:rsidRDefault="00350D62">
      <w:pPr>
        <w:spacing w:before="12" w:line="260" w:lineRule="atLeast"/>
        <w:ind w:left="192" w:right="408"/>
        <w:rPr>
          <w:sz w:val="16"/>
        </w:rPr>
      </w:pPr>
      <w:bookmarkStart w:id="12" w:name="_bookmark10"/>
      <w:bookmarkEnd w:id="12"/>
      <w:r>
        <w:rPr>
          <w:position w:val="4"/>
          <w:sz w:val="10"/>
        </w:rPr>
        <w:t xml:space="preserve">11 </w:t>
      </w:r>
      <w:r>
        <w:rPr>
          <w:sz w:val="16"/>
        </w:rPr>
        <w:t xml:space="preserve">According to ISDA-GFMA estimates, the exposure calculated under SA-CCR will be significantly higher than under both IMM (1.9 – 2.5 times higher) and CEM (2-4 times higher). This is before considering the impact of the Output floor. (See: </w:t>
      </w:r>
      <w:hyperlink r:id="rId15">
        <w:r>
          <w:rPr>
            <w:color w:val="78A12E"/>
            <w:sz w:val="16"/>
            <w:u w:val="single" w:color="78A12E"/>
          </w:rPr>
          <w:t>Link</w:t>
        </w:r>
      </w:hyperlink>
      <w:r>
        <w:rPr>
          <w:sz w:val="16"/>
        </w:rPr>
        <w:t>)</w:t>
      </w:r>
    </w:p>
    <w:p w14:paraId="689E1F41" w14:textId="77777777" w:rsidR="00D24A18" w:rsidRDefault="00350D62">
      <w:pPr>
        <w:ind w:left="192"/>
        <w:rPr>
          <w:sz w:val="16"/>
        </w:rPr>
      </w:pPr>
      <w:bookmarkStart w:id="13" w:name="_bookmark11"/>
      <w:bookmarkEnd w:id="13"/>
      <w:r>
        <w:rPr>
          <w:position w:val="4"/>
          <w:sz w:val="10"/>
        </w:rPr>
        <w:t xml:space="preserve">12 </w:t>
      </w:r>
      <w:hyperlink r:id="rId16">
        <w:r>
          <w:rPr>
            <w:color w:val="78A12E"/>
            <w:sz w:val="16"/>
            <w:u w:val="single" w:color="78A12E"/>
          </w:rPr>
          <w:t>https://www.bis.org/fsi/fsisummaries/largeexpos.pdf</w:t>
        </w:r>
      </w:hyperlink>
    </w:p>
    <w:p w14:paraId="689E1F42" w14:textId="77777777" w:rsidR="00D24A18" w:rsidRDefault="00350D62">
      <w:pPr>
        <w:spacing w:before="73"/>
        <w:ind w:left="192"/>
        <w:rPr>
          <w:sz w:val="16"/>
        </w:rPr>
      </w:pPr>
      <w:bookmarkStart w:id="14" w:name="_bookmark12"/>
      <w:bookmarkEnd w:id="14"/>
      <w:r>
        <w:rPr>
          <w:position w:val="4"/>
          <w:sz w:val="10"/>
        </w:rPr>
        <w:t xml:space="preserve">13 </w:t>
      </w:r>
      <w:hyperlink r:id="rId17">
        <w:r>
          <w:rPr>
            <w:position w:val="4"/>
            <w:sz w:val="10"/>
          </w:rPr>
          <w:t>[</w:t>
        </w:r>
        <w:r>
          <w:rPr>
            <w:color w:val="78A12E"/>
            <w:sz w:val="16"/>
            <w:u w:val="single" w:color="78A12E"/>
          </w:rPr>
          <w:t>https://ec.europa.eu/info/publications/211027-banking-package_en</w:t>
        </w:r>
      </w:hyperlink>
    </w:p>
    <w:p w14:paraId="689E1F43" w14:textId="77777777" w:rsidR="00D24A18" w:rsidRDefault="00D24A18">
      <w:pPr>
        <w:rPr>
          <w:sz w:val="16"/>
        </w:rPr>
        <w:sectPr w:rsidR="00D24A18">
          <w:pgSz w:w="11910" w:h="16840"/>
          <w:pgMar w:top="1580" w:right="440" w:bottom="1100" w:left="660" w:header="0" w:footer="914" w:gutter="0"/>
          <w:cols w:space="720"/>
        </w:sectPr>
      </w:pPr>
    </w:p>
    <w:p w14:paraId="689E1F44" w14:textId="77777777" w:rsidR="00D24A18" w:rsidRDefault="00D24A18">
      <w:pPr>
        <w:pStyle w:val="BodyText"/>
        <w:rPr>
          <w:sz w:val="20"/>
        </w:rPr>
      </w:pPr>
    </w:p>
    <w:p w14:paraId="689E1F45" w14:textId="77777777" w:rsidR="00D24A18" w:rsidRDefault="00D24A18">
      <w:pPr>
        <w:pStyle w:val="BodyText"/>
        <w:spacing w:before="8"/>
        <w:rPr>
          <w:sz w:val="28"/>
        </w:rPr>
      </w:pPr>
    </w:p>
    <w:p w14:paraId="689E1F46" w14:textId="77777777" w:rsidR="00D24A18" w:rsidRDefault="00350D62">
      <w:pPr>
        <w:pStyle w:val="BodyText"/>
        <w:spacing w:before="100" w:line="276" w:lineRule="auto"/>
        <w:ind w:left="191" w:right="408"/>
        <w:jc w:val="both"/>
        <w:rPr>
          <w:sz w:val="14"/>
        </w:rPr>
      </w:pPr>
      <w:r>
        <w:t>with the potential for this to be permanent, having taken into account the EBA report mandated by CRR2 and due by June 2023.</w:t>
      </w:r>
      <w:hyperlink w:anchor="_bookmark13" w:history="1">
        <w:r>
          <w:rPr>
            <w:position w:val="5"/>
            <w:sz w:val="14"/>
          </w:rPr>
          <w:t>14</w:t>
        </w:r>
      </w:hyperlink>
    </w:p>
    <w:p w14:paraId="689E1F47" w14:textId="77777777" w:rsidR="00D24A18" w:rsidRDefault="00D24A18">
      <w:pPr>
        <w:pStyle w:val="BodyText"/>
        <w:spacing w:before="9"/>
        <w:rPr>
          <w:sz w:val="23"/>
        </w:rPr>
      </w:pPr>
    </w:p>
    <w:p w14:paraId="689E1F48" w14:textId="77777777" w:rsidR="00D24A18" w:rsidRDefault="00350D62">
      <w:pPr>
        <w:pStyle w:val="BodyText"/>
        <w:spacing w:line="276" w:lineRule="auto"/>
        <w:ind w:left="192" w:right="407"/>
        <w:jc w:val="both"/>
      </w:pPr>
      <w:r>
        <w:t xml:space="preserve">However, the transitional measure only applies to the calculation of SA-CCR for the purposes of the output floor RWA, whilst no measures have been taken to address calibration in the </w:t>
      </w:r>
      <w:proofErr w:type="spellStart"/>
      <w:r>
        <w:t>Standardised</w:t>
      </w:r>
      <w:proofErr w:type="spellEnd"/>
      <w:r>
        <w:t xml:space="preserve"> Approach (or unfloored capital risk framework), the Leverage ratio or the Large Exposures framework respectively even though there is a distinct impact in each of these areas:</w:t>
      </w:r>
    </w:p>
    <w:p w14:paraId="689E1F49" w14:textId="77777777" w:rsidR="00D24A18" w:rsidRDefault="00D24A18">
      <w:pPr>
        <w:pStyle w:val="BodyText"/>
        <w:rPr>
          <w:sz w:val="24"/>
        </w:rPr>
      </w:pPr>
    </w:p>
    <w:p w14:paraId="689E1F4A" w14:textId="77777777" w:rsidR="00D24A18" w:rsidRDefault="00350D62">
      <w:pPr>
        <w:pStyle w:val="ListParagraph"/>
        <w:numPr>
          <w:ilvl w:val="0"/>
          <w:numId w:val="28"/>
        </w:numPr>
        <w:tabs>
          <w:tab w:val="left" w:pos="905"/>
        </w:tabs>
        <w:spacing w:line="276" w:lineRule="auto"/>
        <w:ind w:left="904" w:right="406" w:hanging="357"/>
      </w:pPr>
      <w:proofErr w:type="spellStart"/>
      <w:r>
        <w:t>Standardised</w:t>
      </w:r>
      <w:proofErr w:type="spellEnd"/>
      <w:r>
        <w:t xml:space="preserve"> Approach (unfloored capital risk framework): in its current design and calibration, will lead to disproportionate increases in capital requirements for banks and significantly increased costs for end-users (e.g., corporates – including SMEs, pension funds, etc.) which typically use non-cleared (unmargined) derivatives to hedge</w:t>
      </w:r>
      <w:r>
        <w:rPr>
          <w:spacing w:val="-4"/>
        </w:rPr>
        <w:t xml:space="preserve"> </w:t>
      </w:r>
      <w:r>
        <w:t>risk.</w:t>
      </w:r>
    </w:p>
    <w:p w14:paraId="689E1F4B" w14:textId="77777777" w:rsidR="00D24A18" w:rsidRDefault="00350D62">
      <w:pPr>
        <w:pStyle w:val="ListParagraph"/>
        <w:numPr>
          <w:ilvl w:val="0"/>
          <w:numId w:val="28"/>
        </w:numPr>
        <w:tabs>
          <w:tab w:val="left" w:pos="905"/>
        </w:tabs>
        <w:spacing w:line="276" w:lineRule="auto"/>
        <w:ind w:left="904" w:right="410" w:hanging="356"/>
      </w:pPr>
      <w:r>
        <w:t>Leverage Ratio: is becoming a more biting constraint given the addition of the G-SIB surcharge, Pillar 2</w:t>
      </w:r>
      <w:r>
        <w:rPr>
          <w:spacing w:val="-17"/>
        </w:rPr>
        <w:t xml:space="preserve"> </w:t>
      </w:r>
      <w:r>
        <w:t>requirements,</w:t>
      </w:r>
      <w:r>
        <w:rPr>
          <w:spacing w:val="-15"/>
        </w:rPr>
        <w:t xml:space="preserve"> </w:t>
      </w:r>
      <w:r>
        <w:t>Pillar</w:t>
      </w:r>
      <w:r>
        <w:rPr>
          <w:spacing w:val="-13"/>
        </w:rPr>
        <w:t xml:space="preserve"> </w:t>
      </w:r>
      <w:r>
        <w:t>2</w:t>
      </w:r>
      <w:r>
        <w:rPr>
          <w:spacing w:val="-16"/>
        </w:rPr>
        <w:t xml:space="preserve"> </w:t>
      </w:r>
      <w:r>
        <w:t>guidance,</w:t>
      </w:r>
      <w:r>
        <w:rPr>
          <w:spacing w:val="-16"/>
        </w:rPr>
        <w:t xml:space="preserve"> </w:t>
      </w:r>
      <w:r>
        <w:t>and</w:t>
      </w:r>
      <w:r>
        <w:rPr>
          <w:spacing w:val="-12"/>
        </w:rPr>
        <w:t xml:space="preserve"> </w:t>
      </w:r>
      <w:r>
        <w:t>notwithstanding</w:t>
      </w:r>
      <w:r>
        <w:rPr>
          <w:spacing w:val="-15"/>
        </w:rPr>
        <w:t xml:space="preserve"> </w:t>
      </w:r>
      <w:r>
        <w:t>the</w:t>
      </w:r>
      <w:r>
        <w:rPr>
          <w:spacing w:val="-14"/>
        </w:rPr>
        <w:t xml:space="preserve"> </w:t>
      </w:r>
      <w:r>
        <w:t>impact</w:t>
      </w:r>
      <w:r>
        <w:rPr>
          <w:spacing w:val="-12"/>
        </w:rPr>
        <w:t xml:space="preserve"> </w:t>
      </w:r>
      <w:r>
        <w:t>from</w:t>
      </w:r>
      <w:r>
        <w:rPr>
          <w:spacing w:val="-13"/>
        </w:rPr>
        <w:t xml:space="preserve"> </w:t>
      </w:r>
      <w:r>
        <w:t>its</w:t>
      </w:r>
      <w:r>
        <w:rPr>
          <w:spacing w:val="-13"/>
        </w:rPr>
        <w:t xml:space="preserve"> </w:t>
      </w:r>
      <w:r>
        <w:t>input</w:t>
      </w:r>
      <w:r>
        <w:rPr>
          <w:spacing w:val="-12"/>
        </w:rPr>
        <w:t xml:space="preserve"> </w:t>
      </w:r>
      <w:r>
        <w:t>into</w:t>
      </w:r>
      <w:r>
        <w:rPr>
          <w:spacing w:val="-15"/>
        </w:rPr>
        <w:t xml:space="preserve"> </w:t>
      </w:r>
      <w:r>
        <w:t>TLAC</w:t>
      </w:r>
      <w:r>
        <w:rPr>
          <w:spacing w:val="-15"/>
        </w:rPr>
        <w:t xml:space="preserve"> </w:t>
      </w:r>
      <w:r>
        <w:t>calibration. Therefore, the benefits of recalibrating alpha for the output floor may not be achieved if the exposure measure value used in the Leverage ratio is not</w:t>
      </w:r>
      <w:r>
        <w:rPr>
          <w:spacing w:val="-3"/>
        </w:rPr>
        <w:t xml:space="preserve"> </w:t>
      </w:r>
      <w:r>
        <w:t>consistent.</w:t>
      </w:r>
    </w:p>
    <w:p w14:paraId="689E1F4C" w14:textId="77777777" w:rsidR="00D24A18" w:rsidRDefault="00350D62">
      <w:pPr>
        <w:pStyle w:val="ListParagraph"/>
        <w:numPr>
          <w:ilvl w:val="0"/>
          <w:numId w:val="28"/>
        </w:numPr>
        <w:tabs>
          <w:tab w:val="left" w:pos="905"/>
        </w:tabs>
        <w:spacing w:line="276" w:lineRule="auto"/>
        <w:ind w:left="904" w:right="406" w:hanging="356"/>
      </w:pPr>
      <w:r>
        <w:t>Large Exposures Framework: the intent of the Large Exposures framework is to measure the propensity for concentration. The increased exposure values from application of SA-CCR therefore means reduced capacity to provide hedging products to end-users, and hinder recovery from the ongoing</w:t>
      </w:r>
      <w:r>
        <w:rPr>
          <w:spacing w:val="-3"/>
        </w:rPr>
        <w:t xml:space="preserve"> </w:t>
      </w:r>
      <w:r>
        <w:t>crisis.</w:t>
      </w:r>
    </w:p>
    <w:p w14:paraId="689E1F4D" w14:textId="77777777" w:rsidR="00D24A18" w:rsidRDefault="00D24A18">
      <w:pPr>
        <w:pStyle w:val="BodyText"/>
        <w:spacing w:before="5"/>
        <w:rPr>
          <w:sz w:val="23"/>
        </w:rPr>
      </w:pPr>
    </w:p>
    <w:p w14:paraId="689E1F4E" w14:textId="77777777" w:rsidR="00D24A18" w:rsidRDefault="00350D62">
      <w:pPr>
        <w:pStyle w:val="BodyText"/>
        <w:spacing w:line="276" w:lineRule="auto"/>
        <w:ind w:left="191" w:right="406"/>
        <w:jc w:val="both"/>
      </w:pPr>
      <w:r>
        <w:t>As such, we believe the adjustment proposed for the Output Floor should be applied consistently across the framework.</w:t>
      </w:r>
      <w:r>
        <w:rPr>
          <w:spacing w:val="-7"/>
        </w:rPr>
        <w:t xml:space="preserve"> </w:t>
      </w:r>
      <w:r>
        <w:t>A</w:t>
      </w:r>
      <w:r>
        <w:rPr>
          <w:spacing w:val="-8"/>
        </w:rPr>
        <w:t xml:space="preserve"> </w:t>
      </w:r>
      <w:r>
        <w:t>simple</w:t>
      </w:r>
      <w:r>
        <w:rPr>
          <w:spacing w:val="-5"/>
        </w:rPr>
        <w:t xml:space="preserve"> </w:t>
      </w:r>
      <w:r>
        <w:t>approach</w:t>
      </w:r>
      <w:r>
        <w:rPr>
          <w:spacing w:val="-7"/>
        </w:rPr>
        <w:t xml:space="preserve"> </w:t>
      </w:r>
      <w:r>
        <w:t>would</w:t>
      </w:r>
      <w:r>
        <w:rPr>
          <w:spacing w:val="-4"/>
        </w:rPr>
        <w:t xml:space="preserve"> </w:t>
      </w:r>
      <w:r>
        <w:t>be</w:t>
      </w:r>
      <w:r>
        <w:rPr>
          <w:spacing w:val="-5"/>
        </w:rPr>
        <w:t xml:space="preserve"> </w:t>
      </w:r>
      <w:r>
        <w:t>to</w:t>
      </w:r>
      <w:r>
        <w:rPr>
          <w:spacing w:val="-7"/>
        </w:rPr>
        <w:t xml:space="preserve"> </w:t>
      </w:r>
      <w:r>
        <w:t>re-calibrate</w:t>
      </w:r>
      <w:r>
        <w:rPr>
          <w:spacing w:val="-5"/>
        </w:rPr>
        <w:t xml:space="preserve"> </w:t>
      </w:r>
      <w:r>
        <w:t>the</w:t>
      </w:r>
      <w:r>
        <w:rPr>
          <w:spacing w:val="-5"/>
        </w:rPr>
        <w:t xml:space="preserve"> </w:t>
      </w:r>
      <w:r>
        <w:t>alpha</w:t>
      </w:r>
      <w:r>
        <w:rPr>
          <w:spacing w:val="-5"/>
        </w:rPr>
        <w:t xml:space="preserve"> </w:t>
      </w:r>
      <w:r>
        <w:t>factor</w:t>
      </w:r>
      <w:r>
        <w:rPr>
          <w:spacing w:val="-5"/>
        </w:rPr>
        <w:t xml:space="preserve"> </w:t>
      </w:r>
      <w:r>
        <w:t>to</w:t>
      </w:r>
      <w:r>
        <w:rPr>
          <w:spacing w:val="-7"/>
        </w:rPr>
        <w:t xml:space="preserve"> </w:t>
      </w:r>
      <w:r>
        <w:t>1</w:t>
      </w:r>
      <w:r>
        <w:rPr>
          <w:spacing w:val="-8"/>
        </w:rPr>
        <w:t xml:space="preserve"> </w:t>
      </w:r>
      <w:r>
        <w:t>in</w:t>
      </w:r>
      <w:r>
        <w:rPr>
          <w:spacing w:val="-5"/>
        </w:rPr>
        <w:t xml:space="preserve"> </w:t>
      </w:r>
      <w:r>
        <w:t>the</w:t>
      </w:r>
      <w:r>
        <w:rPr>
          <w:spacing w:val="-5"/>
        </w:rPr>
        <w:t xml:space="preserve"> </w:t>
      </w:r>
      <w:proofErr w:type="spellStart"/>
      <w:r>
        <w:t>Standardised</w:t>
      </w:r>
      <w:proofErr w:type="spellEnd"/>
      <w:r>
        <w:rPr>
          <w:spacing w:val="-4"/>
        </w:rPr>
        <w:t xml:space="preserve"> </w:t>
      </w:r>
      <w:r>
        <w:t>Approach,</w:t>
      </w:r>
      <w:r>
        <w:rPr>
          <w:spacing w:val="-7"/>
        </w:rPr>
        <w:t xml:space="preserve"> </w:t>
      </w:r>
      <w:r>
        <w:t>as this would then feed into all standardized approach calculations i.e. including the Leverage Ratio and Large Exposures framework consistently, whether or not linked to the Output Floor, with permanent application further considered as part of the EBA’s</w:t>
      </w:r>
      <w:r>
        <w:rPr>
          <w:spacing w:val="-1"/>
        </w:rPr>
        <w:t xml:space="preserve"> </w:t>
      </w:r>
      <w:r>
        <w:t>report.</w:t>
      </w:r>
    </w:p>
    <w:p w14:paraId="689E1F4F" w14:textId="77777777" w:rsidR="00D24A18" w:rsidRDefault="00D24A18">
      <w:pPr>
        <w:pStyle w:val="BodyText"/>
        <w:spacing w:before="10"/>
        <w:rPr>
          <w:sz w:val="23"/>
        </w:rPr>
      </w:pPr>
    </w:p>
    <w:p w14:paraId="689E1F50" w14:textId="77777777" w:rsidR="00D24A18" w:rsidRDefault="00350D62">
      <w:pPr>
        <w:pStyle w:val="BodyText"/>
        <w:spacing w:before="1" w:line="276" w:lineRule="auto"/>
        <w:ind w:left="191" w:right="407"/>
        <w:jc w:val="both"/>
      </w:pPr>
      <w:r>
        <w:t>Given these impacts, the EBA review mandated under Article 514 should explicitly look at the issue of calibration of the alpha factor and its impact on firms’ and end-users hedging capacity, as well as the international developments, with the view of ensuring adequate competitiveness of EU Capital Markets.</w:t>
      </w:r>
    </w:p>
    <w:p w14:paraId="689E1F51" w14:textId="77777777" w:rsidR="00D24A18" w:rsidRDefault="00D24A18">
      <w:pPr>
        <w:pStyle w:val="BodyText"/>
        <w:spacing w:before="8"/>
        <w:rPr>
          <w:sz w:val="23"/>
        </w:rPr>
      </w:pPr>
    </w:p>
    <w:p w14:paraId="689E1F52" w14:textId="77777777" w:rsidR="00D24A18" w:rsidRDefault="00350D62">
      <w:pPr>
        <w:pStyle w:val="BodyText"/>
        <w:spacing w:line="276" w:lineRule="auto"/>
        <w:ind w:left="191" w:right="405"/>
        <w:jc w:val="both"/>
      </w:pPr>
      <w:r>
        <w:t>The</w:t>
      </w:r>
      <w:r>
        <w:rPr>
          <w:spacing w:val="-11"/>
        </w:rPr>
        <w:t xml:space="preserve"> </w:t>
      </w:r>
      <w:r>
        <w:t>question</w:t>
      </w:r>
      <w:r>
        <w:rPr>
          <w:spacing w:val="-10"/>
        </w:rPr>
        <w:t xml:space="preserve"> </w:t>
      </w:r>
      <w:r>
        <w:t>of</w:t>
      </w:r>
      <w:r>
        <w:rPr>
          <w:spacing w:val="-9"/>
        </w:rPr>
        <w:t xml:space="preserve"> </w:t>
      </w:r>
      <w:r>
        <w:t>recalibration</w:t>
      </w:r>
      <w:r>
        <w:rPr>
          <w:spacing w:val="-10"/>
        </w:rPr>
        <w:t xml:space="preserve"> </w:t>
      </w:r>
      <w:r>
        <w:t>of</w:t>
      </w:r>
      <w:r>
        <w:rPr>
          <w:spacing w:val="-9"/>
        </w:rPr>
        <w:t xml:space="preserve"> </w:t>
      </w:r>
      <w:r>
        <w:t>SA-CCR</w:t>
      </w:r>
      <w:r>
        <w:rPr>
          <w:spacing w:val="-12"/>
        </w:rPr>
        <w:t xml:space="preserve"> </w:t>
      </w:r>
      <w:r>
        <w:t>also</w:t>
      </w:r>
      <w:r>
        <w:rPr>
          <w:spacing w:val="-16"/>
        </w:rPr>
        <w:t xml:space="preserve"> </w:t>
      </w:r>
      <w:r>
        <w:t>calls</w:t>
      </w:r>
      <w:r>
        <w:rPr>
          <w:spacing w:val="-9"/>
        </w:rPr>
        <w:t xml:space="preserve"> </w:t>
      </w:r>
      <w:r>
        <w:t>for</w:t>
      </w:r>
      <w:r>
        <w:rPr>
          <w:spacing w:val="-10"/>
        </w:rPr>
        <w:t xml:space="preserve"> </w:t>
      </w:r>
      <w:r>
        <w:t>a</w:t>
      </w:r>
      <w:r>
        <w:rPr>
          <w:spacing w:val="-11"/>
        </w:rPr>
        <w:t xml:space="preserve"> </w:t>
      </w:r>
      <w:r>
        <w:t>broader</w:t>
      </w:r>
      <w:r>
        <w:rPr>
          <w:spacing w:val="-10"/>
        </w:rPr>
        <w:t xml:space="preserve"> </w:t>
      </w:r>
      <w:r>
        <w:t>review</w:t>
      </w:r>
      <w:r>
        <w:rPr>
          <w:spacing w:val="-9"/>
        </w:rPr>
        <w:t xml:space="preserve"> </w:t>
      </w:r>
      <w:r>
        <w:t>in</w:t>
      </w:r>
      <w:r>
        <w:rPr>
          <w:spacing w:val="-10"/>
        </w:rPr>
        <w:t xml:space="preserve"> </w:t>
      </w:r>
      <w:r>
        <w:t>the</w:t>
      </w:r>
      <w:r>
        <w:rPr>
          <w:spacing w:val="-10"/>
        </w:rPr>
        <w:t xml:space="preserve"> </w:t>
      </w:r>
      <w:r>
        <w:t>Basel</w:t>
      </w:r>
      <w:r>
        <w:rPr>
          <w:spacing w:val="-10"/>
        </w:rPr>
        <w:t xml:space="preserve"> </w:t>
      </w:r>
      <w:r>
        <w:t>Committee</w:t>
      </w:r>
      <w:r>
        <w:rPr>
          <w:spacing w:val="-10"/>
        </w:rPr>
        <w:t xml:space="preserve"> </w:t>
      </w:r>
      <w:r>
        <w:t>to</w:t>
      </w:r>
      <w:r>
        <w:rPr>
          <w:spacing w:val="-12"/>
        </w:rPr>
        <w:t xml:space="preserve"> </w:t>
      </w:r>
      <w:r>
        <w:t>ensure</w:t>
      </w:r>
      <w:r>
        <w:rPr>
          <w:spacing w:val="-11"/>
        </w:rPr>
        <w:t xml:space="preserve"> </w:t>
      </w:r>
      <w:r>
        <w:t>global consistency.</w:t>
      </w:r>
      <w:r>
        <w:rPr>
          <w:spacing w:val="-15"/>
        </w:rPr>
        <w:t xml:space="preserve"> </w:t>
      </w:r>
      <w:r>
        <w:t>In</w:t>
      </w:r>
      <w:r>
        <w:rPr>
          <w:spacing w:val="-13"/>
        </w:rPr>
        <w:t xml:space="preserve"> </w:t>
      </w:r>
      <w:r>
        <w:t>the</w:t>
      </w:r>
      <w:r>
        <w:rPr>
          <w:spacing w:val="-14"/>
        </w:rPr>
        <w:t xml:space="preserve"> </w:t>
      </w:r>
      <w:r>
        <w:t>US,</w:t>
      </w:r>
      <w:r>
        <w:rPr>
          <w:spacing w:val="-15"/>
        </w:rPr>
        <w:t xml:space="preserve"> </w:t>
      </w:r>
      <w:r>
        <w:t>the</w:t>
      </w:r>
      <w:r>
        <w:rPr>
          <w:spacing w:val="-13"/>
        </w:rPr>
        <w:t xml:space="preserve"> </w:t>
      </w:r>
      <w:r>
        <w:t>alpha</w:t>
      </w:r>
      <w:r>
        <w:rPr>
          <w:spacing w:val="-13"/>
        </w:rPr>
        <w:t xml:space="preserve"> </w:t>
      </w:r>
      <w:r>
        <w:t>factor</w:t>
      </w:r>
      <w:r>
        <w:rPr>
          <w:spacing w:val="-13"/>
        </w:rPr>
        <w:t xml:space="preserve"> </w:t>
      </w:r>
      <w:r>
        <w:t>has</w:t>
      </w:r>
      <w:r>
        <w:rPr>
          <w:spacing w:val="-13"/>
        </w:rPr>
        <w:t xml:space="preserve"> </w:t>
      </w:r>
      <w:r>
        <w:t>been</w:t>
      </w:r>
      <w:r>
        <w:rPr>
          <w:spacing w:val="-13"/>
        </w:rPr>
        <w:t xml:space="preserve"> </w:t>
      </w:r>
      <w:r>
        <w:t>recalibrated</w:t>
      </w:r>
      <w:r>
        <w:rPr>
          <w:spacing w:val="-12"/>
        </w:rPr>
        <w:t xml:space="preserve"> </w:t>
      </w:r>
      <w:r>
        <w:t>to</w:t>
      </w:r>
      <w:r>
        <w:rPr>
          <w:spacing w:val="-15"/>
        </w:rPr>
        <w:t xml:space="preserve"> </w:t>
      </w:r>
      <w:r>
        <w:t>1</w:t>
      </w:r>
      <w:r>
        <w:rPr>
          <w:spacing w:val="-16"/>
        </w:rPr>
        <w:t xml:space="preserve"> </w:t>
      </w:r>
      <w:r>
        <w:t>on</w:t>
      </w:r>
      <w:r>
        <w:rPr>
          <w:spacing w:val="-13"/>
        </w:rPr>
        <w:t xml:space="preserve"> </w:t>
      </w:r>
      <w:r>
        <w:t>a</w:t>
      </w:r>
      <w:r>
        <w:rPr>
          <w:spacing w:val="-13"/>
        </w:rPr>
        <w:t xml:space="preserve"> </w:t>
      </w:r>
      <w:r>
        <w:t>permanent</w:t>
      </w:r>
      <w:r>
        <w:rPr>
          <w:spacing w:val="-12"/>
        </w:rPr>
        <w:t xml:space="preserve"> </w:t>
      </w:r>
      <w:r>
        <w:t>basis</w:t>
      </w:r>
      <w:r>
        <w:rPr>
          <w:spacing w:val="-12"/>
        </w:rPr>
        <w:t xml:space="preserve"> </w:t>
      </w:r>
      <w:r>
        <w:t>in</w:t>
      </w:r>
      <w:r>
        <w:rPr>
          <w:spacing w:val="-13"/>
        </w:rPr>
        <w:t xml:space="preserve"> </w:t>
      </w:r>
      <w:r>
        <w:t>relation</w:t>
      </w:r>
      <w:r>
        <w:rPr>
          <w:spacing w:val="-13"/>
        </w:rPr>
        <w:t xml:space="preserve"> </w:t>
      </w:r>
      <w:r>
        <w:t>to</w:t>
      </w:r>
      <w:r>
        <w:rPr>
          <w:spacing w:val="-15"/>
        </w:rPr>
        <w:t xml:space="preserve"> </w:t>
      </w:r>
      <w:r>
        <w:t>exposures to commercial end-users and it was not limited to the RWA Output Floor application only. A review was also mandated</w:t>
      </w:r>
      <w:r>
        <w:rPr>
          <w:spacing w:val="-10"/>
        </w:rPr>
        <w:t xml:space="preserve"> </w:t>
      </w:r>
      <w:r>
        <w:t>in</w:t>
      </w:r>
      <w:r>
        <w:rPr>
          <w:spacing w:val="-7"/>
        </w:rPr>
        <w:t xml:space="preserve"> </w:t>
      </w:r>
      <w:r>
        <w:t>the</w:t>
      </w:r>
      <w:r>
        <w:rPr>
          <w:spacing w:val="-7"/>
        </w:rPr>
        <w:t xml:space="preserve"> </w:t>
      </w:r>
      <w:proofErr w:type="spellStart"/>
      <w:r>
        <w:t>Securitisation</w:t>
      </w:r>
      <w:proofErr w:type="spellEnd"/>
      <w:r>
        <w:rPr>
          <w:spacing w:val="-6"/>
        </w:rPr>
        <w:t xml:space="preserve"> </w:t>
      </w:r>
      <w:r>
        <w:t>Quick</w:t>
      </w:r>
      <w:r>
        <w:rPr>
          <w:spacing w:val="-7"/>
        </w:rPr>
        <w:t xml:space="preserve"> </w:t>
      </w:r>
      <w:r>
        <w:t>fix</w:t>
      </w:r>
      <w:r>
        <w:rPr>
          <w:spacing w:val="-10"/>
        </w:rPr>
        <w:t xml:space="preserve"> </w:t>
      </w:r>
      <w:r>
        <w:t>package</w:t>
      </w:r>
      <w:r>
        <w:rPr>
          <w:spacing w:val="-7"/>
        </w:rPr>
        <w:t xml:space="preserve"> </w:t>
      </w:r>
      <w:r>
        <w:t>for</w:t>
      </w:r>
      <w:r>
        <w:rPr>
          <w:spacing w:val="-10"/>
        </w:rPr>
        <w:t xml:space="preserve"> </w:t>
      </w:r>
      <w:r>
        <w:t>the</w:t>
      </w:r>
      <w:r>
        <w:rPr>
          <w:spacing w:val="-7"/>
        </w:rPr>
        <w:t xml:space="preserve"> </w:t>
      </w:r>
      <w:r>
        <w:t>Commission</w:t>
      </w:r>
      <w:r>
        <w:rPr>
          <w:spacing w:val="-7"/>
        </w:rPr>
        <w:t xml:space="preserve"> </w:t>
      </w:r>
      <w:r>
        <w:t>to</w:t>
      </w:r>
      <w:r>
        <w:rPr>
          <w:spacing w:val="-8"/>
        </w:rPr>
        <w:t xml:space="preserve"> </w:t>
      </w:r>
      <w:r>
        <w:t>review</w:t>
      </w:r>
      <w:r>
        <w:rPr>
          <w:spacing w:val="-6"/>
        </w:rPr>
        <w:t xml:space="preserve"> </w:t>
      </w:r>
      <w:r>
        <w:t>SA-CCR</w:t>
      </w:r>
      <w:r>
        <w:rPr>
          <w:spacing w:val="-9"/>
        </w:rPr>
        <w:t xml:space="preserve"> </w:t>
      </w:r>
      <w:r>
        <w:rPr>
          <w:spacing w:val="-3"/>
        </w:rPr>
        <w:t>in</w:t>
      </w:r>
      <w:r>
        <w:rPr>
          <w:spacing w:val="-7"/>
        </w:rPr>
        <w:t xml:space="preserve"> </w:t>
      </w:r>
      <w:r>
        <w:t>order</w:t>
      </w:r>
      <w:r>
        <w:rPr>
          <w:spacing w:val="-7"/>
        </w:rPr>
        <w:t xml:space="preserve"> </w:t>
      </w:r>
      <w:r>
        <w:t>to</w:t>
      </w:r>
      <w:r>
        <w:rPr>
          <w:spacing w:val="-8"/>
        </w:rPr>
        <w:t xml:space="preserve"> </w:t>
      </w:r>
      <w:r>
        <w:t>ensure</w:t>
      </w:r>
      <w:r>
        <w:rPr>
          <w:spacing w:val="-11"/>
        </w:rPr>
        <w:t xml:space="preserve"> </w:t>
      </w:r>
      <w:r>
        <w:t>that EU corporates were able to hedge their financial risks in the context of the recovery from the Covid-19 pandemic and taking into account, among others, the international level playing</w:t>
      </w:r>
      <w:r>
        <w:rPr>
          <w:spacing w:val="-20"/>
        </w:rPr>
        <w:t xml:space="preserve"> </w:t>
      </w:r>
      <w:r>
        <w:t>field.</w:t>
      </w:r>
    </w:p>
    <w:p w14:paraId="689E1F53" w14:textId="77777777" w:rsidR="00D24A18" w:rsidRDefault="00D24A18">
      <w:pPr>
        <w:pStyle w:val="BodyText"/>
        <w:rPr>
          <w:sz w:val="20"/>
        </w:rPr>
      </w:pPr>
    </w:p>
    <w:p w14:paraId="689E1F54" w14:textId="77777777" w:rsidR="00D24A18" w:rsidRDefault="00D24A18">
      <w:pPr>
        <w:pStyle w:val="BodyText"/>
        <w:rPr>
          <w:sz w:val="20"/>
        </w:rPr>
      </w:pPr>
    </w:p>
    <w:p w14:paraId="689E1F55" w14:textId="77777777" w:rsidR="00D24A18" w:rsidRDefault="00D24A18">
      <w:pPr>
        <w:pStyle w:val="BodyText"/>
        <w:rPr>
          <w:sz w:val="20"/>
        </w:rPr>
      </w:pPr>
    </w:p>
    <w:p w14:paraId="689E1F56" w14:textId="77777777" w:rsidR="00D24A18" w:rsidRDefault="00FC2908">
      <w:pPr>
        <w:pStyle w:val="BodyText"/>
        <w:spacing w:before="2"/>
        <w:rPr>
          <w:sz w:val="21"/>
        </w:rPr>
      </w:pPr>
      <w:r>
        <w:pict w14:anchorId="689E2448">
          <v:shape id="_x0000_s2164" style="position:absolute;margin-left:42.6pt;margin-top:14.7pt;width:2in;height:.1pt;z-index:-251646976;mso-wrap-distance-left:0;mso-wrap-distance-right:0;mso-position-horizontal-relative:page" coordorigin="852,294" coordsize="2880,0" path="m852,294r2880,e" filled="f" strokecolor="#78a12e" strokeweight=".21131mm">
            <v:path arrowok="t"/>
            <w10:wrap type="topAndBottom" anchorx="page"/>
          </v:shape>
        </w:pict>
      </w:r>
    </w:p>
    <w:p w14:paraId="689E1F57" w14:textId="77777777" w:rsidR="00D24A18" w:rsidRDefault="00350D62">
      <w:pPr>
        <w:spacing w:before="63"/>
        <w:ind w:left="192" w:right="408"/>
        <w:rPr>
          <w:sz w:val="16"/>
        </w:rPr>
      </w:pPr>
      <w:bookmarkStart w:id="15" w:name="_bookmark13"/>
      <w:bookmarkEnd w:id="15"/>
      <w:r>
        <w:rPr>
          <w:position w:val="4"/>
          <w:sz w:val="10"/>
        </w:rPr>
        <w:t xml:space="preserve">14 </w:t>
      </w:r>
      <w:r>
        <w:rPr>
          <w:sz w:val="16"/>
        </w:rPr>
        <w:t>CRR2 - Article 514 Method for the calculation of the exposure value of derivative transactions 1.EBA shall, by 28 June 2023, report to the Commission on the impact and the relative calibration of the approaches set out in Sections 3, 4 and 5 of Chapter 6 of Title II of Part Three to calculate the exposure values of derivative transactions</w:t>
      </w:r>
    </w:p>
    <w:p w14:paraId="689E1F58" w14:textId="77777777" w:rsidR="00D24A18" w:rsidRDefault="00D24A18">
      <w:pPr>
        <w:rPr>
          <w:sz w:val="16"/>
        </w:rPr>
        <w:sectPr w:rsidR="00D24A18">
          <w:pgSz w:w="11910" w:h="16840"/>
          <w:pgMar w:top="1580" w:right="440" w:bottom="1100" w:left="660" w:header="0" w:footer="914" w:gutter="0"/>
          <w:cols w:space="720"/>
        </w:sectPr>
      </w:pPr>
    </w:p>
    <w:p w14:paraId="689E1F59" w14:textId="77777777" w:rsidR="00D24A18" w:rsidRDefault="00D24A18">
      <w:pPr>
        <w:pStyle w:val="BodyText"/>
        <w:rPr>
          <w:sz w:val="20"/>
        </w:rPr>
      </w:pPr>
    </w:p>
    <w:p w14:paraId="689E1F5A" w14:textId="77777777" w:rsidR="00D24A18" w:rsidRDefault="00D24A18">
      <w:pPr>
        <w:pStyle w:val="BodyText"/>
        <w:spacing w:before="8"/>
        <w:rPr>
          <w:sz w:val="28"/>
        </w:rPr>
      </w:pPr>
    </w:p>
    <w:p w14:paraId="689E1F5B" w14:textId="77777777" w:rsidR="00D24A18" w:rsidRDefault="00350D62">
      <w:pPr>
        <w:pStyle w:val="Heading3"/>
        <w:spacing w:before="100"/>
        <w:ind w:left="192"/>
        <w:jc w:val="both"/>
      </w:pPr>
      <w:proofErr w:type="spellStart"/>
      <w:r>
        <w:t>Securitisation</w:t>
      </w:r>
      <w:proofErr w:type="spellEnd"/>
      <w:r>
        <w:t xml:space="preserve"> Review</w:t>
      </w:r>
    </w:p>
    <w:p w14:paraId="689E1F5C" w14:textId="77777777" w:rsidR="00D24A18" w:rsidRDefault="00D24A18">
      <w:pPr>
        <w:pStyle w:val="BodyText"/>
        <w:spacing w:before="1"/>
        <w:rPr>
          <w:b/>
          <w:sz w:val="27"/>
        </w:rPr>
      </w:pPr>
    </w:p>
    <w:p w14:paraId="689E1F5D" w14:textId="77777777" w:rsidR="00D24A18" w:rsidRDefault="00350D62">
      <w:pPr>
        <w:pStyle w:val="BodyText"/>
        <w:spacing w:line="276" w:lineRule="auto"/>
        <w:ind w:left="191" w:right="406"/>
        <w:jc w:val="both"/>
      </w:pPr>
      <w:r>
        <w:t xml:space="preserve">Whilst the prudential treatment of </w:t>
      </w:r>
      <w:proofErr w:type="spellStart"/>
      <w:r>
        <w:t>securitisations</w:t>
      </w:r>
      <w:proofErr w:type="spellEnd"/>
      <w:r>
        <w:t xml:space="preserve"> does not feature in the CRR3 proposals, the CRR already includes a mandate for a review of the </w:t>
      </w:r>
      <w:proofErr w:type="spellStart"/>
      <w:r>
        <w:t>securitisation</w:t>
      </w:r>
      <w:proofErr w:type="spellEnd"/>
      <w:r>
        <w:t xml:space="preserve"> framework per Article 519a. The review was originally due</w:t>
      </w:r>
      <w:r>
        <w:rPr>
          <w:spacing w:val="-6"/>
        </w:rPr>
        <w:t xml:space="preserve"> </w:t>
      </w:r>
      <w:r>
        <w:t>by</w:t>
      </w:r>
      <w:r>
        <w:rPr>
          <w:spacing w:val="-6"/>
        </w:rPr>
        <w:t xml:space="preserve"> </w:t>
      </w:r>
      <w:r>
        <w:t>1</w:t>
      </w:r>
      <w:r>
        <w:rPr>
          <w:spacing w:val="-8"/>
        </w:rPr>
        <w:t xml:space="preserve"> </w:t>
      </w:r>
      <w:r>
        <w:t>January</w:t>
      </w:r>
      <w:r>
        <w:rPr>
          <w:spacing w:val="-6"/>
        </w:rPr>
        <w:t xml:space="preserve"> </w:t>
      </w:r>
      <w:r>
        <w:t>2022,</w:t>
      </w:r>
      <w:r>
        <w:rPr>
          <w:spacing w:val="-4"/>
        </w:rPr>
        <w:t xml:space="preserve"> </w:t>
      </w:r>
      <w:r>
        <w:t>but</w:t>
      </w:r>
      <w:r>
        <w:rPr>
          <w:spacing w:val="-5"/>
        </w:rPr>
        <w:t xml:space="preserve"> </w:t>
      </w:r>
      <w:r>
        <w:t>the</w:t>
      </w:r>
      <w:r>
        <w:rPr>
          <w:spacing w:val="-5"/>
        </w:rPr>
        <w:t xml:space="preserve"> </w:t>
      </w:r>
      <w:r>
        <w:t>European</w:t>
      </w:r>
      <w:r>
        <w:rPr>
          <w:spacing w:val="-6"/>
        </w:rPr>
        <w:t xml:space="preserve"> </w:t>
      </w:r>
      <w:r>
        <w:t>Commission</w:t>
      </w:r>
      <w:r>
        <w:rPr>
          <w:spacing w:val="-6"/>
        </w:rPr>
        <w:t xml:space="preserve"> </w:t>
      </w:r>
      <w:r>
        <w:t>revised</w:t>
      </w:r>
      <w:r>
        <w:rPr>
          <w:spacing w:val="-4"/>
        </w:rPr>
        <w:t xml:space="preserve"> </w:t>
      </w:r>
      <w:r>
        <w:t>this</w:t>
      </w:r>
      <w:r>
        <w:rPr>
          <w:spacing w:val="-5"/>
        </w:rPr>
        <w:t xml:space="preserve"> </w:t>
      </w:r>
      <w:r>
        <w:t>deadline</w:t>
      </w:r>
      <w:r>
        <w:rPr>
          <w:spacing w:val="-6"/>
        </w:rPr>
        <w:t xml:space="preserve"> </w:t>
      </w:r>
      <w:r>
        <w:t>to</w:t>
      </w:r>
      <w:r>
        <w:rPr>
          <w:spacing w:val="-7"/>
        </w:rPr>
        <w:t xml:space="preserve"> </w:t>
      </w:r>
      <w:r>
        <w:t>1</w:t>
      </w:r>
      <w:r>
        <w:rPr>
          <w:spacing w:val="-9"/>
        </w:rPr>
        <w:t xml:space="preserve"> </w:t>
      </w:r>
      <w:r>
        <w:t>September</w:t>
      </w:r>
      <w:r>
        <w:rPr>
          <w:spacing w:val="-6"/>
        </w:rPr>
        <w:t xml:space="preserve"> </w:t>
      </w:r>
      <w:r>
        <w:t>2022</w:t>
      </w:r>
      <w:r>
        <w:rPr>
          <w:spacing w:val="-8"/>
        </w:rPr>
        <w:t xml:space="preserve"> </w:t>
      </w:r>
      <w:r>
        <w:t>in</w:t>
      </w:r>
      <w:r>
        <w:rPr>
          <w:spacing w:val="-6"/>
        </w:rPr>
        <w:t xml:space="preserve"> </w:t>
      </w:r>
      <w:r>
        <w:t>its</w:t>
      </w:r>
      <w:r>
        <w:rPr>
          <w:spacing w:val="-6"/>
        </w:rPr>
        <w:t xml:space="preserve"> </w:t>
      </w:r>
      <w:r>
        <w:t>call</w:t>
      </w:r>
      <w:r>
        <w:rPr>
          <w:spacing w:val="-6"/>
        </w:rPr>
        <w:t xml:space="preserve"> </w:t>
      </w:r>
      <w:r>
        <w:t>for advice to the Joint Committee (JC) of the ESAs</w:t>
      </w:r>
      <w:hyperlink w:anchor="_bookmark14" w:history="1">
        <w:r>
          <w:rPr>
            <w:position w:val="5"/>
            <w:sz w:val="14"/>
          </w:rPr>
          <w:t>15</w:t>
        </w:r>
      </w:hyperlink>
      <w:r>
        <w:t xml:space="preserve">. We believe this review is essential and international regulatory developments, such as the introduction of the Output Floor will have a significant impact on prudential requirements for </w:t>
      </w:r>
      <w:proofErr w:type="spellStart"/>
      <w:r>
        <w:t>securitisations</w:t>
      </w:r>
      <w:proofErr w:type="spellEnd"/>
      <w:r>
        <w:t xml:space="preserve"> that require consideration. Industry will provide detailed feedback to the JC of the ESAs for consideration, including a recalibration of the p-factor, and we believe it imperative that policy makers consider this work stream in tandem with the ongoing CRR3 proposals to ensure coherence and appropriate calibration of the prudential framework as a</w:t>
      </w:r>
      <w:r>
        <w:rPr>
          <w:spacing w:val="-7"/>
        </w:rPr>
        <w:t xml:space="preserve"> </w:t>
      </w:r>
      <w:r>
        <w:t>whole.</w:t>
      </w:r>
    </w:p>
    <w:p w14:paraId="689E1F5E" w14:textId="77777777" w:rsidR="00D24A18" w:rsidRDefault="00D24A18">
      <w:pPr>
        <w:pStyle w:val="BodyText"/>
        <w:rPr>
          <w:sz w:val="20"/>
        </w:rPr>
      </w:pPr>
    </w:p>
    <w:p w14:paraId="689E1F5F" w14:textId="77777777" w:rsidR="00D24A18" w:rsidRDefault="00D24A18">
      <w:pPr>
        <w:pStyle w:val="BodyText"/>
        <w:rPr>
          <w:sz w:val="20"/>
        </w:rPr>
      </w:pPr>
    </w:p>
    <w:p w14:paraId="689E1F60" w14:textId="77777777" w:rsidR="00D24A18" w:rsidRDefault="00D24A18">
      <w:pPr>
        <w:pStyle w:val="BodyText"/>
        <w:rPr>
          <w:sz w:val="20"/>
        </w:rPr>
      </w:pPr>
    </w:p>
    <w:p w14:paraId="689E1F61" w14:textId="77777777" w:rsidR="00D24A18" w:rsidRDefault="00D24A18">
      <w:pPr>
        <w:pStyle w:val="BodyText"/>
        <w:rPr>
          <w:sz w:val="20"/>
        </w:rPr>
      </w:pPr>
    </w:p>
    <w:p w14:paraId="689E1F62" w14:textId="77777777" w:rsidR="00D24A18" w:rsidRDefault="00D24A18">
      <w:pPr>
        <w:pStyle w:val="BodyText"/>
        <w:rPr>
          <w:sz w:val="20"/>
        </w:rPr>
      </w:pPr>
    </w:p>
    <w:p w14:paraId="689E1F63" w14:textId="77777777" w:rsidR="00D24A18" w:rsidRDefault="00D24A18">
      <w:pPr>
        <w:pStyle w:val="BodyText"/>
        <w:rPr>
          <w:sz w:val="20"/>
        </w:rPr>
      </w:pPr>
    </w:p>
    <w:p w14:paraId="689E1F64" w14:textId="77777777" w:rsidR="00D24A18" w:rsidRDefault="00D24A18">
      <w:pPr>
        <w:pStyle w:val="BodyText"/>
        <w:rPr>
          <w:sz w:val="20"/>
        </w:rPr>
      </w:pPr>
    </w:p>
    <w:p w14:paraId="689E1F65" w14:textId="77777777" w:rsidR="00D24A18" w:rsidRDefault="00D24A18">
      <w:pPr>
        <w:pStyle w:val="BodyText"/>
        <w:rPr>
          <w:sz w:val="20"/>
        </w:rPr>
      </w:pPr>
    </w:p>
    <w:p w14:paraId="689E1F66" w14:textId="77777777" w:rsidR="00D24A18" w:rsidRDefault="00D24A18">
      <w:pPr>
        <w:pStyle w:val="BodyText"/>
        <w:rPr>
          <w:sz w:val="20"/>
        </w:rPr>
      </w:pPr>
    </w:p>
    <w:p w14:paraId="689E1F67" w14:textId="77777777" w:rsidR="00D24A18" w:rsidRDefault="00D24A18">
      <w:pPr>
        <w:pStyle w:val="BodyText"/>
        <w:rPr>
          <w:sz w:val="20"/>
        </w:rPr>
      </w:pPr>
    </w:p>
    <w:p w14:paraId="689E1F68" w14:textId="77777777" w:rsidR="00D24A18" w:rsidRDefault="00D24A18">
      <w:pPr>
        <w:pStyle w:val="BodyText"/>
        <w:rPr>
          <w:sz w:val="20"/>
        </w:rPr>
      </w:pPr>
    </w:p>
    <w:p w14:paraId="689E1F69" w14:textId="77777777" w:rsidR="00D24A18" w:rsidRDefault="00D24A18">
      <w:pPr>
        <w:pStyle w:val="BodyText"/>
        <w:rPr>
          <w:sz w:val="20"/>
        </w:rPr>
      </w:pPr>
    </w:p>
    <w:p w14:paraId="689E1F6A" w14:textId="77777777" w:rsidR="00D24A18" w:rsidRDefault="00D24A18">
      <w:pPr>
        <w:pStyle w:val="BodyText"/>
        <w:rPr>
          <w:sz w:val="20"/>
        </w:rPr>
      </w:pPr>
    </w:p>
    <w:p w14:paraId="689E1F6B" w14:textId="77777777" w:rsidR="00D24A18" w:rsidRDefault="00D24A18">
      <w:pPr>
        <w:pStyle w:val="BodyText"/>
        <w:rPr>
          <w:sz w:val="20"/>
        </w:rPr>
      </w:pPr>
    </w:p>
    <w:p w14:paraId="689E1F6C" w14:textId="77777777" w:rsidR="00D24A18" w:rsidRDefault="00D24A18">
      <w:pPr>
        <w:pStyle w:val="BodyText"/>
        <w:rPr>
          <w:sz w:val="20"/>
        </w:rPr>
      </w:pPr>
    </w:p>
    <w:p w14:paraId="689E1F6D" w14:textId="77777777" w:rsidR="00D24A18" w:rsidRDefault="00D24A18">
      <w:pPr>
        <w:pStyle w:val="BodyText"/>
        <w:rPr>
          <w:sz w:val="20"/>
        </w:rPr>
      </w:pPr>
    </w:p>
    <w:p w14:paraId="689E1F6E" w14:textId="77777777" w:rsidR="00D24A18" w:rsidRDefault="00D24A18">
      <w:pPr>
        <w:pStyle w:val="BodyText"/>
        <w:rPr>
          <w:sz w:val="20"/>
        </w:rPr>
      </w:pPr>
    </w:p>
    <w:p w14:paraId="689E1F6F" w14:textId="77777777" w:rsidR="00D24A18" w:rsidRDefault="00D24A18">
      <w:pPr>
        <w:pStyle w:val="BodyText"/>
        <w:rPr>
          <w:sz w:val="20"/>
        </w:rPr>
      </w:pPr>
    </w:p>
    <w:p w14:paraId="689E1F70" w14:textId="77777777" w:rsidR="00D24A18" w:rsidRDefault="00D24A18">
      <w:pPr>
        <w:pStyle w:val="BodyText"/>
        <w:rPr>
          <w:sz w:val="20"/>
        </w:rPr>
      </w:pPr>
    </w:p>
    <w:p w14:paraId="689E1F71" w14:textId="77777777" w:rsidR="00D24A18" w:rsidRDefault="00D24A18">
      <w:pPr>
        <w:pStyle w:val="BodyText"/>
        <w:rPr>
          <w:sz w:val="20"/>
        </w:rPr>
      </w:pPr>
    </w:p>
    <w:p w14:paraId="689E1F72" w14:textId="77777777" w:rsidR="00D24A18" w:rsidRDefault="00D24A18">
      <w:pPr>
        <w:pStyle w:val="BodyText"/>
        <w:rPr>
          <w:sz w:val="20"/>
        </w:rPr>
      </w:pPr>
    </w:p>
    <w:p w14:paraId="689E1F73" w14:textId="77777777" w:rsidR="00D24A18" w:rsidRDefault="00D24A18">
      <w:pPr>
        <w:pStyle w:val="BodyText"/>
        <w:rPr>
          <w:sz w:val="20"/>
        </w:rPr>
      </w:pPr>
    </w:p>
    <w:p w14:paraId="689E1F74" w14:textId="77777777" w:rsidR="00D24A18" w:rsidRDefault="00D24A18">
      <w:pPr>
        <w:pStyle w:val="BodyText"/>
        <w:rPr>
          <w:sz w:val="20"/>
        </w:rPr>
      </w:pPr>
    </w:p>
    <w:p w14:paraId="689E1F75" w14:textId="77777777" w:rsidR="00D24A18" w:rsidRDefault="00D24A18">
      <w:pPr>
        <w:pStyle w:val="BodyText"/>
        <w:rPr>
          <w:sz w:val="20"/>
        </w:rPr>
      </w:pPr>
    </w:p>
    <w:p w14:paraId="689E1F76" w14:textId="77777777" w:rsidR="00D24A18" w:rsidRDefault="00D24A18">
      <w:pPr>
        <w:pStyle w:val="BodyText"/>
        <w:rPr>
          <w:sz w:val="20"/>
        </w:rPr>
      </w:pPr>
    </w:p>
    <w:p w14:paraId="689E1F77" w14:textId="77777777" w:rsidR="00D24A18" w:rsidRDefault="00D24A18">
      <w:pPr>
        <w:pStyle w:val="BodyText"/>
        <w:rPr>
          <w:sz w:val="20"/>
        </w:rPr>
      </w:pPr>
    </w:p>
    <w:p w14:paraId="689E1F78" w14:textId="77777777" w:rsidR="00D24A18" w:rsidRDefault="00D24A18">
      <w:pPr>
        <w:pStyle w:val="BodyText"/>
        <w:rPr>
          <w:sz w:val="20"/>
        </w:rPr>
      </w:pPr>
    </w:p>
    <w:p w14:paraId="689E1F79" w14:textId="77777777" w:rsidR="00D24A18" w:rsidRDefault="00D24A18">
      <w:pPr>
        <w:pStyle w:val="BodyText"/>
        <w:rPr>
          <w:sz w:val="20"/>
        </w:rPr>
      </w:pPr>
    </w:p>
    <w:p w14:paraId="689E1F7A" w14:textId="77777777" w:rsidR="00D24A18" w:rsidRDefault="00D24A18">
      <w:pPr>
        <w:pStyle w:val="BodyText"/>
        <w:rPr>
          <w:sz w:val="20"/>
        </w:rPr>
      </w:pPr>
    </w:p>
    <w:p w14:paraId="689E1F7B" w14:textId="77777777" w:rsidR="00D24A18" w:rsidRDefault="00D24A18">
      <w:pPr>
        <w:pStyle w:val="BodyText"/>
        <w:rPr>
          <w:sz w:val="20"/>
        </w:rPr>
      </w:pPr>
    </w:p>
    <w:p w14:paraId="689E1F7C" w14:textId="77777777" w:rsidR="00D24A18" w:rsidRDefault="00D24A18">
      <w:pPr>
        <w:pStyle w:val="BodyText"/>
        <w:rPr>
          <w:sz w:val="20"/>
        </w:rPr>
      </w:pPr>
    </w:p>
    <w:p w14:paraId="689E1F7D" w14:textId="77777777" w:rsidR="00D24A18" w:rsidRDefault="00D24A18">
      <w:pPr>
        <w:pStyle w:val="BodyText"/>
        <w:rPr>
          <w:sz w:val="20"/>
        </w:rPr>
      </w:pPr>
    </w:p>
    <w:p w14:paraId="689E1F7E" w14:textId="77777777" w:rsidR="00D24A18" w:rsidRDefault="00D24A18">
      <w:pPr>
        <w:pStyle w:val="BodyText"/>
        <w:rPr>
          <w:sz w:val="20"/>
        </w:rPr>
      </w:pPr>
    </w:p>
    <w:p w14:paraId="689E1F7F" w14:textId="77777777" w:rsidR="00D24A18" w:rsidRDefault="00D24A18">
      <w:pPr>
        <w:pStyle w:val="BodyText"/>
        <w:rPr>
          <w:sz w:val="20"/>
        </w:rPr>
      </w:pPr>
    </w:p>
    <w:p w14:paraId="689E1F80" w14:textId="77777777" w:rsidR="00D24A18" w:rsidRDefault="00D24A18">
      <w:pPr>
        <w:pStyle w:val="BodyText"/>
        <w:rPr>
          <w:sz w:val="20"/>
        </w:rPr>
      </w:pPr>
    </w:p>
    <w:p w14:paraId="689E1F81" w14:textId="77777777" w:rsidR="00D24A18" w:rsidRDefault="00D24A18">
      <w:pPr>
        <w:pStyle w:val="BodyText"/>
        <w:rPr>
          <w:sz w:val="20"/>
        </w:rPr>
      </w:pPr>
    </w:p>
    <w:p w14:paraId="689E1F82" w14:textId="77777777" w:rsidR="00D24A18" w:rsidRDefault="00FC2908">
      <w:pPr>
        <w:pStyle w:val="BodyText"/>
        <w:spacing w:before="8"/>
        <w:rPr>
          <w:sz w:val="28"/>
        </w:rPr>
      </w:pPr>
      <w:r>
        <w:pict w14:anchorId="689E2449">
          <v:shape id="_x0000_s2163" style="position:absolute;margin-left:42.6pt;margin-top:19.05pt;width:2in;height:.1pt;z-index:-251645952;mso-wrap-distance-left:0;mso-wrap-distance-right:0;mso-position-horizontal-relative:page" coordorigin="852,381" coordsize="2880,0" path="m852,381r2880,e" filled="f" strokecolor="#78a12e" strokeweight=".21131mm">
            <v:path arrowok="t"/>
            <w10:wrap type="topAndBottom" anchorx="page"/>
          </v:shape>
        </w:pict>
      </w:r>
    </w:p>
    <w:p w14:paraId="689E1F83" w14:textId="77777777" w:rsidR="00D24A18" w:rsidRDefault="00350D62">
      <w:pPr>
        <w:spacing w:before="135"/>
        <w:ind w:left="192"/>
        <w:rPr>
          <w:sz w:val="16"/>
        </w:rPr>
      </w:pPr>
      <w:bookmarkStart w:id="16" w:name="_bookmark14"/>
      <w:bookmarkEnd w:id="16"/>
      <w:r>
        <w:rPr>
          <w:position w:val="4"/>
          <w:sz w:val="10"/>
        </w:rPr>
        <w:t xml:space="preserve">15 </w:t>
      </w:r>
      <w:r>
        <w:rPr>
          <w:sz w:val="16"/>
        </w:rPr>
        <w:t xml:space="preserve">Call for advice – See </w:t>
      </w:r>
      <w:hyperlink r:id="rId18">
        <w:r>
          <w:rPr>
            <w:color w:val="78A12E"/>
            <w:sz w:val="16"/>
            <w:u w:val="single" w:color="78A12E"/>
          </w:rPr>
          <w:t>(link</w:t>
        </w:r>
      </w:hyperlink>
      <w:r>
        <w:rPr>
          <w:sz w:val="16"/>
        </w:rPr>
        <w:t>)</w:t>
      </w:r>
    </w:p>
    <w:p w14:paraId="689E1F84" w14:textId="77777777" w:rsidR="00D24A18" w:rsidRDefault="00D24A18">
      <w:pPr>
        <w:rPr>
          <w:sz w:val="16"/>
        </w:rPr>
        <w:sectPr w:rsidR="00D24A18">
          <w:pgSz w:w="11910" w:h="16840"/>
          <w:pgMar w:top="1580" w:right="440" w:bottom="1100" w:left="660" w:header="0" w:footer="914" w:gutter="0"/>
          <w:cols w:space="720"/>
        </w:sectPr>
      </w:pPr>
    </w:p>
    <w:p w14:paraId="689E1F85" w14:textId="77777777" w:rsidR="00D24A18" w:rsidRDefault="00D24A18">
      <w:pPr>
        <w:pStyle w:val="BodyText"/>
        <w:rPr>
          <w:sz w:val="20"/>
        </w:rPr>
      </w:pPr>
    </w:p>
    <w:p w14:paraId="689E1F86" w14:textId="77777777" w:rsidR="00D24A18" w:rsidRDefault="00D24A18">
      <w:pPr>
        <w:pStyle w:val="BodyText"/>
        <w:rPr>
          <w:sz w:val="29"/>
        </w:rPr>
      </w:pPr>
    </w:p>
    <w:p w14:paraId="689E1F87" w14:textId="77777777" w:rsidR="00D24A18" w:rsidRDefault="00350D62">
      <w:pPr>
        <w:pStyle w:val="Heading3"/>
        <w:spacing w:before="100"/>
        <w:ind w:left="287"/>
      </w:pPr>
      <w:r>
        <w:t>Contacts</w:t>
      </w:r>
    </w:p>
    <w:p w14:paraId="689E1F88" w14:textId="77777777" w:rsidR="00D24A18" w:rsidRDefault="00D24A18">
      <w:pPr>
        <w:pStyle w:val="BodyText"/>
        <w:rPr>
          <w:b/>
          <w:sz w:val="20"/>
        </w:rPr>
      </w:pPr>
    </w:p>
    <w:p w14:paraId="689E1F89" w14:textId="77777777" w:rsidR="00D24A18" w:rsidRDefault="00D24A18">
      <w:pPr>
        <w:pStyle w:val="BodyText"/>
        <w:spacing w:before="7" w:after="1"/>
        <w:rPr>
          <w:b/>
          <w:sz w:val="14"/>
        </w:rPr>
      </w:pPr>
    </w:p>
    <w:tbl>
      <w:tblPr>
        <w:tblW w:w="0" w:type="auto"/>
        <w:tblInd w:w="107" w:type="dxa"/>
        <w:tblLayout w:type="fixed"/>
        <w:tblCellMar>
          <w:left w:w="0" w:type="dxa"/>
          <w:right w:w="0" w:type="dxa"/>
        </w:tblCellMar>
        <w:tblLook w:val="01E0" w:firstRow="1" w:lastRow="1" w:firstColumn="1" w:lastColumn="1" w:noHBand="0" w:noVBand="0"/>
      </w:tblPr>
      <w:tblGrid>
        <w:gridCol w:w="5549"/>
        <w:gridCol w:w="5052"/>
      </w:tblGrid>
      <w:tr w:rsidR="00D24A18" w14:paraId="689E1F8C" w14:textId="77777777">
        <w:trPr>
          <w:trHeight w:val="260"/>
        </w:trPr>
        <w:tc>
          <w:tcPr>
            <w:tcW w:w="5549" w:type="dxa"/>
          </w:tcPr>
          <w:p w14:paraId="689E1F8A" w14:textId="77777777" w:rsidR="00D24A18" w:rsidRDefault="00350D62">
            <w:pPr>
              <w:pStyle w:val="TableParagraph"/>
              <w:spacing w:before="4" w:line="236" w:lineRule="exact"/>
              <w:rPr>
                <w:b/>
                <w:i/>
              </w:rPr>
            </w:pPr>
            <w:r>
              <w:rPr>
                <w:b/>
                <w:i/>
              </w:rPr>
              <w:t>AFME London:</w:t>
            </w:r>
          </w:p>
        </w:tc>
        <w:tc>
          <w:tcPr>
            <w:tcW w:w="5052" w:type="dxa"/>
          </w:tcPr>
          <w:p w14:paraId="689E1F8B" w14:textId="77777777" w:rsidR="00D24A18" w:rsidRDefault="00350D62">
            <w:pPr>
              <w:pStyle w:val="TableParagraph"/>
              <w:spacing w:line="240" w:lineRule="exact"/>
              <w:ind w:left="175"/>
              <w:rPr>
                <w:b/>
                <w:i/>
              </w:rPr>
            </w:pPr>
            <w:r>
              <w:rPr>
                <w:b/>
                <w:i/>
              </w:rPr>
              <w:t>AFME Brussels:</w:t>
            </w:r>
          </w:p>
        </w:tc>
      </w:tr>
      <w:tr w:rsidR="00D24A18" w:rsidRPr="00065BBC" w14:paraId="689E1F8F" w14:textId="77777777">
        <w:trPr>
          <w:trHeight w:val="260"/>
        </w:trPr>
        <w:tc>
          <w:tcPr>
            <w:tcW w:w="5549" w:type="dxa"/>
          </w:tcPr>
          <w:p w14:paraId="689E1F8D" w14:textId="77777777" w:rsidR="00D24A18" w:rsidRDefault="00350D62">
            <w:pPr>
              <w:pStyle w:val="TableParagraph"/>
              <w:spacing w:line="240" w:lineRule="exact"/>
            </w:pPr>
            <w:r>
              <w:t xml:space="preserve">Constance Usherwood, </w:t>
            </w:r>
            <w:hyperlink r:id="rId19">
              <w:r>
                <w:rPr>
                  <w:color w:val="78A12E"/>
                  <w:u w:val="single" w:color="78A12E"/>
                </w:rPr>
                <w:t>constance.usherwood@afme.eu</w:t>
              </w:r>
            </w:hyperlink>
          </w:p>
        </w:tc>
        <w:tc>
          <w:tcPr>
            <w:tcW w:w="5052" w:type="dxa"/>
          </w:tcPr>
          <w:p w14:paraId="689E1F8E" w14:textId="77777777" w:rsidR="00D24A18" w:rsidRPr="00065BBC" w:rsidRDefault="00350D62">
            <w:pPr>
              <w:pStyle w:val="TableParagraph"/>
              <w:spacing w:before="3" w:line="236" w:lineRule="exact"/>
              <w:ind w:left="175"/>
              <w:rPr>
                <w:lang w:val="it-IT"/>
              </w:rPr>
            </w:pPr>
            <w:r w:rsidRPr="00065BBC">
              <w:rPr>
                <w:lang w:val="it-IT"/>
              </w:rPr>
              <w:t xml:space="preserve">Stefano Mazzocchi, </w:t>
            </w:r>
            <w:hyperlink r:id="rId20">
              <w:r w:rsidRPr="00065BBC">
                <w:rPr>
                  <w:color w:val="78A12E"/>
                  <w:u w:val="single" w:color="78A12E"/>
                  <w:lang w:val="it-IT"/>
                </w:rPr>
                <w:t>stefano.mazzocchi@afme.eu</w:t>
              </w:r>
            </w:hyperlink>
          </w:p>
        </w:tc>
      </w:tr>
      <w:tr w:rsidR="00D24A18" w14:paraId="689E1F92" w14:textId="77777777">
        <w:trPr>
          <w:trHeight w:val="386"/>
        </w:trPr>
        <w:tc>
          <w:tcPr>
            <w:tcW w:w="5549" w:type="dxa"/>
          </w:tcPr>
          <w:p w14:paraId="689E1F90" w14:textId="77777777" w:rsidR="00D24A18" w:rsidRDefault="00350D62">
            <w:pPr>
              <w:pStyle w:val="TableParagraph"/>
              <w:spacing w:line="257" w:lineRule="exact"/>
            </w:pPr>
            <w:r>
              <w:t>+44 (0)20 3828 2719</w:t>
            </w:r>
          </w:p>
        </w:tc>
        <w:tc>
          <w:tcPr>
            <w:tcW w:w="5052" w:type="dxa"/>
          </w:tcPr>
          <w:p w14:paraId="689E1F91" w14:textId="77777777" w:rsidR="00D24A18" w:rsidRDefault="00350D62">
            <w:pPr>
              <w:pStyle w:val="TableParagraph"/>
              <w:spacing w:line="257" w:lineRule="exact"/>
              <w:ind w:left="175"/>
            </w:pPr>
            <w:r>
              <w:t>+32 (0)2 788 3972</w:t>
            </w:r>
          </w:p>
        </w:tc>
      </w:tr>
      <w:tr w:rsidR="00D24A18" w14:paraId="689E1F95" w14:textId="77777777">
        <w:trPr>
          <w:trHeight w:val="386"/>
        </w:trPr>
        <w:tc>
          <w:tcPr>
            <w:tcW w:w="5549" w:type="dxa"/>
          </w:tcPr>
          <w:p w14:paraId="689E1F93" w14:textId="77777777" w:rsidR="00D24A18" w:rsidRDefault="00350D62">
            <w:pPr>
              <w:pStyle w:val="TableParagraph"/>
              <w:spacing w:before="129" w:line="237" w:lineRule="exact"/>
              <w:rPr>
                <w:b/>
                <w:i/>
              </w:rPr>
            </w:pPr>
            <w:r>
              <w:rPr>
                <w:b/>
                <w:i/>
              </w:rPr>
              <w:t>ISDA London:</w:t>
            </w:r>
          </w:p>
        </w:tc>
        <w:tc>
          <w:tcPr>
            <w:tcW w:w="5052" w:type="dxa"/>
          </w:tcPr>
          <w:p w14:paraId="689E1F94" w14:textId="77777777" w:rsidR="00D24A18" w:rsidRDefault="00350D62">
            <w:pPr>
              <w:pStyle w:val="TableParagraph"/>
              <w:spacing w:before="129" w:line="237" w:lineRule="exact"/>
              <w:ind w:left="175"/>
              <w:rPr>
                <w:b/>
                <w:i/>
              </w:rPr>
            </w:pPr>
            <w:r>
              <w:rPr>
                <w:b/>
                <w:i/>
              </w:rPr>
              <w:t>ISDA Brussels:</w:t>
            </w:r>
          </w:p>
        </w:tc>
      </w:tr>
      <w:tr w:rsidR="00D24A18" w:rsidRPr="00065BBC" w14:paraId="689E1F98" w14:textId="77777777">
        <w:trPr>
          <w:trHeight w:val="259"/>
        </w:trPr>
        <w:tc>
          <w:tcPr>
            <w:tcW w:w="5549" w:type="dxa"/>
          </w:tcPr>
          <w:p w14:paraId="689E1F96" w14:textId="77777777" w:rsidR="00D24A18" w:rsidRPr="00065BBC" w:rsidRDefault="00350D62">
            <w:pPr>
              <w:pStyle w:val="TableParagraph"/>
              <w:spacing w:line="240" w:lineRule="exact"/>
              <w:rPr>
                <w:lang w:val="nb-NO"/>
              </w:rPr>
            </w:pPr>
            <w:r w:rsidRPr="00065BBC">
              <w:rPr>
                <w:lang w:val="nb-NO"/>
              </w:rPr>
              <w:t xml:space="preserve">Gregg Jones, </w:t>
            </w:r>
            <w:hyperlink r:id="rId21">
              <w:r w:rsidRPr="00065BBC">
                <w:rPr>
                  <w:color w:val="78A12E"/>
                  <w:u w:val="single" w:color="78A12E"/>
                  <w:lang w:val="nb-NO"/>
                </w:rPr>
                <w:t>gjones@isda.org</w:t>
              </w:r>
            </w:hyperlink>
          </w:p>
        </w:tc>
        <w:tc>
          <w:tcPr>
            <w:tcW w:w="5052" w:type="dxa"/>
          </w:tcPr>
          <w:p w14:paraId="689E1F97" w14:textId="77777777" w:rsidR="00D24A18" w:rsidRPr="00065BBC" w:rsidRDefault="00350D62">
            <w:pPr>
              <w:pStyle w:val="TableParagraph"/>
              <w:spacing w:before="3" w:line="236" w:lineRule="exact"/>
              <w:ind w:left="175"/>
              <w:rPr>
                <w:lang w:val="it-IT"/>
              </w:rPr>
            </w:pPr>
            <w:r w:rsidRPr="00065BBC">
              <w:rPr>
                <w:lang w:val="it-IT"/>
              </w:rPr>
              <w:t xml:space="preserve">Sandrine Lapinsonniere, </w:t>
            </w:r>
            <w:hyperlink r:id="rId22">
              <w:r w:rsidRPr="00065BBC">
                <w:rPr>
                  <w:color w:val="78A12E"/>
                  <w:u w:val="single" w:color="78A12E"/>
                  <w:lang w:val="it-IT"/>
                </w:rPr>
                <w:t>slapinsonniere@isda.org</w:t>
              </w:r>
            </w:hyperlink>
          </w:p>
        </w:tc>
      </w:tr>
      <w:tr w:rsidR="00D24A18" w14:paraId="689E1F9B" w14:textId="77777777">
        <w:trPr>
          <w:trHeight w:val="257"/>
        </w:trPr>
        <w:tc>
          <w:tcPr>
            <w:tcW w:w="5549" w:type="dxa"/>
          </w:tcPr>
          <w:p w14:paraId="689E1F99" w14:textId="77777777" w:rsidR="00D24A18" w:rsidRDefault="00350D62">
            <w:pPr>
              <w:pStyle w:val="TableParagraph"/>
              <w:spacing w:line="237" w:lineRule="exact"/>
            </w:pPr>
            <w:r>
              <w:t>+44 (0)20 3808 9746</w:t>
            </w:r>
          </w:p>
        </w:tc>
        <w:tc>
          <w:tcPr>
            <w:tcW w:w="5052" w:type="dxa"/>
          </w:tcPr>
          <w:p w14:paraId="689E1F9A" w14:textId="77777777" w:rsidR="00D24A18" w:rsidRDefault="00350D62">
            <w:pPr>
              <w:pStyle w:val="TableParagraph"/>
              <w:spacing w:line="237" w:lineRule="exact"/>
              <w:ind w:left="175"/>
            </w:pPr>
            <w:r>
              <w:t>+32 (0)2 2 808 8016</w:t>
            </w:r>
          </w:p>
        </w:tc>
      </w:tr>
    </w:tbl>
    <w:p w14:paraId="689E1F9C" w14:textId="77777777" w:rsidR="00D24A18" w:rsidRDefault="00D24A18">
      <w:pPr>
        <w:pStyle w:val="BodyText"/>
        <w:rPr>
          <w:b/>
          <w:sz w:val="20"/>
        </w:rPr>
      </w:pPr>
    </w:p>
    <w:p w14:paraId="689E1F9D" w14:textId="77777777" w:rsidR="00D24A18" w:rsidRDefault="00D24A18">
      <w:pPr>
        <w:pStyle w:val="BodyText"/>
        <w:spacing w:before="9"/>
        <w:rPr>
          <w:b/>
          <w:sz w:val="20"/>
        </w:rPr>
      </w:pPr>
    </w:p>
    <w:p w14:paraId="689E1F9E" w14:textId="77777777" w:rsidR="00D24A18" w:rsidRDefault="00350D62">
      <w:pPr>
        <w:spacing w:before="100"/>
        <w:ind w:left="324"/>
        <w:jc w:val="both"/>
        <w:rPr>
          <w:b/>
        </w:rPr>
      </w:pPr>
      <w:r>
        <w:rPr>
          <w:b/>
        </w:rPr>
        <w:t>About AFME</w:t>
      </w:r>
    </w:p>
    <w:p w14:paraId="689E1F9F" w14:textId="77777777" w:rsidR="00D24A18" w:rsidRDefault="00D24A18">
      <w:pPr>
        <w:pStyle w:val="BodyText"/>
        <w:spacing w:before="1"/>
        <w:rPr>
          <w:b/>
          <w:sz w:val="27"/>
        </w:rPr>
      </w:pPr>
    </w:p>
    <w:p w14:paraId="689E1FA0" w14:textId="77777777" w:rsidR="00D24A18" w:rsidRDefault="00350D62">
      <w:pPr>
        <w:pStyle w:val="BodyText"/>
        <w:spacing w:line="276" w:lineRule="auto"/>
        <w:ind w:left="323" w:right="548"/>
        <w:jc w:val="both"/>
      </w:pPr>
      <w:r>
        <w:t xml:space="preserve">AFME represents a broad array of European and global participants in the wholesale financial markets. Its members comprise pan-EU and global banks as well as key regional banks, brokers, law firms, investors and other financial market participants. We advocate stable, competitive, sustainable European financial markets that support economic growth and benefit society. AFME is the European member of the Global Financial Markets Association (GFMA) a global alliance with the Securities Industry </w:t>
      </w:r>
      <w:r>
        <w:rPr>
          <w:spacing w:val="-3"/>
        </w:rPr>
        <w:t xml:space="preserve">and </w:t>
      </w:r>
      <w:r>
        <w:t>Financial Markets Association</w:t>
      </w:r>
      <w:r>
        <w:rPr>
          <w:spacing w:val="-8"/>
        </w:rPr>
        <w:t xml:space="preserve"> </w:t>
      </w:r>
      <w:r>
        <w:t>(SIFMA)</w:t>
      </w:r>
      <w:r>
        <w:rPr>
          <w:spacing w:val="-20"/>
        </w:rPr>
        <w:t xml:space="preserve"> </w:t>
      </w:r>
      <w:r>
        <w:t>in</w:t>
      </w:r>
      <w:r>
        <w:rPr>
          <w:spacing w:val="-18"/>
        </w:rPr>
        <w:t xml:space="preserve"> </w:t>
      </w:r>
      <w:r>
        <w:t>the</w:t>
      </w:r>
      <w:r>
        <w:rPr>
          <w:spacing w:val="-15"/>
        </w:rPr>
        <w:t xml:space="preserve"> </w:t>
      </w:r>
      <w:r>
        <w:t>US,</w:t>
      </w:r>
      <w:r>
        <w:rPr>
          <w:spacing w:val="-17"/>
        </w:rPr>
        <w:t xml:space="preserve"> </w:t>
      </w:r>
      <w:r>
        <w:t>and</w:t>
      </w:r>
      <w:r>
        <w:rPr>
          <w:spacing w:val="-18"/>
        </w:rPr>
        <w:t xml:space="preserve"> </w:t>
      </w:r>
      <w:r>
        <w:t>the</w:t>
      </w:r>
      <w:r>
        <w:rPr>
          <w:spacing w:val="-15"/>
        </w:rPr>
        <w:t xml:space="preserve"> </w:t>
      </w:r>
      <w:r>
        <w:t>Asia</w:t>
      </w:r>
      <w:r>
        <w:rPr>
          <w:spacing w:val="-11"/>
        </w:rPr>
        <w:t xml:space="preserve"> </w:t>
      </w:r>
      <w:r>
        <w:t>Securities</w:t>
      </w:r>
      <w:r>
        <w:rPr>
          <w:spacing w:val="-15"/>
        </w:rPr>
        <w:t xml:space="preserve"> </w:t>
      </w:r>
      <w:r>
        <w:t>Industry</w:t>
      </w:r>
      <w:r>
        <w:rPr>
          <w:spacing w:val="-19"/>
        </w:rPr>
        <w:t xml:space="preserve"> </w:t>
      </w:r>
      <w:r>
        <w:t>and</w:t>
      </w:r>
      <w:r>
        <w:rPr>
          <w:spacing w:val="-17"/>
        </w:rPr>
        <w:t xml:space="preserve"> </w:t>
      </w:r>
      <w:r>
        <w:t>Financial</w:t>
      </w:r>
      <w:r>
        <w:rPr>
          <w:spacing w:val="-20"/>
        </w:rPr>
        <w:t xml:space="preserve"> </w:t>
      </w:r>
      <w:r>
        <w:t>Markets</w:t>
      </w:r>
      <w:r>
        <w:rPr>
          <w:spacing w:val="-14"/>
        </w:rPr>
        <w:t xml:space="preserve"> </w:t>
      </w:r>
      <w:r>
        <w:t>Association</w:t>
      </w:r>
      <w:r>
        <w:rPr>
          <w:spacing w:val="-19"/>
        </w:rPr>
        <w:t xml:space="preserve"> </w:t>
      </w:r>
      <w:r>
        <w:t xml:space="preserve">(ASIFMA) in Asia. AFME is listed on the EU Register </w:t>
      </w:r>
      <w:r>
        <w:rPr>
          <w:spacing w:val="-3"/>
        </w:rPr>
        <w:t xml:space="preserve">of </w:t>
      </w:r>
      <w:r>
        <w:t>Interest Representatives, registration number</w:t>
      </w:r>
      <w:r>
        <w:rPr>
          <w:spacing w:val="-5"/>
        </w:rPr>
        <w:t xml:space="preserve"> </w:t>
      </w:r>
      <w:r>
        <w:t>65110063986-</w:t>
      </w:r>
    </w:p>
    <w:p w14:paraId="689E1FA1" w14:textId="77777777" w:rsidR="00D24A18" w:rsidRDefault="00350D62">
      <w:pPr>
        <w:pStyle w:val="BodyText"/>
        <w:ind w:left="323"/>
        <w:jc w:val="both"/>
      </w:pPr>
      <w:r>
        <w:t>76. Information about AFME and its activities is available on the Association's website:</w:t>
      </w:r>
      <w:r>
        <w:rPr>
          <w:color w:val="006FC0"/>
        </w:rPr>
        <w:t xml:space="preserve"> </w:t>
      </w:r>
      <w:hyperlink r:id="rId23">
        <w:r>
          <w:rPr>
            <w:color w:val="006FC0"/>
            <w:u w:val="single" w:color="006FC0"/>
          </w:rPr>
          <w:t>www.afme.eu</w:t>
        </w:r>
        <w:r>
          <w:rPr>
            <w:color w:val="006FC0"/>
          </w:rPr>
          <w:t>.</w:t>
        </w:r>
      </w:hyperlink>
    </w:p>
    <w:p w14:paraId="689E1FA2" w14:textId="77777777" w:rsidR="00D24A18" w:rsidRDefault="00D24A18">
      <w:pPr>
        <w:pStyle w:val="BodyText"/>
        <w:spacing w:before="7"/>
        <w:rPr>
          <w:sz w:val="18"/>
        </w:rPr>
      </w:pPr>
    </w:p>
    <w:p w14:paraId="689E1FA3" w14:textId="77777777" w:rsidR="00D24A18" w:rsidRDefault="00350D62">
      <w:pPr>
        <w:pStyle w:val="Heading3"/>
        <w:spacing w:before="100"/>
        <w:ind w:left="324"/>
        <w:jc w:val="both"/>
      </w:pPr>
      <w:r>
        <w:t>About ISDA</w:t>
      </w:r>
    </w:p>
    <w:p w14:paraId="689E1FA4" w14:textId="77777777" w:rsidR="00D24A18" w:rsidRDefault="00D24A18">
      <w:pPr>
        <w:pStyle w:val="BodyText"/>
        <w:spacing w:before="1"/>
        <w:rPr>
          <w:b/>
          <w:sz w:val="27"/>
        </w:rPr>
      </w:pPr>
    </w:p>
    <w:p w14:paraId="689E1FA5" w14:textId="77777777" w:rsidR="00D24A18" w:rsidRDefault="00350D62">
      <w:pPr>
        <w:pStyle w:val="BodyText"/>
        <w:spacing w:before="1" w:line="276" w:lineRule="auto"/>
        <w:ind w:left="323" w:right="591"/>
        <w:jc w:val="both"/>
      </w:pPr>
      <w:r>
        <w:t>Since</w:t>
      </w:r>
      <w:r>
        <w:rPr>
          <w:spacing w:val="-6"/>
        </w:rPr>
        <w:t xml:space="preserve"> </w:t>
      </w:r>
      <w:r>
        <w:t>1985,</w:t>
      </w:r>
      <w:r>
        <w:rPr>
          <w:spacing w:val="-8"/>
        </w:rPr>
        <w:t xml:space="preserve"> </w:t>
      </w:r>
      <w:r>
        <w:t>ISDA</w:t>
      </w:r>
      <w:r>
        <w:rPr>
          <w:spacing w:val="-4"/>
        </w:rPr>
        <w:t xml:space="preserve"> </w:t>
      </w:r>
      <w:r>
        <w:t>has</w:t>
      </w:r>
      <w:r>
        <w:rPr>
          <w:spacing w:val="-6"/>
        </w:rPr>
        <w:t xml:space="preserve"> </w:t>
      </w:r>
      <w:r>
        <w:t>worked</w:t>
      </w:r>
      <w:r>
        <w:rPr>
          <w:spacing w:val="-5"/>
        </w:rPr>
        <w:t xml:space="preserve"> </w:t>
      </w:r>
      <w:r>
        <w:t>to</w:t>
      </w:r>
      <w:r>
        <w:rPr>
          <w:spacing w:val="-8"/>
        </w:rPr>
        <w:t xml:space="preserve"> </w:t>
      </w:r>
      <w:r>
        <w:t>make</w:t>
      </w:r>
      <w:r>
        <w:rPr>
          <w:spacing w:val="-6"/>
        </w:rPr>
        <w:t xml:space="preserve"> </w:t>
      </w:r>
      <w:r>
        <w:t>the</w:t>
      </w:r>
      <w:r>
        <w:rPr>
          <w:spacing w:val="-6"/>
        </w:rPr>
        <w:t xml:space="preserve"> </w:t>
      </w:r>
      <w:r>
        <w:t>global</w:t>
      </w:r>
      <w:r>
        <w:rPr>
          <w:spacing w:val="-7"/>
        </w:rPr>
        <w:t xml:space="preserve"> </w:t>
      </w:r>
      <w:r>
        <w:t>derivatives</w:t>
      </w:r>
      <w:r>
        <w:rPr>
          <w:spacing w:val="-5"/>
        </w:rPr>
        <w:t xml:space="preserve"> </w:t>
      </w:r>
      <w:r>
        <w:t>markets</w:t>
      </w:r>
      <w:r>
        <w:rPr>
          <w:spacing w:val="-5"/>
        </w:rPr>
        <w:t xml:space="preserve"> </w:t>
      </w:r>
      <w:r>
        <w:t>safer</w:t>
      </w:r>
      <w:r>
        <w:rPr>
          <w:spacing w:val="-5"/>
        </w:rPr>
        <w:t xml:space="preserve"> </w:t>
      </w:r>
      <w:r>
        <w:t>and</w:t>
      </w:r>
      <w:r>
        <w:rPr>
          <w:spacing w:val="-5"/>
        </w:rPr>
        <w:t xml:space="preserve"> </w:t>
      </w:r>
      <w:r>
        <w:t>more</w:t>
      </w:r>
      <w:r>
        <w:rPr>
          <w:spacing w:val="-6"/>
        </w:rPr>
        <w:t xml:space="preserve"> </w:t>
      </w:r>
      <w:r>
        <w:t>efficient.</w:t>
      </w:r>
      <w:r>
        <w:rPr>
          <w:spacing w:val="-8"/>
        </w:rPr>
        <w:t xml:space="preserve"> </w:t>
      </w:r>
      <w:r>
        <w:t>Today,</w:t>
      </w:r>
      <w:r>
        <w:rPr>
          <w:spacing w:val="-8"/>
        </w:rPr>
        <w:t xml:space="preserve"> </w:t>
      </w:r>
      <w:r>
        <w:t>ISDA has over 850 member institutions from 66 countries. These members comprise a broad range of derivatives market participants, including corporations, investment managers, government and supranational entities, insurance companies, energy and commodities firms, and international and regional banks. In addition to market participants, members also include key components of the derivatives market infrastructure, such as exchanges, intermediaries, clearing houses and repositories, as well as law firms, accounting firms and other service providers. Information about ISDA and its activities is available on the Association's website:</w:t>
      </w:r>
      <w:r>
        <w:rPr>
          <w:spacing w:val="-1"/>
        </w:rPr>
        <w:t xml:space="preserve"> </w:t>
      </w:r>
      <w:hyperlink r:id="rId24">
        <w:r>
          <w:rPr>
            <w:color w:val="006EC0"/>
            <w:u w:val="single" w:color="006EC0"/>
          </w:rPr>
          <w:t>www.isda.org</w:t>
        </w:r>
        <w:r>
          <w:t>.</w:t>
        </w:r>
      </w:hyperlink>
    </w:p>
    <w:p w14:paraId="689E1FA6" w14:textId="77777777" w:rsidR="00D24A18" w:rsidRDefault="00D24A18">
      <w:pPr>
        <w:spacing w:line="276" w:lineRule="auto"/>
        <w:jc w:val="both"/>
        <w:sectPr w:rsidR="00D24A18">
          <w:pgSz w:w="11910" w:h="16840"/>
          <w:pgMar w:top="1580" w:right="440" w:bottom="1100" w:left="660" w:header="0" w:footer="914" w:gutter="0"/>
          <w:cols w:space="720"/>
        </w:sectPr>
      </w:pPr>
    </w:p>
    <w:p w14:paraId="689E1FA7" w14:textId="77777777" w:rsidR="00D24A18" w:rsidRDefault="00D24A18">
      <w:pPr>
        <w:pStyle w:val="BodyText"/>
        <w:rPr>
          <w:sz w:val="20"/>
        </w:rPr>
      </w:pPr>
    </w:p>
    <w:p w14:paraId="689E1FA8" w14:textId="77777777" w:rsidR="00D24A18" w:rsidRDefault="00D24A18">
      <w:pPr>
        <w:pStyle w:val="BodyText"/>
        <w:rPr>
          <w:sz w:val="20"/>
        </w:rPr>
      </w:pPr>
    </w:p>
    <w:p w14:paraId="689E1FA9" w14:textId="77777777" w:rsidR="00D24A18" w:rsidRDefault="00D24A18">
      <w:pPr>
        <w:pStyle w:val="BodyText"/>
        <w:rPr>
          <w:sz w:val="20"/>
        </w:rPr>
      </w:pPr>
    </w:p>
    <w:p w14:paraId="689E1FAA" w14:textId="77777777" w:rsidR="00D24A18" w:rsidRDefault="00D24A18">
      <w:pPr>
        <w:pStyle w:val="BodyText"/>
        <w:rPr>
          <w:sz w:val="20"/>
        </w:rPr>
      </w:pPr>
    </w:p>
    <w:p w14:paraId="689E1FAB" w14:textId="77777777" w:rsidR="00D24A18" w:rsidRDefault="00D24A18">
      <w:pPr>
        <w:pStyle w:val="BodyText"/>
        <w:rPr>
          <w:sz w:val="20"/>
        </w:rPr>
      </w:pPr>
    </w:p>
    <w:p w14:paraId="689E1FAC" w14:textId="77777777" w:rsidR="00D24A18" w:rsidRDefault="00D24A18">
      <w:pPr>
        <w:pStyle w:val="BodyText"/>
        <w:rPr>
          <w:sz w:val="20"/>
        </w:rPr>
      </w:pPr>
    </w:p>
    <w:p w14:paraId="689E1FAD" w14:textId="77777777" w:rsidR="00D24A18" w:rsidRDefault="00D24A18">
      <w:pPr>
        <w:pStyle w:val="BodyText"/>
        <w:rPr>
          <w:sz w:val="20"/>
        </w:rPr>
      </w:pPr>
    </w:p>
    <w:p w14:paraId="689E1FAE" w14:textId="77777777" w:rsidR="00D24A18" w:rsidRDefault="00D24A18">
      <w:pPr>
        <w:pStyle w:val="BodyText"/>
        <w:rPr>
          <w:sz w:val="20"/>
        </w:rPr>
      </w:pPr>
    </w:p>
    <w:p w14:paraId="689E1FAF" w14:textId="77777777" w:rsidR="00D24A18" w:rsidRDefault="00D24A18">
      <w:pPr>
        <w:pStyle w:val="BodyText"/>
        <w:rPr>
          <w:sz w:val="20"/>
        </w:rPr>
      </w:pPr>
    </w:p>
    <w:p w14:paraId="689E1FB0" w14:textId="77777777" w:rsidR="00D24A18" w:rsidRDefault="00D24A18">
      <w:pPr>
        <w:pStyle w:val="BodyText"/>
        <w:rPr>
          <w:sz w:val="20"/>
        </w:rPr>
      </w:pPr>
    </w:p>
    <w:p w14:paraId="689E1FB1" w14:textId="77777777" w:rsidR="00D24A18" w:rsidRDefault="00D24A18">
      <w:pPr>
        <w:pStyle w:val="BodyText"/>
        <w:rPr>
          <w:sz w:val="20"/>
        </w:rPr>
      </w:pPr>
    </w:p>
    <w:p w14:paraId="689E1FB2" w14:textId="77777777" w:rsidR="00D24A18" w:rsidRDefault="00D24A18">
      <w:pPr>
        <w:pStyle w:val="BodyText"/>
        <w:rPr>
          <w:sz w:val="20"/>
        </w:rPr>
      </w:pPr>
    </w:p>
    <w:p w14:paraId="689E1FB3" w14:textId="77777777" w:rsidR="00D24A18" w:rsidRDefault="00D24A18">
      <w:pPr>
        <w:pStyle w:val="BodyText"/>
        <w:rPr>
          <w:sz w:val="20"/>
        </w:rPr>
      </w:pPr>
    </w:p>
    <w:p w14:paraId="689E1FB4" w14:textId="77777777" w:rsidR="00D24A18" w:rsidRDefault="00D24A18">
      <w:pPr>
        <w:pStyle w:val="BodyText"/>
        <w:rPr>
          <w:sz w:val="20"/>
        </w:rPr>
      </w:pPr>
    </w:p>
    <w:p w14:paraId="689E1FB5" w14:textId="77777777" w:rsidR="00D24A18" w:rsidRDefault="00D24A18">
      <w:pPr>
        <w:pStyle w:val="BodyText"/>
        <w:rPr>
          <w:sz w:val="20"/>
        </w:rPr>
      </w:pPr>
    </w:p>
    <w:p w14:paraId="689E1FB6" w14:textId="77777777" w:rsidR="00D24A18" w:rsidRDefault="00D24A18">
      <w:pPr>
        <w:pStyle w:val="BodyText"/>
        <w:rPr>
          <w:sz w:val="20"/>
        </w:rPr>
      </w:pPr>
    </w:p>
    <w:p w14:paraId="689E1FB7" w14:textId="77777777" w:rsidR="00D24A18" w:rsidRDefault="00D24A18">
      <w:pPr>
        <w:pStyle w:val="BodyText"/>
        <w:rPr>
          <w:sz w:val="20"/>
        </w:rPr>
      </w:pPr>
    </w:p>
    <w:p w14:paraId="689E1FB8" w14:textId="77777777" w:rsidR="00D24A18" w:rsidRDefault="00D24A18">
      <w:pPr>
        <w:pStyle w:val="BodyText"/>
        <w:rPr>
          <w:sz w:val="20"/>
        </w:rPr>
      </w:pPr>
    </w:p>
    <w:p w14:paraId="689E1FB9" w14:textId="77777777" w:rsidR="00D24A18" w:rsidRDefault="00D24A18">
      <w:pPr>
        <w:pStyle w:val="BodyText"/>
        <w:rPr>
          <w:sz w:val="20"/>
        </w:rPr>
      </w:pPr>
    </w:p>
    <w:p w14:paraId="689E1FBA" w14:textId="77777777" w:rsidR="00D24A18" w:rsidRDefault="00D24A18">
      <w:pPr>
        <w:pStyle w:val="BodyText"/>
        <w:rPr>
          <w:sz w:val="20"/>
        </w:rPr>
      </w:pPr>
    </w:p>
    <w:p w14:paraId="689E1FBB" w14:textId="77777777" w:rsidR="00D24A18" w:rsidRDefault="00D24A18">
      <w:pPr>
        <w:pStyle w:val="BodyText"/>
        <w:rPr>
          <w:sz w:val="20"/>
        </w:rPr>
      </w:pPr>
    </w:p>
    <w:p w14:paraId="689E1FBC" w14:textId="77777777" w:rsidR="00D24A18" w:rsidRDefault="00D24A18">
      <w:pPr>
        <w:pStyle w:val="BodyText"/>
        <w:rPr>
          <w:sz w:val="20"/>
        </w:rPr>
      </w:pPr>
    </w:p>
    <w:p w14:paraId="689E1FBD" w14:textId="77777777" w:rsidR="00D24A18" w:rsidRDefault="00D24A18">
      <w:pPr>
        <w:pStyle w:val="BodyText"/>
        <w:rPr>
          <w:sz w:val="20"/>
        </w:rPr>
      </w:pPr>
    </w:p>
    <w:p w14:paraId="689E1FBE" w14:textId="77777777" w:rsidR="00D24A18" w:rsidRDefault="00D24A18">
      <w:pPr>
        <w:pStyle w:val="BodyText"/>
        <w:spacing w:before="10"/>
        <w:rPr>
          <w:sz w:val="28"/>
        </w:rPr>
      </w:pPr>
    </w:p>
    <w:sectPr w:rsidR="00D24A18" w:rsidSect="00065BBC">
      <w:pgSz w:w="11910" w:h="16840"/>
      <w:pgMar w:top="840" w:right="440" w:bottom="1200" w:left="660" w:header="0" w:footer="101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39C9F" w14:textId="77777777" w:rsidR="00350D62" w:rsidRDefault="00350D62">
      <w:r>
        <w:separator/>
      </w:r>
    </w:p>
  </w:endnote>
  <w:endnote w:type="continuationSeparator" w:id="0">
    <w:p w14:paraId="617D5F04" w14:textId="77777777" w:rsidR="00350D62" w:rsidRDefault="00350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24F2" w14:textId="77777777" w:rsidR="00D24A18" w:rsidRDefault="00FC2908">
    <w:pPr>
      <w:pStyle w:val="BodyText"/>
      <w:spacing w:line="14" w:lineRule="auto"/>
      <w:rPr>
        <w:sz w:val="20"/>
      </w:rPr>
    </w:pPr>
    <w:r>
      <w:pict w14:anchorId="689E2503">
        <v:shapetype id="_x0000_t202" coordsize="21600,21600" o:spt="202" path="m,l,21600r21600,l21600,xe">
          <v:stroke joinstyle="miter"/>
          <v:path gradientshapeok="t" o:connecttype="rect"/>
        </v:shapetype>
        <v:shape id="_x0000_s1035" type="#_x0000_t202" style="position:absolute;margin-left:291.6pt;margin-top:785.1pt;width:12pt;height:15.3pt;z-index:-254351360;mso-position-horizontal-relative:page;mso-position-vertical-relative:page" filled="f" stroked="f">
          <v:textbox inset="0,0,0,0">
            <w:txbxContent>
              <w:p w14:paraId="689E25F3" w14:textId="77777777" w:rsidR="00D24A18" w:rsidRDefault="00350D62">
                <w:pPr>
                  <w:spacing w:before="10"/>
                  <w:ind w:left="60"/>
                  <w:rPr>
                    <w:rFonts w:ascii="Times New Roman"/>
                    <w:sz w:val="24"/>
                  </w:rPr>
                </w:pPr>
                <w:r>
                  <w:fldChar w:fldCharType="begin"/>
                </w:r>
                <w:r>
                  <w:rPr>
                    <w:rFonts w:ascii="Times New Roman"/>
                    <w:sz w:val="24"/>
                  </w:rP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3ABF2" w14:textId="77777777" w:rsidR="00350D62" w:rsidRDefault="00350D62">
      <w:r>
        <w:separator/>
      </w:r>
    </w:p>
  </w:footnote>
  <w:footnote w:type="continuationSeparator" w:id="0">
    <w:p w14:paraId="4E976CB4" w14:textId="77777777" w:rsidR="00350D62" w:rsidRDefault="00350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4D6"/>
    <w:multiLevelType w:val="hybridMultilevel"/>
    <w:tmpl w:val="5A70DF54"/>
    <w:lvl w:ilvl="0" w:tplc="4B960824">
      <w:numFmt w:val="bullet"/>
      <w:lvlText w:val=""/>
      <w:lvlJc w:val="left"/>
      <w:pPr>
        <w:ind w:left="824" w:hanging="361"/>
      </w:pPr>
      <w:rPr>
        <w:rFonts w:ascii="Symbol" w:eastAsia="Symbol" w:hAnsi="Symbol" w:cs="Symbol" w:hint="default"/>
        <w:w w:val="100"/>
        <w:sz w:val="22"/>
        <w:szCs w:val="22"/>
      </w:rPr>
    </w:lvl>
    <w:lvl w:ilvl="1" w:tplc="C3C4BF5A">
      <w:numFmt w:val="bullet"/>
      <w:lvlText w:val="•"/>
      <w:lvlJc w:val="left"/>
      <w:pPr>
        <w:ind w:left="1756" w:hanging="361"/>
      </w:pPr>
      <w:rPr>
        <w:rFonts w:hint="default"/>
      </w:rPr>
    </w:lvl>
    <w:lvl w:ilvl="2" w:tplc="8DF465BE">
      <w:numFmt w:val="bullet"/>
      <w:lvlText w:val="•"/>
      <w:lvlJc w:val="left"/>
      <w:pPr>
        <w:ind w:left="2693" w:hanging="361"/>
      </w:pPr>
      <w:rPr>
        <w:rFonts w:hint="default"/>
      </w:rPr>
    </w:lvl>
    <w:lvl w:ilvl="3" w:tplc="A40A95B2">
      <w:numFmt w:val="bullet"/>
      <w:lvlText w:val="•"/>
      <w:lvlJc w:val="left"/>
      <w:pPr>
        <w:ind w:left="3630" w:hanging="361"/>
      </w:pPr>
      <w:rPr>
        <w:rFonts w:hint="default"/>
      </w:rPr>
    </w:lvl>
    <w:lvl w:ilvl="4" w:tplc="4CC8E6F8">
      <w:numFmt w:val="bullet"/>
      <w:lvlText w:val="•"/>
      <w:lvlJc w:val="left"/>
      <w:pPr>
        <w:ind w:left="4567" w:hanging="361"/>
      </w:pPr>
      <w:rPr>
        <w:rFonts w:hint="default"/>
      </w:rPr>
    </w:lvl>
    <w:lvl w:ilvl="5" w:tplc="70AE4E58">
      <w:numFmt w:val="bullet"/>
      <w:lvlText w:val="•"/>
      <w:lvlJc w:val="left"/>
      <w:pPr>
        <w:ind w:left="5504" w:hanging="361"/>
      </w:pPr>
      <w:rPr>
        <w:rFonts w:hint="default"/>
      </w:rPr>
    </w:lvl>
    <w:lvl w:ilvl="6" w:tplc="F5BE032A">
      <w:numFmt w:val="bullet"/>
      <w:lvlText w:val="•"/>
      <w:lvlJc w:val="left"/>
      <w:pPr>
        <w:ind w:left="6440" w:hanging="361"/>
      </w:pPr>
      <w:rPr>
        <w:rFonts w:hint="default"/>
      </w:rPr>
    </w:lvl>
    <w:lvl w:ilvl="7" w:tplc="C444FC52">
      <w:numFmt w:val="bullet"/>
      <w:lvlText w:val="•"/>
      <w:lvlJc w:val="left"/>
      <w:pPr>
        <w:ind w:left="7377" w:hanging="361"/>
      </w:pPr>
      <w:rPr>
        <w:rFonts w:hint="default"/>
      </w:rPr>
    </w:lvl>
    <w:lvl w:ilvl="8" w:tplc="5E64BC66">
      <w:numFmt w:val="bullet"/>
      <w:lvlText w:val="•"/>
      <w:lvlJc w:val="left"/>
      <w:pPr>
        <w:ind w:left="8314" w:hanging="361"/>
      </w:pPr>
      <w:rPr>
        <w:rFonts w:hint="default"/>
      </w:rPr>
    </w:lvl>
  </w:abstractNum>
  <w:abstractNum w:abstractNumId="1" w15:restartNumberingAfterBreak="0">
    <w:nsid w:val="03241EF8"/>
    <w:multiLevelType w:val="hybridMultilevel"/>
    <w:tmpl w:val="9E46602E"/>
    <w:lvl w:ilvl="0" w:tplc="1AD85A50">
      <w:numFmt w:val="bullet"/>
      <w:lvlText w:val=""/>
      <w:lvlJc w:val="left"/>
      <w:pPr>
        <w:ind w:left="912" w:hanging="361"/>
      </w:pPr>
      <w:rPr>
        <w:rFonts w:ascii="Symbol" w:eastAsia="Symbol" w:hAnsi="Symbol" w:cs="Symbol" w:hint="default"/>
        <w:w w:val="100"/>
        <w:sz w:val="22"/>
        <w:szCs w:val="22"/>
      </w:rPr>
    </w:lvl>
    <w:lvl w:ilvl="1" w:tplc="16E492BE">
      <w:numFmt w:val="bullet"/>
      <w:lvlText w:val="•"/>
      <w:lvlJc w:val="left"/>
      <w:pPr>
        <w:ind w:left="1908" w:hanging="361"/>
      </w:pPr>
      <w:rPr>
        <w:rFonts w:hint="default"/>
      </w:rPr>
    </w:lvl>
    <w:lvl w:ilvl="2" w:tplc="F1AAA968">
      <w:numFmt w:val="bullet"/>
      <w:lvlText w:val="•"/>
      <w:lvlJc w:val="left"/>
      <w:pPr>
        <w:ind w:left="2897" w:hanging="361"/>
      </w:pPr>
      <w:rPr>
        <w:rFonts w:hint="default"/>
      </w:rPr>
    </w:lvl>
    <w:lvl w:ilvl="3" w:tplc="888E4870">
      <w:numFmt w:val="bullet"/>
      <w:lvlText w:val="•"/>
      <w:lvlJc w:val="left"/>
      <w:pPr>
        <w:ind w:left="3886" w:hanging="361"/>
      </w:pPr>
      <w:rPr>
        <w:rFonts w:hint="default"/>
      </w:rPr>
    </w:lvl>
    <w:lvl w:ilvl="4" w:tplc="62025C1C">
      <w:numFmt w:val="bullet"/>
      <w:lvlText w:val="•"/>
      <w:lvlJc w:val="left"/>
      <w:pPr>
        <w:ind w:left="4875" w:hanging="361"/>
      </w:pPr>
      <w:rPr>
        <w:rFonts w:hint="default"/>
      </w:rPr>
    </w:lvl>
    <w:lvl w:ilvl="5" w:tplc="F28EC728">
      <w:numFmt w:val="bullet"/>
      <w:lvlText w:val="•"/>
      <w:lvlJc w:val="left"/>
      <w:pPr>
        <w:ind w:left="5864" w:hanging="361"/>
      </w:pPr>
      <w:rPr>
        <w:rFonts w:hint="default"/>
      </w:rPr>
    </w:lvl>
    <w:lvl w:ilvl="6" w:tplc="F344F88E">
      <w:numFmt w:val="bullet"/>
      <w:lvlText w:val="•"/>
      <w:lvlJc w:val="left"/>
      <w:pPr>
        <w:ind w:left="6852" w:hanging="361"/>
      </w:pPr>
      <w:rPr>
        <w:rFonts w:hint="default"/>
      </w:rPr>
    </w:lvl>
    <w:lvl w:ilvl="7" w:tplc="E0723080">
      <w:numFmt w:val="bullet"/>
      <w:lvlText w:val="•"/>
      <w:lvlJc w:val="left"/>
      <w:pPr>
        <w:ind w:left="7841" w:hanging="361"/>
      </w:pPr>
      <w:rPr>
        <w:rFonts w:hint="default"/>
      </w:rPr>
    </w:lvl>
    <w:lvl w:ilvl="8" w:tplc="00840FEE">
      <w:numFmt w:val="bullet"/>
      <w:lvlText w:val="•"/>
      <w:lvlJc w:val="left"/>
      <w:pPr>
        <w:ind w:left="8830" w:hanging="361"/>
      </w:pPr>
      <w:rPr>
        <w:rFonts w:hint="default"/>
      </w:rPr>
    </w:lvl>
  </w:abstractNum>
  <w:abstractNum w:abstractNumId="2" w15:restartNumberingAfterBreak="0">
    <w:nsid w:val="090C5452"/>
    <w:multiLevelType w:val="hybridMultilevel"/>
    <w:tmpl w:val="0B180D46"/>
    <w:lvl w:ilvl="0" w:tplc="90A6B460">
      <w:start w:val="1"/>
      <w:numFmt w:val="decimal"/>
      <w:lvlText w:val="%1."/>
      <w:lvlJc w:val="left"/>
      <w:pPr>
        <w:ind w:left="532" w:hanging="361"/>
        <w:jc w:val="left"/>
      </w:pPr>
      <w:rPr>
        <w:rFonts w:ascii="Cambria" w:eastAsia="Cambria" w:hAnsi="Cambria" w:cs="Cambria" w:hint="default"/>
        <w:spacing w:val="-3"/>
        <w:w w:val="100"/>
        <w:sz w:val="22"/>
        <w:szCs w:val="22"/>
      </w:rPr>
    </w:lvl>
    <w:lvl w:ilvl="1" w:tplc="466E6EDC">
      <w:start w:val="76"/>
      <w:numFmt w:val="decimal"/>
      <w:lvlText w:val="%2."/>
      <w:lvlJc w:val="left"/>
      <w:pPr>
        <w:ind w:left="635" w:hanging="332"/>
        <w:jc w:val="left"/>
      </w:pPr>
      <w:rPr>
        <w:rFonts w:ascii="Cambria" w:eastAsia="Cambria" w:hAnsi="Cambria" w:cs="Cambria" w:hint="default"/>
        <w:spacing w:val="-2"/>
        <w:w w:val="100"/>
        <w:sz w:val="22"/>
        <w:szCs w:val="22"/>
      </w:rPr>
    </w:lvl>
    <w:lvl w:ilvl="2" w:tplc="7CCC4586">
      <w:start w:val="1"/>
      <w:numFmt w:val="decimal"/>
      <w:lvlText w:val="%3)"/>
      <w:lvlJc w:val="left"/>
      <w:pPr>
        <w:ind w:left="911" w:hanging="360"/>
        <w:jc w:val="left"/>
      </w:pPr>
      <w:rPr>
        <w:rFonts w:ascii="Cambria" w:eastAsia="Cambria" w:hAnsi="Cambria" w:cs="Cambria" w:hint="default"/>
        <w:spacing w:val="-16"/>
        <w:w w:val="100"/>
        <w:sz w:val="22"/>
        <w:szCs w:val="22"/>
      </w:rPr>
    </w:lvl>
    <w:lvl w:ilvl="3" w:tplc="7E9CA8F8">
      <w:numFmt w:val="bullet"/>
      <w:lvlText w:val="•"/>
      <w:lvlJc w:val="left"/>
      <w:pPr>
        <w:ind w:left="2116" w:hanging="360"/>
      </w:pPr>
      <w:rPr>
        <w:rFonts w:hint="default"/>
      </w:rPr>
    </w:lvl>
    <w:lvl w:ilvl="4" w:tplc="B7B88C2C">
      <w:numFmt w:val="bullet"/>
      <w:lvlText w:val="•"/>
      <w:lvlJc w:val="left"/>
      <w:pPr>
        <w:ind w:left="3312" w:hanging="360"/>
      </w:pPr>
      <w:rPr>
        <w:rFonts w:hint="default"/>
      </w:rPr>
    </w:lvl>
    <w:lvl w:ilvl="5" w:tplc="19D69816">
      <w:numFmt w:val="bullet"/>
      <w:lvlText w:val="•"/>
      <w:lvlJc w:val="left"/>
      <w:pPr>
        <w:ind w:left="4508" w:hanging="360"/>
      </w:pPr>
      <w:rPr>
        <w:rFonts w:hint="default"/>
      </w:rPr>
    </w:lvl>
    <w:lvl w:ilvl="6" w:tplc="F504356C">
      <w:numFmt w:val="bullet"/>
      <w:lvlText w:val="•"/>
      <w:lvlJc w:val="left"/>
      <w:pPr>
        <w:ind w:left="5704" w:hanging="360"/>
      </w:pPr>
      <w:rPr>
        <w:rFonts w:hint="default"/>
      </w:rPr>
    </w:lvl>
    <w:lvl w:ilvl="7" w:tplc="E0CC72D0">
      <w:numFmt w:val="bullet"/>
      <w:lvlText w:val="•"/>
      <w:lvlJc w:val="left"/>
      <w:pPr>
        <w:ind w:left="6900" w:hanging="360"/>
      </w:pPr>
      <w:rPr>
        <w:rFonts w:hint="default"/>
      </w:rPr>
    </w:lvl>
    <w:lvl w:ilvl="8" w:tplc="09EE6394">
      <w:numFmt w:val="bullet"/>
      <w:lvlText w:val="•"/>
      <w:lvlJc w:val="left"/>
      <w:pPr>
        <w:ind w:left="8096" w:hanging="360"/>
      </w:pPr>
      <w:rPr>
        <w:rFonts w:hint="default"/>
      </w:rPr>
    </w:lvl>
  </w:abstractNum>
  <w:abstractNum w:abstractNumId="3" w15:restartNumberingAfterBreak="0">
    <w:nsid w:val="11BA33E1"/>
    <w:multiLevelType w:val="hybridMultilevel"/>
    <w:tmpl w:val="D54EA6D0"/>
    <w:lvl w:ilvl="0" w:tplc="12186CCC">
      <w:numFmt w:val="bullet"/>
      <w:lvlText w:val=""/>
      <w:lvlJc w:val="left"/>
      <w:pPr>
        <w:ind w:left="824" w:hanging="361"/>
      </w:pPr>
      <w:rPr>
        <w:rFonts w:ascii="Symbol" w:eastAsia="Symbol" w:hAnsi="Symbol" w:cs="Symbol" w:hint="default"/>
        <w:w w:val="100"/>
        <w:sz w:val="22"/>
        <w:szCs w:val="22"/>
      </w:rPr>
    </w:lvl>
    <w:lvl w:ilvl="1" w:tplc="4EE4CEEC">
      <w:numFmt w:val="bullet"/>
      <w:lvlText w:val="•"/>
      <w:lvlJc w:val="left"/>
      <w:pPr>
        <w:ind w:left="1756" w:hanging="361"/>
      </w:pPr>
      <w:rPr>
        <w:rFonts w:hint="default"/>
      </w:rPr>
    </w:lvl>
    <w:lvl w:ilvl="2" w:tplc="E916AAF0">
      <w:numFmt w:val="bullet"/>
      <w:lvlText w:val="•"/>
      <w:lvlJc w:val="left"/>
      <w:pPr>
        <w:ind w:left="2693" w:hanging="361"/>
      </w:pPr>
      <w:rPr>
        <w:rFonts w:hint="default"/>
      </w:rPr>
    </w:lvl>
    <w:lvl w:ilvl="3" w:tplc="299CADF4">
      <w:numFmt w:val="bullet"/>
      <w:lvlText w:val="•"/>
      <w:lvlJc w:val="left"/>
      <w:pPr>
        <w:ind w:left="3630" w:hanging="361"/>
      </w:pPr>
      <w:rPr>
        <w:rFonts w:hint="default"/>
      </w:rPr>
    </w:lvl>
    <w:lvl w:ilvl="4" w:tplc="208AD2AC">
      <w:numFmt w:val="bullet"/>
      <w:lvlText w:val="•"/>
      <w:lvlJc w:val="left"/>
      <w:pPr>
        <w:ind w:left="4567" w:hanging="361"/>
      </w:pPr>
      <w:rPr>
        <w:rFonts w:hint="default"/>
      </w:rPr>
    </w:lvl>
    <w:lvl w:ilvl="5" w:tplc="C08657A2">
      <w:numFmt w:val="bullet"/>
      <w:lvlText w:val="•"/>
      <w:lvlJc w:val="left"/>
      <w:pPr>
        <w:ind w:left="5504" w:hanging="361"/>
      </w:pPr>
      <w:rPr>
        <w:rFonts w:hint="default"/>
      </w:rPr>
    </w:lvl>
    <w:lvl w:ilvl="6" w:tplc="554220E2">
      <w:numFmt w:val="bullet"/>
      <w:lvlText w:val="•"/>
      <w:lvlJc w:val="left"/>
      <w:pPr>
        <w:ind w:left="6440" w:hanging="361"/>
      </w:pPr>
      <w:rPr>
        <w:rFonts w:hint="default"/>
      </w:rPr>
    </w:lvl>
    <w:lvl w:ilvl="7" w:tplc="F77C036C">
      <w:numFmt w:val="bullet"/>
      <w:lvlText w:val="•"/>
      <w:lvlJc w:val="left"/>
      <w:pPr>
        <w:ind w:left="7377" w:hanging="361"/>
      </w:pPr>
      <w:rPr>
        <w:rFonts w:hint="default"/>
      </w:rPr>
    </w:lvl>
    <w:lvl w:ilvl="8" w:tplc="914807EA">
      <w:numFmt w:val="bullet"/>
      <w:lvlText w:val="•"/>
      <w:lvlJc w:val="left"/>
      <w:pPr>
        <w:ind w:left="8314" w:hanging="361"/>
      </w:pPr>
      <w:rPr>
        <w:rFonts w:hint="default"/>
      </w:rPr>
    </w:lvl>
  </w:abstractNum>
  <w:abstractNum w:abstractNumId="4" w15:restartNumberingAfterBreak="0">
    <w:nsid w:val="14B23817"/>
    <w:multiLevelType w:val="hybridMultilevel"/>
    <w:tmpl w:val="071AB5DE"/>
    <w:lvl w:ilvl="0" w:tplc="B95A3CFE">
      <w:start w:val="2"/>
      <w:numFmt w:val="lowerRoman"/>
      <w:lvlText w:val="(%1)"/>
      <w:lvlJc w:val="left"/>
      <w:pPr>
        <w:ind w:left="192" w:hanging="240"/>
        <w:jc w:val="left"/>
      </w:pPr>
      <w:rPr>
        <w:rFonts w:ascii="Cambria" w:eastAsia="Cambria" w:hAnsi="Cambria" w:cs="Cambria" w:hint="default"/>
        <w:spacing w:val="-2"/>
        <w:w w:val="100"/>
        <w:sz w:val="16"/>
        <w:szCs w:val="16"/>
      </w:rPr>
    </w:lvl>
    <w:lvl w:ilvl="1" w:tplc="38520092">
      <w:start w:val="1"/>
      <w:numFmt w:val="decimal"/>
      <w:lvlText w:val="%2."/>
      <w:lvlJc w:val="left"/>
      <w:pPr>
        <w:ind w:left="912" w:hanging="360"/>
        <w:jc w:val="left"/>
      </w:pPr>
      <w:rPr>
        <w:rFonts w:ascii="Cambria" w:eastAsia="Cambria" w:hAnsi="Cambria" w:cs="Cambria" w:hint="default"/>
        <w:b/>
        <w:bCs/>
        <w:spacing w:val="-17"/>
        <w:w w:val="100"/>
        <w:sz w:val="22"/>
        <w:szCs w:val="22"/>
      </w:rPr>
    </w:lvl>
    <w:lvl w:ilvl="2" w:tplc="5D3678D4">
      <w:numFmt w:val="bullet"/>
      <w:lvlText w:val="•"/>
      <w:lvlJc w:val="left"/>
      <w:pPr>
        <w:ind w:left="2029" w:hanging="360"/>
      </w:pPr>
      <w:rPr>
        <w:rFonts w:hint="default"/>
      </w:rPr>
    </w:lvl>
    <w:lvl w:ilvl="3" w:tplc="E5E045D2">
      <w:numFmt w:val="bullet"/>
      <w:lvlText w:val="•"/>
      <w:lvlJc w:val="left"/>
      <w:pPr>
        <w:ind w:left="3139" w:hanging="360"/>
      </w:pPr>
      <w:rPr>
        <w:rFonts w:hint="default"/>
      </w:rPr>
    </w:lvl>
    <w:lvl w:ilvl="4" w:tplc="D4D48774">
      <w:numFmt w:val="bullet"/>
      <w:lvlText w:val="•"/>
      <w:lvlJc w:val="left"/>
      <w:pPr>
        <w:ind w:left="4249" w:hanging="360"/>
      </w:pPr>
      <w:rPr>
        <w:rFonts w:hint="default"/>
      </w:rPr>
    </w:lvl>
    <w:lvl w:ilvl="5" w:tplc="E968FC20">
      <w:numFmt w:val="bullet"/>
      <w:lvlText w:val="•"/>
      <w:lvlJc w:val="left"/>
      <w:pPr>
        <w:ind w:left="5359" w:hanging="360"/>
      </w:pPr>
      <w:rPr>
        <w:rFonts w:hint="default"/>
      </w:rPr>
    </w:lvl>
    <w:lvl w:ilvl="6" w:tplc="05E8E7C0">
      <w:numFmt w:val="bullet"/>
      <w:lvlText w:val="•"/>
      <w:lvlJc w:val="left"/>
      <w:pPr>
        <w:ind w:left="6468" w:hanging="360"/>
      </w:pPr>
      <w:rPr>
        <w:rFonts w:hint="default"/>
      </w:rPr>
    </w:lvl>
    <w:lvl w:ilvl="7" w:tplc="32BA57FE">
      <w:numFmt w:val="bullet"/>
      <w:lvlText w:val="•"/>
      <w:lvlJc w:val="left"/>
      <w:pPr>
        <w:ind w:left="7578" w:hanging="360"/>
      </w:pPr>
      <w:rPr>
        <w:rFonts w:hint="default"/>
      </w:rPr>
    </w:lvl>
    <w:lvl w:ilvl="8" w:tplc="012A0E40">
      <w:numFmt w:val="bullet"/>
      <w:lvlText w:val="•"/>
      <w:lvlJc w:val="left"/>
      <w:pPr>
        <w:ind w:left="8688" w:hanging="360"/>
      </w:pPr>
      <w:rPr>
        <w:rFonts w:hint="default"/>
      </w:rPr>
    </w:lvl>
  </w:abstractNum>
  <w:abstractNum w:abstractNumId="5" w15:restartNumberingAfterBreak="0">
    <w:nsid w:val="150C329D"/>
    <w:multiLevelType w:val="hybridMultilevel"/>
    <w:tmpl w:val="FF2868D4"/>
    <w:lvl w:ilvl="0" w:tplc="1B701AC2">
      <w:start w:val="1"/>
      <w:numFmt w:val="decimal"/>
      <w:lvlText w:val="%1)"/>
      <w:lvlJc w:val="left"/>
      <w:pPr>
        <w:ind w:left="1016" w:hanging="356"/>
        <w:jc w:val="left"/>
      </w:pPr>
      <w:rPr>
        <w:rFonts w:ascii="Cambria" w:eastAsia="Cambria" w:hAnsi="Cambria" w:cs="Cambria" w:hint="default"/>
        <w:spacing w:val="-10"/>
        <w:w w:val="100"/>
        <w:sz w:val="22"/>
        <w:szCs w:val="22"/>
      </w:rPr>
    </w:lvl>
    <w:lvl w:ilvl="1" w:tplc="07A0E17C">
      <w:numFmt w:val="bullet"/>
      <w:lvlText w:val="•"/>
      <w:lvlJc w:val="left"/>
      <w:pPr>
        <w:ind w:left="2008" w:hanging="356"/>
      </w:pPr>
      <w:rPr>
        <w:rFonts w:hint="default"/>
      </w:rPr>
    </w:lvl>
    <w:lvl w:ilvl="2" w:tplc="E6FE2CFE">
      <w:numFmt w:val="bullet"/>
      <w:lvlText w:val="•"/>
      <w:lvlJc w:val="left"/>
      <w:pPr>
        <w:ind w:left="2997" w:hanging="356"/>
      </w:pPr>
      <w:rPr>
        <w:rFonts w:hint="default"/>
      </w:rPr>
    </w:lvl>
    <w:lvl w:ilvl="3" w:tplc="91E22982">
      <w:numFmt w:val="bullet"/>
      <w:lvlText w:val="•"/>
      <w:lvlJc w:val="left"/>
      <w:pPr>
        <w:ind w:left="3986" w:hanging="356"/>
      </w:pPr>
      <w:rPr>
        <w:rFonts w:hint="default"/>
      </w:rPr>
    </w:lvl>
    <w:lvl w:ilvl="4" w:tplc="D4A08688">
      <w:numFmt w:val="bullet"/>
      <w:lvlText w:val="•"/>
      <w:lvlJc w:val="left"/>
      <w:pPr>
        <w:ind w:left="4975" w:hanging="356"/>
      </w:pPr>
      <w:rPr>
        <w:rFonts w:hint="default"/>
      </w:rPr>
    </w:lvl>
    <w:lvl w:ilvl="5" w:tplc="B2CCCBDC">
      <w:numFmt w:val="bullet"/>
      <w:lvlText w:val="•"/>
      <w:lvlJc w:val="left"/>
      <w:pPr>
        <w:ind w:left="5964" w:hanging="356"/>
      </w:pPr>
      <w:rPr>
        <w:rFonts w:hint="default"/>
      </w:rPr>
    </w:lvl>
    <w:lvl w:ilvl="6" w:tplc="4510F6A2">
      <w:numFmt w:val="bullet"/>
      <w:lvlText w:val="•"/>
      <w:lvlJc w:val="left"/>
      <w:pPr>
        <w:ind w:left="6952" w:hanging="356"/>
      </w:pPr>
      <w:rPr>
        <w:rFonts w:hint="default"/>
      </w:rPr>
    </w:lvl>
    <w:lvl w:ilvl="7" w:tplc="7190060E">
      <w:numFmt w:val="bullet"/>
      <w:lvlText w:val="•"/>
      <w:lvlJc w:val="left"/>
      <w:pPr>
        <w:ind w:left="7941" w:hanging="356"/>
      </w:pPr>
      <w:rPr>
        <w:rFonts w:hint="default"/>
      </w:rPr>
    </w:lvl>
    <w:lvl w:ilvl="8" w:tplc="BC90891C">
      <w:numFmt w:val="bullet"/>
      <w:lvlText w:val="•"/>
      <w:lvlJc w:val="left"/>
      <w:pPr>
        <w:ind w:left="8930" w:hanging="356"/>
      </w:pPr>
      <w:rPr>
        <w:rFonts w:hint="default"/>
      </w:rPr>
    </w:lvl>
  </w:abstractNum>
  <w:abstractNum w:abstractNumId="6" w15:restartNumberingAfterBreak="0">
    <w:nsid w:val="1B664EEF"/>
    <w:multiLevelType w:val="hybridMultilevel"/>
    <w:tmpl w:val="E2BAA1A4"/>
    <w:lvl w:ilvl="0" w:tplc="80222E6C">
      <w:start w:val="1"/>
      <w:numFmt w:val="decimal"/>
      <w:lvlText w:val="%1."/>
      <w:lvlJc w:val="left"/>
      <w:pPr>
        <w:ind w:left="599" w:hanging="361"/>
        <w:jc w:val="right"/>
      </w:pPr>
      <w:rPr>
        <w:rFonts w:ascii="Cambria" w:eastAsia="Cambria" w:hAnsi="Cambria" w:cs="Cambria" w:hint="default"/>
        <w:spacing w:val="-24"/>
        <w:w w:val="100"/>
        <w:sz w:val="22"/>
        <w:szCs w:val="22"/>
      </w:rPr>
    </w:lvl>
    <w:lvl w:ilvl="1" w:tplc="53AC7784">
      <w:start w:val="1"/>
      <w:numFmt w:val="lowerLetter"/>
      <w:lvlText w:val="%2."/>
      <w:lvlJc w:val="left"/>
      <w:pPr>
        <w:ind w:left="1304" w:hanging="356"/>
        <w:jc w:val="left"/>
      </w:pPr>
      <w:rPr>
        <w:rFonts w:ascii="Cambria" w:eastAsia="Cambria" w:hAnsi="Cambria" w:cs="Cambria" w:hint="default"/>
        <w:spacing w:val="-9"/>
        <w:w w:val="100"/>
        <w:sz w:val="22"/>
        <w:szCs w:val="22"/>
      </w:rPr>
    </w:lvl>
    <w:lvl w:ilvl="2" w:tplc="64FA4498">
      <w:numFmt w:val="bullet"/>
      <w:lvlText w:val="•"/>
      <w:lvlJc w:val="left"/>
      <w:pPr>
        <w:ind w:left="2320" w:hanging="356"/>
      </w:pPr>
      <w:rPr>
        <w:rFonts w:hint="default"/>
      </w:rPr>
    </w:lvl>
    <w:lvl w:ilvl="3" w:tplc="C7F0BDEA">
      <w:numFmt w:val="bullet"/>
      <w:lvlText w:val="•"/>
      <w:lvlJc w:val="left"/>
      <w:pPr>
        <w:ind w:left="3341" w:hanging="356"/>
      </w:pPr>
      <w:rPr>
        <w:rFonts w:hint="default"/>
      </w:rPr>
    </w:lvl>
    <w:lvl w:ilvl="4" w:tplc="2CBA28FE">
      <w:numFmt w:val="bullet"/>
      <w:lvlText w:val="•"/>
      <w:lvlJc w:val="left"/>
      <w:pPr>
        <w:ind w:left="4362" w:hanging="356"/>
      </w:pPr>
      <w:rPr>
        <w:rFonts w:hint="default"/>
      </w:rPr>
    </w:lvl>
    <w:lvl w:ilvl="5" w:tplc="E87EEA48">
      <w:numFmt w:val="bullet"/>
      <w:lvlText w:val="•"/>
      <w:lvlJc w:val="left"/>
      <w:pPr>
        <w:ind w:left="5383" w:hanging="356"/>
      </w:pPr>
      <w:rPr>
        <w:rFonts w:hint="default"/>
      </w:rPr>
    </w:lvl>
    <w:lvl w:ilvl="6" w:tplc="7518968E">
      <w:numFmt w:val="bullet"/>
      <w:lvlText w:val="•"/>
      <w:lvlJc w:val="left"/>
      <w:pPr>
        <w:ind w:left="6404" w:hanging="356"/>
      </w:pPr>
      <w:rPr>
        <w:rFonts w:hint="default"/>
      </w:rPr>
    </w:lvl>
    <w:lvl w:ilvl="7" w:tplc="515C94B8">
      <w:numFmt w:val="bullet"/>
      <w:lvlText w:val="•"/>
      <w:lvlJc w:val="left"/>
      <w:pPr>
        <w:ind w:left="7425" w:hanging="356"/>
      </w:pPr>
      <w:rPr>
        <w:rFonts w:hint="default"/>
      </w:rPr>
    </w:lvl>
    <w:lvl w:ilvl="8" w:tplc="DEF2819E">
      <w:numFmt w:val="bullet"/>
      <w:lvlText w:val="•"/>
      <w:lvlJc w:val="left"/>
      <w:pPr>
        <w:ind w:left="8446" w:hanging="356"/>
      </w:pPr>
      <w:rPr>
        <w:rFonts w:hint="default"/>
      </w:rPr>
    </w:lvl>
  </w:abstractNum>
  <w:abstractNum w:abstractNumId="7" w15:restartNumberingAfterBreak="0">
    <w:nsid w:val="1C9401C5"/>
    <w:multiLevelType w:val="hybridMultilevel"/>
    <w:tmpl w:val="18A00FD2"/>
    <w:lvl w:ilvl="0" w:tplc="2D1C0214">
      <w:numFmt w:val="bullet"/>
      <w:lvlText w:val=""/>
      <w:lvlJc w:val="left"/>
      <w:pPr>
        <w:ind w:left="632" w:hanging="361"/>
      </w:pPr>
      <w:rPr>
        <w:rFonts w:ascii="Symbol" w:eastAsia="Symbol" w:hAnsi="Symbol" w:cs="Symbol" w:hint="default"/>
        <w:w w:val="100"/>
        <w:sz w:val="22"/>
        <w:szCs w:val="22"/>
      </w:rPr>
    </w:lvl>
    <w:lvl w:ilvl="1" w:tplc="2CF28D00">
      <w:numFmt w:val="bullet"/>
      <w:lvlText w:val="•"/>
      <w:lvlJc w:val="left"/>
      <w:pPr>
        <w:ind w:left="1664" w:hanging="361"/>
      </w:pPr>
      <w:rPr>
        <w:rFonts w:hint="default"/>
      </w:rPr>
    </w:lvl>
    <w:lvl w:ilvl="2" w:tplc="A2EE365A">
      <w:numFmt w:val="bullet"/>
      <w:lvlText w:val="•"/>
      <w:lvlJc w:val="left"/>
      <w:pPr>
        <w:ind w:left="2689" w:hanging="361"/>
      </w:pPr>
      <w:rPr>
        <w:rFonts w:hint="default"/>
      </w:rPr>
    </w:lvl>
    <w:lvl w:ilvl="3" w:tplc="781E8346">
      <w:numFmt w:val="bullet"/>
      <w:lvlText w:val="•"/>
      <w:lvlJc w:val="left"/>
      <w:pPr>
        <w:ind w:left="3714" w:hanging="361"/>
      </w:pPr>
      <w:rPr>
        <w:rFonts w:hint="default"/>
      </w:rPr>
    </w:lvl>
    <w:lvl w:ilvl="4" w:tplc="93FC8E5E">
      <w:numFmt w:val="bullet"/>
      <w:lvlText w:val="•"/>
      <w:lvlJc w:val="left"/>
      <w:pPr>
        <w:ind w:left="4739" w:hanging="361"/>
      </w:pPr>
      <w:rPr>
        <w:rFonts w:hint="default"/>
      </w:rPr>
    </w:lvl>
    <w:lvl w:ilvl="5" w:tplc="30FEC518">
      <w:numFmt w:val="bullet"/>
      <w:lvlText w:val="•"/>
      <w:lvlJc w:val="left"/>
      <w:pPr>
        <w:ind w:left="5764" w:hanging="361"/>
      </w:pPr>
      <w:rPr>
        <w:rFonts w:hint="default"/>
      </w:rPr>
    </w:lvl>
    <w:lvl w:ilvl="6" w:tplc="AA9C94A0">
      <w:numFmt w:val="bullet"/>
      <w:lvlText w:val="•"/>
      <w:lvlJc w:val="left"/>
      <w:pPr>
        <w:ind w:left="6788" w:hanging="361"/>
      </w:pPr>
      <w:rPr>
        <w:rFonts w:hint="default"/>
      </w:rPr>
    </w:lvl>
    <w:lvl w:ilvl="7" w:tplc="45CCF06E">
      <w:numFmt w:val="bullet"/>
      <w:lvlText w:val="•"/>
      <w:lvlJc w:val="left"/>
      <w:pPr>
        <w:ind w:left="7813" w:hanging="361"/>
      </w:pPr>
      <w:rPr>
        <w:rFonts w:hint="default"/>
      </w:rPr>
    </w:lvl>
    <w:lvl w:ilvl="8" w:tplc="53181F06">
      <w:numFmt w:val="bullet"/>
      <w:lvlText w:val="•"/>
      <w:lvlJc w:val="left"/>
      <w:pPr>
        <w:ind w:left="8838" w:hanging="361"/>
      </w:pPr>
      <w:rPr>
        <w:rFonts w:hint="default"/>
      </w:rPr>
    </w:lvl>
  </w:abstractNum>
  <w:abstractNum w:abstractNumId="8" w15:restartNumberingAfterBreak="0">
    <w:nsid w:val="209D660A"/>
    <w:multiLevelType w:val="hybridMultilevel"/>
    <w:tmpl w:val="C44631B8"/>
    <w:lvl w:ilvl="0" w:tplc="C6426602">
      <w:start w:val="2"/>
      <w:numFmt w:val="decimal"/>
      <w:lvlText w:val="%1)"/>
      <w:lvlJc w:val="left"/>
      <w:pPr>
        <w:ind w:left="911" w:hanging="360"/>
        <w:jc w:val="left"/>
      </w:pPr>
      <w:rPr>
        <w:rFonts w:ascii="Cambria" w:eastAsia="Cambria" w:hAnsi="Cambria" w:cs="Cambria" w:hint="default"/>
        <w:b/>
        <w:bCs/>
        <w:spacing w:val="-8"/>
        <w:w w:val="100"/>
        <w:sz w:val="22"/>
        <w:szCs w:val="22"/>
      </w:rPr>
    </w:lvl>
    <w:lvl w:ilvl="1" w:tplc="F612A234">
      <w:numFmt w:val="bullet"/>
      <w:lvlText w:val="•"/>
      <w:lvlJc w:val="left"/>
      <w:pPr>
        <w:ind w:left="1918" w:hanging="360"/>
      </w:pPr>
      <w:rPr>
        <w:rFonts w:hint="default"/>
      </w:rPr>
    </w:lvl>
    <w:lvl w:ilvl="2" w:tplc="4E6E362E">
      <w:numFmt w:val="bullet"/>
      <w:lvlText w:val="•"/>
      <w:lvlJc w:val="left"/>
      <w:pPr>
        <w:ind w:left="2917" w:hanging="360"/>
      </w:pPr>
      <w:rPr>
        <w:rFonts w:hint="default"/>
      </w:rPr>
    </w:lvl>
    <w:lvl w:ilvl="3" w:tplc="06F428E2">
      <w:numFmt w:val="bullet"/>
      <w:lvlText w:val="•"/>
      <w:lvlJc w:val="left"/>
      <w:pPr>
        <w:ind w:left="3916" w:hanging="360"/>
      </w:pPr>
      <w:rPr>
        <w:rFonts w:hint="default"/>
      </w:rPr>
    </w:lvl>
    <w:lvl w:ilvl="4" w:tplc="C538A03C">
      <w:numFmt w:val="bullet"/>
      <w:lvlText w:val="•"/>
      <w:lvlJc w:val="left"/>
      <w:pPr>
        <w:ind w:left="4915" w:hanging="360"/>
      </w:pPr>
      <w:rPr>
        <w:rFonts w:hint="default"/>
      </w:rPr>
    </w:lvl>
    <w:lvl w:ilvl="5" w:tplc="8E36454E">
      <w:numFmt w:val="bullet"/>
      <w:lvlText w:val="•"/>
      <w:lvlJc w:val="left"/>
      <w:pPr>
        <w:ind w:left="5914" w:hanging="360"/>
      </w:pPr>
      <w:rPr>
        <w:rFonts w:hint="default"/>
      </w:rPr>
    </w:lvl>
    <w:lvl w:ilvl="6" w:tplc="24960318">
      <w:numFmt w:val="bullet"/>
      <w:lvlText w:val="•"/>
      <w:lvlJc w:val="left"/>
      <w:pPr>
        <w:ind w:left="6912" w:hanging="360"/>
      </w:pPr>
      <w:rPr>
        <w:rFonts w:hint="default"/>
      </w:rPr>
    </w:lvl>
    <w:lvl w:ilvl="7" w:tplc="06CE58AC">
      <w:numFmt w:val="bullet"/>
      <w:lvlText w:val="•"/>
      <w:lvlJc w:val="left"/>
      <w:pPr>
        <w:ind w:left="7911" w:hanging="360"/>
      </w:pPr>
      <w:rPr>
        <w:rFonts w:hint="default"/>
      </w:rPr>
    </w:lvl>
    <w:lvl w:ilvl="8" w:tplc="18C6AD30">
      <w:numFmt w:val="bullet"/>
      <w:lvlText w:val="•"/>
      <w:lvlJc w:val="left"/>
      <w:pPr>
        <w:ind w:left="8910" w:hanging="360"/>
      </w:pPr>
      <w:rPr>
        <w:rFonts w:hint="default"/>
      </w:rPr>
    </w:lvl>
  </w:abstractNum>
  <w:abstractNum w:abstractNumId="9" w15:restartNumberingAfterBreak="0">
    <w:nsid w:val="2F977F7A"/>
    <w:multiLevelType w:val="hybridMultilevel"/>
    <w:tmpl w:val="7C3C75E8"/>
    <w:lvl w:ilvl="0" w:tplc="9F5C2240">
      <w:start w:val="76"/>
      <w:numFmt w:val="decimal"/>
      <w:lvlText w:val="%1."/>
      <w:lvlJc w:val="left"/>
      <w:pPr>
        <w:ind w:left="655" w:hanging="332"/>
        <w:jc w:val="left"/>
      </w:pPr>
      <w:rPr>
        <w:rFonts w:ascii="Cambria" w:eastAsia="Cambria" w:hAnsi="Cambria" w:cs="Cambria" w:hint="default"/>
        <w:spacing w:val="-2"/>
        <w:w w:val="100"/>
        <w:sz w:val="22"/>
        <w:szCs w:val="22"/>
      </w:rPr>
    </w:lvl>
    <w:lvl w:ilvl="1" w:tplc="7DBACF28">
      <w:numFmt w:val="bullet"/>
      <w:lvlText w:val=""/>
      <w:lvlJc w:val="left"/>
      <w:pPr>
        <w:ind w:left="891" w:hanging="361"/>
      </w:pPr>
      <w:rPr>
        <w:rFonts w:ascii="Wingdings" w:eastAsia="Wingdings" w:hAnsi="Wingdings" w:cs="Wingdings" w:hint="default"/>
        <w:w w:val="100"/>
        <w:sz w:val="22"/>
        <w:szCs w:val="22"/>
      </w:rPr>
    </w:lvl>
    <w:lvl w:ilvl="2" w:tplc="A6C668B2">
      <w:numFmt w:val="bullet"/>
      <w:lvlText w:val="•"/>
      <w:lvlJc w:val="left"/>
      <w:pPr>
        <w:ind w:left="1954" w:hanging="361"/>
      </w:pPr>
      <w:rPr>
        <w:rFonts w:hint="default"/>
      </w:rPr>
    </w:lvl>
    <w:lvl w:ilvl="3" w:tplc="08480444">
      <w:numFmt w:val="bullet"/>
      <w:lvlText w:val="•"/>
      <w:lvlJc w:val="left"/>
      <w:pPr>
        <w:ind w:left="3008" w:hanging="361"/>
      </w:pPr>
      <w:rPr>
        <w:rFonts w:hint="default"/>
      </w:rPr>
    </w:lvl>
    <w:lvl w:ilvl="4" w:tplc="23362E34">
      <w:numFmt w:val="bullet"/>
      <w:lvlText w:val="•"/>
      <w:lvlJc w:val="left"/>
      <w:pPr>
        <w:ind w:left="4062" w:hanging="361"/>
      </w:pPr>
      <w:rPr>
        <w:rFonts w:hint="default"/>
      </w:rPr>
    </w:lvl>
    <w:lvl w:ilvl="5" w:tplc="0602F51A">
      <w:numFmt w:val="bullet"/>
      <w:lvlText w:val="•"/>
      <w:lvlJc w:val="left"/>
      <w:pPr>
        <w:ind w:left="5116" w:hanging="361"/>
      </w:pPr>
      <w:rPr>
        <w:rFonts w:hint="default"/>
      </w:rPr>
    </w:lvl>
    <w:lvl w:ilvl="6" w:tplc="9814CC2C">
      <w:numFmt w:val="bullet"/>
      <w:lvlText w:val="•"/>
      <w:lvlJc w:val="left"/>
      <w:pPr>
        <w:ind w:left="6171" w:hanging="361"/>
      </w:pPr>
      <w:rPr>
        <w:rFonts w:hint="default"/>
      </w:rPr>
    </w:lvl>
    <w:lvl w:ilvl="7" w:tplc="40EE69E8">
      <w:numFmt w:val="bullet"/>
      <w:lvlText w:val="•"/>
      <w:lvlJc w:val="left"/>
      <w:pPr>
        <w:ind w:left="7225" w:hanging="361"/>
      </w:pPr>
      <w:rPr>
        <w:rFonts w:hint="default"/>
      </w:rPr>
    </w:lvl>
    <w:lvl w:ilvl="8" w:tplc="5316E6E6">
      <w:numFmt w:val="bullet"/>
      <w:lvlText w:val="•"/>
      <w:lvlJc w:val="left"/>
      <w:pPr>
        <w:ind w:left="8279" w:hanging="361"/>
      </w:pPr>
      <w:rPr>
        <w:rFonts w:hint="default"/>
      </w:rPr>
    </w:lvl>
  </w:abstractNum>
  <w:abstractNum w:abstractNumId="10" w15:restartNumberingAfterBreak="0">
    <w:nsid w:val="317218D6"/>
    <w:multiLevelType w:val="hybridMultilevel"/>
    <w:tmpl w:val="D94CCB8C"/>
    <w:lvl w:ilvl="0" w:tplc="49F0CC1E">
      <w:numFmt w:val="bullet"/>
      <w:lvlText w:val=""/>
      <w:lvlJc w:val="left"/>
      <w:pPr>
        <w:ind w:left="824" w:hanging="361"/>
      </w:pPr>
      <w:rPr>
        <w:rFonts w:ascii="Symbol" w:eastAsia="Symbol" w:hAnsi="Symbol" w:cs="Symbol" w:hint="default"/>
        <w:w w:val="100"/>
        <w:sz w:val="22"/>
        <w:szCs w:val="22"/>
      </w:rPr>
    </w:lvl>
    <w:lvl w:ilvl="1" w:tplc="1D3CED68">
      <w:numFmt w:val="bullet"/>
      <w:lvlText w:val="-"/>
      <w:lvlJc w:val="left"/>
      <w:pPr>
        <w:ind w:left="1184" w:hanging="360"/>
      </w:pPr>
      <w:rPr>
        <w:rFonts w:ascii="Cambria" w:eastAsia="Cambria" w:hAnsi="Cambria" w:cs="Cambria" w:hint="default"/>
        <w:spacing w:val="-5"/>
        <w:w w:val="100"/>
        <w:sz w:val="22"/>
        <w:szCs w:val="22"/>
      </w:rPr>
    </w:lvl>
    <w:lvl w:ilvl="2" w:tplc="457E4476">
      <w:numFmt w:val="bullet"/>
      <w:lvlText w:val="•"/>
      <w:lvlJc w:val="left"/>
      <w:pPr>
        <w:ind w:left="2165" w:hanging="360"/>
      </w:pPr>
      <w:rPr>
        <w:rFonts w:hint="default"/>
      </w:rPr>
    </w:lvl>
    <w:lvl w:ilvl="3" w:tplc="EC2863DC">
      <w:numFmt w:val="bullet"/>
      <w:lvlText w:val="•"/>
      <w:lvlJc w:val="left"/>
      <w:pPr>
        <w:ind w:left="3151" w:hanging="360"/>
      </w:pPr>
      <w:rPr>
        <w:rFonts w:hint="default"/>
      </w:rPr>
    </w:lvl>
    <w:lvl w:ilvl="4" w:tplc="4B3243C6">
      <w:numFmt w:val="bullet"/>
      <w:lvlText w:val="•"/>
      <w:lvlJc w:val="left"/>
      <w:pPr>
        <w:ind w:left="4137" w:hanging="360"/>
      </w:pPr>
      <w:rPr>
        <w:rFonts w:hint="default"/>
      </w:rPr>
    </w:lvl>
    <w:lvl w:ilvl="5" w:tplc="8C8A3194">
      <w:numFmt w:val="bullet"/>
      <w:lvlText w:val="•"/>
      <w:lvlJc w:val="left"/>
      <w:pPr>
        <w:ind w:left="5123" w:hanging="360"/>
      </w:pPr>
      <w:rPr>
        <w:rFonts w:hint="default"/>
      </w:rPr>
    </w:lvl>
    <w:lvl w:ilvl="6" w:tplc="89061BF2">
      <w:numFmt w:val="bullet"/>
      <w:lvlText w:val="•"/>
      <w:lvlJc w:val="left"/>
      <w:pPr>
        <w:ind w:left="6108" w:hanging="360"/>
      </w:pPr>
      <w:rPr>
        <w:rFonts w:hint="default"/>
      </w:rPr>
    </w:lvl>
    <w:lvl w:ilvl="7" w:tplc="55724FC2">
      <w:numFmt w:val="bullet"/>
      <w:lvlText w:val="•"/>
      <w:lvlJc w:val="left"/>
      <w:pPr>
        <w:ind w:left="7094" w:hanging="360"/>
      </w:pPr>
      <w:rPr>
        <w:rFonts w:hint="default"/>
      </w:rPr>
    </w:lvl>
    <w:lvl w:ilvl="8" w:tplc="22D21326">
      <w:numFmt w:val="bullet"/>
      <w:lvlText w:val="•"/>
      <w:lvlJc w:val="left"/>
      <w:pPr>
        <w:ind w:left="8080" w:hanging="360"/>
      </w:pPr>
      <w:rPr>
        <w:rFonts w:hint="default"/>
      </w:rPr>
    </w:lvl>
  </w:abstractNum>
  <w:abstractNum w:abstractNumId="11" w15:restartNumberingAfterBreak="0">
    <w:nsid w:val="31D61316"/>
    <w:multiLevelType w:val="hybridMultilevel"/>
    <w:tmpl w:val="C4D83226"/>
    <w:lvl w:ilvl="0" w:tplc="52BEDD20">
      <w:numFmt w:val="bullet"/>
      <w:lvlText w:val="o"/>
      <w:lvlJc w:val="left"/>
      <w:pPr>
        <w:ind w:left="1124" w:hanging="280"/>
      </w:pPr>
      <w:rPr>
        <w:rFonts w:ascii="Courier New" w:eastAsia="Courier New" w:hAnsi="Courier New" w:cs="Courier New" w:hint="default"/>
        <w:w w:val="100"/>
        <w:sz w:val="22"/>
        <w:szCs w:val="22"/>
      </w:rPr>
    </w:lvl>
    <w:lvl w:ilvl="1" w:tplc="A7060462">
      <w:numFmt w:val="bullet"/>
      <w:lvlText w:val="•"/>
      <w:lvlJc w:val="left"/>
      <w:pPr>
        <w:ind w:left="2026" w:hanging="280"/>
      </w:pPr>
      <w:rPr>
        <w:rFonts w:hint="default"/>
      </w:rPr>
    </w:lvl>
    <w:lvl w:ilvl="2" w:tplc="A2FAF68C">
      <w:numFmt w:val="bullet"/>
      <w:lvlText w:val="•"/>
      <w:lvlJc w:val="left"/>
      <w:pPr>
        <w:ind w:left="2933" w:hanging="280"/>
      </w:pPr>
      <w:rPr>
        <w:rFonts w:hint="default"/>
      </w:rPr>
    </w:lvl>
    <w:lvl w:ilvl="3" w:tplc="E4A0514A">
      <w:numFmt w:val="bullet"/>
      <w:lvlText w:val="•"/>
      <w:lvlJc w:val="left"/>
      <w:pPr>
        <w:ind w:left="3840" w:hanging="280"/>
      </w:pPr>
      <w:rPr>
        <w:rFonts w:hint="default"/>
      </w:rPr>
    </w:lvl>
    <w:lvl w:ilvl="4" w:tplc="FA7C324E">
      <w:numFmt w:val="bullet"/>
      <w:lvlText w:val="•"/>
      <w:lvlJc w:val="left"/>
      <w:pPr>
        <w:ind w:left="4747" w:hanging="280"/>
      </w:pPr>
      <w:rPr>
        <w:rFonts w:hint="default"/>
      </w:rPr>
    </w:lvl>
    <w:lvl w:ilvl="5" w:tplc="5890E21E">
      <w:numFmt w:val="bullet"/>
      <w:lvlText w:val="•"/>
      <w:lvlJc w:val="left"/>
      <w:pPr>
        <w:ind w:left="5654" w:hanging="280"/>
      </w:pPr>
      <w:rPr>
        <w:rFonts w:hint="default"/>
      </w:rPr>
    </w:lvl>
    <w:lvl w:ilvl="6" w:tplc="42E81DEC">
      <w:numFmt w:val="bullet"/>
      <w:lvlText w:val="•"/>
      <w:lvlJc w:val="left"/>
      <w:pPr>
        <w:ind w:left="6560" w:hanging="280"/>
      </w:pPr>
      <w:rPr>
        <w:rFonts w:hint="default"/>
      </w:rPr>
    </w:lvl>
    <w:lvl w:ilvl="7" w:tplc="47F619F8">
      <w:numFmt w:val="bullet"/>
      <w:lvlText w:val="•"/>
      <w:lvlJc w:val="left"/>
      <w:pPr>
        <w:ind w:left="7467" w:hanging="280"/>
      </w:pPr>
      <w:rPr>
        <w:rFonts w:hint="default"/>
      </w:rPr>
    </w:lvl>
    <w:lvl w:ilvl="8" w:tplc="A774A71E">
      <w:numFmt w:val="bullet"/>
      <w:lvlText w:val="•"/>
      <w:lvlJc w:val="left"/>
      <w:pPr>
        <w:ind w:left="8374" w:hanging="280"/>
      </w:pPr>
      <w:rPr>
        <w:rFonts w:hint="default"/>
      </w:rPr>
    </w:lvl>
  </w:abstractNum>
  <w:abstractNum w:abstractNumId="12" w15:restartNumberingAfterBreak="0">
    <w:nsid w:val="38887E48"/>
    <w:multiLevelType w:val="hybridMultilevel"/>
    <w:tmpl w:val="DE2CE378"/>
    <w:lvl w:ilvl="0" w:tplc="2DF0C788">
      <w:numFmt w:val="bullet"/>
      <w:lvlText w:val=""/>
      <w:lvlJc w:val="left"/>
      <w:pPr>
        <w:ind w:left="1544" w:hanging="361"/>
      </w:pPr>
      <w:rPr>
        <w:rFonts w:ascii="Symbol" w:eastAsia="Symbol" w:hAnsi="Symbol" w:cs="Symbol" w:hint="default"/>
        <w:w w:val="100"/>
        <w:sz w:val="22"/>
        <w:szCs w:val="22"/>
      </w:rPr>
    </w:lvl>
    <w:lvl w:ilvl="1" w:tplc="590EE9EE">
      <w:numFmt w:val="bullet"/>
      <w:lvlText w:val="•"/>
      <w:lvlJc w:val="left"/>
      <w:pPr>
        <w:ind w:left="2404" w:hanging="361"/>
      </w:pPr>
      <w:rPr>
        <w:rFonts w:hint="default"/>
      </w:rPr>
    </w:lvl>
    <w:lvl w:ilvl="2" w:tplc="DF02DD50">
      <w:numFmt w:val="bullet"/>
      <w:lvlText w:val="•"/>
      <w:lvlJc w:val="left"/>
      <w:pPr>
        <w:ind w:left="3269" w:hanging="361"/>
      </w:pPr>
      <w:rPr>
        <w:rFonts w:hint="default"/>
      </w:rPr>
    </w:lvl>
    <w:lvl w:ilvl="3" w:tplc="0A165BB6">
      <w:numFmt w:val="bullet"/>
      <w:lvlText w:val="•"/>
      <w:lvlJc w:val="left"/>
      <w:pPr>
        <w:ind w:left="4134" w:hanging="361"/>
      </w:pPr>
      <w:rPr>
        <w:rFonts w:hint="default"/>
      </w:rPr>
    </w:lvl>
    <w:lvl w:ilvl="4" w:tplc="AC48EFF8">
      <w:numFmt w:val="bullet"/>
      <w:lvlText w:val="•"/>
      <w:lvlJc w:val="left"/>
      <w:pPr>
        <w:ind w:left="4999" w:hanging="361"/>
      </w:pPr>
      <w:rPr>
        <w:rFonts w:hint="default"/>
      </w:rPr>
    </w:lvl>
    <w:lvl w:ilvl="5" w:tplc="90FCBF82">
      <w:numFmt w:val="bullet"/>
      <w:lvlText w:val="•"/>
      <w:lvlJc w:val="left"/>
      <w:pPr>
        <w:ind w:left="5864" w:hanging="361"/>
      </w:pPr>
      <w:rPr>
        <w:rFonts w:hint="default"/>
      </w:rPr>
    </w:lvl>
    <w:lvl w:ilvl="6" w:tplc="4ED80BA6">
      <w:numFmt w:val="bullet"/>
      <w:lvlText w:val="•"/>
      <w:lvlJc w:val="left"/>
      <w:pPr>
        <w:ind w:left="6728" w:hanging="361"/>
      </w:pPr>
      <w:rPr>
        <w:rFonts w:hint="default"/>
      </w:rPr>
    </w:lvl>
    <w:lvl w:ilvl="7" w:tplc="2B908FCA">
      <w:numFmt w:val="bullet"/>
      <w:lvlText w:val="•"/>
      <w:lvlJc w:val="left"/>
      <w:pPr>
        <w:ind w:left="7593" w:hanging="361"/>
      </w:pPr>
      <w:rPr>
        <w:rFonts w:hint="default"/>
      </w:rPr>
    </w:lvl>
    <w:lvl w:ilvl="8" w:tplc="A4527898">
      <w:numFmt w:val="bullet"/>
      <w:lvlText w:val="•"/>
      <w:lvlJc w:val="left"/>
      <w:pPr>
        <w:ind w:left="8458" w:hanging="361"/>
      </w:pPr>
      <w:rPr>
        <w:rFonts w:hint="default"/>
      </w:rPr>
    </w:lvl>
  </w:abstractNum>
  <w:abstractNum w:abstractNumId="13" w15:restartNumberingAfterBreak="0">
    <w:nsid w:val="38B121DE"/>
    <w:multiLevelType w:val="hybridMultilevel"/>
    <w:tmpl w:val="08B67BA2"/>
    <w:lvl w:ilvl="0" w:tplc="7182E3EE">
      <w:start w:val="1"/>
      <w:numFmt w:val="decimal"/>
      <w:lvlText w:val="%1)"/>
      <w:lvlJc w:val="left"/>
      <w:pPr>
        <w:ind w:left="824" w:hanging="360"/>
        <w:jc w:val="left"/>
      </w:pPr>
      <w:rPr>
        <w:rFonts w:ascii="Cambria" w:eastAsia="Cambria" w:hAnsi="Cambria" w:cs="Cambria" w:hint="default"/>
        <w:spacing w:val="-24"/>
        <w:w w:val="100"/>
        <w:sz w:val="22"/>
        <w:szCs w:val="22"/>
      </w:rPr>
    </w:lvl>
    <w:lvl w:ilvl="1" w:tplc="AC60873C">
      <w:numFmt w:val="bullet"/>
      <w:lvlText w:val="•"/>
      <w:lvlJc w:val="left"/>
      <w:pPr>
        <w:ind w:left="1756" w:hanging="360"/>
      </w:pPr>
      <w:rPr>
        <w:rFonts w:hint="default"/>
      </w:rPr>
    </w:lvl>
    <w:lvl w:ilvl="2" w:tplc="9FC851CC">
      <w:numFmt w:val="bullet"/>
      <w:lvlText w:val="•"/>
      <w:lvlJc w:val="left"/>
      <w:pPr>
        <w:ind w:left="2693" w:hanging="360"/>
      </w:pPr>
      <w:rPr>
        <w:rFonts w:hint="default"/>
      </w:rPr>
    </w:lvl>
    <w:lvl w:ilvl="3" w:tplc="5C4A1E80">
      <w:numFmt w:val="bullet"/>
      <w:lvlText w:val="•"/>
      <w:lvlJc w:val="left"/>
      <w:pPr>
        <w:ind w:left="3630" w:hanging="360"/>
      </w:pPr>
      <w:rPr>
        <w:rFonts w:hint="default"/>
      </w:rPr>
    </w:lvl>
    <w:lvl w:ilvl="4" w:tplc="861AFE90">
      <w:numFmt w:val="bullet"/>
      <w:lvlText w:val="•"/>
      <w:lvlJc w:val="left"/>
      <w:pPr>
        <w:ind w:left="4567" w:hanging="360"/>
      </w:pPr>
      <w:rPr>
        <w:rFonts w:hint="default"/>
      </w:rPr>
    </w:lvl>
    <w:lvl w:ilvl="5" w:tplc="9F786AE0">
      <w:numFmt w:val="bullet"/>
      <w:lvlText w:val="•"/>
      <w:lvlJc w:val="left"/>
      <w:pPr>
        <w:ind w:left="5504" w:hanging="360"/>
      </w:pPr>
      <w:rPr>
        <w:rFonts w:hint="default"/>
      </w:rPr>
    </w:lvl>
    <w:lvl w:ilvl="6" w:tplc="79BC9C24">
      <w:numFmt w:val="bullet"/>
      <w:lvlText w:val="•"/>
      <w:lvlJc w:val="left"/>
      <w:pPr>
        <w:ind w:left="6440" w:hanging="360"/>
      </w:pPr>
      <w:rPr>
        <w:rFonts w:hint="default"/>
      </w:rPr>
    </w:lvl>
    <w:lvl w:ilvl="7" w:tplc="7E4A4046">
      <w:numFmt w:val="bullet"/>
      <w:lvlText w:val="•"/>
      <w:lvlJc w:val="left"/>
      <w:pPr>
        <w:ind w:left="7377" w:hanging="360"/>
      </w:pPr>
      <w:rPr>
        <w:rFonts w:hint="default"/>
      </w:rPr>
    </w:lvl>
    <w:lvl w:ilvl="8" w:tplc="0A6647CA">
      <w:numFmt w:val="bullet"/>
      <w:lvlText w:val="•"/>
      <w:lvlJc w:val="left"/>
      <w:pPr>
        <w:ind w:left="8314" w:hanging="360"/>
      </w:pPr>
      <w:rPr>
        <w:rFonts w:hint="default"/>
      </w:rPr>
    </w:lvl>
  </w:abstractNum>
  <w:abstractNum w:abstractNumId="14" w15:restartNumberingAfterBreak="0">
    <w:nsid w:val="38C87E55"/>
    <w:multiLevelType w:val="hybridMultilevel"/>
    <w:tmpl w:val="C2CC928A"/>
    <w:lvl w:ilvl="0" w:tplc="5AC82C7C">
      <w:start w:val="1"/>
      <w:numFmt w:val="decimal"/>
      <w:lvlText w:val="(%1)"/>
      <w:lvlJc w:val="left"/>
      <w:pPr>
        <w:ind w:left="3688" w:hanging="720"/>
        <w:jc w:val="right"/>
      </w:pPr>
      <w:rPr>
        <w:rFonts w:ascii="Cambria" w:eastAsia="Cambria" w:hAnsi="Cambria" w:cs="Cambria" w:hint="default"/>
        <w:b/>
        <w:bCs/>
        <w:spacing w:val="-3"/>
        <w:w w:val="100"/>
        <w:sz w:val="32"/>
        <w:szCs w:val="32"/>
      </w:rPr>
    </w:lvl>
    <w:lvl w:ilvl="1" w:tplc="181C6A9A">
      <w:numFmt w:val="bullet"/>
      <w:lvlText w:val="•"/>
      <w:lvlJc w:val="left"/>
      <w:pPr>
        <w:ind w:left="4166" w:hanging="720"/>
      </w:pPr>
      <w:rPr>
        <w:rFonts w:hint="default"/>
      </w:rPr>
    </w:lvl>
    <w:lvl w:ilvl="2" w:tplc="31CCA4E4">
      <w:numFmt w:val="bullet"/>
      <w:lvlText w:val="•"/>
      <w:lvlJc w:val="left"/>
      <w:pPr>
        <w:ind w:left="4653" w:hanging="720"/>
      </w:pPr>
      <w:rPr>
        <w:rFonts w:hint="default"/>
      </w:rPr>
    </w:lvl>
    <w:lvl w:ilvl="3" w:tplc="69B23AAA">
      <w:numFmt w:val="bullet"/>
      <w:lvlText w:val="•"/>
      <w:lvlJc w:val="left"/>
      <w:pPr>
        <w:ind w:left="5140" w:hanging="720"/>
      </w:pPr>
      <w:rPr>
        <w:rFonts w:hint="default"/>
      </w:rPr>
    </w:lvl>
    <w:lvl w:ilvl="4" w:tplc="178A583C">
      <w:numFmt w:val="bullet"/>
      <w:lvlText w:val="•"/>
      <w:lvlJc w:val="left"/>
      <w:pPr>
        <w:ind w:left="5627" w:hanging="720"/>
      </w:pPr>
      <w:rPr>
        <w:rFonts w:hint="default"/>
      </w:rPr>
    </w:lvl>
    <w:lvl w:ilvl="5" w:tplc="86CA5A0E">
      <w:numFmt w:val="bullet"/>
      <w:lvlText w:val="•"/>
      <w:lvlJc w:val="left"/>
      <w:pPr>
        <w:ind w:left="6114" w:hanging="720"/>
      </w:pPr>
      <w:rPr>
        <w:rFonts w:hint="default"/>
      </w:rPr>
    </w:lvl>
    <w:lvl w:ilvl="6" w:tplc="5A9C9C44">
      <w:numFmt w:val="bullet"/>
      <w:lvlText w:val="•"/>
      <w:lvlJc w:val="left"/>
      <w:pPr>
        <w:ind w:left="6600" w:hanging="720"/>
      </w:pPr>
      <w:rPr>
        <w:rFonts w:hint="default"/>
      </w:rPr>
    </w:lvl>
    <w:lvl w:ilvl="7" w:tplc="42285B90">
      <w:numFmt w:val="bullet"/>
      <w:lvlText w:val="•"/>
      <w:lvlJc w:val="left"/>
      <w:pPr>
        <w:ind w:left="7087" w:hanging="720"/>
      </w:pPr>
      <w:rPr>
        <w:rFonts w:hint="default"/>
      </w:rPr>
    </w:lvl>
    <w:lvl w:ilvl="8" w:tplc="109C9A54">
      <w:numFmt w:val="bullet"/>
      <w:lvlText w:val="•"/>
      <w:lvlJc w:val="left"/>
      <w:pPr>
        <w:ind w:left="7574" w:hanging="720"/>
      </w:pPr>
      <w:rPr>
        <w:rFonts w:hint="default"/>
      </w:rPr>
    </w:lvl>
  </w:abstractNum>
  <w:abstractNum w:abstractNumId="15" w15:restartNumberingAfterBreak="0">
    <w:nsid w:val="3D342FDA"/>
    <w:multiLevelType w:val="hybridMultilevel"/>
    <w:tmpl w:val="12325726"/>
    <w:lvl w:ilvl="0" w:tplc="D8166F34">
      <w:numFmt w:val="bullet"/>
      <w:lvlText w:val=""/>
      <w:lvlJc w:val="left"/>
      <w:pPr>
        <w:ind w:left="824" w:hanging="361"/>
      </w:pPr>
      <w:rPr>
        <w:rFonts w:ascii="Symbol" w:eastAsia="Symbol" w:hAnsi="Symbol" w:cs="Symbol" w:hint="default"/>
        <w:b/>
        <w:bCs/>
        <w:w w:val="99"/>
        <w:sz w:val="22"/>
        <w:szCs w:val="22"/>
      </w:rPr>
    </w:lvl>
    <w:lvl w:ilvl="1" w:tplc="89CE088A">
      <w:numFmt w:val="bullet"/>
      <w:lvlText w:val="•"/>
      <w:lvlJc w:val="left"/>
      <w:pPr>
        <w:ind w:left="1756" w:hanging="361"/>
      </w:pPr>
      <w:rPr>
        <w:rFonts w:hint="default"/>
      </w:rPr>
    </w:lvl>
    <w:lvl w:ilvl="2" w:tplc="11F4FBFA">
      <w:numFmt w:val="bullet"/>
      <w:lvlText w:val="•"/>
      <w:lvlJc w:val="left"/>
      <w:pPr>
        <w:ind w:left="2693" w:hanging="361"/>
      </w:pPr>
      <w:rPr>
        <w:rFonts w:hint="default"/>
      </w:rPr>
    </w:lvl>
    <w:lvl w:ilvl="3" w:tplc="46F8EB64">
      <w:numFmt w:val="bullet"/>
      <w:lvlText w:val="•"/>
      <w:lvlJc w:val="left"/>
      <w:pPr>
        <w:ind w:left="3630" w:hanging="361"/>
      </w:pPr>
      <w:rPr>
        <w:rFonts w:hint="default"/>
      </w:rPr>
    </w:lvl>
    <w:lvl w:ilvl="4" w:tplc="20C69C66">
      <w:numFmt w:val="bullet"/>
      <w:lvlText w:val="•"/>
      <w:lvlJc w:val="left"/>
      <w:pPr>
        <w:ind w:left="4567" w:hanging="361"/>
      </w:pPr>
      <w:rPr>
        <w:rFonts w:hint="default"/>
      </w:rPr>
    </w:lvl>
    <w:lvl w:ilvl="5" w:tplc="7E40E0C8">
      <w:numFmt w:val="bullet"/>
      <w:lvlText w:val="•"/>
      <w:lvlJc w:val="left"/>
      <w:pPr>
        <w:ind w:left="5504" w:hanging="361"/>
      </w:pPr>
      <w:rPr>
        <w:rFonts w:hint="default"/>
      </w:rPr>
    </w:lvl>
    <w:lvl w:ilvl="6" w:tplc="F33CDBC8">
      <w:numFmt w:val="bullet"/>
      <w:lvlText w:val="•"/>
      <w:lvlJc w:val="left"/>
      <w:pPr>
        <w:ind w:left="6440" w:hanging="361"/>
      </w:pPr>
      <w:rPr>
        <w:rFonts w:hint="default"/>
      </w:rPr>
    </w:lvl>
    <w:lvl w:ilvl="7" w:tplc="2028EE12">
      <w:numFmt w:val="bullet"/>
      <w:lvlText w:val="•"/>
      <w:lvlJc w:val="left"/>
      <w:pPr>
        <w:ind w:left="7377" w:hanging="361"/>
      </w:pPr>
      <w:rPr>
        <w:rFonts w:hint="default"/>
      </w:rPr>
    </w:lvl>
    <w:lvl w:ilvl="8" w:tplc="DBACD52E">
      <w:numFmt w:val="bullet"/>
      <w:lvlText w:val="•"/>
      <w:lvlJc w:val="left"/>
      <w:pPr>
        <w:ind w:left="8314" w:hanging="361"/>
      </w:pPr>
      <w:rPr>
        <w:rFonts w:hint="default"/>
      </w:rPr>
    </w:lvl>
  </w:abstractNum>
  <w:abstractNum w:abstractNumId="16" w15:restartNumberingAfterBreak="0">
    <w:nsid w:val="3FC06106"/>
    <w:multiLevelType w:val="hybridMultilevel"/>
    <w:tmpl w:val="FA2648F0"/>
    <w:lvl w:ilvl="0" w:tplc="78642E40">
      <w:numFmt w:val="bullet"/>
      <w:lvlText w:val=""/>
      <w:lvlJc w:val="left"/>
      <w:pPr>
        <w:ind w:left="924" w:hanging="361"/>
      </w:pPr>
      <w:rPr>
        <w:rFonts w:hint="default"/>
        <w:w w:val="100"/>
      </w:rPr>
    </w:lvl>
    <w:lvl w:ilvl="1" w:tplc="CDCA42D2">
      <w:numFmt w:val="bullet"/>
      <w:lvlText w:val="•"/>
      <w:lvlJc w:val="left"/>
      <w:pPr>
        <w:ind w:left="920" w:hanging="361"/>
      </w:pPr>
      <w:rPr>
        <w:rFonts w:hint="default"/>
      </w:rPr>
    </w:lvl>
    <w:lvl w:ilvl="2" w:tplc="E714952C">
      <w:numFmt w:val="bullet"/>
      <w:lvlText w:val="•"/>
      <w:lvlJc w:val="left"/>
      <w:pPr>
        <w:ind w:left="1972" w:hanging="361"/>
      </w:pPr>
      <w:rPr>
        <w:rFonts w:hint="default"/>
      </w:rPr>
    </w:lvl>
    <w:lvl w:ilvl="3" w:tplc="1D06E668">
      <w:numFmt w:val="bullet"/>
      <w:lvlText w:val="•"/>
      <w:lvlJc w:val="left"/>
      <w:pPr>
        <w:ind w:left="3024" w:hanging="361"/>
      </w:pPr>
      <w:rPr>
        <w:rFonts w:hint="default"/>
      </w:rPr>
    </w:lvl>
    <w:lvl w:ilvl="4" w:tplc="E39A46BE">
      <w:numFmt w:val="bullet"/>
      <w:lvlText w:val="•"/>
      <w:lvlJc w:val="left"/>
      <w:pPr>
        <w:ind w:left="4076" w:hanging="361"/>
      </w:pPr>
      <w:rPr>
        <w:rFonts w:hint="default"/>
      </w:rPr>
    </w:lvl>
    <w:lvl w:ilvl="5" w:tplc="6A9E9848">
      <w:numFmt w:val="bullet"/>
      <w:lvlText w:val="•"/>
      <w:lvlJc w:val="left"/>
      <w:pPr>
        <w:ind w:left="5128" w:hanging="361"/>
      </w:pPr>
      <w:rPr>
        <w:rFonts w:hint="default"/>
      </w:rPr>
    </w:lvl>
    <w:lvl w:ilvl="6" w:tplc="B0ECC180">
      <w:numFmt w:val="bullet"/>
      <w:lvlText w:val="•"/>
      <w:lvlJc w:val="left"/>
      <w:pPr>
        <w:ind w:left="6180" w:hanging="361"/>
      </w:pPr>
      <w:rPr>
        <w:rFonts w:hint="default"/>
      </w:rPr>
    </w:lvl>
    <w:lvl w:ilvl="7" w:tplc="DFCC5832">
      <w:numFmt w:val="bullet"/>
      <w:lvlText w:val="•"/>
      <w:lvlJc w:val="left"/>
      <w:pPr>
        <w:ind w:left="7232" w:hanging="361"/>
      </w:pPr>
      <w:rPr>
        <w:rFonts w:hint="default"/>
      </w:rPr>
    </w:lvl>
    <w:lvl w:ilvl="8" w:tplc="EEAE1A04">
      <w:numFmt w:val="bullet"/>
      <w:lvlText w:val="•"/>
      <w:lvlJc w:val="left"/>
      <w:pPr>
        <w:ind w:left="8284" w:hanging="361"/>
      </w:pPr>
      <w:rPr>
        <w:rFonts w:hint="default"/>
      </w:rPr>
    </w:lvl>
  </w:abstractNum>
  <w:abstractNum w:abstractNumId="17" w15:restartNumberingAfterBreak="0">
    <w:nsid w:val="43F01379"/>
    <w:multiLevelType w:val="hybridMultilevel"/>
    <w:tmpl w:val="8E7E0940"/>
    <w:lvl w:ilvl="0" w:tplc="1A4C3746">
      <w:start w:val="1"/>
      <w:numFmt w:val="lowerLetter"/>
      <w:lvlText w:val="(%1)"/>
      <w:lvlJc w:val="left"/>
      <w:pPr>
        <w:ind w:left="144" w:hanging="324"/>
        <w:jc w:val="left"/>
      </w:pPr>
      <w:rPr>
        <w:rFonts w:ascii="Cambria" w:eastAsia="Cambria" w:hAnsi="Cambria" w:cs="Cambria" w:hint="default"/>
        <w:w w:val="100"/>
        <w:sz w:val="22"/>
        <w:szCs w:val="22"/>
      </w:rPr>
    </w:lvl>
    <w:lvl w:ilvl="1" w:tplc="EB90869E">
      <w:numFmt w:val="bullet"/>
      <w:lvlText w:val="•"/>
      <w:lvlJc w:val="left"/>
      <w:pPr>
        <w:ind w:left="1082" w:hanging="324"/>
      </w:pPr>
      <w:rPr>
        <w:rFonts w:hint="default"/>
      </w:rPr>
    </w:lvl>
    <w:lvl w:ilvl="2" w:tplc="F484F938">
      <w:numFmt w:val="bullet"/>
      <w:lvlText w:val="•"/>
      <w:lvlJc w:val="left"/>
      <w:pPr>
        <w:ind w:left="2024" w:hanging="324"/>
      </w:pPr>
      <w:rPr>
        <w:rFonts w:hint="default"/>
      </w:rPr>
    </w:lvl>
    <w:lvl w:ilvl="3" w:tplc="79E002A2">
      <w:numFmt w:val="bullet"/>
      <w:lvlText w:val="•"/>
      <w:lvlJc w:val="left"/>
      <w:pPr>
        <w:ind w:left="2966" w:hanging="324"/>
      </w:pPr>
      <w:rPr>
        <w:rFonts w:hint="default"/>
      </w:rPr>
    </w:lvl>
    <w:lvl w:ilvl="4" w:tplc="4E06A498">
      <w:numFmt w:val="bullet"/>
      <w:lvlText w:val="•"/>
      <w:lvlJc w:val="left"/>
      <w:pPr>
        <w:ind w:left="3908" w:hanging="324"/>
      </w:pPr>
      <w:rPr>
        <w:rFonts w:hint="default"/>
      </w:rPr>
    </w:lvl>
    <w:lvl w:ilvl="5" w:tplc="F094222C">
      <w:numFmt w:val="bullet"/>
      <w:lvlText w:val="•"/>
      <w:lvlJc w:val="left"/>
      <w:pPr>
        <w:ind w:left="4850" w:hanging="324"/>
      </w:pPr>
      <w:rPr>
        <w:rFonts w:hint="default"/>
      </w:rPr>
    </w:lvl>
    <w:lvl w:ilvl="6" w:tplc="77B84C3C">
      <w:numFmt w:val="bullet"/>
      <w:lvlText w:val="•"/>
      <w:lvlJc w:val="left"/>
      <w:pPr>
        <w:ind w:left="5792" w:hanging="324"/>
      </w:pPr>
      <w:rPr>
        <w:rFonts w:hint="default"/>
      </w:rPr>
    </w:lvl>
    <w:lvl w:ilvl="7" w:tplc="163200A8">
      <w:numFmt w:val="bullet"/>
      <w:lvlText w:val="•"/>
      <w:lvlJc w:val="left"/>
      <w:pPr>
        <w:ind w:left="6734" w:hanging="324"/>
      </w:pPr>
      <w:rPr>
        <w:rFonts w:hint="default"/>
      </w:rPr>
    </w:lvl>
    <w:lvl w:ilvl="8" w:tplc="6A4EC3AE">
      <w:numFmt w:val="bullet"/>
      <w:lvlText w:val="•"/>
      <w:lvlJc w:val="left"/>
      <w:pPr>
        <w:ind w:left="7676" w:hanging="324"/>
      </w:pPr>
      <w:rPr>
        <w:rFonts w:hint="default"/>
      </w:rPr>
    </w:lvl>
  </w:abstractNum>
  <w:abstractNum w:abstractNumId="18" w15:restartNumberingAfterBreak="0">
    <w:nsid w:val="47374C8D"/>
    <w:multiLevelType w:val="hybridMultilevel"/>
    <w:tmpl w:val="096A6660"/>
    <w:lvl w:ilvl="0" w:tplc="FAE48BCA">
      <w:start w:val="76"/>
      <w:numFmt w:val="decimal"/>
      <w:lvlText w:val="%1."/>
      <w:lvlJc w:val="left"/>
      <w:pPr>
        <w:ind w:left="635" w:hanging="332"/>
        <w:jc w:val="left"/>
      </w:pPr>
      <w:rPr>
        <w:rFonts w:ascii="Cambria" w:eastAsia="Cambria" w:hAnsi="Cambria" w:cs="Cambria" w:hint="default"/>
        <w:spacing w:val="-2"/>
        <w:w w:val="100"/>
        <w:sz w:val="22"/>
        <w:szCs w:val="22"/>
      </w:rPr>
    </w:lvl>
    <w:lvl w:ilvl="1" w:tplc="5FFEF814">
      <w:start w:val="1"/>
      <w:numFmt w:val="decimal"/>
      <w:lvlText w:val="%2."/>
      <w:lvlJc w:val="left"/>
      <w:pPr>
        <w:ind w:left="884" w:hanging="357"/>
        <w:jc w:val="left"/>
      </w:pPr>
      <w:rPr>
        <w:rFonts w:ascii="Cambria" w:eastAsia="Cambria" w:hAnsi="Cambria" w:cs="Cambria" w:hint="default"/>
        <w:spacing w:val="-17"/>
        <w:w w:val="100"/>
        <w:sz w:val="22"/>
        <w:szCs w:val="22"/>
      </w:rPr>
    </w:lvl>
    <w:lvl w:ilvl="2" w:tplc="E3583288">
      <w:numFmt w:val="bullet"/>
      <w:lvlText w:val="•"/>
      <w:lvlJc w:val="left"/>
      <w:pPr>
        <w:ind w:left="1947" w:hanging="357"/>
      </w:pPr>
      <w:rPr>
        <w:rFonts w:hint="default"/>
      </w:rPr>
    </w:lvl>
    <w:lvl w:ilvl="3" w:tplc="FBB26954">
      <w:numFmt w:val="bullet"/>
      <w:lvlText w:val="•"/>
      <w:lvlJc w:val="left"/>
      <w:pPr>
        <w:ind w:left="3015" w:hanging="357"/>
      </w:pPr>
      <w:rPr>
        <w:rFonts w:hint="default"/>
      </w:rPr>
    </w:lvl>
    <w:lvl w:ilvl="4" w:tplc="129AFD8A">
      <w:numFmt w:val="bullet"/>
      <w:lvlText w:val="•"/>
      <w:lvlJc w:val="left"/>
      <w:pPr>
        <w:ind w:left="4082" w:hanging="357"/>
      </w:pPr>
      <w:rPr>
        <w:rFonts w:hint="default"/>
      </w:rPr>
    </w:lvl>
    <w:lvl w:ilvl="5" w:tplc="1C0AF160">
      <w:numFmt w:val="bullet"/>
      <w:lvlText w:val="•"/>
      <w:lvlJc w:val="left"/>
      <w:pPr>
        <w:ind w:left="5150" w:hanging="357"/>
      </w:pPr>
      <w:rPr>
        <w:rFonts w:hint="default"/>
      </w:rPr>
    </w:lvl>
    <w:lvl w:ilvl="6" w:tplc="911A3C6A">
      <w:numFmt w:val="bullet"/>
      <w:lvlText w:val="•"/>
      <w:lvlJc w:val="left"/>
      <w:pPr>
        <w:ind w:left="6217" w:hanging="357"/>
      </w:pPr>
      <w:rPr>
        <w:rFonts w:hint="default"/>
      </w:rPr>
    </w:lvl>
    <w:lvl w:ilvl="7" w:tplc="0D8AE688">
      <w:numFmt w:val="bullet"/>
      <w:lvlText w:val="•"/>
      <w:lvlJc w:val="left"/>
      <w:pPr>
        <w:ind w:left="7285" w:hanging="357"/>
      </w:pPr>
      <w:rPr>
        <w:rFonts w:hint="default"/>
      </w:rPr>
    </w:lvl>
    <w:lvl w:ilvl="8" w:tplc="A036AC32">
      <w:numFmt w:val="bullet"/>
      <w:lvlText w:val="•"/>
      <w:lvlJc w:val="left"/>
      <w:pPr>
        <w:ind w:left="8352" w:hanging="357"/>
      </w:pPr>
      <w:rPr>
        <w:rFonts w:hint="default"/>
      </w:rPr>
    </w:lvl>
  </w:abstractNum>
  <w:abstractNum w:abstractNumId="19" w15:restartNumberingAfterBreak="0">
    <w:nsid w:val="497012B6"/>
    <w:multiLevelType w:val="hybridMultilevel"/>
    <w:tmpl w:val="F6640908"/>
    <w:lvl w:ilvl="0" w:tplc="C26AEFC4">
      <w:numFmt w:val="bullet"/>
      <w:lvlText w:val=""/>
      <w:lvlJc w:val="left"/>
      <w:pPr>
        <w:ind w:left="824" w:hanging="361"/>
      </w:pPr>
      <w:rPr>
        <w:rFonts w:ascii="Symbol" w:eastAsia="Symbol" w:hAnsi="Symbol" w:cs="Symbol" w:hint="default"/>
        <w:w w:val="100"/>
        <w:sz w:val="22"/>
        <w:szCs w:val="22"/>
      </w:rPr>
    </w:lvl>
    <w:lvl w:ilvl="1" w:tplc="B2841EFC">
      <w:numFmt w:val="bullet"/>
      <w:lvlText w:val="•"/>
      <w:lvlJc w:val="left"/>
      <w:pPr>
        <w:ind w:left="1756" w:hanging="361"/>
      </w:pPr>
      <w:rPr>
        <w:rFonts w:hint="default"/>
      </w:rPr>
    </w:lvl>
    <w:lvl w:ilvl="2" w:tplc="EF9E23F6">
      <w:numFmt w:val="bullet"/>
      <w:lvlText w:val="•"/>
      <w:lvlJc w:val="left"/>
      <w:pPr>
        <w:ind w:left="2693" w:hanging="361"/>
      </w:pPr>
      <w:rPr>
        <w:rFonts w:hint="default"/>
      </w:rPr>
    </w:lvl>
    <w:lvl w:ilvl="3" w:tplc="0AFCE7B2">
      <w:numFmt w:val="bullet"/>
      <w:lvlText w:val="•"/>
      <w:lvlJc w:val="left"/>
      <w:pPr>
        <w:ind w:left="3630" w:hanging="361"/>
      </w:pPr>
      <w:rPr>
        <w:rFonts w:hint="default"/>
      </w:rPr>
    </w:lvl>
    <w:lvl w:ilvl="4" w:tplc="5E3445B2">
      <w:numFmt w:val="bullet"/>
      <w:lvlText w:val="•"/>
      <w:lvlJc w:val="left"/>
      <w:pPr>
        <w:ind w:left="4567" w:hanging="361"/>
      </w:pPr>
      <w:rPr>
        <w:rFonts w:hint="default"/>
      </w:rPr>
    </w:lvl>
    <w:lvl w:ilvl="5" w:tplc="2B140A9A">
      <w:numFmt w:val="bullet"/>
      <w:lvlText w:val="•"/>
      <w:lvlJc w:val="left"/>
      <w:pPr>
        <w:ind w:left="5504" w:hanging="361"/>
      </w:pPr>
      <w:rPr>
        <w:rFonts w:hint="default"/>
      </w:rPr>
    </w:lvl>
    <w:lvl w:ilvl="6" w:tplc="102EF96C">
      <w:numFmt w:val="bullet"/>
      <w:lvlText w:val="•"/>
      <w:lvlJc w:val="left"/>
      <w:pPr>
        <w:ind w:left="6440" w:hanging="361"/>
      </w:pPr>
      <w:rPr>
        <w:rFonts w:hint="default"/>
      </w:rPr>
    </w:lvl>
    <w:lvl w:ilvl="7" w:tplc="481A6C62">
      <w:numFmt w:val="bullet"/>
      <w:lvlText w:val="•"/>
      <w:lvlJc w:val="left"/>
      <w:pPr>
        <w:ind w:left="7377" w:hanging="361"/>
      </w:pPr>
      <w:rPr>
        <w:rFonts w:hint="default"/>
      </w:rPr>
    </w:lvl>
    <w:lvl w:ilvl="8" w:tplc="74FC4114">
      <w:numFmt w:val="bullet"/>
      <w:lvlText w:val="•"/>
      <w:lvlJc w:val="left"/>
      <w:pPr>
        <w:ind w:left="8314" w:hanging="361"/>
      </w:pPr>
      <w:rPr>
        <w:rFonts w:hint="default"/>
      </w:rPr>
    </w:lvl>
  </w:abstractNum>
  <w:abstractNum w:abstractNumId="20" w15:restartNumberingAfterBreak="0">
    <w:nsid w:val="4C423E81"/>
    <w:multiLevelType w:val="hybridMultilevel"/>
    <w:tmpl w:val="48C29974"/>
    <w:lvl w:ilvl="0" w:tplc="81F0347C">
      <w:numFmt w:val="bullet"/>
      <w:lvlText w:val=""/>
      <w:lvlJc w:val="left"/>
      <w:pPr>
        <w:ind w:left="824" w:hanging="361"/>
      </w:pPr>
      <w:rPr>
        <w:rFonts w:ascii="Symbol" w:eastAsia="Symbol" w:hAnsi="Symbol" w:cs="Symbol" w:hint="default"/>
        <w:w w:val="100"/>
        <w:sz w:val="22"/>
        <w:szCs w:val="22"/>
      </w:rPr>
    </w:lvl>
    <w:lvl w:ilvl="1" w:tplc="FDA6855C">
      <w:numFmt w:val="bullet"/>
      <w:lvlText w:val="•"/>
      <w:lvlJc w:val="left"/>
      <w:pPr>
        <w:ind w:left="1756" w:hanging="361"/>
      </w:pPr>
      <w:rPr>
        <w:rFonts w:hint="default"/>
      </w:rPr>
    </w:lvl>
    <w:lvl w:ilvl="2" w:tplc="BDBA0AB0">
      <w:numFmt w:val="bullet"/>
      <w:lvlText w:val="•"/>
      <w:lvlJc w:val="left"/>
      <w:pPr>
        <w:ind w:left="2693" w:hanging="361"/>
      </w:pPr>
      <w:rPr>
        <w:rFonts w:hint="default"/>
      </w:rPr>
    </w:lvl>
    <w:lvl w:ilvl="3" w:tplc="46A248F0">
      <w:numFmt w:val="bullet"/>
      <w:lvlText w:val="•"/>
      <w:lvlJc w:val="left"/>
      <w:pPr>
        <w:ind w:left="3630" w:hanging="361"/>
      </w:pPr>
      <w:rPr>
        <w:rFonts w:hint="default"/>
      </w:rPr>
    </w:lvl>
    <w:lvl w:ilvl="4" w:tplc="6F521A20">
      <w:numFmt w:val="bullet"/>
      <w:lvlText w:val="•"/>
      <w:lvlJc w:val="left"/>
      <w:pPr>
        <w:ind w:left="4567" w:hanging="361"/>
      </w:pPr>
      <w:rPr>
        <w:rFonts w:hint="default"/>
      </w:rPr>
    </w:lvl>
    <w:lvl w:ilvl="5" w:tplc="ACCC96F6">
      <w:numFmt w:val="bullet"/>
      <w:lvlText w:val="•"/>
      <w:lvlJc w:val="left"/>
      <w:pPr>
        <w:ind w:left="5504" w:hanging="361"/>
      </w:pPr>
      <w:rPr>
        <w:rFonts w:hint="default"/>
      </w:rPr>
    </w:lvl>
    <w:lvl w:ilvl="6" w:tplc="D318EA5A">
      <w:numFmt w:val="bullet"/>
      <w:lvlText w:val="•"/>
      <w:lvlJc w:val="left"/>
      <w:pPr>
        <w:ind w:left="6440" w:hanging="361"/>
      </w:pPr>
      <w:rPr>
        <w:rFonts w:hint="default"/>
      </w:rPr>
    </w:lvl>
    <w:lvl w:ilvl="7" w:tplc="45145D14">
      <w:numFmt w:val="bullet"/>
      <w:lvlText w:val="•"/>
      <w:lvlJc w:val="left"/>
      <w:pPr>
        <w:ind w:left="7377" w:hanging="361"/>
      </w:pPr>
      <w:rPr>
        <w:rFonts w:hint="default"/>
      </w:rPr>
    </w:lvl>
    <w:lvl w:ilvl="8" w:tplc="1EA4F622">
      <w:numFmt w:val="bullet"/>
      <w:lvlText w:val="•"/>
      <w:lvlJc w:val="left"/>
      <w:pPr>
        <w:ind w:left="8314" w:hanging="361"/>
      </w:pPr>
      <w:rPr>
        <w:rFonts w:hint="default"/>
      </w:rPr>
    </w:lvl>
  </w:abstractNum>
  <w:abstractNum w:abstractNumId="21" w15:restartNumberingAfterBreak="0">
    <w:nsid w:val="4D656273"/>
    <w:multiLevelType w:val="hybridMultilevel"/>
    <w:tmpl w:val="524220EE"/>
    <w:lvl w:ilvl="0" w:tplc="A4E0D98C">
      <w:numFmt w:val="bullet"/>
      <w:lvlText w:val="-"/>
      <w:lvlJc w:val="left"/>
      <w:pPr>
        <w:ind w:left="891" w:hanging="360"/>
      </w:pPr>
      <w:rPr>
        <w:rFonts w:ascii="Cambria" w:eastAsia="Cambria" w:hAnsi="Cambria" w:cs="Cambria" w:hint="default"/>
        <w:spacing w:val="-6"/>
        <w:w w:val="100"/>
        <w:sz w:val="22"/>
        <w:szCs w:val="22"/>
      </w:rPr>
    </w:lvl>
    <w:lvl w:ilvl="1" w:tplc="5A641A4A">
      <w:numFmt w:val="bullet"/>
      <w:lvlText w:val=""/>
      <w:lvlJc w:val="left"/>
      <w:pPr>
        <w:ind w:left="1024" w:hanging="360"/>
      </w:pPr>
      <w:rPr>
        <w:rFonts w:ascii="Symbol" w:eastAsia="Symbol" w:hAnsi="Symbol" w:cs="Symbol" w:hint="default"/>
        <w:w w:val="100"/>
        <w:sz w:val="22"/>
        <w:szCs w:val="22"/>
      </w:rPr>
    </w:lvl>
    <w:lvl w:ilvl="2" w:tplc="11149C3C">
      <w:numFmt w:val="bullet"/>
      <w:lvlText w:val="•"/>
      <w:lvlJc w:val="left"/>
      <w:pPr>
        <w:ind w:left="2060" w:hanging="360"/>
      </w:pPr>
      <w:rPr>
        <w:rFonts w:hint="default"/>
      </w:rPr>
    </w:lvl>
    <w:lvl w:ilvl="3" w:tplc="3A36A386">
      <w:numFmt w:val="bullet"/>
      <w:lvlText w:val="•"/>
      <w:lvlJc w:val="left"/>
      <w:pPr>
        <w:ind w:left="3101" w:hanging="360"/>
      </w:pPr>
      <w:rPr>
        <w:rFonts w:hint="default"/>
      </w:rPr>
    </w:lvl>
    <w:lvl w:ilvl="4" w:tplc="CB2AB72A">
      <w:numFmt w:val="bullet"/>
      <w:lvlText w:val="•"/>
      <w:lvlJc w:val="left"/>
      <w:pPr>
        <w:ind w:left="4142" w:hanging="360"/>
      </w:pPr>
      <w:rPr>
        <w:rFonts w:hint="default"/>
      </w:rPr>
    </w:lvl>
    <w:lvl w:ilvl="5" w:tplc="391066E4">
      <w:numFmt w:val="bullet"/>
      <w:lvlText w:val="•"/>
      <w:lvlJc w:val="left"/>
      <w:pPr>
        <w:ind w:left="5183" w:hanging="360"/>
      </w:pPr>
      <w:rPr>
        <w:rFonts w:hint="default"/>
      </w:rPr>
    </w:lvl>
    <w:lvl w:ilvl="6" w:tplc="BC64FCA8">
      <w:numFmt w:val="bullet"/>
      <w:lvlText w:val="•"/>
      <w:lvlJc w:val="left"/>
      <w:pPr>
        <w:ind w:left="6224" w:hanging="360"/>
      </w:pPr>
      <w:rPr>
        <w:rFonts w:hint="default"/>
      </w:rPr>
    </w:lvl>
    <w:lvl w:ilvl="7" w:tplc="47B8B784">
      <w:numFmt w:val="bullet"/>
      <w:lvlText w:val="•"/>
      <w:lvlJc w:val="left"/>
      <w:pPr>
        <w:ind w:left="7265" w:hanging="360"/>
      </w:pPr>
      <w:rPr>
        <w:rFonts w:hint="default"/>
      </w:rPr>
    </w:lvl>
    <w:lvl w:ilvl="8" w:tplc="CF7C8178">
      <w:numFmt w:val="bullet"/>
      <w:lvlText w:val="•"/>
      <w:lvlJc w:val="left"/>
      <w:pPr>
        <w:ind w:left="8306" w:hanging="360"/>
      </w:pPr>
      <w:rPr>
        <w:rFonts w:hint="default"/>
      </w:rPr>
    </w:lvl>
  </w:abstractNum>
  <w:abstractNum w:abstractNumId="22" w15:restartNumberingAfterBreak="0">
    <w:nsid w:val="55224DF8"/>
    <w:multiLevelType w:val="hybridMultilevel"/>
    <w:tmpl w:val="EE02670A"/>
    <w:lvl w:ilvl="0" w:tplc="70F4DBD6">
      <w:numFmt w:val="bullet"/>
      <w:lvlText w:val=""/>
      <w:lvlJc w:val="left"/>
      <w:pPr>
        <w:ind w:left="416" w:hanging="273"/>
      </w:pPr>
      <w:rPr>
        <w:rFonts w:ascii="Symbol" w:eastAsia="Symbol" w:hAnsi="Symbol" w:cs="Symbol" w:hint="default"/>
        <w:w w:val="100"/>
        <w:sz w:val="22"/>
        <w:szCs w:val="22"/>
      </w:rPr>
    </w:lvl>
    <w:lvl w:ilvl="1" w:tplc="625E1D78">
      <w:numFmt w:val="bullet"/>
      <w:lvlText w:val="•"/>
      <w:lvlJc w:val="left"/>
      <w:pPr>
        <w:ind w:left="1396" w:hanging="273"/>
      </w:pPr>
      <w:rPr>
        <w:rFonts w:hint="default"/>
      </w:rPr>
    </w:lvl>
    <w:lvl w:ilvl="2" w:tplc="E676E95C">
      <w:numFmt w:val="bullet"/>
      <w:lvlText w:val="•"/>
      <w:lvlJc w:val="left"/>
      <w:pPr>
        <w:ind w:left="2373" w:hanging="273"/>
      </w:pPr>
      <w:rPr>
        <w:rFonts w:hint="default"/>
      </w:rPr>
    </w:lvl>
    <w:lvl w:ilvl="3" w:tplc="2E84EF92">
      <w:numFmt w:val="bullet"/>
      <w:lvlText w:val="•"/>
      <w:lvlJc w:val="left"/>
      <w:pPr>
        <w:ind w:left="3350" w:hanging="273"/>
      </w:pPr>
      <w:rPr>
        <w:rFonts w:hint="default"/>
      </w:rPr>
    </w:lvl>
    <w:lvl w:ilvl="4" w:tplc="5EAA3E22">
      <w:numFmt w:val="bullet"/>
      <w:lvlText w:val="•"/>
      <w:lvlJc w:val="left"/>
      <w:pPr>
        <w:ind w:left="4327" w:hanging="273"/>
      </w:pPr>
      <w:rPr>
        <w:rFonts w:hint="default"/>
      </w:rPr>
    </w:lvl>
    <w:lvl w:ilvl="5" w:tplc="080E3E4A">
      <w:numFmt w:val="bullet"/>
      <w:lvlText w:val="•"/>
      <w:lvlJc w:val="left"/>
      <w:pPr>
        <w:ind w:left="5304" w:hanging="273"/>
      </w:pPr>
      <w:rPr>
        <w:rFonts w:hint="default"/>
      </w:rPr>
    </w:lvl>
    <w:lvl w:ilvl="6" w:tplc="F00EE14E">
      <w:numFmt w:val="bullet"/>
      <w:lvlText w:val="•"/>
      <w:lvlJc w:val="left"/>
      <w:pPr>
        <w:ind w:left="6280" w:hanging="273"/>
      </w:pPr>
      <w:rPr>
        <w:rFonts w:hint="default"/>
      </w:rPr>
    </w:lvl>
    <w:lvl w:ilvl="7" w:tplc="3184FC4A">
      <w:numFmt w:val="bullet"/>
      <w:lvlText w:val="•"/>
      <w:lvlJc w:val="left"/>
      <w:pPr>
        <w:ind w:left="7257" w:hanging="273"/>
      </w:pPr>
      <w:rPr>
        <w:rFonts w:hint="default"/>
      </w:rPr>
    </w:lvl>
    <w:lvl w:ilvl="8" w:tplc="29E6BE64">
      <w:numFmt w:val="bullet"/>
      <w:lvlText w:val="•"/>
      <w:lvlJc w:val="left"/>
      <w:pPr>
        <w:ind w:left="8234" w:hanging="273"/>
      </w:pPr>
      <w:rPr>
        <w:rFonts w:hint="default"/>
      </w:rPr>
    </w:lvl>
  </w:abstractNum>
  <w:abstractNum w:abstractNumId="23" w15:restartNumberingAfterBreak="0">
    <w:nsid w:val="5580537D"/>
    <w:multiLevelType w:val="hybridMultilevel"/>
    <w:tmpl w:val="485ECF84"/>
    <w:lvl w:ilvl="0" w:tplc="88C0B560">
      <w:numFmt w:val="bullet"/>
      <w:lvlText w:val=""/>
      <w:lvlJc w:val="left"/>
      <w:pPr>
        <w:ind w:left="1004" w:hanging="361"/>
      </w:pPr>
      <w:rPr>
        <w:rFonts w:ascii="Symbol" w:eastAsia="Symbol" w:hAnsi="Symbol" w:cs="Symbol" w:hint="default"/>
        <w:w w:val="100"/>
        <w:sz w:val="22"/>
        <w:szCs w:val="22"/>
      </w:rPr>
    </w:lvl>
    <w:lvl w:ilvl="1" w:tplc="D53614B6">
      <w:numFmt w:val="bullet"/>
      <w:lvlText w:val="o"/>
      <w:lvlJc w:val="left"/>
      <w:pPr>
        <w:ind w:left="1724" w:hanging="360"/>
      </w:pPr>
      <w:rPr>
        <w:rFonts w:ascii="Courier New" w:eastAsia="Courier New" w:hAnsi="Courier New" w:cs="Courier New" w:hint="default"/>
        <w:spacing w:val="-37"/>
        <w:w w:val="100"/>
        <w:sz w:val="22"/>
        <w:szCs w:val="22"/>
      </w:rPr>
    </w:lvl>
    <w:lvl w:ilvl="2" w:tplc="DA8E0806">
      <w:numFmt w:val="bullet"/>
      <w:lvlText w:val="•"/>
      <w:lvlJc w:val="left"/>
      <w:pPr>
        <w:ind w:left="2694" w:hanging="360"/>
      </w:pPr>
      <w:rPr>
        <w:rFonts w:hint="default"/>
      </w:rPr>
    </w:lvl>
    <w:lvl w:ilvl="3" w:tplc="4AE48B7A">
      <w:numFmt w:val="bullet"/>
      <w:lvlText w:val="•"/>
      <w:lvlJc w:val="left"/>
      <w:pPr>
        <w:ind w:left="3668" w:hanging="360"/>
      </w:pPr>
      <w:rPr>
        <w:rFonts w:hint="default"/>
      </w:rPr>
    </w:lvl>
    <w:lvl w:ilvl="4" w:tplc="31FCFD54">
      <w:numFmt w:val="bullet"/>
      <w:lvlText w:val="•"/>
      <w:lvlJc w:val="left"/>
      <w:pPr>
        <w:ind w:left="4642" w:hanging="360"/>
      </w:pPr>
      <w:rPr>
        <w:rFonts w:hint="default"/>
      </w:rPr>
    </w:lvl>
    <w:lvl w:ilvl="5" w:tplc="465226C6">
      <w:numFmt w:val="bullet"/>
      <w:lvlText w:val="•"/>
      <w:lvlJc w:val="left"/>
      <w:pPr>
        <w:ind w:left="5616" w:hanging="360"/>
      </w:pPr>
      <w:rPr>
        <w:rFonts w:hint="default"/>
      </w:rPr>
    </w:lvl>
    <w:lvl w:ilvl="6" w:tplc="BF3C0DB8">
      <w:numFmt w:val="bullet"/>
      <w:lvlText w:val="•"/>
      <w:lvlJc w:val="left"/>
      <w:pPr>
        <w:ind w:left="6591" w:hanging="360"/>
      </w:pPr>
      <w:rPr>
        <w:rFonts w:hint="default"/>
      </w:rPr>
    </w:lvl>
    <w:lvl w:ilvl="7" w:tplc="D0CEFF28">
      <w:numFmt w:val="bullet"/>
      <w:lvlText w:val="•"/>
      <w:lvlJc w:val="left"/>
      <w:pPr>
        <w:ind w:left="7565" w:hanging="360"/>
      </w:pPr>
      <w:rPr>
        <w:rFonts w:hint="default"/>
      </w:rPr>
    </w:lvl>
    <w:lvl w:ilvl="8" w:tplc="253CE40C">
      <w:numFmt w:val="bullet"/>
      <w:lvlText w:val="•"/>
      <w:lvlJc w:val="left"/>
      <w:pPr>
        <w:ind w:left="8539" w:hanging="360"/>
      </w:pPr>
      <w:rPr>
        <w:rFonts w:hint="default"/>
      </w:rPr>
    </w:lvl>
  </w:abstractNum>
  <w:abstractNum w:abstractNumId="24" w15:restartNumberingAfterBreak="0">
    <w:nsid w:val="6EFB6F94"/>
    <w:multiLevelType w:val="hybridMultilevel"/>
    <w:tmpl w:val="7EF89428"/>
    <w:lvl w:ilvl="0" w:tplc="4B32361E">
      <w:numFmt w:val="bullet"/>
      <w:lvlText w:val=""/>
      <w:lvlJc w:val="left"/>
      <w:pPr>
        <w:ind w:left="532" w:hanging="361"/>
      </w:pPr>
      <w:rPr>
        <w:rFonts w:ascii="Symbol" w:eastAsia="Symbol" w:hAnsi="Symbol" w:cs="Symbol" w:hint="default"/>
        <w:w w:val="100"/>
        <w:sz w:val="22"/>
        <w:szCs w:val="22"/>
      </w:rPr>
    </w:lvl>
    <w:lvl w:ilvl="1" w:tplc="993AC45E">
      <w:numFmt w:val="bullet"/>
      <w:lvlText w:val="o"/>
      <w:lvlJc w:val="left"/>
      <w:pPr>
        <w:ind w:left="891" w:hanging="360"/>
      </w:pPr>
      <w:rPr>
        <w:rFonts w:ascii="Courier New" w:eastAsia="Courier New" w:hAnsi="Courier New" w:cs="Courier New" w:hint="default"/>
        <w:spacing w:val="-5"/>
        <w:w w:val="100"/>
        <w:sz w:val="22"/>
        <w:szCs w:val="22"/>
      </w:rPr>
    </w:lvl>
    <w:lvl w:ilvl="2" w:tplc="C4AA3C2A">
      <w:numFmt w:val="bullet"/>
      <w:lvlText w:val="•"/>
      <w:lvlJc w:val="left"/>
      <w:pPr>
        <w:ind w:left="1954" w:hanging="360"/>
      </w:pPr>
      <w:rPr>
        <w:rFonts w:hint="default"/>
      </w:rPr>
    </w:lvl>
    <w:lvl w:ilvl="3" w:tplc="83DAD544">
      <w:numFmt w:val="bullet"/>
      <w:lvlText w:val="•"/>
      <w:lvlJc w:val="left"/>
      <w:pPr>
        <w:ind w:left="3008" w:hanging="360"/>
      </w:pPr>
      <w:rPr>
        <w:rFonts w:hint="default"/>
      </w:rPr>
    </w:lvl>
    <w:lvl w:ilvl="4" w:tplc="1A966820">
      <w:numFmt w:val="bullet"/>
      <w:lvlText w:val="•"/>
      <w:lvlJc w:val="left"/>
      <w:pPr>
        <w:ind w:left="4062" w:hanging="360"/>
      </w:pPr>
      <w:rPr>
        <w:rFonts w:hint="default"/>
      </w:rPr>
    </w:lvl>
    <w:lvl w:ilvl="5" w:tplc="F22C326C">
      <w:numFmt w:val="bullet"/>
      <w:lvlText w:val="•"/>
      <w:lvlJc w:val="left"/>
      <w:pPr>
        <w:ind w:left="5116" w:hanging="360"/>
      </w:pPr>
      <w:rPr>
        <w:rFonts w:hint="default"/>
      </w:rPr>
    </w:lvl>
    <w:lvl w:ilvl="6" w:tplc="A322C35E">
      <w:numFmt w:val="bullet"/>
      <w:lvlText w:val="•"/>
      <w:lvlJc w:val="left"/>
      <w:pPr>
        <w:ind w:left="6171" w:hanging="360"/>
      </w:pPr>
      <w:rPr>
        <w:rFonts w:hint="default"/>
      </w:rPr>
    </w:lvl>
    <w:lvl w:ilvl="7" w:tplc="73A2B0A0">
      <w:numFmt w:val="bullet"/>
      <w:lvlText w:val="•"/>
      <w:lvlJc w:val="left"/>
      <w:pPr>
        <w:ind w:left="7225" w:hanging="360"/>
      </w:pPr>
      <w:rPr>
        <w:rFonts w:hint="default"/>
      </w:rPr>
    </w:lvl>
    <w:lvl w:ilvl="8" w:tplc="9EFCAF8A">
      <w:numFmt w:val="bullet"/>
      <w:lvlText w:val="•"/>
      <w:lvlJc w:val="left"/>
      <w:pPr>
        <w:ind w:left="8279" w:hanging="360"/>
      </w:pPr>
      <w:rPr>
        <w:rFonts w:hint="default"/>
      </w:rPr>
    </w:lvl>
  </w:abstractNum>
  <w:abstractNum w:abstractNumId="25" w15:restartNumberingAfterBreak="0">
    <w:nsid w:val="76560EDB"/>
    <w:multiLevelType w:val="hybridMultilevel"/>
    <w:tmpl w:val="20CA2B90"/>
    <w:lvl w:ilvl="0" w:tplc="79CE4510">
      <w:numFmt w:val="bullet"/>
      <w:lvlText w:val=""/>
      <w:lvlJc w:val="left"/>
      <w:pPr>
        <w:ind w:left="1544" w:hanging="361"/>
      </w:pPr>
      <w:rPr>
        <w:rFonts w:ascii="Symbol" w:eastAsia="Symbol" w:hAnsi="Symbol" w:cs="Symbol" w:hint="default"/>
        <w:w w:val="100"/>
        <w:sz w:val="22"/>
        <w:szCs w:val="22"/>
      </w:rPr>
    </w:lvl>
    <w:lvl w:ilvl="1" w:tplc="F18AC680">
      <w:numFmt w:val="bullet"/>
      <w:lvlText w:val="•"/>
      <w:lvlJc w:val="left"/>
      <w:pPr>
        <w:ind w:left="2404" w:hanging="361"/>
      </w:pPr>
      <w:rPr>
        <w:rFonts w:hint="default"/>
      </w:rPr>
    </w:lvl>
    <w:lvl w:ilvl="2" w:tplc="A34AF02E">
      <w:numFmt w:val="bullet"/>
      <w:lvlText w:val="•"/>
      <w:lvlJc w:val="left"/>
      <w:pPr>
        <w:ind w:left="3269" w:hanging="361"/>
      </w:pPr>
      <w:rPr>
        <w:rFonts w:hint="default"/>
      </w:rPr>
    </w:lvl>
    <w:lvl w:ilvl="3" w:tplc="9F24AD52">
      <w:numFmt w:val="bullet"/>
      <w:lvlText w:val="•"/>
      <w:lvlJc w:val="left"/>
      <w:pPr>
        <w:ind w:left="4134" w:hanging="361"/>
      </w:pPr>
      <w:rPr>
        <w:rFonts w:hint="default"/>
      </w:rPr>
    </w:lvl>
    <w:lvl w:ilvl="4" w:tplc="B420D718">
      <w:numFmt w:val="bullet"/>
      <w:lvlText w:val="•"/>
      <w:lvlJc w:val="left"/>
      <w:pPr>
        <w:ind w:left="4999" w:hanging="361"/>
      </w:pPr>
      <w:rPr>
        <w:rFonts w:hint="default"/>
      </w:rPr>
    </w:lvl>
    <w:lvl w:ilvl="5" w:tplc="712AC03C">
      <w:numFmt w:val="bullet"/>
      <w:lvlText w:val="•"/>
      <w:lvlJc w:val="left"/>
      <w:pPr>
        <w:ind w:left="5864" w:hanging="361"/>
      </w:pPr>
      <w:rPr>
        <w:rFonts w:hint="default"/>
      </w:rPr>
    </w:lvl>
    <w:lvl w:ilvl="6" w:tplc="3E966AA6">
      <w:numFmt w:val="bullet"/>
      <w:lvlText w:val="•"/>
      <w:lvlJc w:val="left"/>
      <w:pPr>
        <w:ind w:left="6728" w:hanging="361"/>
      </w:pPr>
      <w:rPr>
        <w:rFonts w:hint="default"/>
      </w:rPr>
    </w:lvl>
    <w:lvl w:ilvl="7" w:tplc="E912133C">
      <w:numFmt w:val="bullet"/>
      <w:lvlText w:val="•"/>
      <w:lvlJc w:val="left"/>
      <w:pPr>
        <w:ind w:left="7593" w:hanging="361"/>
      </w:pPr>
      <w:rPr>
        <w:rFonts w:hint="default"/>
      </w:rPr>
    </w:lvl>
    <w:lvl w:ilvl="8" w:tplc="477603A6">
      <w:numFmt w:val="bullet"/>
      <w:lvlText w:val="•"/>
      <w:lvlJc w:val="left"/>
      <w:pPr>
        <w:ind w:left="8458" w:hanging="361"/>
      </w:pPr>
      <w:rPr>
        <w:rFonts w:hint="default"/>
      </w:rPr>
    </w:lvl>
  </w:abstractNum>
  <w:abstractNum w:abstractNumId="26" w15:restartNumberingAfterBreak="0">
    <w:nsid w:val="76BF53DE"/>
    <w:multiLevelType w:val="hybridMultilevel"/>
    <w:tmpl w:val="70F8331E"/>
    <w:lvl w:ilvl="0" w:tplc="63A88BBE">
      <w:start w:val="1"/>
      <w:numFmt w:val="decimal"/>
      <w:lvlText w:val="%1."/>
      <w:lvlJc w:val="left"/>
      <w:pPr>
        <w:ind w:left="892" w:hanging="361"/>
        <w:jc w:val="left"/>
      </w:pPr>
      <w:rPr>
        <w:rFonts w:ascii="Cambria" w:eastAsia="Cambria" w:hAnsi="Cambria" w:cs="Cambria" w:hint="default"/>
        <w:spacing w:val="-4"/>
        <w:w w:val="100"/>
        <w:sz w:val="22"/>
        <w:szCs w:val="22"/>
      </w:rPr>
    </w:lvl>
    <w:lvl w:ilvl="1" w:tplc="5BBEDC24">
      <w:numFmt w:val="bullet"/>
      <w:lvlText w:val="•"/>
      <w:lvlJc w:val="left"/>
      <w:pPr>
        <w:ind w:left="1848" w:hanging="361"/>
      </w:pPr>
      <w:rPr>
        <w:rFonts w:hint="default"/>
      </w:rPr>
    </w:lvl>
    <w:lvl w:ilvl="2" w:tplc="152CAA20">
      <w:numFmt w:val="bullet"/>
      <w:lvlText w:val="•"/>
      <w:lvlJc w:val="left"/>
      <w:pPr>
        <w:ind w:left="2797" w:hanging="361"/>
      </w:pPr>
      <w:rPr>
        <w:rFonts w:hint="default"/>
      </w:rPr>
    </w:lvl>
    <w:lvl w:ilvl="3" w:tplc="15D282C0">
      <w:numFmt w:val="bullet"/>
      <w:lvlText w:val="•"/>
      <w:lvlJc w:val="left"/>
      <w:pPr>
        <w:ind w:left="3746" w:hanging="361"/>
      </w:pPr>
      <w:rPr>
        <w:rFonts w:hint="default"/>
      </w:rPr>
    </w:lvl>
    <w:lvl w:ilvl="4" w:tplc="61DCB256">
      <w:numFmt w:val="bullet"/>
      <w:lvlText w:val="•"/>
      <w:lvlJc w:val="left"/>
      <w:pPr>
        <w:ind w:left="4695" w:hanging="361"/>
      </w:pPr>
      <w:rPr>
        <w:rFonts w:hint="default"/>
      </w:rPr>
    </w:lvl>
    <w:lvl w:ilvl="5" w:tplc="17E29B60">
      <w:numFmt w:val="bullet"/>
      <w:lvlText w:val="•"/>
      <w:lvlJc w:val="left"/>
      <w:pPr>
        <w:ind w:left="5644" w:hanging="361"/>
      </w:pPr>
      <w:rPr>
        <w:rFonts w:hint="default"/>
      </w:rPr>
    </w:lvl>
    <w:lvl w:ilvl="6" w:tplc="349A5CF6">
      <w:numFmt w:val="bullet"/>
      <w:lvlText w:val="•"/>
      <w:lvlJc w:val="left"/>
      <w:pPr>
        <w:ind w:left="6592" w:hanging="361"/>
      </w:pPr>
      <w:rPr>
        <w:rFonts w:hint="default"/>
      </w:rPr>
    </w:lvl>
    <w:lvl w:ilvl="7" w:tplc="D56ADF72">
      <w:numFmt w:val="bullet"/>
      <w:lvlText w:val="•"/>
      <w:lvlJc w:val="left"/>
      <w:pPr>
        <w:ind w:left="7541" w:hanging="361"/>
      </w:pPr>
      <w:rPr>
        <w:rFonts w:hint="default"/>
      </w:rPr>
    </w:lvl>
    <w:lvl w:ilvl="8" w:tplc="C34E3AFE">
      <w:numFmt w:val="bullet"/>
      <w:lvlText w:val="•"/>
      <w:lvlJc w:val="left"/>
      <w:pPr>
        <w:ind w:left="8490" w:hanging="361"/>
      </w:pPr>
      <w:rPr>
        <w:rFonts w:hint="default"/>
      </w:rPr>
    </w:lvl>
  </w:abstractNum>
  <w:abstractNum w:abstractNumId="27" w15:restartNumberingAfterBreak="0">
    <w:nsid w:val="7CD60443"/>
    <w:multiLevelType w:val="hybridMultilevel"/>
    <w:tmpl w:val="5038C50A"/>
    <w:lvl w:ilvl="0" w:tplc="90B4BBC6">
      <w:numFmt w:val="bullet"/>
      <w:lvlText w:val=""/>
      <w:lvlJc w:val="left"/>
      <w:pPr>
        <w:ind w:left="824" w:hanging="361"/>
      </w:pPr>
      <w:rPr>
        <w:rFonts w:ascii="Symbol" w:eastAsia="Symbol" w:hAnsi="Symbol" w:cs="Symbol" w:hint="default"/>
        <w:w w:val="100"/>
        <w:sz w:val="22"/>
        <w:szCs w:val="22"/>
      </w:rPr>
    </w:lvl>
    <w:lvl w:ilvl="1" w:tplc="0D1C3C9E">
      <w:numFmt w:val="bullet"/>
      <w:lvlText w:val="•"/>
      <w:lvlJc w:val="left"/>
      <w:pPr>
        <w:ind w:left="1756" w:hanging="361"/>
      </w:pPr>
      <w:rPr>
        <w:rFonts w:hint="default"/>
      </w:rPr>
    </w:lvl>
    <w:lvl w:ilvl="2" w:tplc="0368FF02">
      <w:numFmt w:val="bullet"/>
      <w:lvlText w:val="•"/>
      <w:lvlJc w:val="left"/>
      <w:pPr>
        <w:ind w:left="2693" w:hanging="361"/>
      </w:pPr>
      <w:rPr>
        <w:rFonts w:hint="default"/>
      </w:rPr>
    </w:lvl>
    <w:lvl w:ilvl="3" w:tplc="9C001B5C">
      <w:numFmt w:val="bullet"/>
      <w:lvlText w:val="•"/>
      <w:lvlJc w:val="left"/>
      <w:pPr>
        <w:ind w:left="3630" w:hanging="361"/>
      </w:pPr>
      <w:rPr>
        <w:rFonts w:hint="default"/>
      </w:rPr>
    </w:lvl>
    <w:lvl w:ilvl="4" w:tplc="F59ACAB2">
      <w:numFmt w:val="bullet"/>
      <w:lvlText w:val="•"/>
      <w:lvlJc w:val="left"/>
      <w:pPr>
        <w:ind w:left="4567" w:hanging="361"/>
      </w:pPr>
      <w:rPr>
        <w:rFonts w:hint="default"/>
      </w:rPr>
    </w:lvl>
    <w:lvl w:ilvl="5" w:tplc="C63C7B20">
      <w:numFmt w:val="bullet"/>
      <w:lvlText w:val="•"/>
      <w:lvlJc w:val="left"/>
      <w:pPr>
        <w:ind w:left="5504" w:hanging="361"/>
      </w:pPr>
      <w:rPr>
        <w:rFonts w:hint="default"/>
      </w:rPr>
    </w:lvl>
    <w:lvl w:ilvl="6" w:tplc="1CFE8278">
      <w:numFmt w:val="bullet"/>
      <w:lvlText w:val="•"/>
      <w:lvlJc w:val="left"/>
      <w:pPr>
        <w:ind w:left="6440" w:hanging="361"/>
      </w:pPr>
      <w:rPr>
        <w:rFonts w:hint="default"/>
      </w:rPr>
    </w:lvl>
    <w:lvl w:ilvl="7" w:tplc="C480070E">
      <w:numFmt w:val="bullet"/>
      <w:lvlText w:val="•"/>
      <w:lvlJc w:val="left"/>
      <w:pPr>
        <w:ind w:left="7377" w:hanging="361"/>
      </w:pPr>
      <w:rPr>
        <w:rFonts w:hint="default"/>
      </w:rPr>
    </w:lvl>
    <w:lvl w:ilvl="8" w:tplc="EC8C4940">
      <w:numFmt w:val="bullet"/>
      <w:lvlText w:val="•"/>
      <w:lvlJc w:val="left"/>
      <w:pPr>
        <w:ind w:left="8314" w:hanging="361"/>
      </w:pPr>
      <w:rPr>
        <w:rFonts w:hint="default"/>
      </w:rPr>
    </w:lvl>
  </w:abstractNum>
  <w:abstractNum w:abstractNumId="28" w15:restartNumberingAfterBreak="0">
    <w:nsid w:val="7F202FEB"/>
    <w:multiLevelType w:val="hybridMultilevel"/>
    <w:tmpl w:val="F8961C36"/>
    <w:lvl w:ilvl="0" w:tplc="A2508008">
      <w:numFmt w:val="bullet"/>
      <w:lvlText w:val=""/>
      <w:lvlJc w:val="left"/>
      <w:pPr>
        <w:ind w:left="824" w:hanging="361"/>
      </w:pPr>
      <w:rPr>
        <w:rFonts w:ascii="Symbol" w:eastAsia="Symbol" w:hAnsi="Symbol" w:cs="Symbol" w:hint="default"/>
        <w:w w:val="100"/>
        <w:sz w:val="22"/>
        <w:szCs w:val="22"/>
      </w:rPr>
    </w:lvl>
    <w:lvl w:ilvl="1" w:tplc="2318B588">
      <w:numFmt w:val="bullet"/>
      <w:lvlText w:val="•"/>
      <w:lvlJc w:val="left"/>
      <w:pPr>
        <w:ind w:left="1756" w:hanging="361"/>
      </w:pPr>
      <w:rPr>
        <w:rFonts w:hint="default"/>
      </w:rPr>
    </w:lvl>
    <w:lvl w:ilvl="2" w:tplc="CCAC9CA0">
      <w:numFmt w:val="bullet"/>
      <w:lvlText w:val="•"/>
      <w:lvlJc w:val="left"/>
      <w:pPr>
        <w:ind w:left="2693" w:hanging="361"/>
      </w:pPr>
      <w:rPr>
        <w:rFonts w:hint="default"/>
      </w:rPr>
    </w:lvl>
    <w:lvl w:ilvl="3" w:tplc="415A6FB8">
      <w:numFmt w:val="bullet"/>
      <w:lvlText w:val="•"/>
      <w:lvlJc w:val="left"/>
      <w:pPr>
        <w:ind w:left="3630" w:hanging="361"/>
      </w:pPr>
      <w:rPr>
        <w:rFonts w:hint="default"/>
      </w:rPr>
    </w:lvl>
    <w:lvl w:ilvl="4" w:tplc="5E066F1E">
      <w:numFmt w:val="bullet"/>
      <w:lvlText w:val="•"/>
      <w:lvlJc w:val="left"/>
      <w:pPr>
        <w:ind w:left="4567" w:hanging="361"/>
      </w:pPr>
      <w:rPr>
        <w:rFonts w:hint="default"/>
      </w:rPr>
    </w:lvl>
    <w:lvl w:ilvl="5" w:tplc="5F220E1A">
      <w:numFmt w:val="bullet"/>
      <w:lvlText w:val="•"/>
      <w:lvlJc w:val="left"/>
      <w:pPr>
        <w:ind w:left="5504" w:hanging="361"/>
      </w:pPr>
      <w:rPr>
        <w:rFonts w:hint="default"/>
      </w:rPr>
    </w:lvl>
    <w:lvl w:ilvl="6" w:tplc="7C2AF956">
      <w:numFmt w:val="bullet"/>
      <w:lvlText w:val="•"/>
      <w:lvlJc w:val="left"/>
      <w:pPr>
        <w:ind w:left="6440" w:hanging="361"/>
      </w:pPr>
      <w:rPr>
        <w:rFonts w:hint="default"/>
      </w:rPr>
    </w:lvl>
    <w:lvl w:ilvl="7" w:tplc="10F4D586">
      <w:numFmt w:val="bullet"/>
      <w:lvlText w:val="•"/>
      <w:lvlJc w:val="left"/>
      <w:pPr>
        <w:ind w:left="7377" w:hanging="361"/>
      </w:pPr>
      <w:rPr>
        <w:rFonts w:hint="default"/>
      </w:rPr>
    </w:lvl>
    <w:lvl w:ilvl="8" w:tplc="0C88FA42">
      <w:numFmt w:val="bullet"/>
      <w:lvlText w:val="•"/>
      <w:lvlJc w:val="left"/>
      <w:pPr>
        <w:ind w:left="8314" w:hanging="361"/>
      </w:pPr>
      <w:rPr>
        <w:rFonts w:hint="default"/>
      </w:rPr>
    </w:lvl>
  </w:abstractNum>
  <w:num w:numId="1">
    <w:abstractNumId w:val="5"/>
  </w:num>
  <w:num w:numId="2">
    <w:abstractNumId w:val="12"/>
  </w:num>
  <w:num w:numId="3">
    <w:abstractNumId w:val="25"/>
  </w:num>
  <w:num w:numId="4">
    <w:abstractNumId w:val="7"/>
  </w:num>
  <w:num w:numId="5">
    <w:abstractNumId w:val="13"/>
  </w:num>
  <w:num w:numId="6">
    <w:abstractNumId w:val="11"/>
  </w:num>
  <w:num w:numId="7">
    <w:abstractNumId w:val="19"/>
  </w:num>
  <w:num w:numId="8">
    <w:abstractNumId w:val="2"/>
  </w:num>
  <w:num w:numId="9">
    <w:abstractNumId w:val="22"/>
  </w:num>
  <w:num w:numId="10">
    <w:abstractNumId w:val="18"/>
  </w:num>
  <w:num w:numId="11">
    <w:abstractNumId w:val="23"/>
  </w:num>
  <w:num w:numId="12">
    <w:abstractNumId w:val="6"/>
  </w:num>
  <w:num w:numId="13">
    <w:abstractNumId w:val="27"/>
  </w:num>
  <w:num w:numId="14">
    <w:abstractNumId w:val="17"/>
  </w:num>
  <w:num w:numId="15">
    <w:abstractNumId w:val="21"/>
  </w:num>
  <w:num w:numId="16">
    <w:abstractNumId w:val="10"/>
  </w:num>
  <w:num w:numId="17">
    <w:abstractNumId w:val="24"/>
  </w:num>
  <w:num w:numId="18">
    <w:abstractNumId w:val="26"/>
  </w:num>
  <w:num w:numId="19">
    <w:abstractNumId w:val="16"/>
  </w:num>
  <w:num w:numId="20">
    <w:abstractNumId w:val="9"/>
  </w:num>
  <w:num w:numId="21">
    <w:abstractNumId w:val="20"/>
  </w:num>
  <w:num w:numId="22">
    <w:abstractNumId w:val="28"/>
  </w:num>
  <w:num w:numId="23">
    <w:abstractNumId w:val="8"/>
  </w:num>
  <w:num w:numId="24">
    <w:abstractNumId w:val="15"/>
  </w:num>
  <w:num w:numId="25">
    <w:abstractNumId w:val="0"/>
  </w:num>
  <w:num w:numId="26">
    <w:abstractNumId w:val="4"/>
  </w:num>
  <w:num w:numId="27">
    <w:abstractNumId w:val="3"/>
  </w:num>
  <w:num w:numId="28">
    <w:abstractNumId w:val="1"/>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18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24A18"/>
    <w:rsid w:val="00065BBC"/>
    <w:rsid w:val="00350D62"/>
    <w:rsid w:val="009102D9"/>
    <w:rsid w:val="00BA0656"/>
    <w:rsid w:val="00D24A18"/>
    <w:rsid w:val="00E96773"/>
    <w:rsid w:val="00FC29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188"/>
    <o:shapelayout v:ext="edit">
      <o:idmap v:ext="edit" data="2"/>
    </o:shapelayout>
  </w:shapeDefaults>
  <w:decimalSymbol w:val="."/>
  <w:listSeparator w:val=","/>
  <w14:docId w14:val="689E1EB6"/>
  <w15:docId w15:val="{76D853A7-BAC8-416D-A4B7-C686CDD9F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100"/>
      <w:ind w:left="192"/>
      <w:outlineLvl w:val="0"/>
    </w:pPr>
    <w:rPr>
      <w:b/>
      <w:bCs/>
      <w:sz w:val="32"/>
      <w:szCs w:val="32"/>
    </w:rPr>
  </w:style>
  <w:style w:type="paragraph" w:styleId="Heading2">
    <w:name w:val="heading 2"/>
    <w:basedOn w:val="Normal"/>
    <w:uiPriority w:val="9"/>
    <w:unhideWhenUsed/>
    <w:qFormat/>
    <w:pPr>
      <w:ind w:left="60"/>
      <w:outlineLvl w:val="1"/>
    </w:pPr>
    <w:rPr>
      <w:sz w:val="24"/>
      <w:szCs w:val="24"/>
    </w:rPr>
  </w:style>
  <w:style w:type="paragraph" w:styleId="Heading3">
    <w:name w:val="heading 3"/>
    <w:basedOn w:val="Normal"/>
    <w:uiPriority w:val="9"/>
    <w:unhideWhenUsed/>
    <w:qFormat/>
    <w:pPr>
      <w:ind w:left="3971"/>
      <w:outlineLvl w:val="2"/>
    </w:pPr>
    <w:rPr>
      <w:b/>
      <w:bCs/>
    </w:rPr>
  </w:style>
  <w:style w:type="paragraph" w:styleId="Heading4">
    <w:name w:val="heading 4"/>
    <w:basedOn w:val="Normal"/>
    <w:uiPriority w:val="9"/>
    <w:unhideWhenUsed/>
    <w:qFormat/>
    <w:pPr>
      <w:spacing w:before="100"/>
      <w:ind w:left="172"/>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91" w:hanging="360"/>
      <w:jc w:val="both"/>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BA0656"/>
    <w:pPr>
      <w:tabs>
        <w:tab w:val="center" w:pos="4513"/>
        <w:tab w:val="right" w:pos="9026"/>
      </w:tabs>
    </w:pPr>
  </w:style>
  <w:style w:type="character" w:customStyle="1" w:styleId="HeaderChar">
    <w:name w:val="Header Char"/>
    <w:basedOn w:val="DefaultParagraphFont"/>
    <w:link w:val="Header"/>
    <w:uiPriority w:val="99"/>
    <w:rsid w:val="00BA0656"/>
    <w:rPr>
      <w:rFonts w:ascii="Cambria" w:eastAsia="Cambria" w:hAnsi="Cambria" w:cs="Cambria"/>
    </w:rPr>
  </w:style>
  <w:style w:type="paragraph" w:styleId="Footer">
    <w:name w:val="footer"/>
    <w:basedOn w:val="Normal"/>
    <w:link w:val="FooterChar"/>
    <w:uiPriority w:val="99"/>
    <w:unhideWhenUsed/>
    <w:rsid w:val="00BA0656"/>
    <w:pPr>
      <w:tabs>
        <w:tab w:val="center" w:pos="4513"/>
        <w:tab w:val="right" w:pos="9026"/>
      </w:tabs>
    </w:pPr>
  </w:style>
  <w:style w:type="character" w:customStyle="1" w:styleId="FooterChar">
    <w:name w:val="Footer Char"/>
    <w:basedOn w:val="DefaultParagraphFont"/>
    <w:link w:val="Footer"/>
    <w:uiPriority w:val="99"/>
    <w:rsid w:val="00BA0656"/>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eba.europa.eu/sites/default/documents/files/documents/10180/2033363/6b062012-45d6-4655-af04-801d26493ed0/Guidelines%20on%20PD%20and%20LGD%20estimation%20%28EBA-GL-2017-16%29.pdf?retry=1" TargetMode="External"/><Relationship Id="rId18" Type="http://schemas.openxmlformats.org/officeDocument/2006/relationships/hyperlink" Target="https://www.eba.europa.eu/sites/default/documents/files/document_library/About%20Us/Missions%20and%20tasks/Call%20for%20Advice/2021/CfA%20to%20JC%20for%20securitisation%20in%20prudential%20framework%20review/1022481/CfA_Review%20Framework%20_JC%20ESAs_Final.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gjones@isda.org" TargetMode="External"/><Relationship Id="rId7" Type="http://schemas.openxmlformats.org/officeDocument/2006/relationships/image" Target="media/image1.jpeg"/><Relationship Id="rId12" Type="http://schemas.openxmlformats.org/officeDocument/2006/relationships/hyperlink" Target="https://www.eba.europa.eu/eba-publishes-final-guidelines-on-credit-institutions-credit-risk-management-practices-and-accounting-for-expected-credit-losses" TargetMode="External"/><Relationship Id="rId17" Type="http://schemas.openxmlformats.org/officeDocument/2006/relationships/hyperlink" Target="https://eur02.safelinks.protection.outlook.com/?url=https%3A%2F%2Furldefense.proofpoint.com%2Fv2%2Furl%3Fu%3Dhttps-3A__ec.europa.eu_info_publications_211027-2Dbanking-2Dpackage-5Fen%26d%3DDwQGaQ%26c%3DeuGZstcaTDllvimEN8b7jXrwqOf-v5A_CdpgnVfiiMM%26r%3DN3qb883yVypBXk_rGqOVxA%26m%3D8MoHtC2FeKDguy-HB5XMQ7YILL3CKRDk3CLU3HHtCIw%26s%3DElRDmeV4ZCtJOlH7RjcWxIiAiLqnsZIlHfPrNIvXWg0%26e%3D&amp;data=04%7C01%7C%7C03b986da5aa646d730e308d9e59991b8%7Cd1039c55923b41d4ac3363147f66ea3d%7C0%7C0%7C637793270031903644%7CUnknown%7CTWFpbGZsb3d8eyJWIjoiMC4wLjAwMDAiLCJQIjoiV2luMzIiLCJBTiI6Ik1haWwiLCJXVCI6Mn0%3D%7C3000&amp;sdata=DAUmFp%2FnI1UdZh0hf1kA8n53TC7OXFKAGijlhTypQ3U%3D&amp;reserved=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is.org/fsi/fsisummaries/largeexpos.pdf" TargetMode="External"/><Relationship Id="rId20" Type="http://schemas.openxmlformats.org/officeDocument/2006/relationships/hyperlink" Target="mailto:stefano.mazzocchi@afme.e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ba.europa.eu/sites/default/documents/files/documents/10180/2886865/d383ee58-8665-4f8b-99d3-058984c2711e/Policy%20Advice%20on%20Basel%20III%20reforms%20-%20Credit%20Risk.pdf?retry=1" TargetMode="External"/><Relationship Id="rId24" Type="http://schemas.openxmlformats.org/officeDocument/2006/relationships/hyperlink" Target="http://www.isda.org/" TargetMode="External"/><Relationship Id="rId5" Type="http://schemas.openxmlformats.org/officeDocument/2006/relationships/footnotes" Target="footnotes.xml"/><Relationship Id="rId15" Type="http://schemas.openxmlformats.org/officeDocument/2006/relationships/hyperlink" Target="https://www.isda.org/a/hTiDE/isda-sa-ccr-briefing-paper-final1.pdf" TargetMode="External"/><Relationship Id="rId23" Type="http://schemas.openxmlformats.org/officeDocument/2006/relationships/hyperlink" Target="http://www.afme.eu/" TargetMode="External"/><Relationship Id="rId10" Type="http://schemas.openxmlformats.org/officeDocument/2006/relationships/footer" Target="footer1.xml"/><Relationship Id="rId19" Type="http://schemas.openxmlformats.org/officeDocument/2006/relationships/hyperlink" Target="mailto:constance.usherwood@afme.eu" TargetMode="External"/><Relationship Id="rId4" Type="http://schemas.openxmlformats.org/officeDocument/2006/relationships/webSettings" Target="webSettings.xml"/><Relationship Id="rId9" Type="http://schemas.openxmlformats.org/officeDocument/2006/relationships/hyperlink" Target="https://www.bankingsupervision.europa.eu/press/speeches/date/2019/html/ssm.sp191112_1%7E01be3b89b0.en.html" TargetMode="External"/><Relationship Id="rId14" Type="http://schemas.openxmlformats.org/officeDocument/2006/relationships/hyperlink" Target="https://eur-lex.europa.eu/legal-content/EN/TXT/?uri=CELEX%3A32019R0876" TargetMode="External"/><Relationship Id="rId22" Type="http://schemas.openxmlformats.org/officeDocument/2006/relationships/hyperlink" Target="mailto:slapinsonniere@is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3889</Words>
  <Characters>22168</Characters>
  <Application>Microsoft Office Word</Application>
  <DocSecurity>0</DocSecurity>
  <Lines>184</Lines>
  <Paragraphs>52</Paragraphs>
  <ScaleCrop>false</ScaleCrop>
  <Company/>
  <LinksUpToDate>false</LinksUpToDate>
  <CharactersWithSpaces>26005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amillar</dc:creator>
  <cp:lastModifiedBy>Sandrine Lapinsonniere</cp:lastModifiedBy>
  <cp:revision>2</cp:revision>
  <dcterms:created xsi:type="dcterms:W3CDTF">2022-03-25T07:21:00Z</dcterms:created>
  <dcterms:modified xsi:type="dcterms:W3CDTF">2022-03-25T07:21:00Z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2022-02-24T00:00:00Z</vt:filetime>
  </property>
  <property fmtid="{D5CDD505-2E9C-101B-9397-08002B2CF9AE}" pid="3" name="Creator">
    <vt:lpwstr>Acrobat PDFMaker 21 for Word</vt:lpwstr>
  </property>
  <property fmtid="{D5CDD505-2E9C-101B-9397-08002B2CF9AE}" pid="4" name="LastSaved">
    <vt:filetime>2022-03-09T00:00:00Z</vt:filetime>
  </property>
</Properties>
</file>