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1814"/>
        <w:gridCol w:w="2913"/>
      </w:tblGrid>
      <w:tr w:rsidR="00C00203" w14:paraId="1FBED052" w14:textId="77777777" w:rsidTr="00C00203">
        <w:tc>
          <w:tcPr>
            <w:tcW w:w="2694" w:type="dxa"/>
            <w:hideMark/>
          </w:tcPr>
          <w:p w14:paraId="65396F2F" w14:textId="1B87189F" w:rsidR="00C00203" w:rsidRDefault="004C3D1D">
            <w:bookmarkStart w:id="0" w:name="_Toc10133698"/>
            <w:r>
              <w:rPr>
                <w:noProof/>
                <w:lang w:val="en-US" w:eastAsia="en-US"/>
              </w:rPr>
              <w:drawing>
                <wp:anchor distT="0" distB="0" distL="114300" distR="114300" simplePos="0" relativeHeight="251662336" behindDoc="0" locked="0" layoutInCell="1" allowOverlap="1" wp14:anchorId="7CC00DA8" wp14:editId="503F9C9A">
                  <wp:simplePos x="0" y="0"/>
                  <wp:positionH relativeFrom="column">
                    <wp:posOffset>667385</wp:posOffset>
                  </wp:positionH>
                  <wp:positionV relativeFrom="paragraph">
                    <wp:posOffset>588645</wp:posOffset>
                  </wp:positionV>
                  <wp:extent cx="1038225" cy="419100"/>
                  <wp:effectExtent l="0" t="0" r="9525" b="0"/>
                  <wp:wrapNone/>
                  <wp:docPr id="36" name="Picture 36" descr="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anchor>
              </w:drawing>
            </w:r>
          </w:p>
        </w:tc>
        <w:tc>
          <w:tcPr>
            <w:tcW w:w="2806" w:type="dxa"/>
            <w:gridSpan w:val="2"/>
          </w:tcPr>
          <w:p w14:paraId="676B4001" w14:textId="77777777" w:rsidR="00C00203" w:rsidRDefault="00C00203"/>
          <w:p w14:paraId="18834FB7" w14:textId="61A8BDD6" w:rsidR="00C00203" w:rsidRDefault="004C3D1D">
            <w:pPr>
              <w:jc w:val="center"/>
            </w:pPr>
            <w:r>
              <w:rPr>
                <w:noProof/>
              </w:rPr>
              <w:drawing>
                <wp:anchor distT="0" distB="0" distL="114300" distR="114300" simplePos="0" relativeHeight="251663360" behindDoc="0" locked="0" layoutInCell="1" allowOverlap="1" wp14:anchorId="0F08BFF3" wp14:editId="77FF3A71">
                  <wp:simplePos x="0" y="0"/>
                  <wp:positionH relativeFrom="column">
                    <wp:posOffset>859790</wp:posOffset>
                  </wp:positionH>
                  <wp:positionV relativeFrom="paragraph">
                    <wp:posOffset>145415</wp:posOffset>
                  </wp:positionV>
                  <wp:extent cx="1371600" cy="9715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anchor>
              </w:drawing>
            </w:r>
          </w:p>
          <w:p w14:paraId="0095E1CC" w14:textId="77777777" w:rsidR="00C00203" w:rsidRDefault="00C00203">
            <w:pPr>
              <w:jc w:val="center"/>
            </w:pPr>
          </w:p>
          <w:p w14:paraId="1103F913" w14:textId="14E90F30" w:rsidR="00C00203" w:rsidRDefault="00C00203">
            <w:pPr>
              <w:jc w:val="center"/>
            </w:pPr>
          </w:p>
          <w:p w14:paraId="6076F697" w14:textId="1EC30961" w:rsidR="00C00203" w:rsidRDefault="00C00203">
            <w:pPr>
              <w:jc w:val="center"/>
            </w:pPr>
          </w:p>
          <w:p w14:paraId="4EDED609" w14:textId="77777777" w:rsidR="00C00203" w:rsidRDefault="00C00203">
            <w:pPr>
              <w:jc w:val="center"/>
            </w:pPr>
          </w:p>
        </w:tc>
        <w:tc>
          <w:tcPr>
            <w:tcW w:w="2913" w:type="dxa"/>
          </w:tcPr>
          <w:p w14:paraId="55C5EAE3" w14:textId="77777777" w:rsidR="00C00203" w:rsidRDefault="00C00203">
            <w:pPr>
              <w:rPr>
                <w:noProof/>
              </w:rPr>
            </w:pPr>
          </w:p>
          <w:p w14:paraId="24D0FB94" w14:textId="0B1C8F0E" w:rsidR="00C00203" w:rsidRDefault="00C00203">
            <w:pPr>
              <w:ind w:left="202"/>
            </w:pPr>
          </w:p>
          <w:p w14:paraId="005032F0" w14:textId="730EE31A" w:rsidR="00C00203" w:rsidRDefault="00C00203">
            <w:pPr>
              <w:ind w:left="202"/>
            </w:pPr>
          </w:p>
        </w:tc>
      </w:tr>
      <w:tr w:rsidR="00C00203" w14:paraId="0E07EE68" w14:textId="77777777" w:rsidTr="00C00203">
        <w:trPr>
          <w:trHeight w:val="1332"/>
        </w:trPr>
        <w:tc>
          <w:tcPr>
            <w:tcW w:w="3686" w:type="dxa"/>
            <w:gridSpan w:val="2"/>
            <w:hideMark/>
          </w:tcPr>
          <w:p w14:paraId="764A96EE" w14:textId="77777777" w:rsidR="00C00203" w:rsidRDefault="00C00203">
            <w:r>
              <w:rPr>
                <w:noProof/>
              </w:rPr>
              <w:drawing>
                <wp:anchor distT="0" distB="0" distL="114300" distR="114300" simplePos="0" relativeHeight="251661312" behindDoc="0" locked="0" layoutInCell="1" allowOverlap="1" wp14:anchorId="08BA8E9A" wp14:editId="33679152">
                  <wp:simplePos x="0" y="0"/>
                  <wp:positionH relativeFrom="column">
                    <wp:posOffset>662940</wp:posOffset>
                  </wp:positionH>
                  <wp:positionV relativeFrom="paragraph">
                    <wp:posOffset>704850</wp:posOffset>
                  </wp:positionV>
                  <wp:extent cx="1400175" cy="359410"/>
                  <wp:effectExtent l="0" t="0" r="9525" b="2540"/>
                  <wp:wrapNone/>
                  <wp:docPr id="38" name="Picture 38" descr="I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D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27" w:type="dxa"/>
            <w:gridSpan w:val="2"/>
            <w:hideMark/>
          </w:tcPr>
          <w:p w14:paraId="268D1914" w14:textId="77777777" w:rsidR="00C00203" w:rsidRDefault="00C00203">
            <w:r>
              <w:rPr>
                <w:noProof/>
              </w:rPr>
              <w:drawing>
                <wp:anchor distT="0" distB="0" distL="114300" distR="114300" simplePos="0" relativeHeight="251660288" behindDoc="0" locked="0" layoutInCell="1" allowOverlap="1" wp14:anchorId="4DB0CD02" wp14:editId="11A405B8">
                  <wp:simplePos x="0" y="0"/>
                  <wp:positionH relativeFrom="column">
                    <wp:posOffset>227965</wp:posOffset>
                  </wp:positionH>
                  <wp:positionV relativeFrom="paragraph">
                    <wp:posOffset>699135</wp:posOffset>
                  </wp:positionV>
                  <wp:extent cx="2212975" cy="3429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975" cy="3429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151D2F6" w14:textId="77777777" w:rsidR="00C00203" w:rsidRDefault="00C00203" w:rsidP="00F0514A">
      <w:pPr>
        <w:pStyle w:val="Head"/>
        <w:jc w:val="left"/>
        <w:rPr>
          <w:rFonts w:asciiTheme="majorHAnsi" w:hAnsiTheme="majorHAnsi" w:cstheme="majorHAnsi"/>
          <w:color w:val="000000"/>
          <w:sz w:val="32"/>
        </w:rPr>
      </w:pPr>
    </w:p>
    <w:p w14:paraId="62DEF668" w14:textId="77777777" w:rsidR="004C3D1D" w:rsidRPr="004C3D1D" w:rsidRDefault="004C3D1D" w:rsidP="004C3D1D">
      <w:pPr>
        <w:pStyle w:val="Body"/>
      </w:pPr>
    </w:p>
    <w:p w14:paraId="1B1716A3" w14:textId="77777777" w:rsidR="00F0514A" w:rsidRPr="00A84878" w:rsidRDefault="00FC66D9" w:rsidP="00C00203">
      <w:pPr>
        <w:pStyle w:val="Head"/>
        <w:jc w:val="center"/>
        <w:rPr>
          <w:rFonts w:asciiTheme="majorHAnsi" w:hAnsiTheme="majorHAnsi" w:cstheme="majorHAnsi"/>
          <w:color w:val="000000"/>
          <w:sz w:val="32"/>
        </w:rPr>
      </w:pPr>
      <w:r>
        <w:rPr>
          <w:rFonts w:asciiTheme="majorHAnsi" w:hAnsiTheme="majorHAnsi" w:cstheme="majorHAnsi"/>
          <w:color w:val="000000"/>
          <w:sz w:val="32"/>
        </w:rPr>
        <w:t>EXPLANATORY MEMORANDUM TO THE MASTER REGULATORY REPORTING AGREEMENT</w:t>
      </w:r>
      <w:bookmarkEnd w:id="0"/>
    </w:p>
    <w:p w14:paraId="5FCC3AF0" w14:textId="77777777" w:rsidR="00F0514A" w:rsidRPr="00A84878" w:rsidRDefault="00F0514A" w:rsidP="00F0514A">
      <w:pPr>
        <w:pStyle w:val="Body"/>
        <w:rPr>
          <w:rFonts w:asciiTheme="majorHAnsi" w:hAnsiTheme="majorHAnsi" w:cstheme="majorHAnsi"/>
          <w:b/>
        </w:rPr>
      </w:pPr>
    </w:p>
    <w:p w14:paraId="38FDED38" w14:textId="2875D09D" w:rsidR="00F0514A" w:rsidRPr="00A84878" w:rsidRDefault="00F0514A" w:rsidP="00DE54BD">
      <w:pPr>
        <w:pStyle w:val="Body"/>
        <w:spacing w:before="280"/>
        <w:jc w:val="center"/>
        <w:rPr>
          <w:rFonts w:asciiTheme="majorHAnsi" w:hAnsiTheme="majorHAnsi" w:cstheme="majorHAnsi"/>
          <w:b/>
          <w:sz w:val="23"/>
          <w:szCs w:val="23"/>
        </w:rPr>
      </w:pPr>
      <w:r w:rsidRPr="00A84878">
        <w:rPr>
          <w:rFonts w:asciiTheme="majorHAnsi" w:hAnsiTheme="majorHAnsi" w:cstheme="majorHAnsi"/>
          <w:b/>
          <w:sz w:val="23"/>
          <w:szCs w:val="23"/>
        </w:rPr>
        <w:t xml:space="preserve">Dated </w:t>
      </w:r>
      <w:r w:rsidR="002766B2">
        <w:rPr>
          <w:rFonts w:asciiTheme="majorHAnsi" w:hAnsiTheme="majorHAnsi" w:cstheme="majorHAnsi"/>
          <w:b/>
          <w:sz w:val="23"/>
          <w:szCs w:val="23"/>
        </w:rPr>
        <w:t>6 December</w:t>
      </w:r>
      <w:r w:rsidR="00113476">
        <w:rPr>
          <w:rFonts w:asciiTheme="majorHAnsi" w:hAnsiTheme="majorHAnsi" w:cstheme="majorHAnsi"/>
          <w:b/>
          <w:sz w:val="23"/>
          <w:szCs w:val="23"/>
        </w:rPr>
        <w:t xml:space="preserve"> 2023</w:t>
      </w:r>
    </w:p>
    <w:p w14:paraId="008243A1" w14:textId="77777777" w:rsidR="00F0514A" w:rsidRPr="00A84878" w:rsidRDefault="00F0514A" w:rsidP="00F0514A">
      <w:pPr>
        <w:pStyle w:val="Body"/>
        <w:rPr>
          <w:rFonts w:asciiTheme="majorHAnsi" w:hAnsiTheme="majorHAnsi" w:cstheme="majorHAnsi"/>
          <w:b/>
        </w:rPr>
      </w:pPr>
    </w:p>
    <w:p w14:paraId="20693981" w14:textId="1572311D" w:rsidR="00F0514A" w:rsidRPr="00A84878" w:rsidRDefault="00113476" w:rsidP="00F0514A">
      <w:pPr>
        <w:pStyle w:val="Body"/>
        <w:rPr>
          <w:rFonts w:asciiTheme="majorHAnsi" w:hAnsiTheme="majorHAnsi" w:cstheme="majorHAnsi"/>
        </w:rPr>
      </w:pPr>
      <w:r>
        <w:rPr>
          <w:rFonts w:asciiTheme="majorHAnsi" w:hAnsiTheme="majorHAnsi" w:cstheme="majorHAnsi"/>
          <w:b/>
        </w:rPr>
        <w:t>T</w:t>
      </w:r>
      <w:r w:rsidR="003F7D19" w:rsidRPr="00A84878">
        <w:rPr>
          <w:rFonts w:asciiTheme="majorHAnsi" w:hAnsiTheme="majorHAnsi" w:cstheme="majorHAnsi"/>
          <w:b/>
        </w:rPr>
        <w:t xml:space="preserve">he </w:t>
      </w:r>
      <w:r w:rsidR="00930A5C" w:rsidRPr="00A84878">
        <w:rPr>
          <w:rFonts w:asciiTheme="majorHAnsi" w:hAnsiTheme="majorHAnsi" w:cstheme="majorHAnsi"/>
          <w:b/>
        </w:rPr>
        <w:t>Futures Industry Association</w:t>
      </w:r>
      <w:r w:rsidR="003D44A2">
        <w:rPr>
          <w:rFonts w:asciiTheme="majorHAnsi" w:hAnsiTheme="majorHAnsi" w:cstheme="majorHAnsi"/>
          <w:b/>
        </w:rPr>
        <w:t>, Inc.</w:t>
      </w:r>
      <w:r w:rsidR="00930A5C" w:rsidRPr="00A84878">
        <w:rPr>
          <w:rFonts w:asciiTheme="majorHAnsi" w:hAnsiTheme="majorHAnsi" w:cstheme="majorHAnsi"/>
          <w:b/>
        </w:rPr>
        <w:t xml:space="preserve"> (FIA), </w:t>
      </w:r>
      <w:r w:rsidR="003F7D19" w:rsidRPr="00A84878">
        <w:rPr>
          <w:rFonts w:asciiTheme="majorHAnsi" w:hAnsiTheme="majorHAnsi" w:cstheme="majorHAnsi"/>
          <w:b/>
        </w:rPr>
        <w:t xml:space="preserve">the </w:t>
      </w:r>
      <w:r w:rsidR="00930A5C" w:rsidRPr="00A84878">
        <w:rPr>
          <w:rFonts w:asciiTheme="majorHAnsi" w:hAnsiTheme="majorHAnsi" w:cstheme="majorHAnsi"/>
          <w:b/>
        </w:rPr>
        <w:t>I</w:t>
      </w:r>
      <w:r w:rsidR="008B3A0E" w:rsidRPr="00A84878">
        <w:rPr>
          <w:rFonts w:asciiTheme="majorHAnsi" w:hAnsiTheme="majorHAnsi" w:cstheme="majorHAnsi"/>
          <w:b/>
        </w:rPr>
        <w:t>nternational Capital Market Association (ICMA)</w:t>
      </w:r>
      <w:r w:rsidR="00930A5C" w:rsidRPr="00A84878">
        <w:rPr>
          <w:rFonts w:asciiTheme="majorHAnsi" w:hAnsiTheme="majorHAnsi" w:cstheme="majorHAnsi"/>
          <w:b/>
        </w:rPr>
        <w:t xml:space="preserve">, </w:t>
      </w:r>
      <w:r w:rsidR="008B3A0E" w:rsidRPr="00A84878">
        <w:rPr>
          <w:rFonts w:asciiTheme="majorHAnsi" w:hAnsiTheme="majorHAnsi" w:cstheme="majorHAnsi"/>
          <w:b/>
        </w:rPr>
        <w:t>the International Securities Lending Association (ISLA)</w:t>
      </w:r>
      <w:r w:rsidR="00930A5C" w:rsidRPr="00A84878">
        <w:rPr>
          <w:rFonts w:asciiTheme="majorHAnsi" w:hAnsiTheme="majorHAnsi" w:cstheme="majorHAnsi"/>
          <w:b/>
        </w:rPr>
        <w:t xml:space="preserve"> and </w:t>
      </w:r>
      <w:r w:rsidR="008B3A0E" w:rsidRPr="00A84878">
        <w:rPr>
          <w:rFonts w:asciiTheme="majorHAnsi" w:hAnsiTheme="majorHAnsi" w:cstheme="majorHAnsi"/>
          <w:b/>
        </w:rPr>
        <w:t xml:space="preserve">the </w:t>
      </w:r>
      <w:r w:rsidR="00930A5C" w:rsidRPr="00A84878">
        <w:rPr>
          <w:rFonts w:asciiTheme="majorHAnsi" w:hAnsiTheme="majorHAnsi" w:cstheme="majorHAnsi"/>
          <w:b/>
        </w:rPr>
        <w:t>International Swaps and Derivatives Association, Inc.</w:t>
      </w:r>
      <w:r w:rsidR="00F0514A" w:rsidRPr="00A84878">
        <w:rPr>
          <w:rFonts w:asciiTheme="majorHAnsi" w:hAnsiTheme="majorHAnsi" w:cstheme="majorHAnsi"/>
        </w:rPr>
        <w:t xml:space="preserve"> </w:t>
      </w:r>
      <w:r w:rsidR="008B3A0E" w:rsidRPr="00A84878">
        <w:rPr>
          <w:rFonts w:asciiTheme="majorHAnsi" w:hAnsiTheme="majorHAnsi" w:cstheme="majorHAnsi"/>
          <w:b/>
        </w:rPr>
        <w:t>(ISDA)</w:t>
      </w:r>
      <w:r w:rsidR="008B3A0E" w:rsidRPr="00A84878">
        <w:rPr>
          <w:rFonts w:asciiTheme="majorHAnsi" w:hAnsiTheme="majorHAnsi" w:cstheme="majorHAnsi"/>
        </w:rPr>
        <w:t xml:space="preserve"> (together the “</w:t>
      </w:r>
      <w:r w:rsidR="008B3A0E" w:rsidRPr="00A84878">
        <w:rPr>
          <w:rFonts w:asciiTheme="majorHAnsi" w:hAnsiTheme="majorHAnsi" w:cstheme="majorHAnsi"/>
          <w:b/>
        </w:rPr>
        <w:t>Trade Associations</w:t>
      </w:r>
      <w:r w:rsidR="008B3A0E" w:rsidRPr="00A84878">
        <w:rPr>
          <w:rFonts w:asciiTheme="majorHAnsi" w:hAnsiTheme="majorHAnsi" w:cstheme="majorHAnsi"/>
        </w:rPr>
        <w:t xml:space="preserve">”) </w:t>
      </w:r>
      <w:r w:rsidR="00F0514A" w:rsidRPr="00A84878">
        <w:rPr>
          <w:rFonts w:asciiTheme="majorHAnsi" w:hAnsiTheme="majorHAnsi" w:cstheme="majorHAnsi"/>
        </w:rPr>
        <w:t>ha</w:t>
      </w:r>
      <w:r w:rsidR="00930A5C" w:rsidRPr="00A84878">
        <w:rPr>
          <w:rFonts w:asciiTheme="majorHAnsi" w:hAnsiTheme="majorHAnsi" w:cstheme="majorHAnsi"/>
        </w:rPr>
        <w:t>ve</w:t>
      </w:r>
      <w:r w:rsidR="00F0514A" w:rsidRPr="00A84878">
        <w:rPr>
          <w:rFonts w:asciiTheme="majorHAnsi" w:hAnsiTheme="majorHAnsi" w:cstheme="majorHAnsi"/>
        </w:rPr>
        <w:t xml:space="preserve"> </w:t>
      </w:r>
      <w:r w:rsidR="00930A5C" w:rsidRPr="00A84878">
        <w:rPr>
          <w:rFonts w:asciiTheme="majorHAnsi" w:hAnsiTheme="majorHAnsi" w:cstheme="majorHAnsi"/>
        </w:rPr>
        <w:t xml:space="preserve">jointly </w:t>
      </w:r>
      <w:r w:rsidR="00F0514A" w:rsidRPr="00A84878">
        <w:rPr>
          <w:rFonts w:asciiTheme="majorHAnsi" w:hAnsiTheme="majorHAnsi" w:cstheme="majorHAnsi"/>
        </w:rPr>
        <w:t xml:space="preserve">prepared this explanatory memorandum </w:t>
      </w:r>
      <w:r w:rsidR="00270E62" w:rsidRPr="00A84878">
        <w:rPr>
          <w:rFonts w:asciiTheme="majorHAnsi" w:hAnsiTheme="majorHAnsi" w:cstheme="majorHAnsi"/>
        </w:rPr>
        <w:t>(the “</w:t>
      </w:r>
      <w:r w:rsidR="006315B8" w:rsidRPr="00A84878">
        <w:rPr>
          <w:rFonts w:asciiTheme="majorHAnsi" w:hAnsiTheme="majorHAnsi" w:cstheme="majorHAnsi"/>
          <w:b/>
        </w:rPr>
        <w:t>Explanatory</w:t>
      </w:r>
      <w:r w:rsidR="006315B8" w:rsidRPr="00A84878">
        <w:rPr>
          <w:rFonts w:asciiTheme="majorHAnsi" w:hAnsiTheme="majorHAnsi" w:cstheme="majorHAnsi"/>
        </w:rPr>
        <w:t xml:space="preserve"> </w:t>
      </w:r>
      <w:r w:rsidR="00270E62" w:rsidRPr="00A84878">
        <w:rPr>
          <w:rFonts w:asciiTheme="majorHAnsi" w:hAnsiTheme="majorHAnsi" w:cstheme="majorHAnsi"/>
          <w:b/>
        </w:rPr>
        <w:t>Memorandum</w:t>
      </w:r>
      <w:r w:rsidR="00270E62" w:rsidRPr="00A84878">
        <w:rPr>
          <w:rFonts w:asciiTheme="majorHAnsi" w:hAnsiTheme="majorHAnsi" w:cstheme="majorHAnsi"/>
        </w:rPr>
        <w:t xml:space="preserve">”) </w:t>
      </w:r>
      <w:r w:rsidR="00F0514A" w:rsidRPr="00A84878">
        <w:rPr>
          <w:rFonts w:asciiTheme="majorHAnsi" w:hAnsiTheme="majorHAnsi" w:cstheme="majorHAnsi"/>
        </w:rPr>
        <w:t xml:space="preserve">to assist in your consideration of the form of the Master Regulatory Reporting Agreement published on </w:t>
      </w:r>
      <w:r w:rsidR="001923C1">
        <w:rPr>
          <w:rFonts w:asciiTheme="majorHAnsi" w:hAnsiTheme="majorHAnsi" w:cstheme="majorHAnsi"/>
        </w:rPr>
        <w:t>6 December</w:t>
      </w:r>
      <w:r w:rsidR="006C7ECF">
        <w:rPr>
          <w:rFonts w:asciiTheme="majorHAnsi" w:hAnsiTheme="majorHAnsi" w:cstheme="majorHAnsi"/>
        </w:rPr>
        <w:t xml:space="preserve"> 2023</w:t>
      </w:r>
      <w:r w:rsidR="00F0514A" w:rsidRPr="00A84878">
        <w:rPr>
          <w:rFonts w:asciiTheme="majorHAnsi" w:hAnsiTheme="majorHAnsi" w:cstheme="majorHAnsi"/>
        </w:rPr>
        <w:t xml:space="preserve"> (the “</w:t>
      </w:r>
      <w:r w:rsidR="004E4F8F" w:rsidRPr="00A84878">
        <w:rPr>
          <w:rFonts w:asciiTheme="majorHAnsi" w:hAnsiTheme="majorHAnsi" w:cstheme="majorHAnsi"/>
          <w:b/>
        </w:rPr>
        <w:t>MRRA</w:t>
      </w:r>
      <w:r w:rsidR="00F0514A" w:rsidRPr="00A84878">
        <w:rPr>
          <w:rFonts w:asciiTheme="majorHAnsi" w:hAnsiTheme="majorHAnsi" w:cstheme="majorHAnsi"/>
        </w:rPr>
        <w:t>”).</w:t>
      </w:r>
    </w:p>
    <w:p w14:paraId="7FCFBE50" w14:textId="77777777" w:rsidR="00A3099B" w:rsidRPr="00A84878" w:rsidRDefault="00A3099B" w:rsidP="00A3099B">
      <w:pPr>
        <w:pStyle w:val="Body"/>
        <w:rPr>
          <w:rFonts w:asciiTheme="majorHAnsi" w:hAnsiTheme="majorHAnsi" w:cstheme="majorHAnsi"/>
        </w:rPr>
      </w:pPr>
      <w:r w:rsidRPr="00A84878">
        <w:rPr>
          <w:rFonts w:asciiTheme="majorHAnsi" w:hAnsiTheme="majorHAnsi" w:cstheme="majorHAnsi"/>
        </w:rPr>
        <w:t>Capitalised terms not otherwise defined herein have the meanings specified in the MRRA.</w:t>
      </w:r>
    </w:p>
    <w:p w14:paraId="5FC4EE19" w14:textId="77777777" w:rsidR="00F0514A" w:rsidRPr="00C00203" w:rsidRDefault="00F0514A" w:rsidP="00D5563C">
      <w:pPr>
        <w:pStyle w:val="Body"/>
        <w:rPr>
          <w:rFonts w:asciiTheme="majorHAnsi" w:hAnsiTheme="majorHAnsi" w:cstheme="majorHAnsi"/>
          <w:b/>
          <w:i/>
        </w:rPr>
      </w:pPr>
      <w:r w:rsidRPr="00C00203">
        <w:rPr>
          <w:rFonts w:asciiTheme="majorHAnsi" w:hAnsiTheme="majorHAnsi" w:cstheme="majorHAnsi"/>
          <w:b/>
          <w:i/>
        </w:rPr>
        <w:t xml:space="preserve">THIS EXPLANATORY MEMORANDUM DOES NOT PURPORT TO BE AND SHOULD NOT BE CONSIDERED A GUIDE TO OR AN EXPLANATION OF ALL RELEVANT ISSUES OR CONSIDERATIONS IN CONNECTION WITH THE </w:t>
      </w:r>
      <w:r w:rsidR="0080293B" w:rsidRPr="00C00203">
        <w:rPr>
          <w:rFonts w:asciiTheme="majorHAnsi" w:hAnsiTheme="majorHAnsi" w:cstheme="majorHAnsi"/>
          <w:b/>
          <w:i/>
        </w:rPr>
        <w:t xml:space="preserve">MRRA </w:t>
      </w:r>
      <w:r w:rsidRPr="00C00203">
        <w:rPr>
          <w:rFonts w:asciiTheme="majorHAnsi" w:hAnsiTheme="majorHAnsi" w:cstheme="majorHAnsi"/>
          <w:b/>
          <w:i/>
        </w:rPr>
        <w:t xml:space="preserve">OR COMPLIANCE WITH THE </w:t>
      </w:r>
      <w:r w:rsidR="0080293B" w:rsidRPr="00C00203">
        <w:rPr>
          <w:rFonts w:asciiTheme="majorHAnsi" w:hAnsiTheme="majorHAnsi" w:cstheme="majorHAnsi"/>
          <w:b/>
          <w:i/>
        </w:rPr>
        <w:t xml:space="preserve">LAWS OR </w:t>
      </w:r>
      <w:r w:rsidRPr="00C00203">
        <w:rPr>
          <w:rFonts w:asciiTheme="majorHAnsi" w:hAnsiTheme="majorHAnsi" w:cstheme="majorHAnsi"/>
          <w:b/>
          <w:i/>
        </w:rPr>
        <w:t xml:space="preserve">REGULATIONS DETAILED IN THE </w:t>
      </w:r>
      <w:r w:rsidR="0080293B" w:rsidRPr="00C00203">
        <w:rPr>
          <w:rFonts w:asciiTheme="majorHAnsi" w:hAnsiTheme="majorHAnsi" w:cstheme="majorHAnsi"/>
          <w:b/>
          <w:i/>
        </w:rPr>
        <w:t>MRRA</w:t>
      </w:r>
      <w:r w:rsidRPr="00C00203">
        <w:rPr>
          <w:rFonts w:asciiTheme="majorHAnsi" w:hAnsiTheme="majorHAnsi" w:cstheme="majorHAnsi"/>
          <w:b/>
          <w:i/>
        </w:rPr>
        <w:t xml:space="preserve">. PARTIES SHOULD CONSULT WITH THEIR LEGAL ADVISERS AND ANY OTHER ADVISER THEY DEEM APPROPRIATE PRIOR TO USING THE </w:t>
      </w:r>
      <w:r w:rsidR="0080293B" w:rsidRPr="00C00203">
        <w:rPr>
          <w:rFonts w:asciiTheme="majorHAnsi" w:hAnsiTheme="majorHAnsi" w:cstheme="majorHAnsi"/>
          <w:b/>
          <w:i/>
        </w:rPr>
        <w:t>MRRA</w:t>
      </w:r>
      <w:r w:rsidRPr="00C00203">
        <w:rPr>
          <w:rFonts w:asciiTheme="majorHAnsi" w:hAnsiTheme="majorHAnsi" w:cstheme="majorHAnsi"/>
          <w:b/>
          <w:i/>
        </w:rPr>
        <w:t xml:space="preserve">. </w:t>
      </w:r>
      <w:r w:rsidR="008B3A0E" w:rsidRPr="00C00203">
        <w:rPr>
          <w:rFonts w:asciiTheme="majorHAnsi" w:hAnsiTheme="majorHAnsi" w:cstheme="majorHAnsi"/>
          <w:b/>
          <w:i/>
        </w:rPr>
        <w:t>THE TRADE ASSOCIATIONS</w:t>
      </w:r>
      <w:r w:rsidR="00776461" w:rsidRPr="00C00203">
        <w:rPr>
          <w:rFonts w:asciiTheme="majorHAnsi" w:hAnsiTheme="majorHAnsi" w:cstheme="majorHAnsi"/>
          <w:b/>
          <w:i/>
        </w:rPr>
        <w:t xml:space="preserve"> </w:t>
      </w:r>
      <w:r w:rsidRPr="00C00203">
        <w:rPr>
          <w:rFonts w:asciiTheme="majorHAnsi" w:hAnsiTheme="majorHAnsi" w:cstheme="majorHAnsi"/>
          <w:b/>
          <w:i/>
        </w:rPr>
        <w:t xml:space="preserve">ASSUME NO RESPONSIBILITY FOR ANY USE TO WHICH ANY OF </w:t>
      </w:r>
      <w:r w:rsidR="008B3A0E" w:rsidRPr="00C00203">
        <w:rPr>
          <w:rFonts w:asciiTheme="majorHAnsi" w:hAnsiTheme="majorHAnsi" w:cstheme="majorHAnsi"/>
          <w:b/>
          <w:i/>
        </w:rPr>
        <w:t>THEIR</w:t>
      </w:r>
      <w:r w:rsidRPr="00C00203">
        <w:rPr>
          <w:rFonts w:asciiTheme="majorHAnsi" w:hAnsiTheme="majorHAnsi" w:cstheme="majorHAnsi"/>
          <w:b/>
          <w:i/>
        </w:rPr>
        <w:t xml:space="preserve"> DOCUMENTATION OR OTHER DOCUMENTATION MAY BE PUT.</w:t>
      </w:r>
    </w:p>
    <w:p w14:paraId="20EF0E06" w14:textId="77777777" w:rsidR="00D15F5D" w:rsidRDefault="00D15F5D" w:rsidP="00D5563C">
      <w:pPr>
        <w:pStyle w:val="Body"/>
        <w:spacing w:before="280"/>
        <w:rPr>
          <w:rFonts w:asciiTheme="majorHAnsi" w:hAnsiTheme="majorHAnsi" w:cstheme="majorHAnsi"/>
          <w:b/>
          <w:sz w:val="23"/>
          <w:szCs w:val="23"/>
        </w:rPr>
      </w:pPr>
    </w:p>
    <w:p w14:paraId="0DF9C6F6" w14:textId="77777777" w:rsidR="00D15F5D" w:rsidRDefault="00D15F5D" w:rsidP="00D5563C">
      <w:pPr>
        <w:pStyle w:val="Body"/>
        <w:spacing w:before="280"/>
        <w:rPr>
          <w:rFonts w:asciiTheme="majorHAnsi" w:hAnsiTheme="majorHAnsi" w:cstheme="majorHAnsi"/>
          <w:b/>
          <w:sz w:val="23"/>
          <w:szCs w:val="23"/>
        </w:rPr>
      </w:pPr>
    </w:p>
    <w:p w14:paraId="4252897C" w14:textId="77777777" w:rsidR="000E21F1" w:rsidRDefault="000E21F1">
      <w:pPr>
        <w:rPr>
          <w:rFonts w:asciiTheme="majorHAnsi" w:hAnsiTheme="majorHAnsi" w:cstheme="majorHAnsi"/>
          <w:b/>
          <w:kern w:val="20"/>
          <w:sz w:val="23"/>
          <w:szCs w:val="23"/>
        </w:rPr>
      </w:pPr>
      <w:r>
        <w:rPr>
          <w:rFonts w:asciiTheme="majorHAnsi" w:hAnsiTheme="majorHAnsi" w:cstheme="majorHAnsi"/>
          <w:b/>
          <w:sz w:val="23"/>
          <w:szCs w:val="23"/>
        </w:rPr>
        <w:br w:type="page"/>
      </w:r>
    </w:p>
    <w:p w14:paraId="737123C6" w14:textId="77777777" w:rsidR="001E7D24" w:rsidRPr="00A84878" w:rsidRDefault="001E7D24" w:rsidP="00D5563C">
      <w:pPr>
        <w:pStyle w:val="Body"/>
        <w:spacing w:before="280"/>
        <w:rPr>
          <w:rFonts w:asciiTheme="majorHAnsi" w:hAnsiTheme="majorHAnsi" w:cstheme="majorHAnsi"/>
          <w:b/>
          <w:sz w:val="23"/>
          <w:szCs w:val="23"/>
        </w:rPr>
      </w:pPr>
      <w:r w:rsidRPr="00A84878">
        <w:rPr>
          <w:rFonts w:asciiTheme="majorHAnsi" w:hAnsiTheme="majorHAnsi" w:cstheme="majorHAnsi"/>
          <w:b/>
          <w:sz w:val="23"/>
          <w:szCs w:val="23"/>
        </w:rPr>
        <w:lastRenderedPageBreak/>
        <w:t>INTRODUCTION</w:t>
      </w:r>
    </w:p>
    <w:p w14:paraId="567658F1" w14:textId="77777777" w:rsidR="00600ADF" w:rsidRPr="00A84878" w:rsidRDefault="00F30D5C" w:rsidP="00F30D5C">
      <w:pPr>
        <w:pStyle w:val="Body"/>
        <w:rPr>
          <w:rFonts w:asciiTheme="majorHAnsi" w:hAnsiTheme="majorHAnsi" w:cstheme="majorHAnsi"/>
        </w:rPr>
      </w:pPr>
      <w:r w:rsidRPr="00A84878">
        <w:rPr>
          <w:rFonts w:asciiTheme="majorHAnsi" w:hAnsiTheme="majorHAnsi" w:cstheme="majorHAnsi"/>
        </w:rPr>
        <w:t xml:space="preserve">The </w:t>
      </w:r>
      <w:r w:rsidR="0080293B" w:rsidRPr="00A84878">
        <w:rPr>
          <w:rFonts w:asciiTheme="majorHAnsi" w:hAnsiTheme="majorHAnsi" w:cstheme="majorHAnsi"/>
        </w:rPr>
        <w:t xml:space="preserve">MRRA </w:t>
      </w:r>
      <w:r w:rsidRPr="00A84878">
        <w:rPr>
          <w:rFonts w:asciiTheme="majorHAnsi" w:hAnsiTheme="majorHAnsi" w:cstheme="majorHAnsi"/>
        </w:rPr>
        <w:t xml:space="preserve">is a template </w:t>
      </w:r>
      <w:r w:rsidR="00D5563C" w:rsidRPr="00A84878">
        <w:rPr>
          <w:rFonts w:asciiTheme="majorHAnsi" w:hAnsiTheme="majorHAnsi" w:cstheme="majorHAnsi"/>
        </w:rPr>
        <w:t>agreement</w:t>
      </w:r>
      <w:r w:rsidRPr="00A84878">
        <w:rPr>
          <w:rFonts w:asciiTheme="majorHAnsi" w:hAnsiTheme="majorHAnsi" w:cstheme="majorHAnsi"/>
        </w:rPr>
        <w:t xml:space="preserve"> </w:t>
      </w:r>
      <w:r w:rsidR="00D5563C" w:rsidRPr="00A84878">
        <w:rPr>
          <w:rFonts w:asciiTheme="majorHAnsi" w:hAnsiTheme="majorHAnsi" w:cstheme="majorHAnsi"/>
        </w:rPr>
        <w:t>that market par</w:t>
      </w:r>
      <w:r w:rsidR="00600ADF" w:rsidRPr="00A84878">
        <w:rPr>
          <w:rFonts w:asciiTheme="majorHAnsi" w:hAnsiTheme="majorHAnsi" w:cstheme="majorHAnsi"/>
        </w:rPr>
        <w:t>ti</w:t>
      </w:r>
      <w:r w:rsidR="00D5563C" w:rsidRPr="00A84878">
        <w:rPr>
          <w:rFonts w:asciiTheme="majorHAnsi" w:hAnsiTheme="majorHAnsi" w:cstheme="majorHAnsi"/>
        </w:rPr>
        <w:t>cipants may find useful as part of the management of their regulatory obligations</w:t>
      </w:r>
      <w:r w:rsidR="0080293B" w:rsidRPr="00A84878">
        <w:rPr>
          <w:rFonts w:asciiTheme="majorHAnsi" w:hAnsiTheme="majorHAnsi" w:cstheme="majorHAnsi"/>
        </w:rPr>
        <w:t xml:space="preserve"> and/or provision of services to their clients</w:t>
      </w:r>
      <w:r w:rsidR="00D5563C" w:rsidRPr="00A84878">
        <w:rPr>
          <w:rFonts w:asciiTheme="majorHAnsi" w:hAnsiTheme="majorHAnsi" w:cstheme="majorHAnsi"/>
        </w:rPr>
        <w:t xml:space="preserve"> relating to the reporting of the details of </w:t>
      </w:r>
      <w:r w:rsidR="00600ADF" w:rsidRPr="00A84878">
        <w:rPr>
          <w:rFonts w:asciiTheme="majorHAnsi" w:hAnsiTheme="majorHAnsi" w:cstheme="majorHAnsi"/>
        </w:rPr>
        <w:t xml:space="preserve">certain financial transactions to trade repositories. </w:t>
      </w:r>
    </w:p>
    <w:p w14:paraId="153EF2B1" w14:textId="77777777" w:rsidR="009D7F2F" w:rsidRPr="00D15F5D" w:rsidRDefault="009D7F2F" w:rsidP="00DE54BD">
      <w:pPr>
        <w:pStyle w:val="Body"/>
        <w:spacing w:before="280"/>
        <w:rPr>
          <w:rFonts w:asciiTheme="majorHAnsi" w:hAnsiTheme="majorHAnsi" w:cstheme="majorHAnsi"/>
          <w:b/>
          <w:sz w:val="22"/>
          <w:u w:val="single"/>
        </w:rPr>
      </w:pPr>
      <w:r w:rsidRPr="00D15F5D">
        <w:rPr>
          <w:rFonts w:asciiTheme="majorHAnsi" w:hAnsiTheme="majorHAnsi" w:cstheme="majorHAnsi"/>
          <w:b/>
          <w:sz w:val="22"/>
          <w:u w:val="single"/>
        </w:rPr>
        <w:t>Publication and Purpose</w:t>
      </w:r>
    </w:p>
    <w:p w14:paraId="2AF11B50" w14:textId="47556757" w:rsidR="002F4A68" w:rsidRPr="00A84878" w:rsidRDefault="00104497" w:rsidP="00F30D5C">
      <w:pPr>
        <w:pStyle w:val="Body"/>
        <w:rPr>
          <w:rFonts w:asciiTheme="majorHAnsi" w:hAnsiTheme="majorHAnsi" w:cstheme="majorHAnsi"/>
        </w:rPr>
      </w:pPr>
      <w:r w:rsidRPr="00A84878">
        <w:rPr>
          <w:rFonts w:asciiTheme="majorHAnsi" w:hAnsiTheme="majorHAnsi" w:cstheme="majorHAnsi"/>
        </w:rPr>
        <w:t xml:space="preserve">The </w:t>
      </w:r>
      <w:r w:rsidR="00600ADF" w:rsidRPr="00A84878">
        <w:rPr>
          <w:rFonts w:asciiTheme="majorHAnsi" w:hAnsiTheme="majorHAnsi" w:cstheme="majorHAnsi"/>
        </w:rPr>
        <w:t xml:space="preserve">MRRA </w:t>
      </w:r>
      <w:r w:rsidRPr="00A84878">
        <w:rPr>
          <w:rFonts w:asciiTheme="majorHAnsi" w:hAnsiTheme="majorHAnsi" w:cstheme="majorHAnsi"/>
        </w:rPr>
        <w:t xml:space="preserve">is </w:t>
      </w:r>
      <w:r w:rsidR="00057483" w:rsidRPr="00A84878">
        <w:rPr>
          <w:rFonts w:asciiTheme="majorHAnsi" w:hAnsiTheme="majorHAnsi" w:cstheme="majorHAnsi"/>
        </w:rPr>
        <w:t xml:space="preserve">jointly </w:t>
      </w:r>
      <w:r w:rsidRPr="00A84878">
        <w:rPr>
          <w:rFonts w:asciiTheme="majorHAnsi" w:hAnsiTheme="majorHAnsi" w:cstheme="majorHAnsi"/>
        </w:rPr>
        <w:t xml:space="preserve">published by </w:t>
      </w:r>
      <w:r w:rsidR="00123A8D">
        <w:rPr>
          <w:rFonts w:asciiTheme="majorHAnsi" w:hAnsiTheme="majorHAnsi" w:cstheme="majorHAnsi"/>
        </w:rPr>
        <w:t>the Association for Financial Markets in Europe (</w:t>
      </w:r>
      <w:r w:rsidR="00600ADF" w:rsidRPr="00A84878">
        <w:rPr>
          <w:rFonts w:asciiTheme="majorHAnsi" w:hAnsiTheme="majorHAnsi" w:cstheme="majorHAnsi"/>
        </w:rPr>
        <w:t>AFME</w:t>
      </w:r>
      <w:r w:rsidR="00123A8D">
        <w:rPr>
          <w:rFonts w:asciiTheme="majorHAnsi" w:hAnsiTheme="majorHAnsi" w:cstheme="majorHAnsi"/>
        </w:rPr>
        <w:t>)</w:t>
      </w:r>
      <w:r w:rsidR="00600ADF" w:rsidRPr="00A84878">
        <w:rPr>
          <w:rFonts w:asciiTheme="majorHAnsi" w:hAnsiTheme="majorHAnsi" w:cstheme="majorHAnsi"/>
        </w:rPr>
        <w:t xml:space="preserve">, FIA, ICMA, ISLA and </w:t>
      </w:r>
      <w:r w:rsidRPr="00A84878">
        <w:rPr>
          <w:rFonts w:asciiTheme="majorHAnsi" w:hAnsiTheme="majorHAnsi" w:cstheme="majorHAnsi"/>
        </w:rPr>
        <w:t>ISDA</w:t>
      </w:r>
      <w:r w:rsidR="001736BE" w:rsidRPr="00A84878">
        <w:rPr>
          <w:rFonts w:asciiTheme="majorHAnsi" w:hAnsiTheme="majorHAnsi" w:cstheme="majorHAnsi"/>
        </w:rPr>
        <w:t xml:space="preserve"> after consultation with their respective member</w:t>
      </w:r>
      <w:r w:rsidR="00B34FD3" w:rsidRPr="00A84878">
        <w:rPr>
          <w:rFonts w:asciiTheme="majorHAnsi" w:hAnsiTheme="majorHAnsi" w:cstheme="majorHAnsi"/>
        </w:rPr>
        <w:t>ships</w:t>
      </w:r>
      <w:r w:rsidRPr="00A84878">
        <w:rPr>
          <w:rFonts w:asciiTheme="majorHAnsi" w:hAnsiTheme="majorHAnsi" w:cstheme="majorHAnsi"/>
        </w:rPr>
        <w:t xml:space="preserve">. </w:t>
      </w:r>
      <w:r w:rsidR="00280BBB" w:rsidRPr="00A84878">
        <w:rPr>
          <w:rFonts w:asciiTheme="majorHAnsi" w:hAnsiTheme="majorHAnsi" w:cstheme="majorHAnsi"/>
        </w:rPr>
        <w:t xml:space="preserve">It </w:t>
      </w:r>
      <w:r w:rsidR="00270E62" w:rsidRPr="00A84878">
        <w:rPr>
          <w:rFonts w:asciiTheme="majorHAnsi" w:hAnsiTheme="majorHAnsi" w:cstheme="majorHAnsi"/>
        </w:rPr>
        <w:t xml:space="preserve">formalises the terms of </w:t>
      </w:r>
      <w:r w:rsidR="00280BBB" w:rsidRPr="00A84878">
        <w:rPr>
          <w:rFonts w:asciiTheme="majorHAnsi" w:hAnsiTheme="majorHAnsi" w:cstheme="majorHAnsi"/>
        </w:rPr>
        <w:t xml:space="preserve">the </w:t>
      </w:r>
      <w:r w:rsidR="00270E62" w:rsidRPr="00A84878">
        <w:rPr>
          <w:rFonts w:asciiTheme="majorHAnsi" w:hAnsiTheme="majorHAnsi" w:cstheme="majorHAnsi"/>
        </w:rPr>
        <w:t xml:space="preserve">reporting </w:t>
      </w:r>
      <w:r w:rsidR="00280BBB" w:rsidRPr="00A84878">
        <w:rPr>
          <w:rFonts w:asciiTheme="majorHAnsi" w:hAnsiTheme="majorHAnsi" w:cstheme="majorHAnsi"/>
        </w:rPr>
        <w:t xml:space="preserve">relationship between </w:t>
      </w:r>
      <w:r w:rsidR="00057483" w:rsidRPr="00A84878">
        <w:rPr>
          <w:rFonts w:asciiTheme="majorHAnsi" w:hAnsiTheme="majorHAnsi" w:cstheme="majorHAnsi"/>
        </w:rPr>
        <w:t xml:space="preserve">two entities, one of whom is </w:t>
      </w:r>
      <w:r w:rsidR="00082339" w:rsidRPr="00A84878">
        <w:rPr>
          <w:rFonts w:asciiTheme="majorHAnsi" w:hAnsiTheme="majorHAnsi" w:cstheme="majorHAnsi"/>
        </w:rPr>
        <w:t xml:space="preserve">reporting (the Reporting Party) on behalf of the other (the Client or Delegating Party), </w:t>
      </w:r>
      <w:proofErr w:type="gramStart"/>
      <w:r w:rsidR="00AA61A8" w:rsidRPr="00A84878">
        <w:rPr>
          <w:rFonts w:asciiTheme="majorHAnsi" w:hAnsiTheme="majorHAnsi" w:cstheme="majorHAnsi"/>
        </w:rPr>
        <w:t>in order to</w:t>
      </w:r>
      <w:proofErr w:type="gramEnd"/>
      <w:r w:rsidR="00AA61A8" w:rsidRPr="00A84878">
        <w:rPr>
          <w:rFonts w:asciiTheme="majorHAnsi" w:hAnsiTheme="majorHAnsi" w:cstheme="majorHAnsi"/>
        </w:rPr>
        <w:t xml:space="preserve"> fulfil </w:t>
      </w:r>
      <w:r w:rsidR="00082339" w:rsidRPr="00A84878">
        <w:rPr>
          <w:rFonts w:asciiTheme="majorHAnsi" w:hAnsiTheme="majorHAnsi" w:cstheme="majorHAnsi"/>
        </w:rPr>
        <w:t xml:space="preserve">either its own </w:t>
      </w:r>
      <w:r w:rsidR="00057483" w:rsidRPr="00A84878">
        <w:rPr>
          <w:rFonts w:asciiTheme="majorHAnsi" w:hAnsiTheme="majorHAnsi" w:cstheme="majorHAnsi"/>
        </w:rPr>
        <w:t>regulatory reporting obligations</w:t>
      </w:r>
      <w:r w:rsidR="00520109" w:rsidRPr="00A84878">
        <w:rPr>
          <w:rFonts w:asciiTheme="majorHAnsi" w:hAnsiTheme="majorHAnsi" w:cstheme="majorHAnsi"/>
        </w:rPr>
        <w:t xml:space="preserve"> </w:t>
      </w:r>
      <w:r w:rsidR="00082339" w:rsidRPr="00A84878">
        <w:rPr>
          <w:rFonts w:asciiTheme="majorHAnsi" w:hAnsiTheme="majorHAnsi" w:cstheme="majorHAnsi"/>
        </w:rPr>
        <w:t>under the mandatory reporting regime</w:t>
      </w:r>
      <w:r w:rsidR="0080293B" w:rsidRPr="00A84878">
        <w:rPr>
          <w:rFonts w:asciiTheme="majorHAnsi" w:hAnsiTheme="majorHAnsi" w:cstheme="majorHAnsi"/>
        </w:rPr>
        <w:t>,</w:t>
      </w:r>
      <w:r w:rsidR="00082339" w:rsidRPr="00A84878">
        <w:rPr>
          <w:rFonts w:asciiTheme="majorHAnsi" w:hAnsiTheme="majorHAnsi" w:cstheme="majorHAnsi"/>
        </w:rPr>
        <w:t xml:space="preserve"> or the Client/Delegating Party’s regulatory reporting obligations </w:t>
      </w:r>
      <w:r w:rsidR="00760AB2">
        <w:rPr>
          <w:rFonts w:asciiTheme="majorHAnsi" w:hAnsiTheme="majorHAnsi" w:cstheme="majorHAnsi"/>
        </w:rPr>
        <w:t xml:space="preserve">under </w:t>
      </w:r>
      <w:r w:rsidR="00082339" w:rsidRPr="00A84878">
        <w:rPr>
          <w:rFonts w:asciiTheme="majorHAnsi" w:hAnsiTheme="majorHAnsi" w:cstheme="majorHAnsi"/>
        </w:rPr>
        <w:t xml:space="preserve">the delegated reporting regime. </w:t>
      </w:r>
      <w:r w:rsidR="00270E62" w:rsidRPr="00A84878">
        <w:rPr>
          <w:rFonts w:asciiTheme="majorHAnsi" w:hAnsiTheme="majorHAnsi" w:cstheme="majorHAnsi"/>
        </w:rPr>
        <w:t xml:space="preserve">The delegated and mandatory reporting regimes are described below in the </w:t>
      </w:r>
      <w:r w:rsidR="00A123B5">
        <w:rPr>
          <w:rFonts w:asciiTheme="majorHAnsi" w:hAnsiTheme="majorHAnsi" w:cstheme="majorHAnsi"/>
        </w:rPr>
        <w:t>‘</w:t>
      </w:r>
      <w:r w:rsidR="00270E62" w:rsidRPr="00A84878">
        <w:rPr>
          <w:rFonts w:asciiTheme="majorHAnsi" w:hAnsiTheme="majorHAnsi" w:cstheme="majorHAnsi"/>
          <w:i/>
        </w:rPr>
        <w:t>Regulatory Background</w:t>
      </w:r>
      <w:r w:rsidR="00A123B5">
        <w:rPr>
          <w:rFonts w:asciiTheme="majorHAnsi" w:hAnsiTheme="majorHAnsi" w:cstheme="majorHAnsi"/>
        </w:rPr>
        <w:t>’</w:t>
      </w:r>
      <w:r w:rsidR="00270E62" w:rsidRPr="00A84878">
        <w:rPr>
          <w:rFonts w:asciiTheme="majorHAnsi" w:hAnsiTheme="majorHAnsi" w:cstheme="majorHAnsi"/>
        </w:rPr>
        <w:t xml:space="preserve"> section of this </w:t>
      </w:r>
      <w:r w:rsidR="006315B8" w:rsidRPr="00A84878">
        <w:rPr>
          <w:rFonts w:asciiTheme="majorHAnsi" w:hAnsiTheme="majorHAnsi" w:cstheme="majorHAnsi"/>
        </w:rPr>
        <w:t xml:space="preserve">Explanatory </w:t>
      </w:r>
      <w:r w:rsidR="00270E62" w:rsidRPr="00A84878">
        <w:rPr>
          <w:rFonts w:asciiTheme="majorHAnsi" w:hAnsiTheme="majorHAnsi" w:cstheme="majorHAnsi"/>
        </w:rPr>
        <w:t>Memorandum.</w:t>
      </w:r>
    </w:p>
    <w:p w14:paraId="7EB18993" w14:textId="6221F04F" w:rsidR="00270E62" w:rsidRPr="00A84878" w:rsidRDefault="00AA61A8" w:rsidP="002F4A68">
      <w:pPr>
        <w:pStyle w:val="Body"/>
        <w:widowControl w:val="0"/>
        <w:rPr>
          <w:rFonts w:asciiTheme="majorHAnsi" w:hAnsiTheme="majorHAnsi" w:cstheme="majorHAnsi"/>
        </w:rPr>
      </w:pPr>
      <w:r w:rsidRPr="00A84878">
        <w:rPr>
          <w:rFonts w:asciiTheme="majorHAnsi" w:hAnsiTheme="majorHAnsi" w:cstheme="majorHAnsi"/>
        </w:rPr>
        <w:t xml:space="preserve">The MRRA </w:t>
      </w:r>
      <w:r w:rsidR="00A303F7" w:rsidRPr="00A84878">
        <w:rPr>
          <w:rFonts w:asciiTheme="majorHAnsi" w:hAnsiTheme="majorHAnsi" w:cstheme="majorHAnsi"/>
        </w:rPr>
        <w:t xml:space="preserve">is drafted to cover </w:t>
      </w:r>
      <w:r w:rsidRPr="00A84878">
        <w:rPr>
          <w:rFonts w:asciiTheme="majorHAnsi" w:hAnsiTheme="majorHAnsi" w:cstheme="majorHAnsi"/>
        </w:rPr>
        <w:t xml:space="preserve">market participants’ regulatory reporting obligations in respect of </w:t>
      </w:r>
      <w:r w:rsidR="0006430F" w:rsidRPr="00A84878">
        <w:rPr>
          <w:rFonts w:asciiTheme="majorHAnsi" w:hAnsiTheme="majorHAnsi" w:cstheme="majorHAnsi"/>
        </w:rPr>
        <w:t xml:space="preserve">derivative transactions </w:t>
      </w:r>
      <w:r w:rsidRPr="00A84878">
        <w:rPr>
          <w:rFonts w:asciiTheme="majorHAnsi" w:hAnsiTheme="majorHAnsi" w:cstheme="majorHAnsi"/>
        </w:rPr>
        <w:t>under EMIR</w:t>
      </w:r>
      <w:r w:rsidRPr="00A84878">
        <w:rPr>
          <w:rStyle w:val="FootnoteReference"/>
          <w:rFonts w:asciiTheme="majorHAnsi" w:hAnsiTheme="majorHAnsi" w:cstheme="majorHAnsi"/>
        </w:rPr>
        <w:footnoteReference w:id="1"/>
      </w:r>
      <w:r w:rsidRPr="00A84878">
        <w:rPr>
          <w:rFonts w:asciiTheme="majorHAnsi" w:hAnsiTheme="majorHAnsi" w:cstheme="majorHAnsi"/>
        </w:rPr>
        <w:t xml:space="preserve"> </w:t>
      </w:r>
      <w:r w:rsidR="00B34FD3" w:rsidRPr="00A84878">
        <w:rPr>
          <w:rFonts w:asciiTheme="majorHAnsi" w:hAnsiTheme="majorHAnsi" w:cstheme="majorHAnsi"/>
        </w:rPr>
        <w:t>(as amended by the EMIR REFIT Regulation</w:t>
      </w:r>
      <w:r w:rsidR="00B34FD3" w:rsidRPr="00A84878">
        <w:rPr>
          <w:rStyle w:val="FootnoteReference"/>
          <w:rFonts w:asciiTheme="majorHAnsi" w:hAnsiTheme="majorHAnsi" w:cstheme="majorHAnsi"/>
        </w:rPr>
        <w:footnoteReference w:id="2"/>
      </w:r>
      <w:r w:rsidR="00B34FD3" w:rsidRPr="00A84878">
        <w:rPr>
          <w:rFonts w:asciiTheme="majorHAnsi" w:hAnsiTheme="majorHAnsi" w:cstheme="majorHAnsi"/>
        </w:rPr>
        <w:t xml:space="preserve">) </w:t>
      </w:r>
      <w:r w:rsidR="00B563B8">
        <w:rPr>
          <w:rFonts w:asciiTheme="majorHAnsi" w:hAnsiTheme="majorHAnsi" w:cstheme="majorHAnsi"/>
        </w:rPr>
        <w:t>and UK EMIR</w:t>
      </w:r>
      <w:r w:rsidR="007C58E8" w:rsidRPr="00A84878">
        <w:rPr>
          <w:rStyle w:val="FootnoteReference"/>
          <w:rFonts w:asciiTheme="majorHAnsi" w:hAnsiTheme="majorHAnsi" w:cstheme="majorHAnsi"/>
        </w:rPr>
        <w:footnoteReference w:id="3"/>
      </w:r>
      <w:r w:rsidR="00B563B8">
        <w:rPr>
          <w:rFonts w:asciiTheme="majorHAnsi" w:hAnsiTheme="majorHAnsi" w:cstheme="majorHAnsi"/>
        </w:rPr>
        <w:t xml:space="preserve"> </w:t>
      </w:r>
      <w:r w:rsidR="0006430F" w:rsidRPr="00A84878">
        <w:rPr>
          <w:rFonts w:asciiTheme="majorHAnsi" w:hAnsiTheme="majorHAnsi" w:cstheme="majorHAnsi"/>
        </w:rPr>
        <w:t>and</w:t>
      </w:r>
      <w:r w:rsidR="00A303F7" w:rsidRPr="00A84878">
        <w:rPr>
          <w:rFonts w:asciiTheme="majorHAnsi" w:hAnsiTheme="majorHAnsi" w:cstheme="majorHAnsi"/>
        </w:rPr>
        <w:t>/or</w:t>
      </w:r>
      <w:r w:rsidR="0006430F" w:rsidRPr="00A84878">
        <w:rPr>
          <w:rFonts w:asciiTheme="majorHAnsi" w:hAnsiTheme="majorHAnsi" w:cstheme="majorHAnsi"/>
        </w:rPr>
        <w:t xml:space="preserve"> </w:t>
      </w:r>
      <w:r w:rsidRPr="00A84878">
        <w:rPr>
          <w:rFonts w:asciiTheme="majorHAnsi" w:hAnsiTheme="majorHAnsi" w:cstheme="majorHAnsi"/>
        </w:rPr>
        <w:t xml:space="preserve">securities financing transactions </w:t>
      </w:r>
      <w:r w:rsidR="00633E0F" w:rsidRPr="00A84878">
        <w:rPr>
          <w:rFonts w:asciiTheme="majorHAnsi" w:hAnsiTheme="majorHAnsi" w:cstheme="majorHAnsi"/>
        </w:rPr>
        <w:t>(“</w:t>
      </w:r>
      <w:r w:rsidR="00633E0F" w:rsidRPr="00A84878">
        <w:rPr>
          <w:rFonts w:asciiTheme="majorHAnsi" w:hAnsiTheme="majorHAnsi" w:cstheme="majorHAnsi"/>
          <w:b/>
        </w:rPr>
        <w:t>SFTs</w:t>
      </w:r>
      <w:r w:rsidR="00633E0F" w:rsidRPr="00A84878">
        <w:rPr>
          <w:rFonts w:asciiTheme="majorHAnsi" w:hAnsiTheme="majorHAnsi" w:cstheme="majorHAnsi"/>
        </w:rPr>
        <w:t xml:space="preserve">”) </w:t>
      </w:r>
      <w:r w:rsidRPr="00A84878">
        <w:rPr>
          <w:rFonts w:asciiTheme="majorHAnsi" w:hAnsiTheme="majorHAnsi" w:cstheme="majorHAnsi"/>
        </w:rPr>
        <w:t>under SFTR</w:t>
      </w:r>
      <w:r w:rsidRPr="00A84878">
        <w:rPr>
          <w:rStyle w:val="FootnoteReference"/>
          <w:rFonts w:asciiTheme="majorHAnsi" w:hAnsiTheme="majorHAnsi" w:cstheme="majorHAnsi"/>
        </w:rPr>
        <w:footnoteReference w:id="4"/>
      </w:r>
      <w:r w:rsidR="00B563B8">
        <w:rPr>
          <w:rFonts w:asciiTheme="majorHAnsi" w:hAnsiTheme="majorHAnsi" w:cstheme="majorHAnsi"/>
        </w:rPr>
        <w:t xml:space="preserve"> and UK SFTR</w:t>
      </w:r>
      <w:r w:rsidR="007C58E8" w:rsidRPr="00A84878">
        <w:rPr>
          <w:rStyle w:val="FootnoteReference"/>
          <w:rFonts w:asciiTheme="majorHAnsi" w:hAnsiTheme="majorHAnsi" w:cstheme="majorHAnsi"/>
        </w:rPr>
        <w:footnoteReference w:id="5"/>
      </w:r>
      <w:r w:rsidR="00A303F7" w:rsidRPr="00A84878">
        <w:rPr>
          <w:rFonts w:asciiTheme="majorHAnsi" w:hAnsiTheme="majorHAnsi" w:cstheme="majorHAnsi"/>
        </w:rPr>
        <w:t>,</w:t>
      </w:r>
      <w:r w:rsidR="0006430F" w:rsidRPr="00A84878">
        <w:rPr>
          <w:rFonts w:asciiTheme="majorHAnsi" w:hAnsiTheme="majorHAnsi" w:cstheme="majorHAnsi"/>
        </w:rPr>
        <w:t xml:space="preserve"> </w:t>
      </w:r>
      <w:proofErr w:type="gramStart"/>
      <w:r w:rsidR="0006430F" w:rsidRPr="00A84878">
        <w:rPr>
          <w:rFonts w:asciiTheme="majorHAnsi" w:hAnsiTheme="majorHAnsi" w:cstheme="majorHAnsi"/>
        </w:rPr>
        <w:t>entered into</w:t>
      </w:r>
      <w:proofErr w:type="gramEnd"/>
      <w:r w:rsidR="0006430F" w:rsidRPr="00A84878">
        <w:rPr>
          <w:rFonts w:asciiTheme="majorHAnsi" w:hAnsiTheme="majorHAnsi" w:cstheme="majorHAnsi"/>
        </w:rPr>
        <w:t xml:space="preserve"> under standard industry </w:t>
      </w:r>
      <w:r w:rsidR="00497687" w:rsidRPr="00A84878">
        <w:rPr>
          <w:rFonts w:asciiTheme="majorHAnsi" w:hAnsiTheme="majorHAnsi" w:cstheme="majorHAnsi"/>
        </w:rPr>
        <w:t>documentation</w:t>
      </w:r>
      <w:r w:rsidR="00FF5D7C" w:rsidRPr="00A84878">
        <w:rPr>
          <w:rFonts w:asciiTheme="majorHAnsi" w:hAnsiTheme="majorHAnsi" w:cstheme="majorHAnsi"/>
        </w:rPr>
        <w:t xml:space="preserve">. </w:t>
      </w:r>
    </w:p>
    <w:p w14:paraId="7BF7D179" w14:textId="77777777" w:rsidR="009D7F2F" w:rsidRPr="00D15F5D" w:rsidRDefault="009D7F2F" w:rsidP="00DE54BD">
      <w:pPr>
        <w:pStyle w:val="Body"/>
        <w:spacing w:before="280"/>
        <w:rPr>
          <w:rFonts w:asciiTheme="majorHAnsi" w:hAnsiTheme="majorHAnsi" w:cstheme="majorHAnsi"/>
          <w:b/>
          <w:sz w:val="22"/>
          <w:u w:val="single"/>
        </w:rPr>
      </w:pPr>
      <w:r w:rsidRPr="00D15F5D">
        <w:rPr>
          <w:rFonts w:asciiTheme="majorHAnsi" w:hAnsiTheme="majorHAnsi" w:cstheme="majorHAnsi"/>
          <w:b/>
          <w:sz w:val="22"/>
          <w:u w:val="single"/>
        </w:rPr>
        <w:t>Structure</w:t>
      </w:r>
    </w:p>
    <w:p w14:paraId="6D2BFF92" w14:textId="77777777" w:rsidR="003B73F7" w:rsidRDefault="003B73F7" w:rsidP="003B73F7">
      <w:pPr>
        <w:pStyle w:val="Body"/>
        <w:rPr>
          <w:rFonts w:asciiTheme="majorHAnsi" w:hAnsiTheme="majorHAnsi" w:cstheme="majorHAnsi"/>
        </w:rPr>
      </w:pPr>
      <w:r w:rsidRPr="00A84878">
        <w:rPr>
          <w:rFonts w:asciiTheme="majorHAnsi" w:hAnsiTheme="majorHAnsi" w:cstheme="majorHAnsi"/>
        </w:rPr>
        <w:t xml:space="preserve">The MRRA consists of a main body (including an introductory section and a section titled </w:t>
      </w:r>
      <w:r>
        <w:rPr>
          <w:rFonts w:asciiTheme="majorHAnsi" w:hAnsiTheme="majorHAnsi" w:cstheme="majorHAnsi"/>
        </w:rPr>
        <w:t>‘</w:t>
      </w:r>
      <w:r w:rsidRPr="00A84878">
        <w:rPr>
          <w:rFonts w:asciiTheme="majorHAnsi" w:hAnsiTheme="majorHAnsi" w:cstheme="majorHAnsi"/>
          <w:i/>
        </w:rPr>
        <w:t>General Provisions</w:t>
      </w:r>
      <w:r>
        <w:rPr>
          <w:rFonts w:asciiTheme="majorHAnsi" w:hAnsiTheme="majorHAnsi" w:cstheme="majorHAnsi"/>
        </w:rPr>
        <w:t>’)</w:t>
      </w:r>
      <w:r w:rsidRPr="00A84878">
        <w:rPr>
          <w:rFonts w:asciiTheme="majorHAnsi" w:hAnsiTheme="majorHAnsi" w:cstheme="majorHAnsi"/>
        </w:rPr>
        <w:t xml:space="preserve">, as well </w:t>
      </w:r>
      <w:r>
        <w:rPr>
          <w:rFonts w:asciiTheme="majorHAnsi" w:hAnsiTheme="majorHAnsi" w:cstheme="majorHAnsi"/>
        </w:rPr>
        <w:t xml:space="preserve">as </w:t>
      </w:r>
      <w:r w:rsidRPr="00A84878">
        <w:rPr>
          <w:rFonts w:asciiTheme="majorHAnsi" w:hAnsiTheme="majorHAnsi" w:cstheme="majorHAnsi"/>
        </w:rPr>
        <w:t>sections on both Delegated Reporting (</w:t>
      </w:r>
      <w:r w:rsidR="00D002BC">
        <w:rPr>
          <w:rFonts w:asciiTheme="majorHAnsi" w:hAnsiTheme="majorHAnsi" w:cstheme="majorHAnsi"/>
        </w:rPr>
        <w:t xml:space="preserve">the </w:t>
      </w:r>
      <w:r w:rsidRPr="00A84878">
        <w:rPr>
          <w:rFonts w:asciiTheme="majorHAnsi" w:hAnsiTheme="majorHAnsi" w:cstheme="majorHAnsi"/>
        </w:rPr>
        <w:t>‘</w:t>
      </w:r>
      <w:r w:rsidRPr="00A84878">
        <w:rPr>
          <w:rFonts w:asciiTheme="majorHAnsi" w:hAnsiTheme="majorHAnsi" w:cstheme="majorHAnsi"/>
          <w:i/>
        </w:rPr>
        <w:t>Delegated Reporting Provisions</w:t>
      </w:r>
      <w:r w:rsidRPr="00A84878">
        <w:rPr>
          <w:rFonts w:asciiTheme="majorHAnsi" w:hAnsiTheme="majorHAnsi" w:cstheme="majorHAnsi"/>
        </w:rPr>
        <w:t>’) and Mandatory Reporting (</w:t>
      </w:r>
      <w:r w:rsidR="00D002BC">
        <w:rPr>
          <w:rFonts w:asciiTheme="majorHAnsi" w:hAnsiTheme="majorHAnsi" w:cstheme="majorHAnsi"/>
        </w:rPr>
        <w:t xml:space="preserve">the </w:t>
      </w:r>
      <w:r w:rsidRPr="00A84878">
        <w:rPr>
          <w:rFonts w:asciiTheme="majorHAnsi" w:hAnsiTheme="majorHAnsi" w:cstheme="majorHAnsi"/>
        </w:rPr>
        <w:t>‘</w:t>
      </w:r>
      <w:r w:rsidRPr="00A84878">
        <w:rPr>
          <w:rFonts w:asciiTheme="majorHAnsi" w:hAnsiTheme="majorHAnsi" w:cstheme="majorHAnsi"/>
          <w:i/>
        </w:rPr>
        <w:t>Mandatory Reporting Provisions</w:t>
      </w:r>
      <w:r w:rsidRPr="00A84878">
        <w:rPr>
          <w:rFonts w:asciiTheme="majorHAnsi" w:hAnsiTheme="majorHAnsi" w:cstheme="majorHAnsi"/>
        </w:rPr>
        <w:t>’) followed by two product-specific annexes (the ‘</w:t>
      </w:r>
      <w:r w:rsidRPr="00A84878">
        <w:rPr>
          <w:rFonts w:asciiTheme="majorHAnsi" w:hAnsiTheme="majorHAnsi" w:cstheme="majorHAnsi"/>
          <w:i/>
        </w:rPr>
        <w:t>Derivatives Annex</w:t>
      </w:r>
      <w:r w:rsidRPr="00A84878">
        <w:rPr>
          <w:rFonts w:asciiTheme="majorHAnsi" w:hAnsiTheme="majorHAnsi" w:cstheme="majorHAnsi"/>
        </w:rPr>
        <w:t>’ and the ‘</w:t>
      </w:r>
      <w:r w:rsidRPr="00A84878">
        <w:rPr>
          <w:rFonts w:asciiTheme="majorHAnsi" w:hAnsiTheme="majorHAnsi" w:cstheme="majorHAnsi"/>
          <w:i/>
        </w:rPr>
        <w:t>Securities Financing Transactions Annex</w:t>
      </w:r>
      <w:r w:rsidRPr="00A84878">
        <w:rPr>
          <w:rFonts w:asciiTheme="majorHAnsi" w:hAnsiTheme="majorHAnsi" w:cstheme="majorHAnsi"/>
        </w:rPr>
        <w:t>’) and template schedules within which the parties can specify details relating to Static Data, any details relating to their reporting operations and procedures, as well as, in circumstances where an entity executes the MRRA in its role as Agent, a list of Clients, and where it executes the MRRA as Fund Manager, a list of Funds.</w:t>
      </w:r>
      <w:r w:rsidRPr="00CC6B64">
        <w:rPr>
          <w:rFonts w:asciiTheme="majorHAnsi" w:hAnsiTheme="majorHAnsi" w:cstheme="majorHAnsi"/>
        </w:rPr>
        <w:t xml:space="preserve"> </w:t>
      </w:r>
    </w:p>
    <w:p w14:paraId="4BF8848A" w14:textId="77777777" w:rsidR="0080293B" w:rsidRPr="00A84878" w:rsidRDefault="00270E62" w:rsidP="00270E62">
      <w:pPr>
        <w:pStyle w:val="Body"/>
        <w:rPr>
          <w:rFonts w:asciiTheme="majorHAnsi" w:hAnsiTheme="majorHAnsi" w:cstheme="majorHAnsi"/>
        </w:rPr>
      </w:pPr>
      <w:r w:rsidRPr="00A84878">
        <w:rPr>
          <w:rFonts w:asciiTheme="majorHAnsi" w:hAnsiTheme="majorHAnsi" w:cstheme="majorHAnsi"/>
        </w:rPr>
        <w:t xml:space="preserve">The MRRA is constructed as a template document. There are provisions throughout each section of the MRRA which the parties will need to bilaterally agree and finalise before entering into the agreement. As noted, the MRRA incorporates wording </w:t>
      </w:r>
      <w:r w:rsidR="00633E0F" w:rsidRPr="00A84878">
        <w:rPr>
          <w:rFonts w:asciiTheme="majorHAnsi" w:hAnsiTheme="majorHAnsi" w:cstheme="majorHAnsi"/>
        </w:rPr>
        <w:t>dealing with both the delegated reporting and mandatory reporting regime</w:t>
      </w:r>
      <w:r w:rsidR="0080293B" w:rsidRPr="00A84878">
        <w:rPr>
          <w:rFonts w:asciiTheme="majorHAnsi" w:hAnsiTheme="majorHAnsi" w:cstheme="majorHAnsi"/>
        </w:rPr>
        <w:t>s</w:t>
      </w:r>
      <w:r w:rsidR="00633E0F" w:rsidRPr="00A84878">
        <w:rPr>
          <w:rFonts w:asciiTheme="majorHAnsi" w:hAnsiTheme="majorHAnsi" w:cstheme="majorHAnsi"/>
        </w:rPr>
        <w:t>.</w:t>
      </w:r>
      <w:r w:rsidR="0069317F" w:rsidRPr="00A84878">
        <w:rPr>
          <w:rFonts w:asciiTheme="majorHAnsi" w:hAnsiTheme="majorHAnsi" w:cstheme="majorHAnsi"/>
        </w:rPr>
        <w:t xml:space="preserve"> Where either regime is not applicable to the parties’ trading relationship, the parties are encouraged to delete the wording relating to the redundant reporting </w:t>
      </w:r>
      <w:r w:rsidR="0080293B" w:rsidRPr="00A84878">
        <w:rPr>
          <w:rFonts w:asciiTheme="majorHAnsi" w:hAnsiTheme="majorHAnsi" w:cstheme="majorHAnsi"/>
        </w:rPr>
        <w:t>regime, as found</w:t>
      </w:r>
      <w:r w:rsidR="0069317F" w:rsidRPr="00A84878">
        <w:rPr>
          <w:rFonts w:asciiTheme="majorHAnsi" w:hAnsiTheme="majorHAnsi" w:cstheme="majorHAnsi"/>
        </w:rPr>
        <w:t xml:space="preserve"> in either the ‘</w:t>
      </w:r>
      <w:r w:rsidR="0069317F" w:rsidRPr="00A84878">
        <w:rPr>
          <w:rFonts w:asciiTheme="majorHAnsi" w:hAnsiTheme="majorHAnsi" w:cstheme="majorHAnsi"/>
          <w:i/>
        </w:rPr>
        <w:t>Delegated Reporting Provisions</w:t>
      </w:r>
      <w:r w:rsidR="0069317F" w:rsidRPr="00A84878">
        <w:rPr>
          <w:rFonts w:asciiTheme="majorHAnsi" w:hAnsiTheme="majorHAnsi" w:cstheme="majorHAnsi"/>
        </w:rPr>
        <w:t>’ section or the ‘</w:t>
      </w:r>
      <w:r w:rsidR="0069317F" w:rsidRPr="00A84878">
        <w:rPr>
          <w:rFonts w:asciiTheme="majorHAnsi" w:hAnsiTheme="majorHAnsi" w:cstheme="majorHAnsi"/>
          <w:i/>
        </w:rPr>
        <w:t>Mandatory Reporting Provisions</w:t>
      </w:r>
      <w:r w:rsidR="0069317F" w:rsidRPr="00A84878">
        <w:rPr>
          <w:rFonts w:asciiTheme="majorHAnsi" w:hAnsiTheme="majorHAnsi" w:cstheme="majorHAnsi"/>
        </w:rPr>
        <w:t>’ section, as appropriate.</w:t>
      </w:r>
    </w:p>
    <w:p w14:paraId="18018FC1" w14:textId="6D0BED98" w:rsidR="00270E62" w:rsidRPr="00A84878" w:rsidRDefault="0069317F" w:rsidP="00270E62">
      <w:pPr>
        <w:pStyle w:val="Body"/>
        <w:rPr>
          <w:rFonts w:asciiTheme="majorHAnsi" w:hAnsiTheme="majorHAnsi" w:cstheme="majorHAnsi"/>
        </w:rPr>
      </w:pPr>
      <w:r w:rsidRPr="00A84878">
        <w:rPr>
          <w:rFonts w:asciiTheme="majorHAnsi" w:hAnsiTheme="majorHAnsi" w:cstheme="majorHAnsi"/>
        </w:rPr>
        <w:lastRenderedPageBreak/>
        <w:t xml:space="preserve">The MRRA </w:t>
      </w:r>
      <w:r w:rsidR="00270E62" w:rsidRPr="00A84878">
        <w:rPr>
          <w:rFonts w:asciiTheme="majorHAnsi" w:hAnsiTheme="majorHAnsi" w:cstheme="majorHAnsi"/>
        </w:rPr>
        <w:t>caters for regulatory reporting obligations under EMIR</w:t>
      </w:r>
      <w:r w:rsidR="00944D0F">
        <w:rPr>
          <w:rFonts w:asciiTheme="majorHAnsi" w:hAnsiTheme="majorHAnsi" w:cstheme="majorHAnsi"/>
        </w:rPr>
        <w:t>/UK EMIR</w:t>
      </w:r>
      <w:r w:rsidR="00270E62" w:rsidRPr="00A84878">
        <w:rPr>
          <w:rFonts w:asciiTheme="majorHAnsi" w:hAnsiTheme="majorHAnsi" w:cstheme="majorHAnsi"/>
        </w:rPr>
        <w:t xml:space="preserve"> and SFTR</w:t>
      </w:r>
      <w:r w:rsidR="00944D0F">
        <w:rPr>
          <w:rFonts w:asciiTheme="majorHAnsi" w:hAnsiTheme="majorHAnsi" w:cstheme="majorHAnsi"/>
        </w:rPr>
        <w:t>/UK SFTR</w:t>
      </w:r>
      <w:r w:rsidR="00270E62" w:rsidRPr="00A84878">
        <w:rPr>
          <w:rFonts w:asciiTheme="majorHAnsi" w:hAnsiTheme="majorHAnsi" w:cstheme="majorHAnsi"/>
        </w:rPr>
        <w:t xml:space="preserve"> under separate annexes</w:t>
      </w:r>
      <w:r w:rsidR="00633E0F" w:rsidRPr="00A84878">
        <w:rPr>
          <w:rFonts w:asciiTheme="majorHAnsi" w:hAnsiTheme="majorHAnsi" w:cstheme="majorHAnsi"/>
        </w:rPr>
        <w:t xml:space="preserve">, and </w:t>
      </w:r>
      <w:r w:rsidRPr="00A84878">
        <w:rPr>
          <w:rFonts w:asciiTheme="majorHAnsi" w:hAnsiTheme="majorHAnsi" w:cstheme="majorHAnsi"/>
        </w:rPr>
        <w:t xml:space="preserve">the relevant annexes have </w:t>
      </w:r>
      <w:r w:rsidR="00633E0F" w:rsidRPr="00A84878">
        <w:rPr>
          <w:rFonts w:asciiTheme="majorHAnsi" w:hAnsiTheme="majorHAnsi" w:cstheme="majorHAnsi"/>
        </w:rPr>
        <w:t xml:space="preserve">been drafted </w:t>
      </w:r>
      <w:r w:rsidR="0080293B" w:rsidRPr="00A84878">
        <w:rPr>
          <w:rFonts w:asciiTheme="majorHAnsi" w:hAnsiTheme="majorHAnsi" w:cstheme="majorHAnsi"/>
        </w:rPr>
        <w:t>with a view to ensuring</w:t>
      </w:r>
      <w:r w:rsidR="00633E0F" w:rsidRPr="00A84878">
        <w:rPr>
          <w:rFonts w:asciiTheme="majorHAnsi" w:hAnsiTheme="majorHAnsi" w:cstheme="majorHAnsi"/>
        </w:rPr>
        <w:t xml:space="preserve"> </w:t>
      </w:r>
      <w:r w:rsidRPr="00A84878">
        <w:rPr>
          <w:rFonts w:asciiTheme="majorHAnsi" w:hAnsiTheme="majorHAnsi" w:cstheme="majorHAnsi"/>
        </w:rPr>
        <w:t>they work independent</w:t>
      </w:r>
      <w:r w:rsidR="00A303F7" w:rsidRPr="00A84878">
        <w:rPr>
          <w:rFonts w:asciiTheme="majorHAnsi" w:hAnsiTheme="majorHAnsi" w:cstheme="majorHAnsi"/>
        </w:rPr>
        <w:t>ly</w:t>
      </w:r>
      <w:r w:rsidRPr="00A84878">
        <w:rPr>
          <w:rFonts w:asciiTheme="majorHAnsi" w:hAnsiTheme="majorHAnsi" w:cstheme="majorHAnsi"/>
        </w:rPr>
        <w:t xml:space="preserve"> of each other</w:t>
      </w:r>
      <w:r w:rsidR="00270E62" w:rsidRPr="00A84878">
        <w:rPr>
          <w:rFonts w:asciiTheme="majorHAnsi" w:hAnsiTheme="majorHAnsi" w:cstheme="majorHAnsi"/>
        </w:rPr>
        <w:t>. Where either EMIR</w:t>
      </w:r>
      <w:r w:rsidR="00343667">
        <w:rPr>
          <w:rFonts w:asciiTheme="majorHAnsi" w:hAnsiTheme="majorHAnsi" w:cstheme="majorHAnsi"/>
        </w:rPr>
        <w:t>/UK EMIR</w:t>
      </w:r>
      <w:r w:rsidR="00270E62" w:rsidRPr="00A84878">
        <w:rPr>
          <w:rFonts w:asciiTheme="majorHAnsi" w:hAnsiTheme="majorHAnsi" w:cstheme="majorHAnsi"/>
        </w:rPr>
        <w:t xml:space="preserve"> or SFTR</w:t>
      </w:r>
      <w:r w:rsidR="00343667">
        <w:rPr>
          <w:rFonts w:asciiTheme="majorHAnsi" w:hAnsiTheme="majorHAnsi" w:cstheme="majorHAnsi"/>
        </w:rPr>
        <w:t>/UK SFTR</w:t>
      </w:r>
      <w:r w:rsidR="00270E62" w:rsidRPr="00A84878">
        <w:rPr>
          <w:rFonts w:asciiTheme="majorHAnsi" w:hAnsiTheme="majorHAnsi" w:cstheme="majorHAnsi"/>
        </w:rPr>
        <w:t xml:space="preserve"> is not applicable to the parties’ trading relationship, the </w:t>
      </w:r>
      <w:r w:rsidR="00633E0F" w:rsidRPr="00A84878">
        <w:rPr>
          <w:rFonts w:asciiTheme="majorHAnsi" w:hAnsiTheme="majorHAnsi" w:cstheme="majorHAnsi"/>
        </w:rPr>
        <w:t xml:space="preserve">parties are encouraged to delete the </w:t>
      </w:r>
      <w:r w:rsidR="00270E62" w:rsidRPr="00A84878">
        <w:rPr>
          <w:rFonts w:asciiTheme="majorHAnsi" w:hAnsiTheme="majorHAnsi" w:cstheme="majorHAnsi"/>
        </w:rPr>
        <w:t xml:space="preserve">wording relating to the redundant </w:t>
      </w:r>
      <w:r w:rsidRPr="00A84878">
        <w:rPr>
          <w:rFonts w:asciiTheme="majorHAnsi" w:hAnsiTheme="majorHAnsi" w:cstheme="majorHAnsi"/>
        </w:rPr>
        <w:t xml:space="preserve">regulatory </w:t>
      </w:r>
      <w:r w:rsidR="00270E62" w:rsidRPr="00A84878">
        <w:rPr>
          <w:rFonts w:asciiTheme="majorHAnsi" w:hAnsiTheme="majorHAnsi" w:cstheme="majorHAnsi"/>
        </w:rPr>
        <w:t>regime</w:t>
      </w:r>
      <w:r w:rsidRPr="00A84878">
        <w:rPr>
          <w:rFonts w:asciiTheme="majorHAnsi" w:hAnsiTheme="majorHAnsi" w:cstheme="majorHAnsi"/>
        </w:rPr>
        <w:t xml:space="preserve"> and only include those annexes which </w:t>
      </w:r>
      <w:r w:rsidR="0080293B" w:rsidRPr="00A84878">
        <w:rPr>
          <w:rFonts w:asciiTheme="majorHAnsi" w:hAnsiTheme="majorHAnsi" w:cstheme="majorHAnsi"/>
        </w:rPr>
        <w:t>are relevant</w:t>
      </w:r>
      <w:r w:rsidR="00270E62" w:rsidRPr="00A84878">
        <w:rPr>
          <w:rFonts w:asciiTheme="majorHAnsi" w:hAnsiTheme="majorHAnsi" w:cstheme="majorHAnsi"/>
        </w:rPr>
        <w:t>.</w:t>
      </w:r>
    </w:p>
    <w:bookmarkStart w:id="1" w:name="bmkStart"/>
    <w:bookmarkEnd w:id="1"/>
    <w:p w14:paraId="0EF4AEFD" w14:textId="77777777" w:rsidR="000E21F1" w:rsidRDefault="000E21F1" w:rsidP="000E21F1">
      <w:pPr>
        <w:pStyle w:val="Body"/>
      </w:pPr>
      <w:r>
        <w:rPr>
          <w:noProof/>
        </w:rPr>
        <mc:AlternateContent>
          <mc:Choice Requires="wpc">
            <w:drawing>
              <wp:inline distT="0" distB="0" distL="0" distR="0" wp14:anchorId="5FFEA995" wp14:editId="47BCAACC">
                <wp:extent cx="5486400" cy="5167223"/>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2275689" y="68237"/>
                            <a:ext cx="798394" cy="232012"/>
                          </a:xfrm>
                          <a:prstGeom prst="rect">
                            <a:avLst/>
                          </a:prstGeom>
                          <a:solidFill>
                            <a:schemeClr val="lt1"/>
                          </a:solidFill>
                          <a:ln w="6350">
                            <a:solidFill>
                              <a:prstClr val="black"/>
                            </a:solidFill>
                          </a:ln>
                        </wps:spPr>
                        <wps:txbx>
                          <w:txbxContent>
                            <w:p w14:paraId="5D9638D5" w14:textId="77777777" w:rsidR="009C11FB" w:rsidRPr="0051385C" w:rsidRDefault="009C11FB" w:rsidP="000E21F1">
                              <w:pPr>
                                <w:jc w:val="center"/>
                                <w:rPr>
                                  <w:sz w:val="16"/>
                                  <w:szCs w:val="16"/>
                                </w:rPr>
                              </w:pPr>
                              <w:r w:rsidRPr="0051385C">
                                <w:rPr>
                                  <w:sz w:val="16"/>
                                  <w:szCs w:val="16"/>
                                </w:rPr>
                                <w:t>Recitals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897038" y="459472"/>
                            <a:ext cx="1555845" cy="420808"/>
                          </a:xfrm>
                          <a:prstGeom prst="rect">
                            <a:avLst/>
                          </a:prstGeom>
                          <a:solidFill>
                            <a:schemeClr val="lt1"/>
                          </a:solidFill>
                          <a:ln w="6350">
                            <a:solidFill>
                              <a:prstClr val="black"/>
                            </a:solidFill>
                          </a:ln>
                        </wps:spPr>
                        <wps:txbx>
                          <w:txbxContent>
                            <w:p w14:paraId="4A9E767B" w14:textId="77777777" w:rsidR="009C11FB" w:rsidRPr="0051385C" w:rsidRDefault="009C11FB" w:rsidP="000E21F1">
                              <w:pPr>
                                <w:jc w:val="center"/>
                                <w:rPr>
                                  <w:sz w:val="16"/>
                                  <w:szCs w:val="16"/>
                                </w:rPr>
                              </w:pPr>
                              <w:r>
                                <w:rPr>
                                  <w:sz w:val="16"/>
                                  <w:szCs w:val="16"/>
                                </w:rPr>
                                <w:t>Interpretation, Structure and Existing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754012" y="1011627"/>
                            <a:ext cx="1156056" cy="429907"/>
                          </a:xfrm>
                          <a:prstGeom prst="rect">
                            <a:avLst/>
                          </a:prstGeom>
                          <a:solidFill>
                            <a:schemeClr val="lt1"/>
                          </a:solidFill>
                          <a:ln w="6350">
                            <a:solidFill>
                              <a:prstClr val="black"/>
                            </a:solidFill>
                          </a:ln>
                        </wps:spPr>
                        <wps:txbx>
                          <w:txbxContent>
                            <w:p w14:paraId="37213B14" w14:textId="77777777" w:rsidR="009C11FB" w:rsidRPr="0051385C" w:rsidRDefault="009C11FB" w:rsidP="000E21F1">
                              <w:pPr>
                                <w:jc w:val="center"/>
                                <w:rPr>
                                  <w:sz w:val="16"/>
                                  <w:szCs w:val="16"/>
                                </w:rPr>
                              </w:pPr>
                              <w:r>
                                <w:rPr>
                                  <w:sz w:val="16"/>
                                  <w:szCs w:val="16"/>
                                </w:rPr>
                                <w:t>Delegated Reporting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649613" y="1012783"/>
                            <a:ext cx="1155511" cy="429907"/>
                          </a:xfrm>
                          <a:prstGeom prst="rect">
                            <a:avLst/>
                          </a:prstGeom>
                          <a:solidFill>
                            <a:schemeClr val="lt1"/>
                          </a:solidFill>
                          <a:ln w="6350">
                            <a:solidFill>
                              <a:prstClr val="black"/>
                            </a:solidFill>
                          </a:ln>
                        </wps:spPr>
                        <wps:txbx>
                          <w:txbxContent>
                            <w:p w14:paraId="1E3C61AD" w14:textId="77777777" w:rsidR="009C11FB" w:rsidRPr="0051385C" w:rsidRDefault="009C11FB" w:rsidP="000E21F1">
                              <w:pPr>
                                <w:jc w:val="center"/>
                                <w:rPr>
                                  <w:sz w:val="16"/>
                                  <w:szCs w:val="16"/>
                                </w:rPr>
                              </w:pPr>
                              <w:r>
                                <w:rPr>
                                  <w:sz w:val="16"/>
                                  <w:szCs w:val="16"/>
                                </w:rPr>
                                <w:t>Mandatory Reporting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196171" y="1567973"/>
                            <a:ext cx="957618" cy="366215"/>
                          </a:xfrm>
                          <a:prstGeom prst="rect">
                            <a:avLst/>
                          </a:prstGeom>
                          <a:solidFill>
                            <a:schemeClr val="lt1"/>
                          </a:solidFill>
                          <a:ln w="6350">
                            <a:solidFill>
                              <a:prstClr val="black"/>
                            </a:solidFill>
                          </a:ln>
                        </wps:spPr>
                        <wps:txbx>
                          <w:txbxContent>
                            <w:p w14:paraId="663C6FEC" w14:textId="77777777" w:rsidR="009C11FB" w:rsidRPr="0051385C" w:rsidRDefault="009C11FB" w:rsidP="000E21F1">
                              <w:pPr>
                                <w:jc w:val="center"/>
                                <w:rPr>
                                  <w:sz w:val="16"/>
                                  <w:szCs w:val="16"/>
                                </w:rPr>
                              </w:pPr>
                              <w:r>
                                <w:rPr>
                                  <w:sz w:val="16"/>
                                  <w:szCs w:val="16"/>
                                </w:rPr>
                                <w:t>General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753434" y="2056828"/>
                            <a:ext cx="1156056" cy="429907"/>
                          </a:xfrm>
                          <a:prstGeom prst="rect">
                            <a:avLst/>
                          </a:prstGeom>
                          <a:solidFill>
                            <a:schemeClr val="lt1"/>
                          </a:solidFill>
                          <a:ln w="6350">
                            <a:solidFill>
                              <a:prstClr val="black"/>
                            </a:solidFill>
                          </a:ln>
                        </wps:spPr>
                        <wps:txbx>
                          <w:txbxContent>
                            <w:p w14:paraId="5BEB9065" w14:textId="77777777" w:rsidR="009C11FB" w:rsidRPr="0051385C" w:rsidRDefault="009C11FB" w:rsidP="000E21F1">
                              <w:pPr>
                                <w:jc w:val="center"/>
                                <w:rPr>
                                  <w:sz w:val="16"/>
                                  <w:szCs w:val="16"/>
                                </w:rPr>
                              </w:pPr>
                              <w:r>
                                <w:rPr>
                                  <w:sz w:val="16"/>
                                  <w:szCs w:val="16"/>
                                </w:rPr>
                                <w:t>Derivatives Annex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649670" y="2056714"/>
                            <a:ext cx="1155511" cy="429907"/>
                          </a:xfrm>
                          <a:prstGeom prst="rect">
                            <a:avLst/>
                          </a:prstGeom>
                          <a:solidFill>
                            <a:schemeClr val="lt1"/>
                          </a:solidFill>
                          <a:ln w="6350">
                            <a:solidFill>
                              <a:prstClr val="black"/>
                            </a:solidFill>
                          </a:ln>
                        </wps:spPr>
                        <wps:txbx>
                          <w:txbxContent>
                            <w:p w14:paraId="24112B63" w14:textId="77777777" w:rsidR="009C11FB" w:rsidRPr="0051385C" w:rsidRDefault="009C11FB" w:rsidP="000E21F1">
                              <w:pPr>
                                <w:jc w:val="center"/>
                                <w:rPr>
                                  <w:sz w:val="16"/>
                                  <w:szCs w:val="16"/>
                                </w:rPr>
                              </w:pPr>
                              <w:r>
                                <w:rPr>
                                  <w:sz w:val="16"/>
                                  <w:szCs w:val="16"/>
                                </w:rPr>
                                <w:t>Securities Financing Transactions Annex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196437" y="2640063"/>
                            <a:ext cx="957618" cy="366215"/>
                          </a:xfrm>
                          <a:prstGeom prst="rect">
                            <a:avLst/>
                          </a:prstGeom>
                          <a:solidFill>
                            <a:schemeClr val="lt1"/>
                          </a:solidFill>
                          <a:ln w="6350">
                            <a:solidFill>
                              <a:prstClr val="black"/>
                            </a:solidFill>
                          </a:ln>
                        </wps:spPr>
                        <wps:txbx>
                          <w:txbxContent>
                            <w:p w14:paraId="1FA831F7" w14:textId="77777777" w:rsidR="009C11FB" w:rsidRPr="0051385C" w:rsidRDefault="009C11FB" w:rsidP="000E21F1">
                              <w:pPr>
                                <w:jc w:val="center"/>
                                <w:rPr>
                                  <w:sz w:val="16"/>
                                  <w:szCs w:val="16"/>
                                </w:rPr>
                              </w:pPr>
                              <w:r>
                                <w:rPr>
                                  <w:sz w:val="16"/>
                                  <w:szCs w:val="16"/>
                                </w:rPr>
                                <w:t>Static Data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098533" y="3249115"/>
                            <a:ext cx="1153236" cy="484748"/>
                          </a:xfrm>
                          <a:prstGeom prst="rect">
                            <a:avLst/>
                          </a:prstGeom>
                          <a:solidFill>
                            <a:schemeClr val="lt1"/>
                          </a:solidFill>
                          <a:ln w="6350">
                            <a:solidFill>
                              <a:prstClr val="black"/>
                            </a:solidFill>
                          </a:ln>
                        </wps:spPr>
                        <wps:txbx>
                          <w:txbxContent>
                            <w:p w14:paraId="7402717E" w14:textId="77777777" w:rsidR="009C11FB" w:rsidRPr="0051385C" w:rsidRDefault="009C11FB" w:rsidP="000E21F1">
                              <w:pPr>
                                <w:jc w:val="center"/>
                                <w:rPr>
                                  <w:sz w:val="16"/>
                                  <w:szCs w:val="16"/>
                                </w:rPr>
                              </w:pPr>
                              <w:r>
                                <w:rPr>
                                  <w:sz w:val="16"/>
                                  <w:szCs w:val="16"/>
                                </w:rPr>
                                <w:t>Operational and Procedural Provisions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2196209" y="4008125"/>
                            <a:ext cx="957618" cy="366215"/>
                          </a:xfrm>
                          <a:prstGeom prst="rect">
                            <a:avLst/>
                          </a:prstGeom>
                          <a:solidFill>
                            <a:schemeClr val="lt1"/>
                          </a:solidFill>
                          <a:ln w="6350">
                            <a:solidFill>
                              <a:prstClr val="black"/>
                            </a:solidFill>
                          </a:ln>
                        </wps:spPr>
                        <wps:txbx>
                          <w:txbxContent>
                            <w:p w14:paraId="6082613A" w14:textId="77777777" w:rsidR="009C11FB" w:rsidRPr="0051385C" w:rsidRDefault="009C11FB" w:rsidP="000E21F1">
                              <w:pPr>
                                <w:jc w:val="center"/>
                                <w:rPr>
                                  <w:sz w:val="16"/>
                                  <w:szCs w:val="16"/>
                                </w:rPr>
                              </w:pPr>
                              <w:r>
                                <w:rPr>
                                  <w:sz w:val="16"/>
                                  <w:szCs w:val="16"/>
                                </w:rPr>
                                <w:t>List of Clients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196095" y="4636315"/>
                            <a:ext cx="957618" cy="366215"/>
                          </a:xfrm>
                          <a:prstGeom prst="rect">
                            <a:avLst/>
                          </a:prstGeom>
                          <a:solidFill>
                            <a:schemeClr val="lt1"/>
                          </a:solidFill>
                          <a:ln w="6350">
                            <a:solidFill>
                              <a:prstClr val="black"/>
                            </a:solidFill>
                          </a:ln>
                        </wps:spPr>
                        <wps:txbx>
                          <w:txbxContent>
                            <w:p w14:paraId="0B3DAA09" w14:textId="77777777" w:rsidR="009C11FB" w:rsidRPr="0051385C" w:rsidRDefault="009C11FB" w:rsidP="000E21F1">
                              <w:pPr>
                                <w:jc w:val="center"/>
                                <w:rPr>
                                  <w:sz w:val="16"/>
                                  <w:szCs w:val="16"/>
                                </w:rPr>
                              </w:pPr>
                              <w:r>
                                <w:rPr>
                                  <w:sz w:val="16"/>
                                  <w:szCs w:val="16"/>
                                </w:rPr>
                                <w:t>List of Funds Schedules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nector: Elbow 14"/>
                        <wps:cNvCnPr/>
                        <wps:spPr>
                          <a:xfrm>
                            <a:off x="2674886" y="300249"/>
                            <a:ext cx="75" cy="159223"/>
                          </a:xfrm>
                          <a:prstGeom prst="straightConnector1">
                            <a:avLst/>
                          </a:prstGeom>
                          <a:ln w="3175"/>
                        </wps:spPr>
                        <wps:style>
                          <a:lnRef idx="1">
                            <a:schemeClr val="dk1"/>
                          </a:lnRef>
                          <a:fillRef idx="0">
                            <a:schemeClr val="dk1"/>
                          </a:fillRef>
                          <a:effectRef idx="0">
                            <a:schemeClr val="dk1"/>
                          </a:effectRef>
                          <a:fontRef idx="minor">
                            <a:schemeClr val="tx1"/>
                          </a:fontRef>
                        </wps:style>
                        <wps:bodyPr/>
                      </wps:wsp>
                      <wps:wsp>
                        <wps:cNvPr id="18" name="Connector: Elbow 18"/>
                        <wps:cNvCnPr/>
                        <wps:spPr>
                          <a:xfrm rot="5400000">
                            <a:off x="1937828" y="274493"/>
                            <a:ext cx="131347" cy="1342921"/>
                          </a:xfrm>
                          <a:prstGeom prst="bentConnector3">
                            <a:avLst/>
                          </a:prstGeom>
                          <a:ln w="3175"/>
                        </wps:spPr>
                        <wps:style>
                          <a:lnRef idx="1">
                            <a:schemeClr val="dk1"/>
                          </a:lnRef>
                          <a:fillRef idx="0">
                            <a:schemeClr val="dk1"/>
                          </a:fillRef>
                          <a:effectRef idx="0">
                            <a:schemeClr val="dk1"/>
                          </a:effectRef>
                          <a:fontRef idx="minor">
                            <a:schemeClr val="tx1"/>
                          </a:fontRef>
                        </wps:style>
                        <wps:bodyPr/>
                      </wps:wsp>
                      <wps:wsp>
                        <wps:cNvPr id="19" name="Connector: Elbow 19"/>
                        <wps:cNvCnPr/>
                        <wps:spPr>
                          <a:xfrm rot="16200000" flipH="1">
                            <a:off x="3384914" y="170327"/>
                            <a:ext cx="132503" cy="1552408"/>
                          </a:xfrm>
                          <a:prstGeom prst="bentConnector3">
                            <a:avLst>
                              <a:gd name="adj1" fmla="val 50000"/>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a:off x="2263365" y="1020466"/>
                            <a:ext cx="823865" cy="199325"/>
                          </a:xfrm>
                          <a:prstGeom prst="rect">
                            <a:avLst/>
                          </a:prstGeom>
                          <a:solidFill>
                            <a:schemeClr val="lt1"/>
                          </a:solidFill>
                          <a:ln w="6350">
                            <a:noFill/>
                          </a:ln>
                        </wps:spPr>
                        <wps:txbx>
                          <w:txbxContent>
                            <w:p w14:paraId="365F96E5" w14:textId="77777777" w:rsidR="009C11FB" w:rsidRPr="00E1099D" w:rsidRDefault="009C11FB" w:rsidP="000E21F1">
                              <w:pPr>
                                <w:jc w:val="center"/>
                                <w:rPr>
                                  <w:color w:val="FF0000"/>
                                  <w:sz w:val="16"/>
                                  <w:szCs w:val="16"/>
                                </w:rPr>
                              </w:pPr>
                              <w:r w:rsidRPr="00E1099D">
                                <w:rPr>
                                  <w:color w:val="FF0000"/>
                                  <w:sz w:val="16"/>
                                  <w:szCs w:val="16"/>
                                </w:rPr>
                                <w:t>AND/OR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nector: Elbow 21"/>
                        <wps:cNvCnPr/>
                        <wps:spPr>
                          <a:xfrm rot="5400000" flipH="1" flipV="1">
                            <a:off x="2641815" y="1528679"/>
                            <a:ext cx="66649" cy="318"/>
                          </a:xfrm>
                          <a:prstGeom prst="bentConnector3">
                            <a:avLst/>
                          </a:prstGeom>
                          <a:ln w="3175"/>
                        </wps:spPr>
                        <wps:style>
                          <a:lnRef idx="1">
                            <a:schemeClr val="dk1"/>
                          </a:lnRef>
                          <a:fillRef idx="0">
                            <a:schemeClr val="dk1"/>
                          </a:fillRef>
                          <a:effectRef idx="0">
                            <a:schemeClr val="dk1"/>
                          </a:effectRef>
                          <a:fontRef idx="minor">
                            <a:schemeClr val="tx1"/>
                          </a:fontRef>
                        </wps:style>
                        <wps:bodyPr/>
                      </wps:wsp>
                      <wps:wsp>
                        <wps:cNvPr id="22" name="Connector: Elbow 22"/>
                        <wps:cNvCnPr/>
                        <wps:spPr>
                          <a:xfrm rot="5400000">
                            <a:off x="1941901" y="1323749"/>
                            <a:ext cx="122640" cy="1343518"/>
                          </a:xfrm>
                          <a:prstGeom prst="bentConnector3">
                            <a:avLst>
                              <a:gd name="adj1" fmla="val 50000"/>
                            </a:avLst>
                          </a:prstGeom>
                          <a:ln w="3175"/>
                        </wps:spPr>
                        <wps:style>
                          <a:lnRef idx="1">
                            <a:schemeClr val="dk1"/>
                          </a:lnRef>
                          <a:fillRef idx="0">
                            <a:schemeClr val="dk1"/>
                          </a:fillRef>
                          <a:effectRef idx="0">
                            <a:schemeClr val="dk1"/>
                          </a:effectRef>
                          <a:fontRef idx="minor">
                            <a:schemeClr val="tx1"/>
                          </a:fontRef>
                        </wps:style>
                        <wps:bodyPr/>
                      </wps:wsp>
                      <wps:wsp>
                        <wps:cNvPr id="23" name="Connector: Elbow 23"/>
                        <wps:cNvCnPr/>
                        <wps:spPr>
                          <a:xfrm rot="16200000" flipH="1">
                            <a:off x="3389940" y="1219228"/>
                            <a:ext cx="122526" cy="1552446"/>
                          </a:xfrm>
                          <a:prstGeom prst="bentConnector3">
                            <a:avLst/>
                          </a:prstGeom>
                          <a:ln w="3175"/>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2273350" y="2057897"/>
                            <a:ext cx="823865" cy="199325"/>
                          </a:xfrm>
                          <a:prstGeom prst="rect">
                            <a:avLst/>
                          </a:prstGeom>
                          <a:solidFill>
                            <a:schemeClr val="lt1"/>
                          </a:solidFill>
                          <a:ln w="6350">
                            <a:noFill/>
                          </a:ln>
                        </wps:spPr>
                        <wps:txbx>
                          <w:txbxContent>
                            <w:p w14:paraId="25D6A6AE" w14:textId="77777777" w:rsidR="009C11FB" w:rsidRPr="00F67194" w:rsidRDefault="009C11FB" w:rsidP="000E21F1">
                              <w:pPr>
                                <w:jc w:val="center"/>
                                <w:rPr>
                                  <w:color w:val="FF0000"/>
                                  <w:sz w:val="16"/>
                                  <w:szCs w:val="16"/>
                                </w:rPr>
                              </w:pPr>
                              <w:r w:rsidRPr="00F67194">
                                <w:rPr>
                                  <w:color w:val="FF0000"/>
                                  <w:sz w:val="16"/>
                                  <w:szCs w:val="16"/>
                                </w:rPr>
                                <w:t>AND/OR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2263365" y="3031181"/>
                            <a:ext cx="823865" cy="199325"/>
                          </a:xfrm>
                          <a:prstGeom prst="rect">
                            <a:avLst/>
                          </a:prstGeom>
                          <a:solidFill>
                            <a:schemeClr val="lt1"/>
                          </a:solidFill>
                          <a:ln w="6350">
                            <a:noFill/>
                          </a:ln>
                        </wps:spPr>
                        <wps:txbx>
                          <w:txbxContent>
                            <w:p w14:paraId="42A04B22" w14:textId="77777777" w:rsidR="009C11FB" w:rsidRPr="00F67194" w:rsidRDefault="009C11FB" w:rsidP="000E21F1">
                              <w:pPr>
                                <w:jc w:val="center"/>
                                <w:rPr>
                                  <w:color w:val="FF0000"/>
                                  <w:sz w:val="16"/>
                                  <w:szCs w:val="16"/>
                                </w:rPr>
                              </w:pPr>
                              <w:r w:rsidRPr="00F67194">
                                <w:rPr>
                                  <w:color w:val="FF0000"/>
                                  <w:sz w:val="16"/>
                                  <w:szCs w:val="16"/>
                                </w:rPr>
                                <w:t>AND/OR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2262989" y="3787423"/>
                            <a:ext cx="823865" cy="199325"/>
                          </a:xfrm>
                          <a:prstGeom prst="rect">
                            <a:avLst/>
                          </a:prstGeom>
                          <a:solidFill>
                            <a:schemeClr val="lt1"/>
                          </a:solidFill>
                          <a:ln w="6350">
                            <a:noFill/>
                          </a:ln>
                        </wps:spPr>
                        <wps:txbx>
                          <w:txbxContent>
                            <w:p w14:paraId="38658376" w14:textId="77777777" w:rsidR="009C11FB" w:rsidRPr="00F67194" w:rsidRDefault="009C11FB" w:rsidP="000E21F1">
                              <w:pPr>
                                <w:jc w:val="center"/>
                                <w:rPr>
                                  <w:color w:val="FF0000"/>
                                  <w:sz w:val="16"/>
                                  <w:szCs w:val="16"/>
                                </w:rPr>
                              </w:pPr>
                              <w:r w:rsidRPr="00F67194">
                                <w:rPr>
                                  <w:color w:val="FF0000"/>
                                  <w:sz w:val="16"/>
                                  <w:szCs w:val="16"/>
                                </w:rPr>
                                <w:t>AND/OR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262989" y="4399321"/>
                            <a:ext cx="823865" cy="199325"/>
                          </a:xfrm>
                          <a:prstGeom prst="rect">
                            <a:avLst/>
                          </a:prstGeom>
                          <a:solidFill>
                            <a:schemeClr val="lt1"/>
                          </a:solidFill>
                          <a:ln w="6350">
                            <a:noFill/>
                          </a:ln>
                        </wps:spPr>
                        <wps:txbx>
                          <w:txbxContent>
                            <w:p w14:paraId="74FC875C" w14:textId="77777777" w:rsidR="009C11FB" w:rsidRPr="00F67194" w:rsidRDefault="009C11FB" w:rsidP="000E21F1">
                              <w:pPr>
                                <w:jc w:val="center"/>
                                <w:rPr>
                                  <w:color w:val="FF0000"/>
                                  <w:sz w:val="16"/>
                                  <w:szCs w:val="16"/>
                                </w:rPr>
                              </w:pPr>
                              <w:r w:rsidRPr="00F67194">
                                <w:rPr>
                                  <w:color w:val="FF0000"/>
                                  <w:sz w:val="16"/>
                                  <w:szCs w:val="16"/>
                                </w:rPr>
                                <w:t>AND/OR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onnector: Elbow 28"/>
                        <wps:cNvCnPr/>
                        <wps:spPr>
                          <a:xfrm rot="16200000" flipH="1">
                            <a:off x="2637502" y="2602318"/>
                            <a:ext cx="74893" cy="596"/>
                          </a:xfrm>
                          <a:prstGeom prst="bentConnector3">
                            <a:avLst/>
                          </a:prstGeom>
                          <a:ln w="317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FFEA995" id="Canvas 29" o:spid="_x0000_s1026" editas="canvas" style="width:6in;height:406.85pt;mso-position-horizontal-relative:char;mso-position-vertical-relative:line" coordsize="54864,5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166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2756;top:682;width:7984;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5D9638D5" w14:textId="77777777" w:rsidR="009C11FB" w:rsidRPr="0051385C" w:rsidRDefault="009C11FB" w:rsidP="000E21F1">
                        <w:pPr>
                          <w:jc w:val="center"/>
                          <w:rPr>
                            <w:sz w:val="16"/>
                            <w:szCs w:val="16"/>
                          </w:rPr>
                        </w:pPr>
                        <w:r w:rsidRPr="0051385C">
                          <w:rPr>
                            <w:sz w:val="16"/>
                            <w:szCs w:val="16"/>
                          </w:rPr>
                          <w:t>Recitals</w:t>
                        </w:r>
                      </w:p>
                    </w:txbxContent>
                  </v:textbox>
                </v:shape>
                <v:shape id="Text Box 6" o:spid="_x0000_s1029" type="#_x0000_t202" style="position:absolute;left:18970;top:4594;width:15558;height: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4A9E767B" w14:textId="77777777" w:rsidR="009C11FB" w:rsidRPr="0051385C" w:rsidRDefault="009C11FB" w:rsidP="000E21F1">
                        <w:pPr>
                          <w:jc w:val="center"/>
                          <w:rPr>
                            <w:sz w:val="16"/>
                            <w:szCs w:val="16"/>
                          </w:rPr>
                        </w:pPr>
                        <w:r>
                          <w:rPr>
                            <w:sz w:val="16"/>
                            <w:szCs w:val="16"/>
                          </w:rPr>
                          <w:t>Interpretation, Structure and Existing Arrangements</w:t>
                        </w:r>
                      </w:p>
                    </w:txbxContent>
                  </v:textbox>
                </v:shape>
                <v:shape id="Text Box 8" o:spid="_x0000_s1030" type="#_x0000_t202" style="position:absolute;left:7540;top:10116;width:11560;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37213B14" w14:textId="77777777" w:rsidR="009C11FB" w:rsidRPr="0051385C" w:rsidRDefault="009C11FB" w:rsidP="000E21F1">
                        <w:pPr>
                          <w:jc w:val="center"/>
                          <w:rPr>
                            <w:sz w:val="16"/>
                            <w:szCs w:val="16"/>
                          </w:rPr>
                        </w:pPr>
                        <w:r>
                          <w:rPr>
                            <w:sz w:val="16"/>
                            <w:szCs w:val="16"/>
                          </w:rPr>
                          <w:t>Delegated Reporting Provisions</w:t>
                        </w:r>
                      </w:p>
                    </w:txbxContent>
                  </v:textbox>
                </v:shape>
                <v:shape id="Text Box 9" o:spid="_x0000_s1031" type="#_x0000_t202" style="position:absolute;left:36496;top:10127;width:11555;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14:paraId="1E3C61AD" w14:textId="77777777" w:rsidR="009C11FB" w:rsidRPr="0051385C" w:rsidRDefault="009C11FB" w:rsidP="000E21F1">
                        <w:pPr>
                          <w:jc w:val="center"/>
                          <w:rPr>
                            <w:sz w:val="16"/>
                            <w:szCs w:val="16"/>
                          </w:rPr>
                        </w:pPr>
                        <w:r>
                          <w:rPr>
                            <w:sz w:val="16"/>
                            <w:szCs w:val="16"/>
                          </w:rPr>
                          <w:t>Mandatory Reporting Provisions</w:t>
                        </w:r>
                      </w:p>
                    </w:txbxContent>
                  </v:textbox>
                </v:shape>
                <v:shape id="Text Box 10" o:spid="_x0000_s1032" type="#_x0000_t202" style="position:absolute;left:21961;top:15679;width:9576;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663C6FEC" w14:textId="77777777" w:rsidR="009C11FB" w:rsidRPr="0051385C" w:rsidRDefault="009C11FB" w:rsidP="000E21F1">
                        <w:pPr>
                          <w:jc w:val="center"/>
                          <w:rPr>
                            <w:sz w:val="16"/>
                            <w:szCs w:val="16"/>
                          </w:rPr>
                        </w:pPr>
                        <w:r>
                          <w:rPr>
                            <w:sz w:val="16"/>
                            <w:szCs w:val="16"/>
                          </w:rPr>
                          <w:t>General Provisions</w:t>
                        </w:r>
                      </w:p>
                    </w:txbxContent>
                  </v:textbox>
                </v:shape>
                <v:shape id="Text Box 11" o:spid="_x0000_s1033" type="#_x0000_t202" style="position:absolute;left:7534;top:20568;width:11560;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5BEB9065" w14:textId="77777777" w:rsidR="009C11FB" w:rsidRPr="0051385C" w:rsidRDefault="009C11FB" w:rsidP="000E21F1">
                        <w:pPr>
                          <w:jc w:val="center"/>
                          <w:rPr>
                            <w:sz w:val="16"/>
                            <w:szCs w:val="16"/>
                          </w:rPr>
                        </w:pPr>
                        <w:r>
                          <w:rPr>
                            <w:sz w:val="16"/>
                            <w:szCs w:val="16"/>
                          </w:rPr>
                          <w:t>Derivatives Annex</w:t>
                        </w:r>
                      </w:p>
                    </w:txbxContent>
                  </v:textbox>
                </v:shape>
                <v:shape id="Text Box 12" o:spid="_x0000_s1034" type="#_x0000_t202" style="position:absolute;left:36496;top:20567;width:11555;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24112B63" w14:textId="77777777" w:rsidR="009C11FB" w:rsidRPr="0051385C" w:rsidRDefault="009C11FB" w:rsidP="000E21F1">
                        <w:pPr>
                          <w:jc w:val="center"/>
                          <w:rPr>
                            <w:sz w:val="16"/>
                            <w:szCs w:val="16"/>
                          </w:rPr>
                        </w:pPr>
                        <w:r>
                          <w:rPr>
                            <w:sz w:val="16"/>
                            <w:szCs w:val="16"/>
                          </w:rPr>
                          <w:t>Securities Financing Transactions Annex</w:t>
                        </w:r>
                      </w:p>
                    </w:txbxContent>
                  </v:textbox>
                </v:shape>
                <v:shape id="Text Box 13" o:spid="_x0000_s1035" type="#_x0000_t202" style="position:absolute;left:21964;top:26400;width:9576;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" fillcolor="white [3201]" strokeweight=".5pt">
                  <v:textbox>
                    <w:txbxContent>
                      <w:p w14:paraId="1FA831F7" w14:textId="77777777" w:rsidR="009C11FB" w:rsidRPr="0051385C" w:rsidRDefault="009C11FB" w:rsidP="000E21F1">
                        <w:pPr>
                          <w:jc w:val="center"/>
                          <w:rPr>
                            <w:sz w:val="16"/>
                            <w:szCs w:val="16"/>
                          </w:rPr>
                        </w:pPr>
                        <w:r>
                          <w:rPr>
                            <w:sz w:val="16"/>
                            <w:szCs w:val="16"/>
                          </w:rPr>
                          <w:t>Static Data Schedule</w:t>
                        </w:r>
                      </w:p>
                    </w:txbxContent>
                  </v:textbox>
                </v:shape>
                <v:shape id="Text Box 14" o:spid="_x0000_s1036" type="#_x0000_t202" style="position:absolute;left:20985;top:32491;width:11532;height: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14:paraId="7402717E" w14:textId="77777777" w:rsidR="009C11FB" w:rsidRPr="0051385C" w:rsidRDefault="009C11FB" w:rsidP="000E21F1">
                        <w:pPr>
                          <w:jc w:val="center"/>
                          <w:rPr>
                            <w:sz w:val="16"/>
                            <w:szCs w:val="16"/>
                          </w:rPr>
                        </w:pPr>
                        <w:r>
                          <w:rPr>
                            <w:sz w:val="16"/>
                            <w:szCs w:val="16"/>
                          </w:rPr>
                          <w:t>Operational and Procedural Provisions Schedule</w:t>
                        </w:r>
                      </w:p>
                    </w:txbxContent>
                  </v:textbox>
                </v:shape>
                <v:shape id="Text Box 15" o:spid="_x0000_s1037" type="#_x0000_t202" style="position:absolute;left:21962;top:40081;width:9576;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6082613A" w14:textId="77777777" w:rsidR="009C11FB" w:rsidRPr="0051385C" w:rsidRDefault="009C11FB" w:rsidP="000E21F1">
                        <w:pPr>
                          <w:jc w:val="center"/>
                          <w:rPr>
                            <w:sz w:val="16"/>
                            <w:szCs w:val="16"/>
                          </w:rPr>
                        </w:pPr>
                        <w:r>
                          <w:rPr>
                            <w:sz w:val="16"/>
                            <w:szCs w:val="16"/>
                          </w:rPr>
                          <w:t>List of Clients Schedule</w:t>
                        </w:r>
                      </w:p>
                    </w:txbxContent>
                  </v:textbox>
                </v:shape>
                <v:shape id="Text Box 16" o:spid="_x0000_s1038" type="#_x0000_t202" style="position:absolute;left:21960;top:46363;width:957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0B3DAA09" w14:textId="77777777" w:rsidR="009C11FB" w:rsidRPr="0051385C" w:rsidRDefault="009C11FB" w:rsidP="000E21F1">
                        <w:pPr>
                          <w:jc w:val="center"/>
                          <w:rPr>
                            <w:sz w:val="16"/>
                            <w:szCs w:val="16"/>
                          </w:rPr>
                        </w:pPr>
                        <w:r>
                          <w:rPr>
                            <w:sz w:val="16"/>
                            <w:szCs w:val="16"/>
                          </w:rPr>
                          <w:t>List of Funds Schedules</w:t>
                        </w:r>
                      </w:p>
                    </w:txbxContent>
                  </v:textbox>
                </v:shape>
                <v:shapetype id="_x0000_t32" coordsize="21600,21600" o:spt="32" o:oned="t" path="m,l21600,21600e" filled="f">
                  <v:path arrowok="t" fillok="f" o:connecttype="none"/>
                  <o:lock v:ext="edit" shapetype="t"/>
                </v:shapetype>
                <v:shape id="Connector: Elbow 14" o:spid="_x0000_s1039" type="#_x0000_t32" style="position:absolute;left:26748;top:3002;width:1;height:1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" strokecolor="black [3040]"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 o:spid="_x0000_s1040" type="#_x0000_t34" style="position:absolute;left:19378;top:2744;width:1314;height:134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" strokecolor="black [3040]" strokeweight=".25pt"/>
                <v:shape id="Connector: Elbow 19" o:spid="_x0000_s1041" type="#_x0000_t34" style="position:absolute;left:33848;top:1703;width:1325;height:155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" strokecolor="black [3213]" strokeweight=".25pt"/>
                <v:shape id="Text Box 20" o:spid="_x0000_s1042" type="#_x0000_t202" style="position:absolute;left:22633;top:10204;width:8239;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" fillcolor="white [3201]" stroked="f" strokeweight=".5pt">
                  <v:textbox>
                    <w:txbxContent>
                      <w:p w14:paraId="365F96E5" w14:textId="77777777" w:rsidR="009C11FB" w:rsidRPr="00E1099D" w:rsidRDefault="009C11FB" w:rsidP="000E21F1">
                        <w:pPr>
                          <w:jc w:val="center"/>
                          <w:rPr>
                            <w:color w:val="FF0000"/>
                            <w:sz w:val="16"/>
                            <w:szCs w:val="16"/>
                          </w:rPr>
                        </w:pPr>
                        <w:r w:rsidRPr="00E1099D">
                          <w:rPr>
                            <w:color w:val="FF0000"/>
                            <w:sz w:val="16"/>
                            <w:szCs w:val="16"/>
                          </w:rPr>
                          <w:t>AND/OR</w:t>
                        </w:r>
                      </w:p>
                    </w:txbxContent>
                  </v:textbox>
                </v:shape>
                <v:shape id="Connector: Elbow 21" o:spid="_x0000_s1043" type="#_x0000_t34" style="position:absolute;left:26418;top:15286;width:666;height: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" strokecolor="black [3040]" strokeweight=".25pt"/>
                <v:shape id="Connector: Elbow 22" o:spid="_x0000_s1044" type="#_x0000_t34" style="position:absolute;left:19418;top:13237;width:1227;height:134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" strokecolor="black [3040]" strokeweight=".25pt"/>
                <v:shape id="Connector: Elbow 23" o:spid="_x0000_s1045" type="#_x0000_t34" style="position:absolute;left:33899;top:12191;width:1226;height:155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" strokecolor="black [3040]" strokeweight=".25pt"/>
                <v:shape id="Text Box 24" o:spid="_x0000_s1046" type="#_x0000_t202" style="position:absolute;left:22733;top:20578;width:8239;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14:paraId="25D6A6AE" w14:textId="77777777" w:rsidR="009C11FB" w:rsidRPr="00F67194" w:rsidRDefault="009C11FB" w:rsidP="000E21F1">
                        <w:pPr>
                          <w:jc w:val="center"/>
                          <w:rPr>
                            <w:color w:val="FF0000"/>
                            <w:sz w:val="16"/>
                            <w:szCs w:val="16"/>
                          </w:rPr>
                        </w:pPr>
                        <w:r w:rsidRPr="00F67194">
                          <w:rPr>
                            <w:color w:val="FF0000"/>
                            <w:sz w:val="16"/>
                            <w:szCs w:val="16"/>
                          </w:rPr>
                          <w:t>AND/OR</w:t>
                        </w:r>
                      </w:p>
                    </w:txbxContent>
                  </v:textbox>
                </v:shape>
                <v:shape id="Text Box 25" o:spid="_x0000_s1047" type="#_x0000_t202" style="position:absolute;left:22633;top:30311;width:8239;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c3wgAAANsAAAAPAAAAZHJzL2Rvd25yZXYueG1sRI/RisIw&#10;FETfhf2HcBd8kTWto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AOyVc3wgAAANsAAAAPAAAA&#10;AAAAAAAAAAAAAAcCAABkcnMvZG93bnJldi54bWxQSwUGAAAAAAMAAwC3AAAA9gIAAAAA&#10;" fillcolor="white [3201]" stroked="f" strokeweight=".5pt">
                  <v:textbox>
                    <w:txbxContent>
                      <w:p w14:paraId="42A04B22" w14:textId="77777777" w:rsidR="009C11FB" w:rsidRPr="00F67194" w:rsidRDefault="009C11FB" w:rsidP="000E21F1">
                        <w:pPr>
                          <w:jc w:val="center"/>
                          <w:rPr>
                            <w:color w:val="FF0000"/>
                            <w:sz w:val="16"/>
                            <w:szCs w:val="16"/>
                          </w:rPr>
                        </w:pPr>
                        <w:r w:rsidRPr="00F67194">
                          <w:rPr>
                            <w:color w:val="FF0000"/>
                            <w:sz w:val="16"/>
                            <w:szCs w:val="16"/>
                          </w:rPr>
                          <w:t>AND/OR</w:t>
                        </w:r>
                      </w:p>
                    </w:txbxContent>
                  </v:textbox>
                </v:shape>
                <v:shape id="Text Box 26" o:spid="_x0000_s1048" type="#_x0000_t202" style="position:absolute;left:22629;top:37874;width:8239;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" fillcolor="white [3201]" stroked="f" strokeweight=".5pt">
                  <v:textbox>
                    <w:txbxContent>
                      <w:p w14:paraId="38658376" w14:textId="77777777" w:rsidR="009C11FB" w:rsidRPr="00F67194" w:rsidRDefault="009C11FB" w:rsidP="000E21F1">
                        <w:pPr>
                          <w:jc w:val="center"/>
                          <w:rPr>
                            <w:color w:val="FF0000"/>
                            <w:sz w:val="16"/>
                            <w:szCs w:val="16"/>
                          </w:rPr>
                        </w:pPr>
                        <w:r w:rsidRPr="00F67194">
                          <w:rPr>
                            <w:color w:val="FF0000"/>
                            <w:sz w:val="16"/>
                            <w:szCs w:val="16"/>
                          </w:rPr>
                          <w:t>AND/OR</w:t>
                        </w:r>
                      </w:p>
                    </w:txbxContent>
                  </v:textbox>
                </v:shape>
                <v:shape id="Text Box 27" o:spid="_x0000_s1049" type="#_x0000_t202" style="position:absolute;left:22629;top:43993;width:8239;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" fillcolor="white [3201]" stroked="f" strokeweight=".5pt">
                  <v:textbox>
                    <w:txbxContent>
                      <w:p w14:paraId="74FC875C" w14:textId="77777777" w:rsidR="009C11FB" w:rsidRPr="00F67194" w:rsidRDefault="009C11FB" w:rsidP="000E21F1">
                        <w:pPr>
                          <w:jc w:val="center"/>
                          <w:rPr>
                            <w:color w:val="FF0000"/>
                            <w:sz w:val="16"/>
                            <w:szCs w:val="16"/>
                          </w:rPr>
                        </w:pPr>
                        <w:r w:rsidRPr="00F67194">
                          <w:rPr>
                            <w:color w:val="FF0000"/>
                            <w:sz w:val="16"/>
                            <w:szCs w:val="16"/>
                          </w:rPr>
                          <w:t>AND/OR</w:t>
                        </w:r>
                      </w:p>
                    </w:txbxContent>
                  </v:textbox>
                </v:shape>
                <v:shape id="Connector: Elbow 28" o:spid="_x0000_s1050" type="#_x0000_t34" style="position:absolute;left:26374;top:26023;width:749;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" strokecolor="black [3040]" strokeweight=".25pt"/>
                <w10:anchorlock/>
              </v:group>
            </w:pict>
          </mc:Fallback>
        </mc:AlternateContent>
      </w:r>
    </w:p>
    <w:p w14:paraId="5BE9EB83" w14:textId="77777777" w:rsidR="00010544" w:rsidRPr="00A84878" w:rsidRDefault="0080293B" w:rsidP="00010544">
      <w:pPr>
        <w:pStyle w:val="Body"/>
        <w:spacing w:before="280"/>
        <w:rPr>
          <w:rFonts w:asciiTheme="majorHAnsi" w:hAnsiTheme="majorHAnsi" w:cstheme="majorHAnsi"/>
          <w:b/>
          <w:sz w:val="23"/>
          <w:szCs w:val="23"/>
        </w:rPr>
      </w:pPr>
      <w:r w:rsidRPr="00A84878">
        <w:rPr>
          <w:rFonts w:asciiTheme="majorHAnsi" w:hAnsiTheme="majorHAnsi" w:cstheme="majorHAnsi"/>
          <w:b/>
          <w:sz w:val="23"/>
          <w:szCs w:val="23"/>
        </w:rPr>
        <w:t xml:space="preserve">PRIOR </w:t>
      </w:r>
      <w:r w:rsidR="00010544" w:rsidRPr="00A84878">
        <w:rPr>
          <w:rFonts w:asciiTheme="majorHAnsi" w:hAnsiTheme="majorHAnsi" w:cstheme="majorHAnsi"/>
          <w:b/>
          <w:sz w:val="23"/>
          <w:szCs w:val="23"/>
        </w:rPr>
        <w:t>DELEGATED REPORTING DOCUMENTATION</w:t>
      </w:r>
    </w:p>
    <w:p w14:paraId="37FCE4FF" w14:textId="5AE556AB" w:rsidR="00AE6069" w:rsidRPr="00A84878" w:rsidRDefault="00010544" w:rsidP="00010544">
      <w:pPr>
        <w:pStyle w:val="Body"/>
        <w:rPr>
          <w:rFonts w:asciiTheme="majorHAnsi" w:hAnsiTheme="majorHAnsi" w:cstheme="majorHAnsi"/>
        </w:rPr>
      </w:pPr>
      <w:r w:rsidRPr="00A84878">
        <w:rPr>
          <w:rFonts w:asciiTheme="majorHAnsi" w:hAnsiTheme="majorHAnsi" w:cstheme="majorHAnsi"/>
        </w:rPr>
        <w:t xml:space="preserve">The </w:t>
      </w:r>
      <w:r w:rsidR="008C1206" w:rsidRPr="00A84878">
        <w:rPr>
          <w:rFonts w:asciiTheme="majorHAnsi" w:hAnsiTheme="majorHAnsi" w:cstheme="majorHAnsi"/>
        </w:rPr>
        <w:t xml:space="preserve">form and content of the </w:t>
      </w:r>
      <w:r w:rsidRPr="00A84878">
        <w:rPr>
          <w:rFonts w:asciiTheme="majorHAnsi" w:hAnsiTheme="majorHAnsi" w:cstheme="majorHAnsi"/>
        </w:rPr>
        <w:t>MRRA is based on the ISDA/FIA Reporting Delegation Agreement</w:t>
      </w:r>
      <w:r w:rsidR="002F5FBA" w:rsidRPr="00A84878">
        <w:rPr>
          <w:rFonts w:asciiTheme="majorHAnsi" w:hAnsiTheme="majorHAnsi" w:cstheme="majorHAnsi"/>
        </w:rPr>
        <w:t xml:space="preserve"> </w:t>
      </w:r>
      <w:r w:rsidR="0080293B" w:rsidRPr="00A84878">
        <w:rPr>
          <w:rFonts w:asciiTheme="majorHAnsi" w:hAnsiTheme="majorHAnsi" w:cstheme="majorHAnsi"/>
        </w:rPr>
        <w:t>(</w:t>
      </w:r>
      <w:r w:rsidR="0006282A" w:rsidRPr="00A84878">
        <w:rPr>
          <w:rFonts w:asciiTheme="majorHAnsi" w:hAnsiTheme="majorHAnsi" w:cstheme="majorHAnsi"/>
        </w:rPr>
        <w:t>the “</w:t>
      </w:r>
      <w:r w:rsidR="0006282A" w:rsidRPr="00A84878">
        <w:rPr>
          <w:rFonts w:asciiTheme="majorHAnsi" w:hAnsiTheme="majorHAnsi" w:cstheme="majorHAnsi"/>
          <w:b/>
        </w:rPr>
        <w:t>ISDA/FIA DRA</w:t>
      </w:r>
      <w:r w:rsidR="0006282A" w:rsidRPr="00A84878">
        <w:rPr>
          <w:rFonts w:asciiTheme="majorHAnsi" w:hAnsiTheme="majorHAnsi" w:cstheme="majorHAnsi"/>
        </w:rPr>
        <w:t>”)</w:t>
      </w:r>
      <w:r w:rsidR="008C1206" w:rsidRPr="00A84878">
        <w:rPr>
          <w:rFonts w:asciiTheme="majorHAnsi" w:hAnsiTheme="majorHAnsi" w:cstheme="majorHAnsi"/>
        </w:rPr>
        <w:t xml:space="preserve">. The ISDA/FIA DRA </w:t>
      </w:r>
      <w:r w:rsidR="00BE1A49">
        <w:rPr>
          <w:rFonts w:asciiTheme="majorHAnsi" w:hAnsiTheme="majorHAnsi" w:cstheme="majorHAnsi"/>
        </w:rPr>
        <w:t xml:space="preserve">can be found at: </w:t>
      </w:r>
      <w:hyperlink r:id="rId12" w:history="1">
        <w:r w:rsidR="00BE1A49" w:rsidRPr="0001220B">
          <w:rPr>
            <w:rStyle w:val="Hyperlink"/>
            <w:rFonts w:asciiTheme="majorHAnsi" w:hAnsiTheme="majorHAnsi" w:cstheme="majorHAnsi"/>
          </w:rPr>
          <w:t>https://www.isda.org/2016/02/09/isdafia-emir-reporting-delegation-agreement/</w:t>
        </w:r>
      </w:hyperlink>
      <w:r w:rsidRPr="00A84878">
        <w:rPr>
          <w:rFonts w:asciiTheme="majorHAnsi" w:hAnsiTheme="majorHAnsi" w:cstheme="majorHAnsi"/>
        </w:rPr>
        <w:t>.</w:t>
      </w:r>
    </w:p>
    <w:p w14:paraId="7BE9CD65" w14:textId="2B4C81B0" w:rsidR="006315B8" w:rsidRPr="00A84878" w:rsidRDefault="004A1FE5" w:rsidP="00010544">
      <w:pPr>
        <w:pStyle w:val="Body"/>
        <w:rPr>
          <w:rFonts w:asciiTheme="majorHAnsi" w:hAnsiTheme="majorHAnsi" w:cstheme="majorHAnsi"/>
        </w:rPr>
      </w:pPr>
      <w:r w:rsidRPr="00A84878">
        <w:rPr>
          <w:rFonts w:asciiTheme="majorHAnsi" w:hAnsiTheme="majorHAnsi" w:cstheme="majorHAnsi"/>
        </w:rPr>
        <w:t>T</w:t>
      </w:r>
      <w:r w:rsidR="00AE6069" w:rsidRPr="00A84878">
        <w:rPr>
          <w:rFonts w:asciiTheme="majorHAnsi" w:hAnsiTheme="majorHAnsi" w:cstheme="majorHAnsi"/>
        </w:rPr>
        <w:t xml:space="preserve">he ISDA/FIA </w:t>
      </w:r>
      <w:r w:rsidRPr="00A84878">
        <w:rPr>
          <w:rFonts w:asciiTheme="majorHAnsi" w:hAnsiTheme="majorHAnsi" w:cstheme="majorHAnsi"/>
        </w:rPr>
        <w:t xml:space="preserve">DRA was </w:t>
      </w:r>
      <w:r w:rsidR="00AE6069" w:rsidRPr="00A84878">
        <w:rPr>
          <w:rFonts w:asciiTheme="majorHAnsi" w:hAnsiTheme="majorHAnsi" w:cstheme="majorHAnsi"/>
        </w:rPr>
        <w:t>published in 2016</w:t>
      </w:r>
      <w:r w:rsidRPr="00A84878">
        <w:rPr>
          <w:rFonts w:asciiTheme="majorHAnsi" w:hAnsiTheme="majorHAnsi" w:cstheme="majorHAnsi"/>
        </w:rPr>
        <w:t xml:space="preserve">, and as such </w:t>
      </w:r>
      <w:r w:rsidR="00F63FD0">
        <w:rPr>
          <w:rFonts w:asciiTheme="majorHAnsi" w:hAnsiTheme="majorHAnsi" w:cstheme="majorHAnsi"/>
        </w:rPr>
        <w:t>neither</w:t>
      </w:r>
      <w:r w:rsidRPr="00A84878">
        <w:rPr>
          <w:rFonts w:asciiTheme="majorHAnsi" w:hAnsiTheme="majorHAnsi" w:cstheme="majorHAnsi"/>
        </w:rPr>
        <w:t xml:space="preserve"> cater</w:t>
      </w:r>
      <w:r w:rsidR="00F63FD0">
        <w:rPr>
          <w:rFonts w:asciiTheme="majorHAnsi" w:hAnsiTheme="majorHAnsi" w:cstheme="majorHAnsi"/>
        </w:rPr>
        <w:t>s</w:t>
      </w:r>
      <w:r w:rsidRPr="00A84878">
        <w:rPr>
          <w:rFonts w:asciiTheme="majorHAnsi" w:hAnsiTheme="majorHAnsi" w:cstheme="majorHAnsi"/>
        </w:rPr>
        <w:t xml:space="preserve"> for the changes to EMIR pursuant to the EMIR REFIT Regulation</w:t>
      </w:r>
      <w:r w:rsidR="00F4259C">
        <w:rPr>
          <w:rFonts w:asciiTheme="majorHAnsi" w:hAnsiTheme="majorHAnsi" w:cstheme="majorHAnsi"/>
        </w:rPr>
        <w:t>/UK EMIR</w:t>
      </w:r>
      <w:r w:rsidR="00274096">
        <w:rPr>
          <w:rFonts w:asciiTheme="majorHAnsi" w:hAnsiTheme="majorHAnsi" w:cstheme="majorHAnsi"/>
        </w:rPr>
        <w:t xml:space="preserve"> nor </w:t>
      </w:r>
      <w:r w:rsidR="00F4259C">
        <w:rPr>
          <w:rFonts w:asciiTheme="majorHAnsi" w:hAnsiTheme="majorHAnsi" w:cstheme="majorHAnsi"/>
        </w:rPr>
        <w:t>seek</w:t>
      </w:r>
      <w:r w:rsidR="00F63FD0">
        <w:rPr>
          <w:rFonts w:asciiTheme="majorHAnsi" w:hAnsiTheme="majorHAnsi" w:cstheme="majorHAnsi"/>
        </w:rPr>
        <w:t>s</w:t>
      </w:r>
      <w:r w:rsidR="00F4259C">
        <w:rPr>
          <w:rFonts w:asciiTheme="majorHAnsi" w:hAnsiTheme="majorHAnsi" w:cstheme="majorHAnsi"/>
        </w:rPr>
        <w:t xml:space="preserve"> to accommodate the reporting requirements under SFTR/UK SFTR</w:t>
      </w:r>
      <w:r w:rsidR="006315B8" w:rsidRPr="00A84878">
        <w:rPr>
          <w:rFonts w:asciiTheme="majorHAnsi" w:hAnsiTheme="majorHAnsi" w:cstheme="majorHAnsi"/>
        </w:rPr>
        <w:t xml:space="preserve">.  </w:t>
      </w:r>
    </w:p>
    <w:p w14:paraId="537995D3" w14:textId="41A19093" w:rsidR="00AE6069" w:rsidRPr="00A84878" w:rsidRDefault="006315B8" w:rsidP="00010544">
      <w:pPr>
        <w:pStyle w:val="Body"/>
        <w:rPr>
          <w:rFonts w:asciiTheme="majorHAnsi" w:hAnsiTheme="majorHAnsi" w:cstheme="majorHAnsi"/>
          <w:b/>
        </w:rPr>
      </w:pPr>
      <w:r w:rsidRPr="00A84878">
        <w:rPr>
          <w:rFonts w:asciiTheme="majorHAnsi" w:hAnsiTheme="majorHAnsi" w:cstheme="majorHAnsi"/>
        </w:rPr>
        <w:t xml:space="preserve">See </w:t>
      </w:r>
      <w:r w:rsidR="00E4497E" w:rsidRPr="00A84878">
        <w:rPr>
          <w:rFonts w:asciiTheme="majorHAnsi" w:hAnsiTheme="majorHAnsi" w:cstheme="majorHAnsi"/>
        </w:rPr>
        <w:t xml:space="preserve">the guidance </w:t>
      </w:r>
      <w:r w:rsidR="00E4497E" w:rsidRPr="00C866F7">
        <w:rPr>
          <w:rFonts w:asciiTheme="majorHAnsi" w:hAnsiTheme="majorHAnsi" w:cstheme="majorHAnsi"/>
        </w:rPr>
        <w:t xml:space="preserve">on page </w:t>
      </w:r>
      <w:r w:rsidR="007631D5">
        <w:rPr>
          <w:rFonts w:asciiTheme="majorHAnsi" w:hAnsiTheme="majorHAnsi" w:cstheme="majorHAnsi"/>
        </w:rPr>
        <w:t>9</w:t>
      </w:r>
      <w:r w:rsidR="00E4497E" w:rsidRPr="00C866F7">
        <w:rPr>
          <w:rFonts w:asciiTheme="majorHAnsi" w:hAnsiTheme="majorHAnsi" w:cstheme="majorHAnsi"/>
        </w:rPr>
        <w:t xml:space="preserve"> below</w:t>
      </w:r>
      <w:r w:rsidR="00E4497E" w:rsidRPr="00A84878">
        <w:rPr>
          <w:rFonts w:asciiTheme="majorHAnsi" w:hAnsiTheme="majorHAnsi" w:cstheme="majorHAnsi"/>
        </w:rPr>
        <w:t xml:space="preserve"> in relation to Section 1.3 (</w:t>
      </w:r>
      <w:r w:rsidR="00E4497E" w:rsidRPr="00A84878">
        <w:rPr>
          <w:rFonts w:asciiTheme="majorHAnsi" w:hAnsiTheme="majorHAnsi" w:cstheme="majorHAnsi"/>
          <w:i/>
        </w:rPr>
        <w:t>Existing Reporting Arrangements</w:t>
      </w:r>
      <w:r w:rsidR="00E4497E" w:rsidRPr="00A84878">
        <w:rPr>
          <w:rFonts w:asciiTheme="majorHAnsi" w:hAnsiTheme="majorHAnsi" w:cstheme="majorHAnsi"/>
        </w:rPr>
        <w:t>)</w:t>
      </w:r>
      <w:r w:rsidRPr="00A84878">
        <w:rPr>
          <w:rFonts w:asciiTheme="majorHAnsi" w:hAnsiTheme="majorHAnsi" w:cstheme="majorHAnsi"/>
        </w:rPr>
        <w:t xml:space="preserve"> as to how the MRRA can interact with an entity’s existing delegated reporting arrangements in respect of EMIR</w:t>
      </w:r>
      <w:r w:rsidR="00FC66D9">
        <w:rPr>
          <w:rFonts w:asciiTheme="majorHAnsi" w:hAnsiTheme="majorHAnsi" w:cstheme="majorHAnsi"/>
        </w:rPr>
        <w:t>;</w:t>
      </w:r>
      <w:r w:rsidRPr="00A84878">
        <w:rPr>
          <w:rFonts w:asciiTheme="majorHAnsi" w:hAnsiTheme="majorHAnsi" w:cstheme="majorHAnsi"/>
        </w:rPr>
        <w:t xml:space="preserve"> for example, where </w:t>
      </w:r>
      <w:r w:rsidR="00E4497E" w:rsidRPr="00A84878">
        <w:rPr>
          <w:rFonts w:asciiTheme="majorHAnsi" w:hAnsiTheme="majorHAnsi" w:cstheme="majorHAnsi"/>
        </w:rPr>
        <w:t>it has</w:t>
      </w:r>
      <w:r w:rsidRPr="00A84878">
        <w:rPr>
          <w:rFonts w:asciiTheme="majorHAnsi" w:hAnsiTheme="majorHAnsi" w:cstheme="majorHAnsi"/>
        </w:rPr>
        <w:t xml:space="preserve"> </w:t>
      </w:r>
      <w:proofErr w:type="gramStart"/>
      <w:r w:rsidRPr="00A84878">
        <w:rPr>
          <w:rFonts w:asciiTheme="majorHAnsi" w:hAnsiTheme="majorHAnsi" w:cstheme="majorHAnsi"/>
        </w:rPr>
        <w:t>entered into</w:t>
      </w:r>
      <w:proofErr w:type="gramEnd"/>
      <w:r w:rsidRPr="00A84878">
        <w:rPr>
          <w:rFonts w:asciiTheme="majorHAnsi" w:hAnsiTheme="majorHAnsi" w:cstheme="majorHAnsi"/>
        </w:rPr>
        <w:t xml:space="preserve"> one or more ISDA/FIA DRA</w:t>
      </w:r>
      <w:r w:rsidR="00454E9F">
        <w:rPr>
          <w:rFonts w:asciiTheme="majorHAnsi" w:hAnsiTheme="majorHAnsi" w:cstheme="majorHAnsi"/>
        </w:rPr>
        <w:t>s</w:t>
      </w:r>
      <w:r w:rsidRPr="00A84878">
        <w:rPr>
          <w:rFonts w:asciiTheme="majorHAnsi" w:hAnsiTheme="majorHAnsi" w:cstheme="majorHAnsi"/>
        </w:rPr>
        <w:t xml:space="preserve"> with </w:t>
      </w:r>
      <w:r w:rsidR="00E4497E" w:rsidRPr="00A84878">
        <w:rPr>
          <w:rFonts w:asciiTheme="majorHAnsi" w:hAnsiTheme="majorHAnsi" w:cstheme="majorHAnsi"/>
        </w:rPr>
        <w:t>clients</w:t>
      </w:r>
      <w:r w:rsidRPr="00A84878">
        <w:rPr>
          <w:rFonts w:asciiTheme="majorHAnsi" w:hAnsiTheme="majorHAnsi" w:cstheme="majorHAnsi"/>
        </w:rPr>
        <w:t xml:space="preserve">. </w:t>
      </w:r>
      <w:r w:rsidR="001736BE" w:rsidRPr="00A84878">
        <w:rPr>
          <w:rFonts w:asciiTheme="majorHAnsi" w:hAnsiTheme="majorHAnsi" w:cstheme="majorHAnsi"/>
        </w:rPr>
        <w:t xml:space="preserve"> </w:t>
      </w:r>
      <w:r w:rsidR="004A1FE5" w:rsidRPr="00A84878">
        <w:rPr>
          <w:rFonts w:asciiTheme="majorHAnsi" w:hAnsiTheme="majorHAnsi" w:cstheme="majorHAnsi"/>
        </w:rPr>
        <w:t xml:space="preserve">  </w:t>
      </w:r>
    </w:p>
    <w:p w14:paraId="7A759C7C" w14:textId="77777777" w:rsidR="000E21F1" w:rsidRDefault="000E21F1">
      <w:pPr>
        <w:rPr>
          <w:rFonts w:asciiTheme="majorHAnsi" w:hAnsiTheme="majorHAnsi" w:cstheme="majorHAnsi"/>
          <w:b/>
          <w:kern w:val="20"/>
          <w:sz w:val="23"/>
          <w:szCs w:val="23"/>
        </w:rPr>
      </w:pPr>
      <w:r>
        <w:rPr>
          <w:rFonts w:asciiTheme="majorHAnsi" w:hAnsiTheme="majorHAnsi" w:cstheme="majorHAnsi"/>
          <w:b/>
          <w:sz w:val="23"/>
          <w:szCs w:val="23"/>
        </w:rPr>
        <w:br w:type="page"/>
      </w:r>
    </w:p>
    <w:p w14:paraId="0D014347" w14:textId="77777777" w:rsidR="00F30D5C" w:rsidRPr="00A84878" w:rsidRDefault="00F30D5C" w:rsidP="00010544">
      <w:pPr>
        <w:pStyle w:val="Body"/>
        <w:spacing w:before="280"/>
        <w:rPr>
          <w:rFonts w:asciiTheme="majorHAnsi" w:hAnsiTheme="majorHAnsi" w:cstheme="majorHAnsi"/>
          <w:b/>
          <w:sz w:val="23"/>
          <w:szCs w:val="23"/>
        </w:rPr>
      </w:pPr>
      <w:r w:rsidRPr="00A84878">
        <w:rPr>
          <w:rFonts w:asciiTheme="majorHAnsi" w:hAnsiTheme="majorHAnsi" w:cstheme="majorHAnsi"/>
          <w:b/>
          <w:sz w:val="23"/>
          <w:szCs w:val="23"/>
        </w:rPr>
        <w:lastRenderedPageBreak/>
        <w:t>REGULATORY BACKGROUND</w:t>
      </w:r>
    </w:p>
    <w:p w14:paraId="047EA295" w14:textId="77777777" w:rsidR="00C53E70" w:rsidRPr="00D15F5D" w:rsidRDefault="00C53E70" w:rsidP="00010544">
      <w:pPr>
        <w:pStyle w:val="Body"/>
        <w:spacing w:before="280"/>
        <w:rPr>
          <w:rFonts w:asciiTheme="majorHAnsi" w:hAnsiTheme="majorHAnsi" w:cstheme="majorHAnsi"/>
          <w:b/>
          <w:sz w:val="22"/>
          <w:szCs w:val="23"/>
          <w:u w:val="single"/>
        </w:rPr>
      </w:pPr>
      <w:r w:rsidRPr="00D15F5D">
        <w:rPr>
          <w:rFonts w:asciiTheme="majorHAnsi" w:hAnsiTheme="majorHAnsi" w:cstheme="majorHAnsi"/>
          <w:b/>
          <w:sz w:val="22"/>
          <w:szCs w:val="23"/>
          <w:u w:val="single"/>
        </w:rPr>
        <w:t>EMIR</w:t>
      </w:r>
    </w:p>
    <w:p w14:paraId="092FF2EB" w14:textId="77777777" w:rsidR="00930B74" w:rsidRPr="00A84878" w:rsidRDefault="00C53E70" w:rsidP="009D7F2F">
      <w:pPr>
        <w:pStyle w:val="Body"/>
        <w:rPr>
          <w:rFonts w:asciiTheme="majorHAnsi" w:hAnsiTheme="majorHAnsi" w:cstheme="majorHAnsi"/>
          <w:szCs w:val="23"/>
        </w:rPr>
      </w:pPr>
      <w:r w:rsidRPr="00A84878">
        <w:rPr>
          <w:rFonts w:asciiTheme="majorHAnsi" w:hAnsiTheme="majorHAnsi" w:cstheme="majorHAnsi"/>
          <w:szCs w:val="23"/>
        </w:rPr>
        <w:t xml:space="preserve">Article 9 </w:t>
      </w:r>
      <w:r w:rsidRPr="00A84878">
        <w:rPr>
          <w:rFonts w:asciiTheme="majorHAnsi" w:hAnsiTheme="majorHAnsi" w:cstheme="majorHAnsi"/>
        </w:rPr>
        <w:t>of</w:t>
      </w:r>
      <w:r w:rsidRPr="00A84878">
        <w:rPr>
          <w:rFonts w:asciiTheme="majorHAnsi" w:hAnsiTheme="majorHAnsi" w:cstheme="majorHAnsi"/>
          <w:szCs w:val="23"/>
        </w:rPr>
        <w:t xml:space="preserve"> EMIR </w:t>
      </w:r>
      <w:r w:rsidR="00A07BFF" w:rsidRPr="00A84878">
        <w:rPr>
          <w:rFonts w:asciiTheme="majorHAnsi" w:hAnsiTheme="majorHAnsi" w:cstheme="majorHAnsi"/>
          <w:szCs w:val="23"/>
        </w:rPr>
        <w:t>sets out the reporting requirement on counterparties to derivative contracts.</w:t>
      </w:r>
      <w:r w:rsidR="004318FE" w:rsidRPr="00A84878">
        <w:rPr>
          <w:rFonts w:asciiTheme="majorHAnsi" w:hAnsiTheme="majorHAnsi" w:cstheme="majorHAnsi"/>
          <w:szCs w:val="23"/>
        </w:rPr>
        <w:t xml:space="preserve"> Counterparties are required to submit details of derivative contracts (</w:t>
      </w:r>
      <w:r w:rsidR="008A427A" w:rsidRPr="00A84878">
        <w:rPr>
          <w:rFonts w:asciiTheme="majorHAnsi" w:hAnsiTheme="majorHAnsi" w:cstheme="majorHAnsi"/>
          <w:szCs w:val="23"/>
        </w:rPr>
        <w:t>whether</w:t>
      </w:r>
      <w:r w:rsidR="004318FE" w:rsidRPr="00A84878">
        <w:rPr>
          <w:rFonts w:asciiTheme="majorHAnsi" w:hAnsiTheme="majorHAnsi" w:cstheme="majorHAnsi"/>
          <w:szCs w:val="23"/>
        </w:rPr>
        <w:t xml:space="preserve"> OTC </w:t>
      </w:r>
      <w:r w:rsidR="008A427A" w:rsidRPr="00A84878">
        <w:rPr>
          <w:rFonts w:asciiTheme="majorHAnsi" w:hAnsiTheme="majorHAnsi" w:cstheme="majorHAnsi"/>
          <w:szCs w:val="23"/>
        </w:rPr>
        <w:t xml:space="preserve">or </w:t>
      </w:r>
      <w:r w:rsidR="004318FE" w:rsidRPr="00A84878">
        <w:rPr>
          <w:rFonts w:asciiTheme="majorHAnsi" w:hAnsiTheme="majorHAnsi" w:cstheme="majorHAnsi"/>
          <w:szCs w:val="23"/>
        </w:rPr>
        <w:t>exchange</w:t>
      </w:r>
      <w:r w:rsidR="008A427A" w:rsidRPr="00A84878">
        <w:rPr>
          <w:rFonts w:asciiTheme="majorHAnsi" w:hAnsiTheme="majorHAnsi" w:cstheme="majorHAnsi"/>
          <w:szCs w:val="23"/>
        </w:rPr>
        <w:t>-</w:t>
      </w:r>
      <w:r w:rsidR="004318FE" w:rsidRPr="00A84878">
        <w:rPr>
          <w:rFonts w:asciiTheme="majorHAnsi" w:hAnsiTheme="majorHAnsi" w:cstheme="majorHAnsi"/>
          <w:szCs w:val="23"/>
        </w:rPr>
        <w:t xml:space="preserve">traded) they have concluded, and of any modification or termination of the contract, to a trade repository registered </w:t>
      </w:r>
      <w:r w:rsidR="00A303F7" w:rsidRPr="00A84878">
        <w:rPr>
          <w:rFonts w:asciiTheme="majorHAnsi" w:hAnsiTheme="majorHAnsi" w:cstheme="majorHAnsi"/>
          <w:szCs w:val="23"/>
        </w:rPr>
        <w:t>with</w:t>
      </w:r>
      <w:r w:rsidR="004318FE" w:rsidRPr="00A84878">
        <w:rPr>
          <w:rFonts w:asciiTheme="majorHAnsi" w:hAnsiTheme="majorHAnsi" w:cstheme="majorHAnsi"/>
          <w:szCs w:val="23"/>
        </w:rPr>
        <w:t xml:space="preserve"> the European Securities and Markets Authority (“</w:t>
      </w:r>
      <w:r w:rsidR="004318FE" w:rsidRPr="00A84878">
        <w:rPr>
          <w:rFonts w:asciiTheme="majorHAnsi" w:hAnsiTheme="majorHAnsi" w:cstheme="majorHAnsi"/>
          <w:b/>
          <w:szCs w:val="23"/>
        </w:rPr>
        <w:t>ESMA</w:t>
      </w:r>
      <w:r w:rsidR="004318FE" w:rsidRPr="00A84878">
        <w:rPr>
          <w:rFonts w:asciiTheme="majorHAnsi" w:hAnsiTheme="majorHAnsi" w:cstheme="majorHAnsi"/>
          <w:szCs w:val="23"/>
        </w:rPr>
        <w:t>”)</w:t>
      </w:r>
      <w:r w:rsidR="00A303F7" w:rsidRPr="00A84878">
        <w:rPr>
          <w:rFonts w:asciiTheme="majorHAnsi" w:hAnsiTheme="majorHAnsi" w:cstheme="majorHAnsi"/>
          <w:szCs w:val="23"/>
        </w:rPr>
        <w:t>,</w:t>
      </w:r>
      <w:r w:rsidR="004318FE" w:rsidRPr="00A84878">
        <w:rPr>
          <w:rFonts w:asciiTheme="majorHAnsi" w:hAnsiTheme="majorHAnsi" w:cstheme="majorHAnsi"/>
          <w:szCs w:val="23"/>
        </w:rPr>
        <w:t xml:space="preserve"> </w:t>
      </w:r>
      <w:r w:rsidR="008A427A" w:rsidRPr="00A84878">
        <w:rPr>
          <w:rFonts w:asciiTheme="majorHAnsi" w:hAnsiTheme="majorHAnsi" w:cstheme="majorHAnsi"/>
          <w:szCs w:val="23"/>
        </w:rPr>
        <w:t>by the following business day (T+1)</w:t>
      </w:r>
      <w:r w:rsidR="004318FE" w:rsidRPr="00A84878">
        <w:rPr>
          <w:rFonts w:asciiTheme="majorHAnsi" w:hAnsiTheme="majorHAnsi" w:cstheme="majorHAnsi"/>
          <w:szCs w:val="23"/>
        </w:rPr>
        <w:t>.</w:t>
      </w:r>
      <w:r w:rsidR="008A427A" w:rsidRPr="00A84878">
        <w:rPr>
          <w:rFonts w:asciiTheme="majorHAnsi" w:hAnsiTheme="majorHAnsi" w:cstheme="majorHAnsi"/>
          <w:szCs w:val="23"/>
        </w:rPr>
        <w:t xml:space="preserve"> A trade repository is an organisation that is established to manage data on a secure and confidential basis and is regulated under EMIR.</w:t>
      </w:r>
      <w:r w:rsidR="008A427A" w:rsidRPr="00A84878">
        <w:rPr>
          <w:rStyle w:val="FootnoteReference"/>
          <w:rFonts w:asciiTheme="majorHAnsi" w:hAnsiTheme="majorHAnsi" w:cstheme="majorHAnsi"/>
          <w:szCs w:val="23"/>
        </w:rPr>
        <w:footnoteReference w:id="6"/>
      </w:r>
    </w:p>
    <w:p w14:paraId="0F86CB1C" w14:textId="77777777" w:rsidR="003E5D66" w:rsidRPr="00A84878" w:rsidRDefault="003E5D66" w:rsidP="008D5F09">
      <w:pPr>
        <w:pStyle w:val="Body"/>
        <w:rPr>
          <w:rFonts w:asciiTheme="majorHAnsi" w:hAnsiTheme="majorHAnsi" w:cstheme="majorHAnsi"/>
          <w:szCs w:val="23"/>
        </w:rPr>
      </w:pPr>
      <w:r w:rsidRPr="00A84878">
        <w:rPr>
          <w:rFonts w:asciiTheme="majorHAnsi" w:hAnsiTheme="majorHAnsi" w:cstheme="majorHAnsi"/>
        </w:rPr>
        <w:t>If a</w:t>
      </w:r>
      <w:r w:rsidR="00E4497E" w:rsidRPr="00A84878">
        <w:rPr>
          <w:rFonts w:asciiTheme="majorHAnsi" w:hAnsiTheme="majorHAnsi" w:cstheme="majorHAnsi"/>
        </w:rPr>
        <w:t>n entity</w:t>
      </w:r>
      <w:r w:rsidRPr="00A84878">
        <w:rPr>
          <w:rFonts w:asciiTheme="majorHAnsi" w:hAnsiTheme="majorHAnsi" w:cstheme="majorHAnsi"/>
        </w:rPr>
        <w:t xml:space="preserve"> is not a </w:t>
      </w:r>
      <w:r w:rsidR="009D7F2F" w:rsidRPr="00A84878">
        <w:rPr>
          <w:rFonts w:asciiTheme="majorHAnsi" w:hAnsiTheme="majorHAnsi" w:cstheme="majorHAnsi"/>
          <w:szCs w:val="23"/>
        </w:rPr>
        <w:t>financial counterparty (“</w:t>
      </w:r>
      <w:r w:rsidR="009D7F2F" w:rsidRPr="00A84878">
        <w:rPr>
          <w:rFonts w:asciiTheme="majorHAnsi" w:hAnsiTheme="majorHAnsi" w:cstheme="majorHAnsi"/>
          <w:b/>
          <w:szCs w:val="23"/>
        </w:rPr>
        <w:t>FC</w:t>
      </w:r>
      <w:r w:rsidR="009D7F2F" w:rsidRPr="00A84878">
        <w:rPr>
          <w:rFonts w:asciiTheme="majorHAnsi" w:hAnsiTheme="majorHAnsi" w:cstheme="majorHAnsi"/>
          <w:szCs w:val="23"/>
        </w:rPr>
        <w:t xml:space="preserve">”) </w:t>
      </w:r>
      <w:r w:rsidRPr="00A84878">
        <w:rPr>
          <w:rFonts w:asciiTheme="majorHAnsi" w:hAnsiTheme="majorHAnsi" w:cstheme="majorHAnsi"/>
        </w:rPr>
        <w:t xml:space="preserve">or a </w:t>
      </w:r>
      <w:r w:rsidR="009D7F2F" w:rsidRPr="00A84878">
        <w:rPr>
          <w:rFonts w:asciiTheme="majorHAnsi" w:hAnsiTheme="majorHAnsi" w:cstheme="majorHAnsi"/>
          <w:szCs w:val="23"/>
        </w:rPr>
        <w:t>non-financial counterparty (“</w:t>
      </w:r>
      <w:r w:rsidR="009D7F2F" w:rsidRPr="00A84878">
        <w:rPr>
          <w:rFonts w:asciiTheme="majorHAnsi" w:hAnsiTheme="majorHAnsi" w:cstheme="majorHAnsi"/>
          <w:b/>
          <w:szCs w:val="23"/>
        </w:rPr>
        <w:t>NFC</w:t>
      </w:r>
      <w:r w:rsidR="009D7F2F" w:rsidRPr="00A84878">
        <w:rPr>
          <w:rFonts w:asciiTheme="majorHAnsi" w:hAnsiTheme="majorHAnsi" w:cstheme="majorHAnsi"/>
          <w:szCs w:val="23"/>
        </w:rPr>
        <w:t xml:space="preserve">”) </w:t>
      </w:r>
      <w:r w:rsidRPr="00A84878">
        <w:rPr>
          <w:rFonts w:asciiTheme="majorHAnsi" w:hAnsiTheme="majorHAnsi" w:cstheme="majorHAnsi"/>
        </w:rPr>
        <w:t xml:space="preserve">under EMIR, i.e. such </w:t>
      </w:r>
      <w:r w:rsidR="00E4497E" w:rsidRPr="00A84878">
        <w:rPr>
          <w:rFonts w:asciiTheme="majorHAnsi" w:hAnsiTheme="majorHAnsi" w:cstheme="majorHAnsi"/>
        </w:rPr>
        <w:t>entity</w:t>
      </w:r>
      <w:r w:rsidRPr="00A84878">
        <w:rPr>
          <w:rFonts w:asciiTheme="majorHAnsi" w:hAnsiTheme="majorHAnsi" w:cstheme="majorHAnsi"/>
        </w:rPr>
        <w:t xml:space="preserve"> is not established in the EU or is not a fund managed by an EU AIFM</w:t>
      </w:r>
      <w:r w:rsidR="009D7F2F" w:rsidRPr="00A84878">
        <w:rPr>
          <w:rFonts w:asciiTheme="majorHAnsi" w:hAnsiTheme="majorHAnsi" w:cstheme="majorHAnsi"/>
        </w:rPr>
        <w:t xml:space="preserve"> (see the definition below)</w:t>
      </w:r>
      <w:r w:rsidRPr="00A84878">
        <w:rPr>
          <w:rFonts w:asciiTheme="majorHAnsi" w:hAnsiTheme="majorHAnsi" w:cstheme="majorHAnsi"/>
        </w:rPr>
        <w:t>, the reporting requirements under EMIR will not apply</w:t>
      </w:r>
      <w:r w:rsidR="00E4497E" w:rsidRPr="00A84878">
        <w:rPr>
          <w:rFonts w:asciiTheme="majorHAnsi" w:hAnsiTheme="majorHAnsi" w:cstheme="majorHAnsi"/>
        </w:rPr>
        <w:t xml:space="preserve"> to that entity. However, if its</w:t>
      </w:r>
      <w:r w:rsidR="0085187D" w:rsidRPr="00A84878">
        <w:rPr>
          <w:rFonts w:asciiTheme="majorHAnsi" w:hAnsiTheme="majorHAnsi" w:cstheme="majorHAnsi"/>
        </w:rPr>
        <w:t xml:space="preserve"> counterparty is an FC or an NFC, that counterparty is still required to report its side of the transaction</w:t>
      </w:r>
      <w:r w:rsidRPr="00A84878">
        <w:rPr>
          <w:rFonts w:asciiTheme="majorHAnsi" w:hAnsiTheme="majorHAnsi" w:cstheme="majorHAnsi"/>
        </w:rPr>
        <w:t xml:space="preserve">. </w:t>
      </w:r>
    </w:p>
    <w:p w14:paraId="412AAB51" w14:textId="77777777" w:rsidR="00C53E70" w:rsidRPr="00A84878" w:rsidRDefault="00C86F2B" w:rsidP="00A25B08">
      <w:pPr>
        <w:pStyle w:val="Body"/>
        <w:spacing w:before="280"/>
        <w:rPr>
          <w:rFonts w:asciiTheme="majorHAnsi" w:hAnsiTheme="majorHAnsi" w:cstheme="majorHAnsi"/>
          <w:b/>
          <w:szCs w:val="23"/>
        </w:rPr>
      </w:pPr>
      <w:r w:rsidRPr="00A84878">
        <w:rPr>
          <w:rFonts w:asciiTheme="majorHAnsi" w:hAnsiTheme="majorHAnsi" w:cstheme="majorHAnsi"/>
          <w:b/>
          <w:szCs w:val="23"/>
        </w:rPr>
        <w:t>EMIR REFIT Regulation</w:t>
      </w:r>
    </w:p>
    <w:p w14:paraId="6833317A" w14:textId="03C75DB8" w:rsidR="001278AF" w:rsidRPr="00A84878" w:rsidRDefault="001278AF" w:rsidP="00DF5EB8">
      <w:pPr>
        <w:pStyle w:val="Body"/>
        <w:rPr>
          <w:rFonts w:asciiTheme="majorHAnsi" w:hAnsiTheme="majorHAnsi" w:cstheme="majorHAnsi"/>
          <w:szCs w:val="23"/>
        </w:rPr>
      </w:pPr>
      <w:r w:rsidRPr="00A84878">
        <w:rPr>
          <w:rFonts w:asciiTheme="majorHAnsi" w:hAnsiTheme="majorHAnsi" w:cstheme="majorHAnsi"/>
          <w:szCs w:val="23"/>
        </w:rPr>
        <w:t>As part of the European Commission's Regulatory Fitness and Performance programme in 2016 (the “</w:t>
      </w:r>
      <w:r w:rsidRPr="00A84878">
        <w:rPr>
          <w:rFonts w:asciiTheme="majorHAnsi" w:hAnsiTheme="majorHAnsi" w:cstheme="majorHAnsi"/>
          <w:b/>
          <w:szCs w:val="23"/>
        </w:rPr>
        <w:t>EMIR REFIT</w:t>
      </w:r>
      <w:r w:rsidRPr="002C44B6">
        <w:rPr>
          <w:rFonts w:asciiTheme="majorHAnsi" w:hAnsiTheme="majorHAnsi" w:cstheme="majorHAnsi"/>
          <w:szCs w:val="23"/>
        </w:rPr>
        <w:t>”)</w:t>
      </w:r>
      <w:r w:rsidR="002C44B6" w:rsidRPr="002C44B6">
        <w:rPr>
          <w:rFonts w:asciiTheme="majorHAnsi" w:hAnsiTheme="majorHAnsi" w:cstheme="majorHAnsi"/>
          <w:szCs w:val="23"/>
        </w:rPr>
        <w:t xml:space="preserve"> (</w:t>
      </w:r>
      <w:r w:rsidRPr="002C44B6">
        <w:rPr>
          <w:rFonts w:asciiTheme="majorHAnsi" w:hAnsiTheme="majorHAnsi" w:cstheme="majorHAnsi"/>
          <w:szCs w:val="23"/>
        </w:rPr>
        <w:t xml:space="preserve">and </w:t>
      </w:r>
      <w:r w:rsidR="002C44B6" w:rsidRPr="002C44B6">
        <w:rPr>
          <w:rFonts w:asciiTheme="majorHAnsi" w:hAnsiTheme="majorHAnsi" w:cstheme="majorHAnsi"/>
          <w:szCs w:val="23"/>
        </w:rPr>
        <w:t xml:space="preserve">pursuant to </w:t>
      </w:r>
      <w:r w:rsidRPr="002C44B6">
        <w:rPr>
          <w:rFonts w:asciiTheme="majorHAnsi" w:hAnsiTheme="majorHAnsi" w:cstheme="majorHAnsi"/>
          <w:szCs w:val="23"/>
        </w:rPr>
        <w:t>Article 85(1) of EMIR</w:t>
      </w:r>
      <w:r w:rsidR="002C44B6" w:rsidRPr="002C44B6">
        <w:rPr>
          <w:rFonts w:asciiTheme="majorHAnsi" w:hAnsiTheme="majorHAnsi" w:cstheme="majorHAnsi"/>
          <w:szCs w:val="23"/>
        </w:rPr>
        <w:t>)</w:t>
      </w:r>
      <w:r w:rsidR="00454E9F">
        <w:rPr>
          <w:rFonts w:asciiTheme="majorHAnsi" w:hAnsiTheme="majorHAnsi" w:cstheme="majorHAnsi"/>
          <w:szCs w:val="23"/>
        </w:rPr>
        <w:t>,</w:t>
      </w:r>
      <w:r w:rsidRPr="002C44B6">
        <w:rPr>
          <w:rFonts w:asciiTheme="majorHAnsi" w:hAnsiTheme="majorHAnsi" w:cstheme="majorHAnsi"/>
          <w:szCs w:val="23"/>
        </w:rPr>
        <w:t xml:space="preserve"> the</w:t>
      </w:r>
      <w:r w:rsidRPr="00A84878">
        <w:rPr>
          <w:rFonts w:asciiTheme="majorHAnsi" w:hAnsiTheme="majorHAnsi" w:cstheme="majorHAnsi"/>
          <w:szCs w:val="23"/>
        </w:rPr>
        <w:t xml:space="preserve"> existing requirements under EMIR were assessed to determine whether they could be simplified and whether it was possible to eliminate instances in which the costs of compliance were considered disproportionate. This led to the preparation of a new regulation, the EMIR REFIT Regulation, which directly amend</w:t>
      </w:r>
      <w:r w:rsidR="006B25D8">
        <w:rPr>
          <w:rFonts w:asciiTheme="majorHAnsi" w:hAnsiTheme="majorHAnsi" w:cstheme="majorHAnsi"/>
          <w:szCs w:val="23"/>
        </w:rPr>
        <w:t>ed</w:t>
      </w:r>
      <w:r w:rsidRPr="00A84878">
        <w:rPr>
          <w:rFonts w:asciiTheme="majorHAnsi" w:hAnsiTheme="majorHAnsi" w:cstheme="majorHAnsi"/>
          <w:szCs w:val="23"/>
        </w:rPr>
        <w:t xml:space="preserve"> certain provisions of EMIR. </w:t>
      </w:r>
    </w:p>
    <w:p w14:paraId="0EFE04E4" w14:textId="2BE2FB43" w:rsidR="0055510F" w:rsidRPr="00A84878" w:rsidRDefault="00F86E6F" w:rsidP="00DE54BD">
      <w:pPr>
        <w:pStyle w:val="Body"/>
        <w:rPr>
          <w:rFonts w:asciiTheme="majorHAnsi" w:hAnsiTheme="majorHAnsi" w:cstheme="majorHAnsi"/>
          <w:szCs w:val="20"/>
        </w:rPr>
      </w:pPr>
      <w:r w:rsidRPr="00A84878">
        <w:rPr>
          <w:rFonts w:asciiTheme="majorHAnsi" w:hAnsiTheme="majorHAnsi" w:cstheme="majorHAnsi"/>
          <w:szCs w:val="20"/>
        </w:rPr>
        <w:t>Article 9(1b), (1c) and (1d) introduce</w:t>
      </w:r>
      <w:r w:rsidR="00603344">
        <w:rPr>
          <w:rFonts w:asciiTheme="majorHAnsi" w:hAnsiTheme="majorHAnsi" w:cstheme="majorHAnsi"/>
          <w:szCs w:val="20"/>
        </w:rPr>
        <w:t>d</w:t>
      </w:r>
      <w:r w:rsidRPr="00A84878">
        <w:rPr>
          <w:rFonts w:asciiTheme="majorHAnsi" w:hAnsiTheme="majorHAnsi" w:cstheme="majorHAnsi"/>
          <w:szCs w:val="20"/>
        </w:rPr>
        <w:t xml:space="preserve"> obligations on the management company, manager, or management entity, of a UCITS, AIF or IORP, respectively. </w:t>
      </w:r>
    </w:p>
    <w:p w14:paraId="420E6410" w14:textId="77777777" w:rsidR="0055510F" w:rsidRPr="00A84878" w:rsidRDefault="00E20D0B" w:rsidP="00DE54BD">
      <w:pPr>
        <w:pStyle w:val="Body"/>
        <w:numPr>
          <w:ilvl w:val="0"/>
          <w:numId w:val="54"/>
        </w:numPr>
        <w:rPr>
          <w:rFonts w:asciiTheme="majorHAnsi" w:hAnsiTheme="majorHAnsi" w:cstheme="majorHAnsi"/>
          <w:szCs w:val="20"/>
        </w:rPr>
      </w:pPr>
      <w:r w:rsidRPr="00A84878">
        <w:rPr>
          <w:rFonts w:asciiTheme="majorHAnsi" w:hAnsiTheme="majorHAnsi" w:cstheme="majorHAnsi"/>
          <w:szCs w:val="20"/>
        </w:rPr>
        <w:t>The m</w:t>
      </w:r>
      <w:r w:rsidR="0055510F" w:rsidRPr="00A84878">
        <w:rPr>
          <w:rFonts w:asciiTheme="majorHAnsi" w:hAnsiTheme="majorHAnsi" w:cstheme="majorHAnsi"/>
          <w:szCs w:val="20"/>
        </w:rPr>
        <w:t xml:space="preserve">anagement company of </w:t>
      </w:r>
      <w:r w:rsidR="009F4DF5" w:rsidRPr="00A84878">
        <w:rPr>
          <w:rFonts w:asciiTheme="majorHAnsi" w:hAnsiTheme="majorHAnsi" w:cstheme="majorHAnsi"/>
          <w:szCs w:val="20"/>
        </w:rPr>
        <w:t>an undertaking for collective investment in transferable securities (a “</w:t>
      </w:r>
      <w:r w:rsidR="009F4DF5" w:rsidRPr="00A84878">
        <w:rPr>
          <w:rFonts w:asciiTheme="majorHAnsi" w:hAnsiTheme="majorHAnsi" w:cstheme="majorHAnsi"/>
          <w:b/>
          <w:szCs w:val="20"/>
        </w:rPr>
        <w:t>UCITS</w:t>
      </w:r>
      <w:r w:rsidR="009F4DF5" w:rsidRPr="00A84878">
        <w:rPr>
          <w:rFonts w:asciiTheme="majorHAnsi" w:hAnsiTheme="majorHAnsi" w:cstheme="majorHAnsi"/>
          <w:szCs w:val="20"/>
        </w:rPr>
        <w:t xml:space="preserve">”) </w:t>
      </w:r>
      <w:r w:rsidR="0055510F" w:rsidRPr="00A84878">
        <w:rPr>
          <w:rFonts w:asciiTheme="majorHAnsi" w:hAnsiTheme="majorHAnsi" w:cstheme="majorHAnsi"/>
          <w:szCs w:val="20"/>
        </w:rPr>
        <w:t xml:space="preserve">and </w:t>
      </w:r>
      <w:r w:rsidR="009F4DF5" w:rsidRPr="00A84878">
        <w:rPr>
          <w:rFonts w:asciiTheme="majorHAnsi" w:hAnsiTheme="majorHAnsi" w:cstheme="majorHAnsi"/>
          <w:szCs w:val="20"/>
        </w:rPr>
        <w:t>the manager of an AIF</w:t>
      </w:r>
      <w:r w:rsidR="009F4DF5" w:rsidRPr="00A84878">
        <w:rPr>
          <w:rStyle w:val="FootnoteReference"/>
          <w:rFonts w:asciiTheme="majorHAnsi" w:hAnsiTheme="majorHAnsi" w:cstheme="majorHAnsi"/>
          <w:szCs w:val="20"/>
        </w:rPr>
        <w:footnoteReference w:id="7"/>
      </w:r>
      <w:r w:rsidR="009F4DF5" w:rsidRPr="00A84878">
        <w:rPr>
          <w:rFonts w:asciiTheme="majorHAnsi" w:hAnsiTheme="majorHAnsi" w:cstheme="majorHAnsi"/>
          <w:szCs w:val="20"/>
        </w:rPr>
        <w:t xml:space="preserve"> (the “</w:t>
      </w:r>
      <w:r w:rsidR="009F4DF5" w:rsidRPr="00A84878">
        <w:rPr>
          <w:rFonts w:asciiTheme="majorHAnsi" w:hAnsiTheme="majorHAnsi" w:cstheme="majorHAnsi"/>
          <w:b/>
          <w:szCs w:val="20"/>
        </w:rPr>
        <w:t>AIFM</w:t>
      </w:r>
      <w:r w:rsidR="009F4DF5" w:rsidRPr="00A84878">
        <w:rPr>
          <w:rFonts w:asciiTheme="majorHAnsi" w:hAnsiTheme="majorHAnsi" w:cstheme="majorHAnsi"/>
          <w:szCs w:val="20"/>
        </w:rPr>
        <w:t>”),</w:t>
      </w:r>
      <w:r w:rsidR="0055510F" w:rsidRPr="00A84878">
        <w:rPr>
          <w:rFonts w:asciiTheme="majorHAnsi" w:hAnsiTheme="majorHAnsi" w:cstheme="majorHAnsi"/>
          <w:szCs w:val="20"/>
        </w:rPr>
        <w:t xml:space="preserve"> are responsible and </w:t>
      </w:r>
      <w:r w:rsidR="009F4DF5" w:rsidRPr="00A84878">
        <w:rPr>
          <w:rFonts w:asciiTheme="majorHAnsi" w:hAnsiTheme="majorHAnsi" w:cstheme="majorHAnsi"/>
          <w:szCs w:val="20"/>
        </w:rPr>
        <w:t xml:space="preserve">legally </w:t>
      </w:r>
      <w:r w:rsidR="0055510F" w:rsidRPr="00A84878">
        <w:rPr>
          <w:rFonts w:asciiTheme="majorHAnsi" w:hAnsiTheme="majorHAnsi" w:cstheme="majorHAnsi"/>
          <w:szCs w:val="20"/>
        </w:rPr>
        <w:t xml:space="preserve">liable for reporting the details of </w:t>
      </w:r>
      <w:r w:rsidR="009F4DF5" w:rsidRPr="00A84878">
        <w:rPr>
          <w:rFonts w:asciiTheme="majorHAnsi" w:hAnsiTheme="majorHAnsi" w:cstheme="majorHAnsi"/>
          <w:szCs w:val="20"/>
        </w:rPr>
        <w:t xml:space="preserve">OTC </w:t>
      </w:r>
      <w:r w:rsidR="0055510F" w:rsidRPr="00A84878">
        <w:rPr>
          <w:rFonts w:asciiTheme="majorHAnsi" w:hAnsiTheme="majorHAnsi" w:cstheme="majorHAnsi"/>
          <w:szCs w:val="20"/>
        </w:rPr>
        <w:t>derivative contracts to which that UCITS or AIF is a counterparty</w:t>
      </w:r>
      <w:r w:rsidR="009F4DF5" w:rsidRPr="00A84878">
        <w:rPr>
          <w:rFonts w:asciiTheme="majorHAnsi" w:hAnsiTheme="majorHAnsi" w:cstheme="majorHAnsi"/>
          <w:szCs w:val="20"/>
        </w:rPr>
        <w:t>, as well as for ensuring the correctness of the details reported.</w:t>
      </w:r>
    </w:p>
    <w:p w14:paraId="3D218D5C" w14:textId="77777777" w:rsidR="0055510F" w:rsidRPr="00A84878" w:rsidRDefault="0055510F" w:rsidP="00DE54BD">
      <w:pPr>
        <w:pStyle w:val="Body"/>
        <w:numPr>
          <w:ilvl w:val="0"/>
          <w:numId w:val="54"/>
        </w:numPr>
        <w:rPr>
          <w:rFonts w:asciiTheme="majorHAnsi" w:hAnsiTheme="majorHAnsi" w:cstheme="majorHAnsi"/>
          <w:szCs w:val="20"/>
        </w:rPr>
      </w:pPr>
      <w:r w:rsidRPr="00A84878">
        <w:rPr>
          <w:rFonts w:asciiTheme="majorHAnsi" w:hAnsiTheme="majorHAnsi" w:cstheme="majorHAnsi"/>
          <w:szCs w:val="20"/>
        </w:rPr>
        <w:t>Where an institution for occupational retirement provision (“</w:t>
      </w:r>
      <w:r w:rsidRPr="00A84878">
        <w:rPr>
          <w:rFonts w:asciiTheme="majorHAnsi" w:hAnsiTheme="majorHAnsi" w:cstheme="majorHAnsi"/>
          <w:b/>
          <w:szCs w:val="20"/>
        </w:rPr>
        <w:t>IORP</w:t>
      </w:r>
      <w:r w:rsidRPr="00A84878">
        <w:rPr>
          <w:rFonts w:asciiTheme="majorHAnsi" w:hAnsiTheme="majorHAnsi" w:cstheme="majorHAnsi"/>
          <w:szCs w:val="20"/>
        </w:rPr>
        <w:t xml:space="preserve">”) does not have a legal personality under national law, the </w:t>
      </w:r>
      <w:r w:rsidR="00C25ADF" w:rsidRPr="00A84878">
        <w:rPr>
          <w:rFonts w:asciiTheme="majorHAnsi" w:hAnsiTheme="majorHAnsi" w:cstheme="majorHAnsi"/>
          <w:szCs w:val="20"/>
        </w:rPr>
        <w:t xml:space="preserve">authorised </w:t>
      </w:r>
      <w:r w:rsidRPr="00A84878">
        <w:rPr>
          <w:rFonts w:asciiTheme="majorHAnsi" w:hAnsiTheme="majorHAnsi" w:cstheme="majorHAnsi"/>
          <w:szCs w:val="20"/>
        </w:rPr>
        <w:t xml:space="preserve">entity that manages and acts on behalf of that IORP is responsible and </w:t>
      </w:r>
      <w:r w:rsidR="00C25ADF" w:rsidRPr="00A84878">
        <w:rPr>
          <w:rFonts w:asciiTheme="majorHAnsi" w:hAnsiTheme="majorHAnsi" w:cstheme="majorHAnsi"/>
          <w:szCs w:val="20"/>
        </w:rPr>
        <w:t xml:space="preserve">legally </w:t>
      </w:r>
      <w:r w:rsidRPr="00A84878">
        <w:rPr>
          <w:rFonts w:asciiTheme="majorHAnsi" w:hAnsiTheme="majorHAnsi" w:cstheme="majorHAnsi"/>
          <w:szCs w:val="20"/>
        </w:rPr>
        <w:t xml:space="preserve">liable for reporting the details of </w:t>
      </w:r>
      <w:r w:rsidR="00C25ADF" w:rsidRPr="00A84878">
        <w:rPr>
          <w:rFonts w:asciiTheme="majorHAnsi" w:hAnsiTheme="majorHAnsi" w:cstheme="majorHAnsi"/>
          <w:szCs w:val="20"/>
        </w:rPr>
        <w:t xml:space="preserve">OTC </w:t>
      </w:r>
      <w:r w:rsidRPr="00A84878">
        <w:rPr>
          <w:rFonts w:asciiTheme="majorHAnsi" w:hAnsiTheme="majorHAnsi" w:cstheme="majorHAnsi"/>
          <w:szCs w:val="20"/>
        </w:rPr>
        <w:t>derivative contract</w:t>
      </w:r>
      <w:r w:rsidR="00C25ADF" w:rsidRPr="00A84878">
        <w:rPr>
          <w:rFonts w:asciiTheme="majorHAnsi" w:hAnsiTheme="majorHAnsi" w:cstheme="majorHAnsi"/>
          <w:szCs w:val="20"/>
        </w:rPr>
        <w:t>s</w:t>
      </w:r>
      <w:r w:rsidRPr="00A84878">
        <w:rPr>
          <w:rFonts w:asciiTheme="majorHAnsi" w:hAnsiTheme="majorHAnsi" w:cstheme="majorHAnsi"/>
          <w:szCs w:val="20"/>
        </w:rPr>
        <w:t xml:space="preserve"> </w:t>
      </w:r>
      <w:r w:rsidR="00C25ADF" w:rsidRPr="00A84878">
        <w:rPr>
          <w:rFonts w:asciiTheme="majorHAnsi" w:hAnsiTheme="majorHAnsi" w:cstheme="majorHAnsi"/>
          <w:szCs w:val="20"/>
        </w:rPr>
        <w:t>to which that</w:t>
      </w:r>
      <w:r w:rsidRPr="00A84878">
        <w:rPr>
          <w:rFonts w:asciiTheme="majorHAnsi" w:hAnsiTheme="majorHAnsi" w:cstheme="majorHAnsi"/>
          <w:szCs w:val="20"/>
        </w:rPr>
        <w:t xml:space="preserve"> IORP is a counterparty. It must also ensure </w:t>
      </w:r>
      <w:r w:rsidR="00454E9F">
        <w:rPr>
          <w:rFonts w:asciiTheme="majorHAnsi" w:hAnsiTheme="majorHAnsi" w:cstheme="majorHAnsi"/>
          <w:szCs w:val="20"/>
        </w:rPr>
        <w:t xml:space="preserve">that </w:t>
      </w:r>
      <w:r w:rsidRPr="00A84878">
        <w:rPr>
          <w:rFonts w:asciiTheme="majorHAnsi" w:hAnsiTheme="majorHAnsi" w:cstheme="majorHAnsi"/>
          <w:szCs w:val="20"/>
        </w:rPr>
        <w:t xml:space="preserve">the </w:t>
      </w:r>
      <w:r w:rsidR="00C25ADF" w:rsidRPr="00A84878">
        <w:rPr>
          <w:rFonts w:asciiTheme="majorHAnsi" w:hAnsiTheme="majorHAnsi" w:cstheme="majorHAnsi"/>
          <w:szCs w:val="20"/>
        </w:rPr>
        <w:t xml:space="preserve">details of the </w:t>
      </w:r>
      <w:r w:rsidRPr="00A84878">
        <w:rPr>
          <w:rFonts w:asciiTheme="majorHAnsi" w:hAnsiTheme="majorHAnsi" w:cstheme="majorHAnsi"/>
          <w:szCs w:val="20"/>
        </w:rPr>
        <w:t xml:space="preserve">reported information </w:t>
      </w:r>
      <w:r w:rsidR="00472225" w:rsidRPr="00A84878">
        <w:rPr>
          <w:rFonts w:asciiTheme="majorHAnsi" w:hAnsiTheme="majorHAnsi" w:cstheme="majorHAnsi"/>
          <w:szCs w:val="20"/>
        </w:rPr>
        <w:t>are</w:t>
      </w:r>
      <w:r w:rsidRPr="00A84878">
        <w:rPr>
          <w:rFonts w:asciiTheme="majorHAnsi" w:hAnsiTheme="majorHAnsi" w:cstheme="majorHAnsi"/>
          <w:szCs w:val="20"/>
        </w:rPr>
        <w:t xml:space="preserve"> correct.</w:t>
      </w:r>
    </w:p>
    <w:p w14:paraId="4B38CA34" w14:textId="3DCDFF06" w:rsidR="00A303F7" w:rsidRPr="00A84878" w:rsidRDefault="00FF3FEC" w:rsidP="00DE54BD">
      <w:pPr>
        <w:pStyle w:val="Body"/>
        <w:rPr>
          <w:rFonts w:asciiTheme="majorHAnsi" w:hAnsiTheme="majorHAnsi" w:cstheme="majorHAnsi"/>
          <w:szCs w:val="23"/>
        </w:rPr>
      </w:pPr>
      <w:r w:rsidRPr="00A84878">
        <w:rPr>
          <w:rFonts w:asciiTheme="majorHAnsi" w:hAnsiTheme="majorHAnsi" w:cstheme="majorHAnsi"/>
          <w:szCs w:val="23"/>
        </w:rPr>
        <w:t>Article 9(1a) provides that</w:t>
      </w:r>
      <w:r w:rsidR="0085187D" w:rsidRPr="00A84878">
        <w:rPr>
          <w:rFonts w:asciiTheme="majorHAnsi" w:hAnsiTheme="majorHAnsi" w:cstheme="majorHAnsi"/>
          <w:szCs w:val="23"/>
        </w:rPr>
        <w:t>,</w:t>
      </w:r>
      <w:r w:rsidRPr="00A84878">
        <w:rPr>
          <w:rFonts w:asciiTheme="majorHAnsi" w:hAnsiTheme="majorHAnsi" w:cstheme="majorHAnsi"/>
          <w:szCs w:val="23"/>
        </w:rPr>
        <w:t xml:space="preserve"> w</w:t>
      </w:r>
      <w:r w:rsidR="00B05A1F" w:rsidRPr="00A84878">
        <w:rPr>
          <w:rFonts w:asciiTheme="majorHAnsi" w:hAnsiTheme="majorHAnsi" w:cstheme="majorHAnsi"/>
          <w:szCs w:val="23"/>
        </w:rPr>
        <w:t>hen transacting with an NFC which is below the relevant clearing threshold for all asset classes (an “</w:t>
      </w:r>
      <w:r w:rsidR="00B05A1F" w:rsidRPr="00A84878">
        <w:rPr>
          <w:rFonts w:asciiTheme="majorHAnsi" w:hAnsiTheme="majorHAnsi" w:cstheme="majorHAnsi"/>
          <w:b/>
          <w:szCs w:val="23"/>
        </w:rPr>
        <w:t>NFC-</w:t>
      </w:r>
      <w:r w:rsidR="00B05A1F" w:rsidRPr="00A84878">
        <w:rPr>
          <w:rFonts w:asciiTheme="majorHAnsi" w:hAnsiTheme="majorHAnsi" w:cstheme="majorHAnsi"/>
          <w:szCs w:val="23"/>
        </w:rPr>
        <w:t>”)</w:t>
      </w:r>
      <w:r w:rsidR="00B05A1F" w:rsidRPr="00A84878">
        <w:rPr>
          <w:rStyle w:val="FootnoteReference"/>
          <w:rFonts w:asciiTheme="majorHAnsi" w:hAnsiTheme="majorHAnsi" w:cstheme="majorHAnsi"/>
          <w:szCs w:val="20"/>
        </w:rPr>
        <w:footnoteReference w:id="8"/>
      </w:r>
      <w:r w:rsidR="00B05A1F" w:rsidRPr="00A84878">
        <w:rPr>
          <w:rFonts w:asciiTheme="majorHAnsi" w:hAnsiTheme="majorHAnsi" w:cstheme="majorHAnsi"/>
          <w:szCs w:val="23"/>
        </w:rPr>
        <w:t xml:space="preserve">, an FC will be “solely responsible, and legally liable, for reporting on behalf of both counterparties” the details of OTC derivative contracts, as well as </w:t>
      </w:r>
      <w:r w:rsidR="00B05A1F" w:rsidRPr="00A84878">
        <w:rPr>
          <w:rFonts w:asciiTheme="majorHAnsi" w:hAnsiTheme="majorHAnsi" w:cstheme="majorHAnsi"/>
          <w:szCs w:val="23"/>
        </w:rPr>
        <w:lastRenderedPageBreak/>
        <w:t xml:space="preserve">ensuring the correctness of the details reported. This is referred to in the MRRA as </w:t>
      </w:r>
      <w:r w:rsidR="002165DA" w:rsidRPr="00A84878">
        <w:rPr>
          <w:rFonts w:asciiTheme="majorHAnsi" w:hAnsiTheme="majorHAnsi" w:cstheme="majorHAnsi"/>
          <w:szCs w:val="23"/>
        </w:rPr>
        <w:t>‘</w:t>
      </w:r>
      <w:r w:rsidR="00B05A1F" w:rsidRPr="00A84878">
        <w:rPr>
          <w:rFonts w:asciiTheme="majorHAnsi" w:hAnsiTheme="majorHAnsi" w:cstheme="majorHAnsi"/>
          <w:szCs w:val="23"/>
        </w:rPr>
        <w:t>Mandatory Reporting</w:t>
      </w:r>
      <w:r w:rsidR="002165DA" w:rsidRPr="00A84878">
        <w:rPr>
          <w:rFonts w:asciiTheme="majorHAnsi" w:hAnsiTheme="majorHAnsi" w:cstheme="majorHAnsi"/>
          <w:szCs w:val="23"/>
        </w:rPr>
        <w:t>’</w:t>
      </w:r>
      <w:r w:rsidR="00B05A1F" w:rsidRPr="00A84878">
        <w:rPr>
          <w:rFonts w:asciiTheme="majorHAnsi" w:hAnsiTheme="majorHAnsi" w:cstheme="majorHAnsi"/>
          <w:szCs w:val="23"/>
        </w:rPr>
        <w:t>.</w:t>
      </w:r>
    </w:p>
    <w:p w14:paraId="5CB2072E" w14:textId="77777777" w:rsidR="0085187D" w:rsidRPr="00A84878" w:rsidRDefault="0085187D" w:rsidP="00DE54BD">
      <w:pPr>
        <w:pStyle w:val="Body"/>
        <w:rPr>
          <w:rFonts w:asciiTheme="majorHAnsi" w:hAnsiTheme="majorHAnsi" w:cstheme="majorHAnsi"/>
          <w:szCs w:val="23"/>
        </w:rPr>
      </w:pPr>
      <w:r w:rsidRPr="00A84878">
        <w:rPr>
          <w:rFonts w:asciiTheme="majorHAnsi" w:hAnsiTheme="majorHAnsi" w:cstheme="majorHAnsi"/>
          <w:szCs w:val="23"/>
        </w:rPr>
        <w:t xml:space="preserve">The MRRA is not designed to cater for any agreements that may need to be put in place between a Fund Manager and a </w:t>
      </w:r>
      <w:r w:rsidR="000737B6">
        <w:rPr>
          <w:rFonts w:asciiTheme="majorHAnsi" w:hAnsiTheme="majorHAnsi" w:cstheme="majorHAnsi"/>
          <w:szCs w:val="23"/>
        </w:rPr>
        <w:t>F</w:t>
      </w:r>
      <w:r w:rsidRPr="00A84878">
        <w:rPr>
          <w:rFonts w:asciiTheme="majorHAnsi" w:hAnsiTheme="majorHAnsi" w:cstheme="majorHAnsi"/>
          <w:szCs w:val="23"/>
        </w:rPr>
        <w:t>und to facilitate the reporting by the Fund Manager, pursuant to Article 9(1</w:t>
      </w:r>
      <w:proofErr w:type="gramStart"/>
      <w:r w:rsidRPr="00A84878">
        <w:rPr>
          <w:rFonts w:asciiTheme="majorHAnsi" w:hAnsiTheme="majorHAnsi" w:cstheme="majorHAnsi"/>
          <w:szCs w:val="23"/>
        </w:rPr>
        <w:t>b)-(</w:t>
      </w:r>
      <w:proofErr w:type="gramEnd"/>
      <w:r w:rsidRPr="00A84878">
        <w:rPr>
          <w:rFonts w:asciiTheme="majorHAnsi" w:hAnsiTheme="majorHAnsi" w:cstheme="majorHAnsi"/>
          <w:szCs w:val="23"/>
        </w:rPr>
        <w:t xml:space="preserve">1d), of derivative transactions of the </w:t>
      </w:r>
      <w:r w:rsidR="000737B6">
        <w:rPr>
          <w:rFonts w:asciiTheme="majorHAnsi" w:hAnsiTheme="majorHAnsi" w:cstheme="majorHAnsi"/>
          <w:szCs w:val="23"/>
        </w:rPr>
        <w:t>F</w:t>
      </w:r>
      <w:r w:rsidRPr="00A84878">
        <w:rPr>
          <w:rFonts w:asciiTheme="majorHAnsi" w:hAnsiTheme="majorHAnsi" w:cstheme="majorHAnsi"/>
          <w:szCs w:val="23"/>
        </w:rPr>
        <w:t xml:space="preserve">und. Where a Fund Manager has the responsibility to report transactions of a Fund, the Fund Manager can use the MRRA to delegate its reporting function to the Reporting Party. </w:t>
      </w:r>
    </w:p>
    <w:p w14:paraId="34CA44D5" w14:textId="16E1965E" w:rsidR="007457AA" w:rsidRDefault="007457AA" w:rsidP="00DE54BD">
      <w:pPr>
        <w:pStyle w:val="Body"/>
        <w:rPr>
          <w:rFonts w:asciiTheme="majorHAnsi" w:hAnsiTheme="majorHAnsi" w:cstheme="majorHAnsi"/>
          <w:szCs w:val="23"/>
        </w:rPr>
      </w:pPr>
      <w:r>
        <w:rPr>
          <w:rFonts w:asciiTheme="majorHAnsi" w:hAnsiTheme="majorHAnsi" w:cstheme="majorHAnsi"/>
          <w:szCs w:val="23"/>
        </w:rPr>
        <w:t xml:space="preserve">The MRRA does not specifically address the scenario where a UCITS or AIF is established solely for the purposes of serving one or more employee share purchase plans and is therefore an NFC rather than an FC for the purposes of EMIR. See, </w:t>
      </w:r>
      <w:r w:rsidRPr="00033C51">
        <w:rPr>
          <w:rFonts w:asciiTheme="majorHAnsi" w:hAnsiTheme="majorHAnsi" w:cstheme="majorHAnsi"/>
          <w:szCs w:val="23"/>
        </w:rPr>
        <w:t xml:space="preserve">further, page </w:t>
      </w:r>
      <w:r w:rsidR="007631D5" w:rsidRPr="00033C51">
        <w:rPr>
          <w:rFonts w:asciiTheme="majorHAnsi" w:hAnsiTheme="majorHAnsi" w:cstheme="majorHAnsi"/>
          <w:szCs w:val="23"/>
        </w:rPr>
        <w:t>20</w:t>
      </w:r>
      <w:r w:rsidRPr="00C866F7">
        <w:rPr>
          <w:rFonts w:asciiTheme="majorHAnsi" w:hAnsiTheme="majorHAnsi" w:cstheme="majorHAnsi"/>
          <w:szCs w:val="23"/>
        </w:rPr>
        <w:t xml:space="preserve"> below</w:t>
      </w:r>
      <w:r>
        <w:rPr>
          <w:rFonts w:asciiTheme="majorHAnsi" w:hAnsiTheme="majorHAnsi" w:cstheme="majorHAnsi"/>
          <w:szCs w:val="23"/>
        </w:rPr>
        <w:t>.</w:t>
      </w:r>
    </w:p>
    <w:p w14:paraId="4EBF600B" w14:textId="77777777" w:rsidR="00B05A1F" w:rsidRPr="00A84878" w:rsidRDefault="0085187D" w:rsidP="00DE54BD">
      <w:pPr>
        <w:pStyle w:val="Body"/>
        <w:rPr>
          <w:rFonts w:asciiTheme="majorHAnsi" w:hAnsiTheme="majorHAnsi" w:cstheme="majorHAnsi"/>
          <w:szCs w:val="23"/>
        </w:rPr>
      </w:pPr>
      <w:r w:rsidRPr="00A84878">
        <w:rPr>
          <w:rFonts w:asciiTheme="majorHAnsi" w:hAnsiTheme="majorHAnsi" w:cstheme="majorHAnsi"/>
          <w:szCs w:val="23"/>
        </w:rPr>
        <w:t xml:space="preserve">Where Mandatory Reporting does not apply, </w:t>
      </w:r>
      <w:r w:rsidR="00B05A1F" w:rsidRPr="00A84878">
        <w:rPr>
          <w:rFonts w:asciiTheme="majorHAnsi" w:hAnsiTheme="majorHAnsi" w:cstheme="majorHAnsi"/>
          <w:szCs w:val="23"/>
        </w:rPr>
        <w:t xml:space="preserve">the ability for parties to delegate their reporting </w:t>
      </w:r>
      <w:r w:rsidRPr="00A84878">
        <w:rPr>
          <w:rFonts w:asciiTheme="majorHAnsi" w:hAnsiTheme="majorHAnsi" w:cstheme="majorHAnsi"/>
          <w:szCs w:val="23"/>
        </w:rPr>
        <w:t xml:space="preserve">responsibility </w:t>
      </w:r>
      <w:r w:rsidR="00B05A1F" w:rsidRPr="00A84878">
        <w:rPr>
          <w:rFonts w:asciiTheme="majorHAnsi" w:hAnsiTheme="majorHAnsi" w:cstheme="majorHAnsi"/>
          <w:szCs w:val="23"/>
        </w:rPr>
        <w:t xml:space="preserve">under Article 9 </w:t>
      </w:r>
      <w:r w:rsidR="00A303F7" w:rsidRPr="00A84878">
        <w:rPr>
          <w:rFonts w:asciiTheme="majorHAnsi" w:hAnsiTheme="majorHAnsi" w:cstheme="majorHAnsi"/>
          <w:szCs w:val="23"/>
        </w:rPr>
        <w:t xml:space="preserve">of EMIR </w:t>
      </w:r>
      <w:r w:rsidR="006D77F6" w:rsidRPr="00A84878">
        <w:rPr>
          <w:rFonts w:asciiTheme="majorHAnsi" w:hAnsiTheme="majorHAnsi" w:cstheme="majorHAnsi"/>
          <w:szCs w:val="23"/>
        </w:rPr>
        <w:t>continues to apply</w:t>
      </w:r>
      <w:r w:rsidR="00B05A1F" w:rsidRPr="00A84878">
        <w:rPr>
          <w:rFonts w:asciiTheme="majorHAnsi" w:hAnsiTheme="majorHAnsi" w:cstheme="majorHAnsi"/>
          <w:szCs w:val="23"/>
        </w:rPr>
        <w:t xml:space="preserve">. In the MRRA, this mode of reporting is referred to as </w:t>
      </w:r>
      <w:r w:rsidR="002165DA" w:rsidRPr="00A84878">
        <w:rPr>
          <w:rFonts w:asciiTheme="majorHAnsi" w:hAnsiTheme="majorHAnsi" w:cstheme="majorHAnsi"/>
          <w:szCs w:val="23"/>
        </w:rPr>
        <w:t>‘</w:t>
      </w:r>
      <w:r w:rsidR="00B05A1F" w:rsidRPr="00A84878">
        <w:rPr>
          <w:rFonts w:asciiTheme="majorHAnsi" w:hAnsiTheme="majorHAnsi" w:cstheme="majorHAnsi"/>
          <w:szCs w:val="23"/>
        </w:rPr>
        <w:t>Delegated Reporting</w:t>
      </w:r>
      <w:r w:rsidR="002165DA" w:rsidRPr="00A84878">
        <w:rPr>
          <w:rFonts w:asciiTheme="majorHAnsi" w:hAnsiTheme="majorHAnsi" w:cstheme="majorHAnsi"/>
          <w:szCs w:val="23"/>
        </w:rPr>
        <w:t>’</w:t>
      </w:r>
      <w:r w:rsidR="00B05A1F" w:rsidRPr="00A84878">
        <w:rPr>
          <w:rFonts w:asciiTheme="majorHAnsi" w:hAnsiTheme="majorHAnsi" w:cstheme="majorHAnsi"/>
          <w:szCs w:val="23"/>
        </w:rPr>
        <w:t>.</w:t>
      </w:r>
    </w:p>
    <w:p w14:paraId="1ED45679" w14:textId="561F4D67" w:rsidR="00C03DA0" w:rsidRPr="00A84878" w:rsidRDefault="00D953AE" w:rsidP="00DE54BD">
      <w:pPr>
        <w:pStyle w:val="Body"/>
        <w:rPr>
          <w:rFonts w:asciiTheme="majorHAnsi" w:hAnsiTheme="majorHAnsi" w:cstheme="majorHAnsi"/>
          <w:szCs w:val="20"/>
        </w:rPr>
      </w:pPr>
      <w:r w:rsidRPr="00A84878">
        <w:rPr>
          <w:rFonts w:asciiTheme="majorHAnsi" w:hAnsiTheme="majorHAnsi" w:cstheme="majorHAnsi"/>
          <w:szCs w:val="20"/>
        </w:rPr>
        <w:t>In a Mandatory Reporting context</w:t>
      </w:r>
      <w:r w:rsidR="002C05FD" w:rsidRPr="00A84878">
        <w:rPr>
          <w:rFonts w:asciiTheme="majorHAnsi" w:hAnsiTheme="majorHAnsi" w:cstheme="majorHAnsi"/>
          <w:szCs w:val="20"/>
        </w:rPr>
        <w:t>,</w:t>
      </w:r>
      <w:r w:rsidRPr="00A84878">
        <w:rPr>
          <w:rFonts w:asciiTheme="majorHAnsi" w:hAnsiTheme="majorHAnsi" w:cstheme="majorHAnsi"/>
          <w:szCs w:val="20"/>
        </w:rPr>
        <w:t xml:space="preserve"> </w:t>
      </w:r>
      <w:r w:rsidR="0055510F" w:rsidRPr="00A84878">
        <w:rPr>
          <w:rFonts w:asciiTheme="majorHAnsi" w:hAnsiTheme="majorHAnsi" w:cstheme="majorHAnsi"/>
          <w:szCs w:val="20"/>
        </w:rPr>
        <w:t>Article 9</w:t>
      </w:r>
      <w:r w:rsidR="00FF3FEC" w:rsidRPr="00A84878">
        <w:rPr>
          <w:rFonts w:asciiTheme="majorHAnsi" w:hAnsiTheme="majorHAnsi" w:cstheme="majorHAnsi"/>
          <w:szCs w:val="20"/>
        </w:rPr>
        <w:t>(1a)</w:t>
      </w:r>
      <w:r w:rsidR="0055510F" w:rsidRPr="00A84878">
        <w:rPr>
          <w:rFonts w:asciiTheme="majorHAnsi" w:hAnsiTheme="majorHAnsi" w:cstheme="majorHAnsi"/>
          <w:szCs w:val="20"/>
        </w:rPr>
        <w:t xml:space="preserve"> require</w:t>
      </w:r>
      <w:r w:rsidR="002C05FD" w:rsidRPr="00A84878">
        <w:rPr>
          <w:rFonts w:asciiTheme="majorHAnsi" w:hAnsiTheme="majorHAnsi" w:cstheme="majorHAnsi"/>
          <w:szCs w:val="20"/>
        </w:rPr>
        <w:t>s</w:t>
      </w:r>
      <w:r w:rsidR="0055510F" w:rsidRPr="00A84878">
        <w:rPr>
          <w:rFonts w:asciiTheme="majorHAnsi" w:hAnsiTheme="majorHAnsi" w:cstheme="majorHAnsi"/>
          <w:szCs w:val="20"/>
        </w:rPr>
        <w:t xml:space="preserve"> the </w:t>
      </w:r>
      <w:r w:rsidR="002C05FD" w:rsidRPr="00A84878">
        <w:rPr>
          <w:rFonts w:asciiTheme="majorHAnsi" w:hAnsiTheme="majorHAnsi" w:cstheme="majorHAnsi"/>
          <w:szCs w:val="20"/>
        </w:rPr>
        <w:t xml:space="preserve">NFC- </w:t>
      </w:r>
      <w:r w:rsidR="0055510F" w:rsidRPr="00A84878">
        <w:rPr>
          <w:rFonts w:asciiTheme="majorHAnsi" w:hAnsiTheme="majorHAnsi" w:cstheme="majorHAnsi"/>
          <w:szCs w:val="20"/>
        </w:rPr>
        <w:t xml:space="preserve">to provide the FC “with the details of the OTC derivative contracts concluded between them, which the </w:t>
      </w:r>
      <w:r w:rsidR="002C05FD" w:rsidRPr="00A84878">
        <w:rPr>
          <w:rFonts w:asciiTheme="majorHAnsi" w:hAnsiTheme="majorHAnsi" w:cstheme="majorHAnsi"/>
          <w:szCs w:val="20"/>
        </w:rPr>
        <w:t>financial counterparty</w:t>
      </w:r>
      <w:r w:rsidR="0055510F" w:rsidRPr="00A84878">
        <w:rPr>
          <w:rFonts w:asciiTheme="majorHAnsi" w:hAnsiTheme="majorHAnsi" w:cstheme="majorHAnsi"/>
          <w:szCs w:val="20"/>
        </w:rPr>
        <w:t xml:space="preserve"> cannot be reasonably expected to possess”. </w:t>
      </w:r>
      <w:r w:rsidR="002C05FD" w:rsidRPr="00A84878">
        <w:rPr>
          <w:rFonts w:asciiTheme="majorHAnsi" w:hAnsiTheme="majorHAnsi" w:cstheme="majorHAnsi"/>
          <w:szCs w:val="20"/>
        </w:rPr>
        <w:t xml:space="preserve">It is the responsibility of the NFC- </w:t>
      </w:r>
      <w:r w:rsidR="00A303F7" w:rsidRPr="00A84878">
        <w:rPr>
          <w:rFonts w:asciiTheme="majorHAnsi" w:hAnsiTheme="majorHAnsi" w:cstheme="majorHAnsi"/>
          <w:szCs w:val="20"/>
        </w:rPr>
        <w:t xml:space="preserve">to </w:t>
      </w:r>
      <w:r w:rsidR="00FF3FEC" w:rsidRPr="00A84878">
        <w:rPr>
          <w:rFonts w:asciiTheme="majorHAnsi" w:hAnsiTheme="majorHAnsi" w:cstheme="majorHAnsi"/>
          <w:szCs w:val="20"/>
        </w:rPr>
        <w:t>ensur</w:t>
      </w:r>
      <w:r w:rsidR="00A303F7" w:rsidRPr="00A84878">
        <w:rPr>
          <w:rFonts w:asciiTheme="majorHAnsi" w:hAnsiTheme="majorHAnsi" w:cstheme="majorHAnsi"/>
          <w:szCs w:val="20"/>
        </w:rPr>
        <w:t>e</w:t>
      </w:r>
      <w:r w:rsidR="00FF3FEC" w:rsidRPr="00A84878">
        <w:rPr>
          <w:rFonts w:asciiTheme="majorHAnsi" w:hAnsiTheme="majorHAnsi" w:cstheme="majorHAnsi"/>
          <w:szCs w:val="20"/>
        </w:rPr>
        <w:t xml:space="preserve"> that “those details are correct”.</w:t>
      </w:r>
    </w:p>
    <w:p w14:paraId="53061694" w14:textId="77777777" w:rsidR="00B47C4D" w:rsidRPr="00A84878" w:rsidRDefault="00FF3FEC" w:rsidP="00DE54BD">
      <w:pPr>
        <w:pStyle w:val="Body"/>
        <w:rPr>
          <w:rFonts w:asciiTheme="majorHAnsi" w:hAnsiTheme="majorHAnsi" w:cstheme="majorHAnsi"/>
          <w:szCs w:val="20"/>
        </w:rPr>
      </w:pPr>
      <w:r w:rsidRPr="00A84878">
        <w:rPr>
          <w:rFonts w:asciiTheme="majorHAnsi" w:hAnsiTheme="majorHAnsi" w:cstheme="majorHAnsi"/>
          <w:szCs w:val="20"/>
        </w:rPr>
        <w:t>Article 9(1a) also provides that where an NFC- has already invested in a reporting system prior to this Mandatory Reporting obligation becoming applicable</w:t>
      </w:r>
      <w:r w:rsidR="006D77F6" w:rsidRPr="00A84878">
        <w:rPr>
          <w:rFonts w:asciiTheme="majorHAnsi" w:hAnsiTheme="majorHAnsi" w:cstheme="majorHAnsi"/>
          <w:szCs w:val="20"/>
        </w:rPr>
        <w:t xml:space="preserve">, </w:t>
      </w:r>
      <w:r w:rsidR="0055510F" w:rsidRPr="00A84878">
        <w:rPr>
          <w:rFonts w:asciiTheme="majorHAnsi" w:hAnsiTheme="majorHAnsi" w:cstheme="majorHAnsi"/>
          <w:szCs w:val="20"/>
        </w:rPr>
        <w:t>it may opt out of mandatory reporting and continue to report on its own behalf</w:t>
      </w:r>
      <w:r w:rsidR="00C03DA0" w:rsidRPr="00A84878">
        <w:rPr>
          <w:rFonts w:asciiTheme="majorHAnsi" w:hAnsiTheme="majorHAnsi" w:cstheme="majorHAnsi"/>
          <w:szCs w:val="20"/>
        </w:rPr>
        <w:t xml:space="preserve">. If it chooses to do this, it </w:t>
      </w:r>
      <w:r w:rsidR="006D77F6" w:rsidRPr="00A84878">
        <w:rPr>
          <w:rFonts w:asciiTheme="majorHAnsi" w:hAnsiTheme="majorHAnsi" w:cstheme="majorHAnsi"/>
          <w:szCs w:val="20"/>
        </w:rPr>
        <w:t xml:space="preserve">must </w:t>
      </w:r>
      <w:r w:rsidR="0055510F" w:rsidRPr="00A84878">
        <w:rPr>
          <w:rFonts w:asciiTheme="majorHAnsi" w:hAnsiTheme="majorHAnsi" w:cstheme="majorHAnsi"/>
          <w:szCs w:val="20"/>
        </w:rPr>
        <w:t xml:space="preserve">inform </w:t>
      </w:r>
      <w:r w:rsidR="00C03DA0" w:rsidRPr="00A84878">
        <w:rPr>
          <w:rFonts w:asciiTheme="majorHAnsi" w:hAnsiTheme="majorHAnsi" w:cstheme="majorHAnsi"/>
          <w:szCs w:val="20"/>
        </w:rPr>
        <w:t xml:space="preserve">those </w:t>
      </w:r>
      <w:r w:rsidR="0055510F" w:rsidRPr="00A84878">
        <w:rPr>
          <w:rFonts w:asciiTheme="majorHAnsi" w:hAnsiTheme="majorHAnsi" w:cstheme="majorHAnsi"/>
          <w:szCs w:val="20"/>
        </w:rPr>
        <w:t>FC</w:t>
      </w:r>
      <w:r w:rsidR="00C03DA0" w:rsidRPr="00A84878">
        <w:rPr>
          <w:rFonts w:asciiTheme="majorHAnsi" w:hAnsiTheme="majorHAnsi" w:cstheme="majorHAnsi"/>
          <w:szCs w:val="20"/>
        </w:rPr>
        <w:t>s with whom it transacts</w:t>
      </w:r>
      <w:r w:rsidR="0055510F" w:rsidRPr="00A84878">
        <w:rPr>
          <w:rFonts w:asciiTheme="majorHAnsi" w:hAnsiTheme="majorHAnsi" w:cstheme="majorHAnsi"/>
          <w:szCs w:val="20"/>
        </w:rPr>
        <w:t xml:space="preserve"> of </w:t>
      </w:r>
      <w:r w:rsidR="00C03DA0" w:rsidRPr="00A84878">
        <w:rPr>
          <w:rFonts w:asciiTheme="majorHAnsi" w:hAnsiTheme="majorHAnsi" w:cstheme="majorHAnsi"/>
          <w:szCs w:val="20"/>
        </w:rPr>
        <w:t xml:space="preserve">its </w:t>
      </w:r>
      <w:r w:rsidR="0055510F" w:rsidRPr="00A84878">
        <w:rPr>
          <w:rFonts w:asciiTheme="majorHAnsi" w:hAnsiTheme="majorHAnsi" w:cstheme="majorHAnsi"/>
          <w:szCs w:val="20"/>
        </w:rPr>
        <w:t>decision</w:t>
      </w:r>
      <w:r w:rsidR="00C03DA0" w:rsidRPr="00A84878">
        <w:rPr>
          <w:rFonts w:asciiTheme="majorHAnsi" w:hAnsiTheme="majorHAnsi" w:cstheme="majorHAnsi"/>
          <w:szCs w:val="20"/>
        </w:rPr>
        <w:t xml:space="preserve"> prior to </w:t>
      </w:r>
      <w:r w:rsidR="006D77F6" w:rsidRPr="00A84878">
        <w:rPr>
          <w:rFonts w:asciiTheme="majorHAnsi" w:hAnsiTheme="majorHAnsi" w:cstheme="majorHAnsi"/>
          <w:szCs w:val="20"/>
        </w:rPr>
        <w:t>transacting with the FC</w:t>
      </w:r>
      <w:r w:rsidR="00C03DA0" w:rsidRPr="00A84878">
        <w:rPr>
          <w:rFonts w:asciiTheme="majorHAnsi" w:hAnsiTheme="majorHAnsi" w:cstheme="majorHAnsi"/>
          <w:szCs w:val="20"/>
        </w:rPr>
        <w:t>.</w:t>
      </w:r>
    </w:p>
    <w:p w14:paraId="2B9D1591" w14:textId="77777777" w:rsidR="00A303F7" w:rsidRPr="00A84878" w:rsidRDefault="00A303F7" w:rsidP="00DE54BD">
      <w:pPr>
        <w:pStyle w:val="Body"/>
        <w:rPr>
          <w:rFonts w:asciiTheme="majorHAnsi" w:hAnsiTheme="majorHAnsi" w:cstheme="majorHAnsi"/>
          <w:szCs w:val="20"/>
        </w:rPr>
      </w:pPr>
      <w:r w:rsidRPr="00A84878">
        <w:rPr>
          <w:rFonts w:asciiTheme="majorHAnsi" w:hAnsiTheme="majorHAnsi" w:cstheme="majorHAnsi"/>
          <w:szCs w:val="20"/>
        </w:rPr>
        <w:t xml:space="preserve">The ‘Mandatory Reporting Opt-Out’ election in the Derivatives Annex of the MRRA is intended to reflect the right of the NFC- to retain responsibility for reporting certain transactions under Article 9(1a) of EMIR. However, </w:t>
      </w:r>
      <w:r w:rsidR="000737B6">
        <w:rPr>
          <w:rFonts w:asciiTheme="majorHAnsi" w:hAnsiTheme="majorHAnsi" w:cstheme="majorHAnsi"/>
          <w:szCs w:val="20"/>
        </w:rPr>
        <w:t>it is not envisaged that the MRRA would be used for the purpose of an NFC- completely opting-out from the FC having any reporting responsibility for derivative transactions between the parties</w:t>
      </w:r>
      <w:r w:rsidRPr="00A84878">
        <w:rPr>
          <w:rFonts w:asciiTheme="majorHAnsi" w:hAnsiTheme="majorHAnsi" w:cstheme="majorHAnsi"/>
          <w:szCs w:val="20"/>
        </w:rPr>
        <w:t>.</w:t>
      </w:r>
    </w:p>
    <w:p w14:paraId="4451216F" w14:textId="74E15A6C" w:rsidR="006D77F6" w:rsidRPr="00A84878" w:rsidRDefault="006D77F6" w:rsidP="00DE54BD">
      <w:pPr>
        <w:pStyle w:val="Body"/>
        <w:rPr>
          <w:rFonts w:asciiTheme="majorHAnsi" w:hAnsiTheme="majorHAnsi" w:cstheme="majorHAnsi"/>
          <w:szCs w:val="20"/>
        </w:rPr>
      </w:pPr>
      <w:r w:rsidRPr="00A84878">
        <w:rPr>
          <w:rFonts w:asciiTheme="majorHAnsi" w:hAnsiTheme="majorHAnsi" w:cstheme="majorHAnsi"/>
          <w:szCs w:val="20"/>
        </w:rPr>
        <w:t>T</w:t>
      </w:r>
      <w:r w:rsidR="00B47C4D" w:rsidRPr="00A84878">
        <w:rPr>
          <w:rFonts w:asciiTheme="majorHAnsi" w:hAnsiTheme="majorHAnsi" w:cstheme="majorHAnsi"/>
          <w:szCs w:val="20"/>
        </w:rPr>
        <w:t xml:space="preserve">he </w:t>
      </w:r>
      <w:r w:rsidR="00783006" w:rsidRPr="00A84878">
        <w:rPr>
          <w:rFonts w:asciiTheme="majorHAnsi" w:hAnsiTheme="majorHAnsi" w:cstheme="majorHAnsi"/>
          <w:szCs w:val="20"/>
        </w:rPr>
        <w:t xml:space="preserve">obligation for </w:t>
      </w:r>
      <w:r w:rsidR="00B47C4D" w:rsidRPr="00A84878">
        <w:rPr>
          <w:rFonts w:asciiTheme="majorHAnsi" w:hAnsiTheme="majorHAnsi" w:cstheme="majorHAnsi"/>
          <w:szCs w:val="20"/>
        </w:rPr>
        <w:t xml:space="preserve">an </w:t>
      </w:r>
      <w:r w:rsidR="00783006" w:rsidRPr="00A84878">
        <w:rPr>
          <w:rFonts w:asciiTheme="majorHAnsi" w:hAnsiTheme="majorHAnsi" w:cstheme="majorHAnsi"/>
          <w:szCs w:val="20"/>
        </w:rPr>
        <w:t xml:space="preserve">FC to report on behalf of </w:t>
      </w:r>
      <w:r w:rsidR="00B47C4D" w:rsidRPr="00A84878">
        <w:rPr>
          <w:rFonts w:asciiTheme="majorHAnsi" w:hAnsiTheme="majorHAnsi" w:cstheme="majorHAnsi"/>
          <w:szCs w:val="20"/>
        </w:rPr>
        <w:t xml:space="preserve">an </w:t>
      </w:r>
      <w:r w:rsidR="00783006" w:rsidRPr="00A84878">
        <w:rPr>
          <w:rFonts w:asciiTheme="majorHAnsi" w:hAnsiTheme="majorHAnsi" w:cstheme="majorHAnsi"/>
          <w:szCs w:val="20"/>
        </w:rPr>
        <w:t xml:space="preserve">NFC- is expressed in </w:t>
      </w:r>
      <w:r w:rsidR="00A303F7" w:rsidRPr="00A84878">
        <w:rPr>
          <w:rFonts w:asciiTheme="majorHAnsi" w:hAnsiTheme="majorHAnsi" w:cstheme="majorHAnsi"/>
          <w:szCs w:val="20"/>
        </w:rPr>
        <w:t xml:space="preserve">Article 9(1a) of </w:t>
      </w:r>
      <w:r w:rsidR="00783006" w:rsidRPr="00A84878">
        <w:rPr>
          <w:rFonts w:asciiTheme="majorHAnsi" w:hAnsiTheme="majorHAnsi" w:cstheme="majorHAnsi"/>
          <w:szCs w:val="20"/>
        </w:rPr>
        <w:t xml:space="preserve">EMIR to apply </w:t>
      </w:r>
      <w:r w:rsidR="00B47C4D" w:rsidRPr="00A84878">
        <w:rPr>
          <w:rFonts w:asciiTheme="majorHAnsi" w:hAnsiTheme="majorHAnsi" w:cstheme="majorHAnsi"/>
          <w:szCs w:val="20"/>
        </w:rPr>
        <w:t xml:space="preserve">only </w:t>
      </w:r>
      <w:r w:rsidR="00783006" w:rsidRPr="00A84878">
        <w:rPr>
          <w:rFonts w:asciiTheme="majorHAnsi" w:hAnsiTheme="majorHAnsi" w:cstheme="majorHAnsi"/>
          <w:szCs w:val="20"/>
        </w:rPr>
        <w:t xml:space="preserve">to OTC </w:t>
      </w:r>
      <w:r w:rsidR="00B47C4D" w:rsidRPr="00A84878">
        <w:rPr>
          <w:rFonts w:asciiTheme="majorHAnsi" w:hAnsiTheme="majorHAnsi" w:cstheme="majorHAnsi"/>
          <w:szCs w:val="20"/>
        </w:rPr>
        <w:t>d</w:t>
      </w:r>
      <w:r w:rsidR="00783006" w:rsidRPr="00A84878">
        <w:rPr>
          <w:rFonts w:asciiTheme="majorHAnsi" w:hAnsiTheme="majorHAnsi" w:cstheme="majorHAnsi"/>
          <w:szCs w:val="20"/>
        </w:rPr>
        <w:t xml:space="preserve">erivatives, and not </w:t>
      </w:r>
      <w:r w:rsidR="00B47C4D" w:rsidRPr="00A84878">
        <w:rPr>
          <w:rFonts w:asciiTheme="majorHAnsi" w:hAnsiTheme="majorHAnsi" w:cstheme="majorHAnsi"/>
          <w:szCs w:val="20"/>
        </w:rPr>
        <w:t>to exchange-traded derivatives.</w:t>
      </w:r>
      <w:r w:rsidR="00460655" w:rsidRPr="00A84878">
        <w:rPr>
          <w:rFonts w:asciiTheme="majorHAnsi" w:hAnsiTheme="majorHAnsi" w:cstheme="majorHAnsi"/>
          <w:szCs w:val="20"/>
        </w:rPr>
        <w:t xml:space="preserve"> </w:t>
      </w:r>
      <w:proofErr w:type="gramStart"/>
      <w:r w:rsidR="00AE3769" w:rsidRPr="00A84878">
        <w:rPr>
          <w:rFonts w:asciiTheme="majorHAnsi" w:hAnsiTheme="majorHAnsi" w:cstheme="majorHAnsi"/>
          <w:szCs w:val="20"/>
        </w:rPr>
        <w:t>As a consequence</w:t>
      </w:r>
      <w:proofErr w:type="gramEnd"/>
      <w:r w:rsidR="00AE3769" w:rsidRPr="00A84878">
        <w:rPr>
          <w:rFonts w:asciiTheme="majorHAnsi" w:hAnsiTheme="majorHAnsi" w:cstheme="majorHAnsi"/>
          <w:szCs w:val="20"/>
        </w:rPr>
        <w:t>,</w:t>
      </w:r>
      <w:r w:rsidR="00B22385" w:rsidRPr="00A84878">
        <w:rPr>
          <w:rFonts w:asciiTheme="majorHAnsi" w:hAnsiTheme="majorHAnsi" w:cstheme="majorHAnsi"/>
          <w:szCs w:val="20"/>
        </w:rPr>
        <w:t xml:space="preserve"> </w:t>
      </w:r>
      <w:r w:rsidRPr="00A84878">
        <w:rPr>
          <w:rFonts w:asciiTheme="majorHAnsi" w:hAnsiTheme="majorHAnsi" w:cstheme="majorHAnsi"/>
          <w:szCs w:val="20"/>
        </w:rPr>
        <w:t xml:space="preserve">FCs </w:t>
      </w:r>
      <w:r w:rsidR="00B22385" w:rsidRPr="00A84878">
        <w:rPr>
          <w:rFonts w:asciiTheme="majorHAnsi" w:hAnsiTheme="majorHAnsi" w:cstheme="majorHAnsi"/>
          <w:szCs w:val="20"/>
        </w:rPr>
        <w:t xml:space="preserve">that enter into both OTC and exchange-traded derivatives </w:t>
      </w:r>
      <w:r w:rsidRPr="00A84878">
        <w:rPr>
          <w:rFonts w:asciiTheme="majorHAnsi" w:hAnsiTheme="majorHAnsi" w:cstheme="majorHAnsi"/>
          <w:szCs w:val="20"/>
        </w:rPr>
        <w:t xml:space="preserve">with NFC-s </w:t>
      </w:r>
      <w:r w:rsidR="00B22385" w:rsidRPr="00A84878">
        <w:rPr>
          <w:rFonts w:asciiTheme="majorHAnsi" w:hAnsiTheme="majorHAnsi" w:cstheme="majorHAnsi"/>
          <w:szCs w:val="20"/>
        </w:rPr>
        <w:t xml:space="preserve">may find that they have to adopt two different approaches to reporting, with Mandatory Reporting applying to their OTC derivatives but not to their exchange-traded derivatives. </w:t>
      </w:r>
    </w:p>
    <w:p w14:paraId="777C7D48" w14:textId="2EAA7BED" w:rsidR="006D77F6" w:rsidRPr="00A84878" w:rsidRDefault="004B2DD7" w:rsidP="00DE54BD">
      <w:pPr>
        <w:pStyle w:val="Body"/>
        <w:rPr>
          <w:rFonts w:asciiTheme="majorHAnsi" w:hAnsiTheme="majorHAnsi" w:cstheme="majorHAnsi"/>
          <w:szCs w:val="20"/>
        </w:rPr>
      </w:pPr>
      <w:r w:rsidRPr="00A84878">
        <w:rPr>
          <w:rFonts w:asciiTheme="majorHAnsi" w:hAnsiTheme="majorHAnsi" w:cstheme="majorHAnsi"/>
          <w:szCs w:val="20"/>
        </w:rPr>
        <w:t xml:space="preserve">The reporting requirements under EMIR are made more complex by the fact that </w:t>
      </w:r>
      <w:r w:rsidR="009C62B0" w:rsidRPr="00A84878">
        <w:rPr>
          <w:rFonts w:asciiTheme="majorHAnsi" w:hAnsiTheme="majorHAnsi" w:cstheme="majorHAnsi"/>
          <w:szCs w:val="20"/>
        </w:rPr>
        <w:t xml:space="preserve">the definition of an </w:t>
      </w:r>
      <w:r w:rsidRPr="00A84878">
        <w:rPr>
          <w:rFonts w:asciiTheme="majorHAnsi" w:hAnsiTheme="majorHAnsi" w:cstheme="majorHAnsi"/>
          <w:szCs w:val="20"/>
        </w:rPr>
        <w:t>OTC</w:t>
      </w:r>
      <w:r w:rsidR="009C62B0" w:rsidRPr="00A84878">
        <w:rPr>
          <w:rFonts w:asciiTheme="majorHAnsi" w:hAnsiTheme="majorHAnsi" w:cstheme="majorHAnsi"/>
          <w:szCs w:val="20"/>
        </w:rPr>
        <w:t xml:space="preserve"> derivative under EMIR </w:t>
      </w:r>
      <w:r w:rsidR="009E13E4" w:rsidRPr="00A84878">
        <w:rPr>
          <w:rFonts w:asciiTheme="majorHAnsi" w:hAnsiTheme="majorHAnsi" w:cstheme="majorHAnsi"/>
          <w:szCs w:val="20"/>
        </w:rPr>
        <w:t>includes</w:t>
      </w:r>
      <w:r w:rsidR="009C62B0" w:rsidRPr="00A84878">
        <w:rPr>
          <w:rFonts w:asciiTheme="majorHAnsi" w:hAnsiTheme="majorHAnsi" w:cstheme="majorHAnsi"/>
          <w:szCs w:val="20"/>
        </w:rPr>
        <w:t xml:space="preserve"> </w:t>
      </w:r>
      <w:r w:rsidR="00DE19BB">
        <w:rPr>
          <w:rFonts w:asciiTheme="majorHAnsi" w:hAnsiTheme="majorHAnsi" w:cstheme="majorHAnsi"/>
          <w:szCs w:val="20"/>
        </w:rPr>
        <w:t xml:space="preserve">exchange-traded derivatives </w:t>
      </w:r>
      <w:r w:rsidR="009C62B0" w:rsidRPr="00A84878">
        <w:rPr>
          <w:rFonts w:asciiTheme="majorHAnsi" w:hAnsiTheme="majorHAnsi" w:cstheme="majorHAnsi"/>
          <w:szCs w:val="20"/>
        </w:rPr>
        <w:t>executed on non-equivalent non-EU trading venues</w:t>
      </w:r>
      <w:r w:rsidR="00342688" w:rsidRPr="00A84878">
        <w:rPr>
          <w:rFonts w:asciiTheme="majorHAnsi" w:hAnsiTheme="majorHAnsi" w:cstheme="majorHAnsi"/>
          <w:szCs w:val="20"/>
        </w:rPr>
        <w:t xml:space="preserve"> (equivalence of a third</w:t>
      </w:r>
      <w:r w:rsidR="00454E9F">
        <w:rPr>
          <w:rFonts w:asciiTheme="majorHAnsi" w:hAnsiTheme="majorHAnsi" w:cstheme="majorHAnsi"/>
          <w:szCs w:val="20"/>
        </w:rPr>
        <w:t xml:space="preserve"> </w:t>
      </w:r>
      <w:r w:rsidR="00342688" w:rsidRPr="00A84878">
        <w:rPr>
          <w:rFonts w:asciiTheme="majorHAnsi" w:hAnsiTheme="majorHAnsi" w:cstheme="majorHAnsi"/>
          <w:szCs w:val="20"/>
        </w:rPr>
        <w:t xml:space="preserve">country market is determined in accordance with Article </w:t>
      </w:r>
      <w:r w:rsidR="003F7D19" w:rsidRPr="00A84878">
        <w:rPr>
          <w:rFonts w:asciiTheme="majorHAnsi" w:hAnsiTheme="majorHAnsi" w:cstheme="majorHAnsi"/>
          <w:szCs w:val="20"/>
        </w:rPr>
        <w:t>2a of EMIR</w:t>
      </w:r>
      <w:r w:rsidR="00342688" w:rsidRPr="00A84878">
        <w:rPr>
          <w:rFonts w:asciiTheme="majorHAnsi" w:hAnsiTheme="majorHAnsi" w:cstheme="majorHAnsi"/>
          <w:szCs w:val="20"/>
        </w:rPr>
        <w:t xml:space="preserve">). This means that an FC </w:t>
      </w:r>
      <w:r w:rsidR="000F1A48">
        <w:rPr>
          <w:rFonts w:asciiTheme="majorHAnsi" w:hAnsiTheme="majorHAnsi" w:cstheme="majorHAnsi"/>
          <w:szCs w:val="20"/>
        </w:rPr>
        <w:t>is</w:t>
      </w:r>
      <w:r w:rsidR="00342688" w:rsidRPr="00A84878">
        <w:rPr>
          <w:rFonts w:asciiTheme="majorHAnsi" w:hAnsiTheme="majorHAnsi" w:cstheme="majorHAnsi"/>
          <w:szCs w:val="20"/>
        </w:rPr>
        <w:t xml:space="preserve"> responsible and legally liable for reporting the details of </w:t>
      </w:r>
      <w:r w:rsidR="00DE19BB">
        <w:rPr>
          <w:rFonts w:asciiTheme="majorHAnsi" w:hAnsiTheme="majorHAnsi" w:cstheme="majorHAnsi"/>
          <w:szCs w:val="20"/>
        </w:rPr>
        <w:t>exchange-traded derivatives</w:t>
      </w:r>
      <w:r w:rsidR="00342688" w:rsidRPr="00A84878">
        <w:rPr>
          <w:rFonts w:asciiTheme="majorHAnsi" w:hAnsiTheme="majorHAnsi" w:cstheme="majorHAnsi"/>
          <w:szCs w:val="20"/>
        </w:rPr>
        <w:t xml:space="preserve"> on such venues on behalf of an NFC-.</w:t>
      </w:r>
    </w:p>
    <w:p w14:paraId="7DDF2AD0" w14:textId="2AF2FC8D" w:rsidR="00783006" w:rsidRPr="00A84878" w:rsidRDefault="00342688" w:rsidP="00DE54BD">
      <w:pPr>
        <w:pStyle w:val="Body"/>
        <w:rPr>
          <w:rFonts w:asciiTheme="majorHAnsi" w:hAnsiTheme="majorHAnsi" w:cstheme="majorHAnsi"/>
          <w:szCs w:val="20"/>
        </w:rPr>
      </w:pPr>
      <w:r w:rsidRPr="00A84878">
        <w:rPr>
          <w:rFonts w:asciiTheme="majorHAnsi" w:hAnsiTheme="majorHAnsi" w:cstheme="majorHAnsi"/>
          <w:szCs w:val="20"/>
        </w:rPr>
        <w:t xml:space="preserve">The </w:t>
      </w:r>
      <w:r w:rsidR="00A21FAE" w:rsidRPr="00A84878">
        <w:rPr>
          <w:rFonts w:asciiTheme="majorHAnsi" w:hAnsiTheme="majorHAnsi" w:cstheme="majorHAnsi"/>
          <w:szCs w:val="20"/>
        </w:rPr>
        <w:t>‘</w:t>
      </w:r>
      <w:r w:rsidRPr="00A84878">
        <w:rPr>
          <w:rFonts w:asciiTheme="majorHAnsi" w:hAnsiTheme="majorHAnsi" w:cstheme="majorHAnsi"/>
          <w:szCs w:val="20"/>
        </w:rPr>
        <w:t>Mandatory Reporting Opt-Out</w:t>
      </w:r>
      <w:r w:rsidR="00A21FAE" w:rsidRPr="00A84878">
        <w:rPr>
          <w:rFonts w:asciiTheme="majorHAnsi" w:hAnsiTheme="majorHAnsi" w:cstheme="majorHAnsi"/>
          <w:szCs w:val="20"/>
        </w:rPr>
        <w:t>’</w:t>
      </w:r>
      <w:r w:rsidRPr="00A84878">
        <w:rPr>
          <w:rFonts w:asciiTheme="majorHAnsi" w:hAnsiTheme="majorHAnsi" w:cstheme="majorHAnsi"/>
          <w:szCs w:val="20"/>
        </w:rPr>
        <w:t xml:space="preserve"> in the Derivatives Annex of the MRRA </w:t>
      </w:r>
      <w:r w:rsidR="006D77F6" w:rsidRPr="00A84878">
        <w:rPr>
          <w:rFonts w:asciiTheme="majorHAnsi" w:hAnsiTheme="majorHAnsi" w:cstheme="majorHAnsi"/>
          <w:szCs w:val="20"/>
        </w:rPr>
        <w:t>may be</w:t>
      </w:r>
      <w:r w:rsidRPr="00A84878">
        <w:rPr>
          <w:rFonts w:asciiTheme="majorHAnsi" w:hAnsiTheme="majorHAnsi" w:cstheme="majorHAnsi"/>
          <w:szCs w:val="20"/>
        </w:rPr>
        <w:t xml:space="preserve"> useful in this regard</w:t>
      </w:r>
      <w:r w:rsidR="00BA773B" w:rsidRPr="00A84878">
        <w:rPr>
          <w:rFonts w:asciiTheme="majorHAnsi" w:hAnsiTheme="majorHAnsi" w:cstheme="majorHAnsi"/>
          <w:szCs w:val="20"/>
        </w:rPr>
        <w:t xml:space="preserve">; the NFC- may choose to opt-out of Mandatory Reporting in respect of </w:t>
      </w:r>
      <w:r w:rsidR="009E13E4" w:rsidRPr="00A84878">
        <w:rPr>
          <w:rFonts w:asciiTheme="majorHAnsi" w:hAnsiTheme="majorHAnsi" w:cstheme="majorHAnsi"/>
          <w:szCs w:val="20"/>
        </w:rPr>
        <w:t>e</w:t>
      </w:r>
      <w:r w:rsidR="00BA773B" w:rsidRPr="00A84878">
        <w:rPr>
          <w:rFonts w:asciiTheme="majorHAnsi" w:hAnsiTheme="majorHAnsi" w:cstheme="majorHAnsi"/>
          <w:szCs w:val="20"/>
        </w:rPr>
        <w:t>xchange-</w:t>
      </w:r>
      <w:r w:rsidR="009E13E4" w:rsidRPr="00A84878">
        <w:rPr>
          <w:rFonts w:asciiTheme="majorHAnsi" w:hAnsiTheme="majorHAnsi" w:cstheme="majorHAnsi"/>
          <w:szCs w:val="20"/>
        </w:rPr>
        <w:t>t</w:t>
      </w:r>
      <w:r w:rsidR="00BA773B" w:rsidRPr="00A84878">
        <w:rPr>
          <w:rFonts w:asciiTheme="majorHAnsi" w:hAnsiTheme="majorHAnsi" w:cstheme="majorHAnsi"/>
          <w:szCs w:val="20"/>
        </w:rPr>
        <w:t xml:space="preserve">raded </w:t>
      </w:r>
      <w:r w:rsidR="009E13E4" w:rsidRPr="00A84878">
        <w:rPr>
          <w:rFonts w:asciiTheme="majorHAnsi" w:hAnsiTheme="majorHAnsi" w:cstheme="majorHAnsi"/>
          <w:szCs w:val="20"/>
        </w:rPr>
        <w:t>d</w:t>
      </w:r>
      <w:r w:rsidR="00BA773B" w:rsidRPr="00A84878">
        <w:rPr>
          <w:rFonts w:asciiTheme="majorHAnsi" w:hAnsiTheme="majorHAnsi" w:cstheme="majorHAnsi"/>
          <w:szCs w:val="20"/>
        </w:rPr>
        <w:t xml:space="preserve">erivatives categorised as OTC </w:t>
      </w:r>
      <w:r w:rsidR="009E13E4" w:rsidRPr="00A84878">
        <w:rPr>
          <w:rFonts w:asciiTheme="majorHAnsi" w:hAnsiTheme="majorHAnsi" w:cstheme="majorHAnsi"/>
          <w:szCs w:val="20"/>
        </w:rPr>
        <w:t>D</w:t>
      </w:r>
      <w:r w:rsidR="00BA773B" w:rsidRPr="00A84878">
        <w:rPr>
          <w:rFonts w:asciiTheme="majorHAnsi" w:hAnsiTheme="majorHAnsi" w:cstheme="majorHAnsi"/>
          <w:szCs w:val="20"/>
        </w:rPr>
        <w:t xml:space="preserve">erivatives. </w:t>
      </w:r>
      <w:r w:rsidR="009E13E4" w:rsidRPr="00A84878">
        <w:rPr>
          <w:rFonts w:asciiTheme="majorHAnsi" w:hAnsiTheme="majorHAnsi" w:cstheme="majorHAnsi"/>
          <w:szCs w:val="20"/>
        </w:rPr>
        <w:t>The</w:t>
      </w:r>
      <w:r w:rsidR="00BA773B" w:rsidRPr="00A84878">
        <w:rPr>
          <w:rFonts w:asciiTheme="majorHAnsi" w:hAnsiTheme="majorHAnsi" w:cstheme="majorHAnsi"/>
          <w:szCs w:val="20"/>
        </w:rPr>
        <w:t xml:space="preserve"> Delegated Reporting Provisions </w:t>
      </w:r>
      <w:r w:rsidR="003C51D9">
        <w:rPr>
          <w:rFonts w:asciiTheme="majorHAnsi" w:hAnsiTheme="majorHAnsi" w:cstheme="majorHAnsi"/>
          <w:szCs w:val="20"/>
        </w:rPr>
        <w:t>c</w:t>
      </w:r>
      <w:r w:rsidR="00BA773B" w:rsidRPr="00A84878">
        <w:rPr>
          <w:rFonts w:asciiTheme="majorHAnsi" w:hAnsiTheme="majorHAnsi" w:cstheme="majorHAnsi"/>
          <w:szCs w:val="20"/>
        </w:rPr>
        <w:t xml:space="preserve">ould </w:t>
      </w:r>
      <w:r w:rsidR="009E13E4" w:rsidRPr="00A84878">
        <w:rPr>
          <w:rFonts w:asciiTheme="majorHAnsi" w:hAnsiTheme="majorHAnsi" w:cstheme="majorHAnsi"/>
          <w:szCs w:val="20"/>
        </w:rPr>
        <w:t xml:space="preserve">then </w:t>
      </w:r>
      <w:r w:rsidR="00BA773B" w:rsidRPr="00A84878">
        <w:rPr>
          <w:rFonts w:asciiTheme="majorHAnsi" w:hAnsiTheme="majorHAnsi" w:cstheme="majorHAnsi"/>
          <w:szCs w:val="20"/>
        </w:rPr>
        <w:t xml:space="preserve">apply </w:t>
      </w:r>
      <w:r w:rsidR="003C51D9">
        <w:rPr>
          <w:rFonts w:asciiTheme="majorHAnsi" w:hAnsiTheme="majorHAnsi" w:cstheme="majorHAnsi"/>
          <w:szCs w:val="20"/>
        </w:rPr>
        <w:t>both to</w:t>
      </w:r>
      <w:r w:rsidR="009E13E4" w:rsidRPr="00A84878">
        <w:rPr>
          <w:rFonts w:asciiTheme="majorHAnsi" w:hAnsiTheme="majorHAnsi" w:cstheme="majorHAnsi"/>
          <w:szCs w:val="20"/>
        </w:rPr>
        <w:t xml:space="preserve"> </w:t>
      </w:r>
      <w:r w:rsidR="00DE19BB">
        <w:rPr>
          <w:rFonts w:asciiTheme="majorHAnsi" w:hAnsiTheme="majorHAnsi" w:cstheme="majorHAnsi"/>
          <w:szCs w:val="20"/>
        </w:rPr>
        <w:t>E</w:t>
      </w:r>
      <w:r w:rsidR="00BA773B" w:rsidRPr="00A84878">
        <w:rPr>
          <w:rFonts w:asciiTheme="majorHAnsi" w:hAnsiTheme="majorHAnsi" w:cstheme="majorHAnsi"/>
          <w:szCs w:val="20"/>
        </w:rPr>
        <w:t>xchange-</w:t>
      </w:r>
      <w:r w:rsidR="00DE19BB">
        <w:rPr>
          <w:rFonts w:asciiTheme="majorHAnsi" w:hAnsiTheme="majorHAnsi" w:cstheme="majorHAnsi"/>
          <w:szCs w:val="20"/>
        </w:rPr>
        <w:t>T</w:t>
      </w:r>
      <w:r w:rsidR="00BA773B" w:rsidRPr="00A84878">
        <w:rPr>
          <w:rFonts w:asciiTheme="majorHAnsi" w:hAnsiTheme="majorHAnsi" w:cstheme="majorHAnsi"/>
          <w:szCs w:val="20"/>
        </w:rPr>
        <w:t xml:space="preserve">raded </w:t>
      </w:r>
      <w:r w:rsidR="00DE19BB">
        <w:rPr>
          <w:rFonts w:asciiTheme="majorHAnsi" w:hAnsiTheme="majorHAnsi" w:cstheme="majorHAnsi"/>
          <w:szCs w:val="20"/>
        </w:rPr>
        <w:t>D</w:t>
      </w:r>
      <w:r w:rsidR="00BA773B" w:rsidRPr="00A84878">
        <w:rPr>
          <w:rFonts w:asciiTheme="majorHAnsi" w:hAnsiTheme="majorHAnsi" w:cstheme="majorHAnsi"/>
          <w:szCs w:val="20"/>
        </w:rPr>
        <w:t xml:space="preserve">erivatives and </w:t>
      </w:r>
      <w:r w:rsidR="009E13E4" w:rsidRPr="00A84878">
        <w:rPr>
          <w:rFonts w:asciiTheme="majorHAnsi" w:hAnsiTheme="majorHAnsi" w:cstheme="majorHAnsi"/>
          <w:szCs w:val="20"/>
        </w:rPr>
        <w:t>e</w:t>
      </w:r>
      <w:r w:rsidR="00BA773B" w:rsidRPr="00A84878">
        <w:rPr>
          <w:rFonts w:asciiTheme="majorHAnsi" w:hAnsiTheme="majorHAnsi" w:cstheme="majorHAnsi"/>
          <w:szCs w:val="20"/>
        </w:rPr>
        <w:t>xchange-</w:t>
      </w:r>
      <w:r w:rsidR="009E13E4" w:rsidRPr="00A84878">
        <w:rPr>
          <w:rFonts w:asciiTheme="majorHAnsi" w:hAnsiTheme="majorHAnsi" w:cstheme="majorHAnsi"/>
          <w:szCs w:val="20"/>
        </w:rPr>
        <w:t>t</w:t>
      </w:r>
      <w:r w:rsidR="00BA773B" w:rsidRPr="00A84878">
        <w:rPr>
          <w:rFonts w:asciiTheme="majorHAnsi" w:hAnsiTheme="majorHAnsi" w:cstheme="majorHAnsi"/>
          <w:szCs w:val="20"/>
        </w:rPr>
        <w:t xml:space="preserve">raded </w:t>
      </w:r>
      <w:r w:rsidR="009E13E4" w:rsidRPr="00A84878">
        <w:rPr>
          <w:rFonts w:asciiTheme="majorHAnsi" w:hAnsiTheme="majorHAnsi" w:cstheme="majorHAnsi"/>
          <w:szCs w:val="20"/>
        </w:rPr>
        <w:t>d</w:t>
      </w:r>
      <w:r w:rsidR="00BA773B" w:rsidRPr="00A84878">
        <w:rPr>
          <w:rFonts w:asciiTheme="majorHAnsi" w:hAnsiTheme="majorHAnsi" w:cstheme="majorHAnsi"/>
          <w:szCs w:val="20"/>
        </w:rPr>
        <w:t>erivat</w:t>
      </w:r>
      <w:r w:rsidR="00E54AC9" w:rsidRPr="00A84878">
        <w:rPr>
          <w:rFonts w:asciiTheme="majorHAnsi" w:hAnsiTheme="majorHAnsi" w:cstheme="majorHAnsi"/>
          <w:szCs w:val="20"/>
        </w:rPr>
        <w:t>iv</w:t>
      </w:r>
      <w:r w:rsidR="00BA773B" w:rsidRPr="00A84878">
        <w:rPr>
          <w:rFonts w:asciiTheme="majorHAnsi" w:hAnsiTheme="majorHAnsi" w:cstheme="majorHAnsi"/>
          <w:szCs w:val="20"/>
        </w:rPr>
        <w:t xml:space="preserve">es categorised as OTC </w:t>
      </w:r>
      <w:r w:rsidR="009E13E4" w:rsidRPr="00A84878">
        <w:rPr>
          <w:rFonts w:asciiTheme="majorHAnsi" w:hAnsiTheme="majorHAnsi" w:cstheme="majorHAnsi"/>
          <w:szCs w:val="20"/>
        </w:rPr>
        <w:t>D</w:t>
      </w:r>
      <w:r w:rsidR="00BA773B" w:rsidRPr="00A84878">
        <w:rPr>
          <w:rFonts w:asciiTheme="majorHAnsi" w:hAnsiTheme="majorHAnsi" w:cstheme="majorHAnsi"/>
          <w:szCs w:val="20"/>
        </w:rPr>
        <w:t>erivatives</w:t>
      </w:r>
      <w:r w:rsidR="009E13E4" w:rsidRPr="00A84878">
        <w:rPr>
          <w:rFonts w:asciiTheme="majorHAnsi" w:hAnsiTheme="majorHAnsi" w:cstheme="majorHAnsi"/>
          <w:szCs w:val="20"/>
        </w:rPr>
        <w:t>. T</w:t>
      </w:r>
      <w:r w:rsidR="00BA773B" w:rsidRPr="00A84878">
        <w:rPr>
          <w:rFonts w:asciiTheme="majorHAnsi" w:hAnsiTheme="majorHAnsi" w:cstheme="majorHAnsi"/>
          <w:szCs w:val="20"/>
        </w:rPr>
        <w:t xml:space="preserve">he Mandatory Reporting Provisions would apply only to </w:t>
      </w:r>
      <w:r w:rsidR="009E13E4" w:rsidRPr="00A84878">
        <w:rPr>
          <w:rFonts w:asciiTheme="majorHAnsi" w:hAnsiTheme="majorHAnsi" w:cstheme="majorHAnsi"/>
          <w:szCs w:val="20"/>
        </w:rPr>
        <w:t xml:space="preserve">any </w:t>
      </w:r>
      <w:r w:rsidR="00BA773B" w:rsidRPr="00A84878">
        <w:rPr>
          <w:rFonts w:asciiTheme="majorHAnsi" w:hAnsiTheme="majorHAnsi" w:cstheme="majorHAnsi"/>
          <w:szCs w:val="20"/>
        </w:rPr>
        <w:t xml:space="preserve">other OTC </w:t>
      </w:r>
      <w:r w:rsidR="009E13E4" w:rsidRPr="00A84878">
        <w:rPr>
          <w:rFonts w:asciiTheme="majorHAnsi" w:hAnsiTheme="majorHAnsi" w:cstheme="majorHAnsi"/>
          <w:szCs w:val="20"/>
        </w:rPr>
        <w:t>D</w:t>
      </w:r>
      <w:r w:rsidR="00BA773B" w:rsidRPr="00A84878">
        <w:rPr>
          <w:rFonts w:asciiTheme="majorHAnsi" w:hAnsiTheme="majorHAnsi" w:cstheme="majorHAnsi"/>
          <w:szCs w:val="20"/>
        </w:rPr>
        <w:t xml:space="preserve">erivatives. </w:t>
      </w:r>
      <w:r w:rsidR="009E13E4" w:rsidRPr="00A84878">
        <w:rPr>
          <w:rFonts w:asciiTheme="majorHAnsi" w:hAnsiTheme="majorHAnsi" w:cstheme="majorHAnsi"/>
          <w:szCs w:val="20"/>
        </w:rPr>
        <w:t>T</w:t>
      </w:r>
      <w:r w:rsidR="00BA773B" w:rsidRPr="00A84878">
        <w:rPr>
          <w:rFonts w:asciiTheme="majorHAnsi" w:hAnsiTheme="majorHAnsi" w:cstheme="majorHAnsi"/>
          <w:szCs w:val="20"/>
        </w:rPr>
        <w:t xml:space="preserve">his may assist with addressing the practical difficulties associated with </w:t>
      </w:r>
      <w:r w:rsidR="00DE19BB">
        <w:rPr>
          <w:rFonts w:asciiTheme="majorHAnsi" w:hAnsiTheme="majorHAnsi" w:cstheme="majorHAnsi"/>
          <w:szCs w:val="20"/>
        </w:rPr>
        <w:t xml:space="preserve">different reporting models </w:t>
      </w:r>
      <w:r w:rsidR="00DE19BB">
        <w:rPr>
          <w:rFonts w:asciiTheme="majorHAnsi" w:hAnsiTheme="majorHAnsi" w:cstheme="majorHAnsi"/>
          <w:szCs w:val="20"/>
        </w:rPr>
        <w:lastRenderedPageBreak/>
        <w:t>for</w:t>
      </w:r>
      <w:r w:rsidR="00BA773B" w:rsidRPr="00A84878">
        <w:rPr>
          <w:rFonts w:asciiTheme="majorHAnsi" w:hAnsiTheme="majorHAnsi" w:cstheme="majorHAnsi"/>
          <w:szCs w:val="20"/>
        </w:rPr>
        <w:t xml:space="preserve"> </w:t>
      </w:r>
      <w:r w:rsidR="009E13E4" w:rsidRPr="00A84878">
        <w:rPr>
          <w:rFonts w:asciiTheme="majorHAnsi" w:hAnsiTheme="majorHAnsi" w:cstheme="majorHAnsi"/>
          <w:szCs w:val="20"/>
        </w:rPr>
        <w:t>E</w:t>
      </w:r>
      <w:r w:rsidR="00BA773B" w:rsidRPr="00A84878">
        <w:rPr>
          <w:rFonts w:asciiTheme="majorHAnsi" w:hAnsiTheme="majorHAnsi" w:cstheme="majorHAnsi"/>
          <w:szCs w:val="20"/>
        </w:rPr>
        <w:t>xchange-</w:t>
      </w:r>
      <w:r w:rsidR="009E13E4" w:rsidRPr="00A84878">
        <w:rPr>
          <w:rFonts w:asciiTheme="majorHAnsi" w:hAnsiTheme="majorHAnsi" w:cstheme="majorHAnsi"/>
          <w:szCs w:val="20"/>
        </w:rPr>
        <w:t>T</w:t>
      </w:r>
      <w:r w:rsidR="00BA773B" w:rsidRPr="00A84878">
        <w:rPr>
          <w:rFonts w:asciiTheme="majorHAnsi" w:hAnsiTheme="majorHAnsi" w:cstheme="majorHAnsi"/>
          <w:szCs w:val="20"/>
        </w:rPr>
        <w:t xml:space="preserve">raded </w:t>
      </w:r>
      <w:r w:rsidR="009E13E4" w:rsidRPr="00A84878">
        <w:rPr>
          <w:rFonts w:asciiTheme="majorHAnsi" w:hAnsiTheme="majorHAnsi" w:cstheme="majorHAnsi"/>
          <w:szCs w:val="20"/>
        </w:rPr>
        <w:t>D</w:t>
      </w:r>
      <w:r w:rsidR="00BA773B" w:rsidRPr="00A84878">
        <w:rPr>
          <w:rFonts w:asciiTheme="majorHAnsi" w:hAnsiTheme="majorHAnsi" w:cstheme="majorHAnsi"/>
          <w:szCs w:val="20"/>
        </w:rPr>
        <w:t xml:space="preserve">erivatives and venue-traded derivatives that are categorised as OTC </w:t>
      </w:r>
      <w:r w:rsidR="007B0FE0">
        <w:rPr>
          <w:rFonts w:asciiTheme="majorHAnsi" w:hAnsiTheme="majorHAnsi" w:cstheme="majorHAnsi"/>
          <w:szCs w:val="20"/>
        </w:rPr>
        <w:t>D</w:t>
      </w:r>
      <w:r w:rsidR="00BA773B" w:rsidRPr="00A84878">
        <w:rPr>
          <w:rFonts w:asciiTheme="majorHAnsi" w:hAnsiTheme="majorHAnsi" w:cstheme="majorHAnsi"/>
          <w:szCs w:val="20"/>
        </w:rPr>
        <w:t>erivatives under EMIR</w:t>
      </w:r>
      <w:r w:rsidR="005B393D" w:rsidRPr="00650477">
        <w:rPr>
          <w:rFonts w:asciiTheme="majorHAnsi" w:hAnsiTheme="majorHAnsi" w:cstheme="majorHAnsi"/>
          <w:szCs w:val="20"/>
        </w:rPr>
        <w:t>.</w:t>
      </w:r>
      <w:r w:rsidR="000B00CC" w:rsidRPr="00A84878">
        <w:rPr>
          <w:rStyle w:val="FootnoteReference"/>
          <w:rFonts w:asciiTheme="majorHAnsi" w:hAnsiTheme="majorHAnsi" w:cstheme="majorHAnsi"/>
          <w:szCs w:val="20"/>
        </w:rPr>
        <w:footnoteReference w:id="9"/>
      </w:r>
    </w:p>
    <w:p w14:paraId="5CACB248" w14:textId="77777777" w:rsidR="000C7CE9" w:rsidRDefault="0055510F" w:rsidP="00DE54BD">
      <w:pPr>
        <w:pStyle w:val="Body"/>
        <w:rPr>
          <w:rFonts w:asciiTheme="majorHAnsi" w:hAnsiTheme="majorHAnsi" w:cstheme="majorHAnsi"/>
          <w:szCs w:val="20"/>
        </w:rPr>
      </w:pPr>
      <w:r w:rsidRPr="00A84878">
        <w:rPr>
          <w:rFonts w:asciiTheme="majorHAnsi" w:hAnsiTheme="majorHAnsi" w:cstheme="majorHAnsi"/>
          <w:szCs w:val="20"/>
        </w:rPr>
        <w:t xml:space="preserve">The </w:t>
      </w:r>
      <w:r w:rsidRPr="001C7D3D">
        <w:rPr>
          <w:rFonts w:asciiTheme="majorHAnsi" w:hAnsiTheme="majorHAnsi" w:cstheme="majorHAnsi"/>
          <w:szCs w:val="20"/>
        </w:rPr>
        <w:t xml:space="preserve">information </w:t>
      </w:r>
      <w:r w:rsidR="00E31804" w:rsidRPr="001C7D3D">
        <w:rPr>
          <w:rFonts w:asciiTheme="majorHAnsi" w:hAnsiTheme="majorHAnsi" w:cstheme="majorHAnsi"/>
          <w:szCs w:val="20"/>
        </w:rPr>
        <w:t>that</w:t>
      </w:r>
      <w:r w:rsidR="00E31804" w:rsidRPr="00A84878">
        <w:rPr>
          <w:rFonts w:asciiTheme="majorHAnsi" w:hAnsiTheme="majorHAnsi" w:cstheme="majorHAnsi"/>
          <w:szCs w:val="20"/>
        </w:rPr>
        <w:t xml:space="preserve"> </w:t>
      </w:r>
      <w:r w:rsidR="00E54AC9" w:rsidRPr="00A84878">
        <w:rPr>
          <w:rFonts w:asciiTheme="majorHAnsi" w:hAnsiTheme="majorHAnsi" w:cstheme="majorHAnsi"/>
          <w:szCs w:val="20"/>
        </w:rPr>
        <w:t>the Reporting Party</w:t>
      </w:r>
      <w:r w:rsidR="00E31804" w:rsidRPr="00A84878">
        <w:rPr>
          <w:rFonts w:asciiTheme="majorHAnsi" w:hAnsiTheme="majorHAnsi" w:cstheme="majorHAnsi"/>
          <w:szCs w:val="20"/>
        </w:rPr>
        <w:t xml:space="preserve"> will need to report </w:t>
      </w:r>
      <w:r w:rsidR="00E54AC9" w:rsidRPr="00A84878">
        <w:rPr>
          <w:rFonts w:asciiTheme="majorHAnsi" w:hAnsiTheme="majorHAnsi" w:cstheme="majorHAnsi"/>
          <w:szCs w:val="20"/>
        </w:rPr>
        <w:t xml:space="preserve">for </w:t>
      </w:r>
      <w:proofErr w:type="gramStart"/>
      <w:r w:rsidR="00E54AC9" w:rsidRPr="00A84878">
        <w:rPr>
          <w:rFonts w:asciiTheme="majorHAnsi" w:hAnsiTheme="majorHAnsi" w:cstheme="majorHAnsi"/>
          <w:szCs w:val="20"/>
        </w:rPr>
        <w:t>itself</w:t>
      </w:r>
      <w:proofErr w:type="gramEnd"/>
      <w:r w:rsidR="00E54AC9" w:rsidRPr="00A84878">
        <w:rPr>
          <w:rFonts w:asciiTheme="majorHAnsi" w:hAnsiTheme="majorHAnsi" w:cstheme="majorHAnsi"/>
          <w:szCs w:val="20"/>
        </w:rPr>
        <w:t xml:space="preserve"> and its counterparty </w:t>
      </w:r>
      <w:r w:rsidRPr="00A84878">
        <w:rPr>
          <w:rFonts w:asciiTheme="majorHAnsi" w:hAnsiTheme="majorHAnsi" w:cstheme="majorHAnsi"/>
          <w:szCs w:val="20"/>
        </w:rPr>
        <w:t xml:space="preserve">is </w:t>
      </w:r>
      <w:r w:rsidR="00682A1F">
        <w:rPr>
          <w:rFonts w:asciiTheme="majorHAnsi" w:hAnsiTheme="majorHAnsi" w:cstheme="majorHAnsi"/>
          <w:szCs w:val="20"/>
        </w:rPr>
        <w:t xml:space="preserve">currently </w:t>
      </w:r>
      <w:r w:rsidR="00E31804" w:rsidRPr="00A84878">
        <w:rPr>
          <w:rFonts w:asciiTheme="majorHAnsi" w:hAnsiTheme="majorHAnsi" w:cstheme="majorHAnsi"/>
          <w:szCs w:val="20"/>
        </w:rPr>
        <w:t xml:space="preserve">set out in </w:t>
      </w:r>
      <w:r w:rsidRPr="00A84878">
        <w:rPr>
          <w:rFonts w:asciiTheme="majorHAnsi" w:hAnsiTheme="majorHAnsi" w:cstheme="majorHAnsi"/>
          <w:szCs w:val="20"/>
        </w:rPr>
        <w:t xml:space="preserve">Tables 1 and 2 of </w:t>
      </w:r>
      <w:r w:rsidR="00E31804" w:rsidRPr="00A84878">
        <w:rPr>
          <w:rFonts w:asciiTheme="majorHAnsi" w:hAnsiTheme="majorHAnsi" w:cstheme="majorHAnsi"/>
          <w:szCs w:val="20"/>
        </w:rPr>
        <w:t xml:space="preserve">the </w:t>
      </w:r>
      <w:r w:rsidRPr="00A84878">
        <w:rPr>
          <w:rFonts w:asciiTheme="majorHAnsi" w:hAnsiTheme="majorHAnsi" w:cstheme="majorHAnsi"/>
          <w:szCs w:val="20"/>
        </w:rPr>
        <w:t xml:space="preserve">EMIR </w:t>
      </w:r>
      <w:r w:rsidR="00E31804" w:rsidRPr="00A84878">
        <w:rPr>
          <w:rFonts w:asciiTheme="majorHAnsi" w:hAnsiTheme="majorHAnsi" w:cstheme="majorHAnsi"/>
          <w:szCs w:val="20"/>
        </w:rPr>
        <w:t>reporting annexes</w:t>
      </w:r>
      <w:r w:rsidRPr="00A84878">
        <w:rPr>
          <w:rStyle w:val="FootnoteReference"/>
          <w:rFonts w:asciiTheme="majorHAnsi" w:hAnsiTheme="majorHAnsi" w:cstheme="majorHAnsi"/>
          <w:szCs w:val="20"/>
        </w:rPr>
        <w:footnoteReference w:id="10"/>
      </w:r>
      <w:r w:rsidRPr="00A84878">
        <w:rPr>
          <w:rFonts w:asciiTheme="majorHAnsi" w:hAnsiTheme="majorHAnsi" w:cstheme="majorHAnsi"/>
          <w:szCs w:val="20"/>
        </w:rPr>
        <w:t xml:space="preserve">. Table 1 details </w:t>
      </w:r>
      <w:r w:rsidR="002165DA" w:rsidRPr="00A84878">
        <w:rPr>
          <w:rFonts w:asciiTheme="majorHAnsi" w:hAnsiTheme="majorHAnsi" w:cstheme="majorHAnsi"/>
          <w:szCs w:val="20"/>
        </w:rPr>
        <w:t>‘</w:t>
      </w:r>
      <w:r w:rsidRPr="00A84878">
        <w:rPr>
          <w:rFonts w:asciiTheme="majorHAnsi" w:hAnsiTheme="majorHAnsi" w:cstheme="majorHAnsi"/>
          <w:szCs w:val="20"/>
        </w:rPr>
        <w:t>Counterparty Data</w:t>
      </w:r>
      <w:r w:rsidR="002165DA" w:rsidRPr="00A84878">
        <w:rPr>
          <w:rFonts w:asciiTheme="majorHAnsi" w:hAnsiTheme="majorHAnsi" w:cstheme="majorHAnsi"/>
          <w:szCs w:val="20"/>
        </w:rPr>
        <w:t>’</w:t>
      </w:r>
      <w:r w:rsidRPr="00A84878">
        <w:rPr>
          <w:rFonts w:asciiTheme="majorHAnsi" w:hAnsiTheme="majorHAnsi" w:cstheme="majorHAnsi"/>
          <w:szCs w:val="20"/>
        </w:rPr>
        <w:t xml:space="preserve">, which includes counterparty ID, </w:t>
      </w:r>
      <w:r w:rsidR="00E54AC9" w:rsidRPr="00A84878">
        <w:rPr>
          <w:rFonts w:asciiTheme="majorHAnsi" w:hAnsiTheme="majorHAnsi" w:cstheme="majorHAnsi"/>
          <w:szCs w:val="20"/>
        </w:rPr>
        <w:t>whether, in the case of an NFC, the transaction is a “hedging” transaction that does not count towards meeting the clearing threshold</w:t>
      </w:r>
      <w:r w:rsidRPr="00A84878">
        <w:rPr>
          <w:rFonts w:asciiTheme="majorHAnsi" w:hAnsiTheme="majorHAnsi" w:cstheme="majorHAnsi"/>
          <w:szCs w:val="20"/>
        </w:rPr>
        <w:t>, mark</w:t>
      </w:r>
      <w:r w:rsidR="0091330C">
        <w:rPr>
          <w:rFonts w:asciiTheme="majorHAnsi" w:hAnsiTheme="majorHAnsi" w:cstheme="majorHAnsi"/>
          <w:szCs w:val="20"/>
        </w:rPr>
        <w:t>-</w:t>
      </w:r>
      <w:r w:rsidRPr="00A84878">
        <w:rPr>
          <w:rFonts w:asciiTheme="majorHAnsi" w:hAnsiTheme="majorHAnsi" w:cstheme="majorHAnsi"/>
          <w:szCs w:val="20"/>
        </w:rPr>
        <w:t>to</w:t>
      </w:r>
      <w:r w:rsidR="0091330C">
        <w:rPr>
          <w:rFonts w:asciiTheme="majorHAnsi" w:hAnsiTheme="majorHAnsi" w:cstheme="majorHAnsi"/>
          <w:szCs w:val="20"/>
        </w:rPr>
        <w:t>-</w:t>
      </w:r>
      <w:r w:rsidRPr="00A84878">
        <w:rPr>
          <w:rFonts w:asciiTheme="majorHAnsi" w:hAnsiTheme="majorHAnsi" w:cstheme="majorHAnsi"/>
          <w:szCs w:val="20"/>
        </w:rPr>
        <w:t xml:space="preserve">market value of </w:t>
      </w:r>
      <w:r w:rsidR="00783006" w:rsidRPr="00A84878">
        <w:rPr>
          <w:rFonts w:asciiTheme="majorHAnsi" w:hAnsiTheme="majorHAnsi" w:cstheme="majorHAnsi"/>
          <w:szCs w:val="20"/>
        </w:rPr>
        <w:t xml:space="preserve">the </w:t>
      </w:r>
      <w:r w:rsidRPr="00A84878">
        <w:rPr>
          <w:rFonts w:asciiTheme="majorHAnsi" w:hAnsiTheme="majorHAnsi" w:cstheme="majorHAnsi"/>
          <w:szCs w:val="20"/>
        </w:rPr>
        <w:t xml:space="preserve">contract and value of collateral. Table 2 details </w:t>
      </w:r>
      <w:r w:rsidR="002165DA" w:rsidRPr="00A84878">
        <w:rPr>
          <w:rFonts w:asciiTheme="majorHAnsi" w:hAnsiTheme="majorHAnsi" w:cstheme="majorHAnsi"/>
          <w:szCs w:val="20"/>
        </w:rPr>
        <w:t>‘</w:t>
      </w:r>
      <w:r w:rsidRPr="00A84878">
        <w:rPr>
          <w:rFonts w:asciiTheme="majorHAnsi" w:hAnsiTheme="majorHAnsi" w:cstheme="majorHAnsi"/>
          <w:szCs w:val="20"/>
        </w:rPr>
        <w:t>Common Data</w:t>
      </w:r>
      <w:r w:rsidR="002165DA" w:rsidRPr="00A84878">
        <w:rPr>
          <w:rFonts w:asciiTheme="majorHAnsi" w:hAnsiTheme="majorHAnsi" w:cstheme="majorHAnsi"/>
          <w:szCs w:val="20"/>
        </w:rPr>
        <w:t>’</w:t>
      </w:r>
      <w:r w:rsidRPr="00A84878">
        <w:rPr>
          <w:rFonts w:asciiTheme="majorHAnsi" w:hAnsiTheme="majorHAnsi" w:cstheme="majorHAnsi"/>
          <w:szCs w:val="20"/>
        </w:rPr>
        <w:t xml:space="preserve">. </w:t>
      </w:r>
      <w:r w:rsidR="00783006" w:rsidRPr="00A84878">
        <w:rPr>
          <w:rFonts w:asciiTheme="majorHAnsi" w:hAnsiTheme="majorHAnsi" w:cstheme="majorHAnsi"/>
          <w:szCs w:val="20"/>
        </w:rPr>
        <w:t>This table i</w:t>
      </w:r>
      <w:r w:rsidRPr="00A84878">
        <w:rPr>
          <w:rFonts w:asciiTheme="majorHAnsi" w:hAnsiTheme="majorHAnsi" w:cstheme="majorHAnsi"/>
          <w:szCs w:val="20"/>
        </w:rPr>
        <w:t>ncludes</w:t>
      </w:r>
      <w:r w:rsidR="00783006" w:rsidRPr="00A84878">
        <w:rPr>
          <w:rFonts w:asciiTheme="majorHAnsi" w:hAnsiTheme="majorHAnsi" w:cstheme="majorHAnsi"/>
          <w:szCs w:val="20"/>
        </w:rPr>
        <w:t xml:space="preserve"> </w:t>
      </w:r>
      <w:r w:rsidRPr="00A84878">
        <w:rPr>
          <w:rFonts w:asciiTheme="majorHAnsi" w:hAnsiTheme="majorHAnsi" w:cstheme="majorHAnsi"/>
          <w:szCs w:val="20"/>
        </w:rPr>
        <w:t xml:space="preserve">maturity date, termination date, trade ID and price/rate. </w:t>
      </w:r>
      <w:r w:rsidR="00783006" w:rsidRPr="00A84878">
        <w:rPr>
          <w:rFonts w:asciiTheme="majorHAnsi" w:hAnsiTheme="majorHAnsi" w:cstheme="majorHAnsi"/>
          <w:szCs w:val="20"/>
        </w:rPr>
        <w:t>The Derivatives Annex of the MRRA includes various elections in respect of this data</w:t>
      </w:r>
      <w:r w:rsidRPr="00A84878">
        <w:rPr>
          <w:rFonts w:asciiTheme="majorHAnsi" w:hAnsiTheme="majorHAnsi" w:cstheme="majorHAnsi"/>
          <w:szCs w:val="20"/>
        </w:rPr>
        <w:t>.</w:t>
      </w:r>
      <w:r w:rsidR="007A74F2">
        <w:rPr>
          <w:rFonts w:asciiTheme="majorHAnsi" w:hAnsiTheme="majorHAnsi" w:cstheme="majorHAnsi"/>
          <w:szCs w:val="20"/>
        </w:rPr>
        <w:t xml:space="preserve"> On </w:t>
      </w:r>
      <w:r w:rsidR="00E271E8">
        <w:rPr>
          <w:rFonts w:asciiTheme="majorHAnsi" w:hAnsiTheme="majorHAnsi" w:cstheme="majorHAnsi"/>
          <w:szCs w:val="20"/>
        </w:rPr>
        <w:t>29 April 2024</w:t>
      </w:r>
      <w:r w:rsidR="00ED52DE">
        <w:rPr>
          <w:rFonts w:asciiTheme="majorHAnsi" w:hAnsiTheme="majorHAnsi" w:cstheme="majorHAnsi"/>
          <w:szCs w:val="20"/>
        </w:rPr>
        <w:t>, technical standards introducing new regulatory reporting</w:t>
      </w:r>
      <w:r w:rsidR="00AE1682">
        <w:rPr>
          <w:rFonts w:asciiTheme="majorHAnsi" w:hAnsiTheme="majorHAnsi" w:cstheme="majorHAnsi"/>
          <w:szCs w:val="20"/>
        </w:rPr>
        <w:t xml:space="preserve"> pursuant to the EMIR REFIT Regulation </w:t>
      </w:r>
      <w:r w:rsidR="00297356">
        <w:rPr>
          <w:rFonts w:asciiTheme="majorHAnsi" w:hAnsiTheme="majorHAnsi" w:cstheme="majorHAnsi"/>
          <w:szCs w:val="20"/>
        </w:rPr>
        <w:t>will come into effect.</w:t>
      </w:r>
      <w:r w:rsidR="0032446C" w:rsidRPr="00A84878">
        <w:rPr>
          <w:rStyle w:val="FootnoteReference"/>
          <w:rFonts w:asciiTheme="majorHAnsi" w:hAnsiTheme="majorHAnsi" w:cstheme="majorHAnsi"/>
          <w:szCs w:val="20"/>
        </w:rPr>
        <w:footnoteReference w:id="11"/>
      </w:r>
      <w:r w:rsidR="00297356">
        <w:rPr>
          <w:rFonts w:asciiTheme="majorHAnsi" w:hAnsiTheme="majorHAnsi" w:cstheme="majorHAnsi"/>
          <w:szCs w:val="20"/>
        </w:rPr>
        <w:t xml:space="preserve"> </w:t>
      </w:r>
      <w:r w:rsidR="007E1FDC">
        <w:rPr>
          <w:rFonts w:asciiTheme="majorHAnsi" w:hAnsiTheme="majorHAnsi" w:cstheme="majorHAnsi"/>
          <w:szCs w:val="20"/>
        </w:rPr>
        <w:t xml:space="preserve">Pursuant to these new technical standards, </w:t>
      </w:r>
      <w:r w:rsidR="00297356">
        <w:rPr>
          <w:rFonts w:asciiTheme="majorHAnsi" w:hAnsiTheme="majorHAnsi" w:cstheme="majorHAnsi"/>
          <w:szCs w:val="20"/>
        </w:rPr>
        <w:t xml:space="preserve">‘Common Data’ will be </w:t>
      </w:r>
      <w:r w:rsidR="00C12587">
        <w:rPr>
          <w:rFonts w:asciiTheme="majorHAnsi" w:hAnsiTheme="majorHAnsi" w:cstheme="majorHAnsi"/>
          <w:szCs w:val="20"/>
        </w:rPr>
        <w:t>detailed in Table 2 and Table 3 and will include</w:t>
      </w:r>
      <w:r w:rsidR="002D3276">
        <w:rPr>
          <w:rFonts w:asciiTheme="majorHAnsi" w:hAnsiTheme="majorHAnsi" w:cstheme="majorHAnsi"/>
          <w:szCs w:val="20"/>
        </w:rPr>
        <w:t>, in Table 3,</w:t>
      </w:r>
      <w:r w:rsidR="00C12587">
        <w:rPr>
          <w:rFonts w:asciiTheme="majorHAnsi" w:hAnsiTheme="majorHAnsi" w:cstheme="majorHAnsi"/>
          <w:szCs w:val="20"/>
        </w:rPr>
        <w:t xml:space="preserve"> additional collateral information.</w:t>
      </w:r>
      <w:r w:rsidR="00B8610D">
        <w:rPr>
          <w:rFonts w:asciiTheme="majorHAnsi" w:hAnsiTheme="majorHAnsi" w:cstheme="majorHAnsi"/>
          <w:szCs w:val="20"/>
        </w:rPr>
        <w:t xml:space="preserve"> The MRRA is drafted to accommodate these future changes to the EMIR reporting regime.</w:t>
      </w:r>
    </w:p>
    <w:p w14:paraId="757A70E9" w14:textId="1C605A95" w:rsidR="005B393D" w:rsidRDefault="000C7CE9" w:rsidP="00DE54BD">
      <w:pPr>
        <w:pStyle w:val="Body"/>
        <w:rPr>
          <w:rFonts w:asciiTheme="majorHAnsi" w:hAnsiTheme="majorHAnsi" w:cstheme="majorHAnsi"/>
          <w:szCs w:val="20"/>
        </w:rPr>
      </w:pPr>
      <w:r>
        <w:rPr>
          <w:rFonts w:asciiTheme="majorHAnsi" w:hAnsiTheme="majorHAnsi" w:cstheme="majorHAnsi"/>
          <w:szCs w:val="20"/>
        </w:rPr>
        <w:t xml:space="preserve">Under the new EU </w:t>
      </w:r>
      <w:r w:rsidR="000A59DA">
        <w:rPr>
          <w:rFonts w:asciiTheme="majorHAnsi" w:hAnsiTheme="majorHAnsi" w:cstheme="majorHAnsi"/>
          <w:szCs w:val="20"/>
        </w:rPr>
        <w:t xml:space="preserve">reporting </w:t>
      </w:r>
      <w:r>
        <w:rPr>
          <w:rFonts w:asciiTheme="majorHAnsi" w:hAnsiTheme="majorHAnsi" w:cstheme="majorHAnsi"/>
          <w:szCs w:val="20"/>
        </w:rPr>
        <w:t xml:space="preserve">rules, </w:t>
      </w:r>
      <w:r w:rsidR="00B52ADB">
        <w:rPr>
          <w:rFonts w:asciiTheme="majorHAnsi" w:hAnsiTheme="majorHAnsi" w:cstheme="majorHAnsi"/>
          <w:szCs w:val="20"/>
        </w:rPr>
        <w:t>reporting entities will be required to re-report</w:t>
      </w:r>
      <w:r w:rsidR="00280D52">
        <w:rPr>
          <w:rFonts w:asciiTheme="majorHAnsi" w:hAnsiTheme="majorHAnsi" w:cstheme="majorHAnsi"/>
          <w:szCs w:val="20"/>
        </w:rPr>
        <w:t>, in accordance with the new reporting fields,</w:t>
      </w:r>
      <w:r w:rsidR="00B52ADB">
        <w:rPr>
          <w:rFonts w:asciiTheme="majorHAnsi" w:hAnsiTheme="majorHAnsi" w:cstheme="majorHAnsi"/>
          <w:szCs w:val="20"/>
        </w:rPr>
        <w:t xml:space="preserve"> </w:t>
      </w:r>
      <w:r w:rsidR="009E2AFF">
        <w:rPr>
          <w:rFonts w:asciiTheme="majorHAnsi" w:hAnsiTheme="majorHAnsi" w:cstheme="majorHAnsi"/>
          <w:szCs w:val="20"/>
        </w:rPr>
        <w:t xml:space="preserve">any existing derivatives outstanding as </w:t>
      </w:r>
      <w:proofErr w:type="gramStart"/>
      <w:r w:rsidR="009E2AFF">
        <w:rPr>
          <w:rFonts w:asciiTheme="majorHAnsi" w:hAnsiTheme="majorHAnsi" w:cstheme="majorHAnsi"/>
          <w:szCs w:val="20"/>
        </w:rPr>
        <w:t>at</w:t>
      </w:r>
      <w:proofErr w:type="gramEnd"/>
      <w:r w:rsidR="009E2AFF">
        <w:rPr>
          <w:rFonts w:asciiTheme="majorHAnsi" w:hAnsiTheme="majorHAnsi" w:cstheme="majorHAnsi"/>
          <w:szCs w:val="20"/>
        </w:rPr>
        <w:t xml:space="preserve"> 29 April 202</w:t>
      </w:r>
      <w:r w:rsidR="00E031E5">
        <w:rPr>
          <w:rFonts w:asciiTheme="majorHAnsi" w:hAnsiTheme="majorHAnsi" w:cstheme="majorHAnsi"/>
          <w:szCs w:val="20"/>
        </w:rPr>
        <w:t>4</w:t>
      </w:r>
      <w:r w:rsidR="000B73BC">
        <w:rPr>
          <w:rFonts w:asciiTheme="majorHAnsi" w:hAnsiTheme="majorHAnsi" w:cstheme="majorHAnsi"/>
          <w:szCs w:val="20"/>
        </w:rPr>
        <w:t>. Entities will have until</w:t>
      </w:r>
      <w:r w:rsidR="00C86386">
        <w:rPr>
          <w:rFonts w:asciiTheme="majorHAnsi" w:hAnsiTheme="majorHAnsi" w:cstheme="majorHAnsi"/>
          <w:szCs w:val="20"/>
        </w:rPr>
        <w:t xml:space="preserve"> 25 October 2024 (being 180 calendar days from 29 April</w:t>
      </w:r>
      <w:r w:rsidR="00E031E5">
        <w:rPr>
          <w:rFonts w:asciiTheme="majorHAnsi" w:hAnsiTheme="majorHAnsi" w:cstheme="majorHAnsi"/>
          <w:szCs w:val="20"/>
        </w:rPr>
        <w:t xml:space="preserve"> 2024) to complete</w:t>
      </w:r>
      <w:r w:rsidR="009B04E1">
        <w:rPr>
          <w:rFonts w:asciiTheme="majorHAnsi" w:hAnsiTheme="majorHAnsi" w:cstheme="majorHAnsi"/>
          <w:szCs w:val="20"/>
        </w:rPr>
        <w:t xml:space="preserve"> their re-reporting. </w:t>
      </w:r>
      <w:r w:rsidR="000B73BC">
        <w:rPr>
          <w:rFonts w:asciiTheme="majorHAnsi" w:hAnsiTheme="majorHAnsi" w:cstheme="majorHAnsi"/>
          <w:szCs w:val="20"/>
        </w:rPr>
        <w:t xml:space="preserve"> </w:t>
      </w:r>
      <w:r w:rsidR="00B8610D">
        <w:rPr>
          <w:rFonts w:asciiTheme="majorHAnsi" w:hAnsiTheme="majorHAnsi" w:cstheme="majorHAnsi"/>
          <w:szCs w:val="20"/>
        </w:rPr>
        <w:t xml:space="preserve"> </w:t>
      </w:r>
      <w:r w:rsidR="003B1EE0">
        <w:rPr>
          <w:rFonts w:asciiTheme="majorHAnsi" w:hAnsiTheme="majorHAnsi" w:cstheme="majorHAnsi"/>
          <w:szCs w:val="20"/>
        </w:rPr>
        <w:t xml:space="preserve"> </w:t>
      </w:r>
      <w:r w:rsidR="00C12587">
        <w:rPr>
          <w:rFonts w:asciiTheme="majorHAnsi" w:hAnsiTheme="majorHAnsi" w:cstheme="majorHAnsi"/>
          <w:szCs w:val="20"/>
        </w:rPr>
        <w:t xml:space="preserve"> </w:t>
      </w:r>
    </w:p>
    <w:p w14:paraId="3DAF1ECB" w14:textId="7556B156" w:rsidR="00CA55A3" w:rsidRDefault="00CA55A3" w:rsidP="00CA55A3">
      <w:pPr>
        <w:pStyle w:val="Body"/>
        <w:spacing w:before="280"/>
        <w:rPr>
          <w:rFonts w:asciiTheme="majorHAnsi" w:hAnsiTheme="majorHAnsi" w:cstheme="majorHAnsi"/>
          <w:b/>
          <w:sz w:val="22"/>
          <w:szCs w:val="23"/>
          <w:u w:val="single"/>
        </w:rPr>
      </w:pPr>
      <w:r w:rsidRPr="00CA55A3">
        <w:rPr>
          <w:rFonts w:asciiTheme="majorHAnsi" w:hAnsiTheme="majorHAnsi" w:cstheme="majorHAnsi"/>
          <w:b/>
          <w:sz w:val="22"/>
          <w:szCs w:val="23"/>
          <w:u w:val="single"/>
        </w:rPr>
        <w:t>UK EMIR</w:t>
      </w:r>
    </w:p>
    <w:p w14:paraId="7202FEE2" w14:textId="32219A4C" w:rsidR="00493206" w:rsidRDefault="00782DD9" w:rsidP="00720E87">
      <w:pPr>
        <w:pStyle w:val="Body"/>
      </w:pPr>
      <w:r>
        <w:rPr>
          <w:rFonts w:asciiTheme="majorHAnsi" w:hAnsiTheme="majorHAnsi" w:cstheme="majorHAnsi"/>
          <w:szCs w:val="20"/>
        </w:rPr>
        <w:t>T</w:t>
      </w:r>
      <w:r w:rsidR="00924CFE">
        <w:rPr>
          <w:rFonts w:asciiTheme="majorHAnsi" w:hAnsiTheme="majorHAnsi" w:cstheme="majorHAnsi"/>
          <w:szCs w:val="20"/>
        </w:rPr>
        <w:t xml:space="preserve">he </w:t>
      </w:r>
      <w:r w:rsidR="00531504">
        <w:rPr>
          <w:rFonts w:asciiTheme="majorHAnsi" w:hAnsiTheme="majorHAnsi" w:cstheme="majorHAnsi"/>
          <w:szCs w:val="20"/>
        </w:rPr>
        <w:t xml:space="preserve">Derivatives Annex of the </w:t>
      </w:r>
      <w:r w:rsidR="00924CFE">
        <w:rPr>
          <w:rFonts w:asciiTheme="majorHAnsi" w:hAnsiTheme="majorHAnsi" w:cstheme="majorHAnsi"/>
          <w:szCs w:val="20"/>
        </w:rPr>
        <w:t>MRRA</w:t>
      </w:r>
      <w:r w:rsidR="00315816">
        <w:rPr>
          <w:rFonts w:asciiTheme="majorHAnsi" w:hAnsiTheme="majorHAnsi" w:cstheme="majorHAnsi"/>
          <w:szCs w:val="20"/>
        </w:rPr>
        <w:t>,</w:t>
      </w:r>
      <w:r w:rsidR="00924CFE">
        <w:rPr>
          <w:rFonts w:asciiTheme="majorHAnsi" w:hAnsiTheme="majorHAnsi" w:cstheme="majorHAnsi"/>
          <w:szCs w:val="20"/>
        </w:rPr>
        <w:t xml:space="preserve"> </w:t>
      </w:r>
      <w:r w:rsidR="006B25D8">
        <w:rPr>
          <w:rFonts w:asciiTheme="majorHAnsi" w:hAnsiTheme="majorHAnsi" w:cstheme="majorHAnsi"/>
          <w:szCs w:val="20"/>
        </w:rPr>
        <w:t xml:space="preserve">as originally published in </w:t>
      </w:r>
      <w:r w:rsidRPr="0047194F">
        <w:rPr>
          <w:rFonts w:asciiTheme="majorHAnsi" w:hAnsiTheme="majorHAnsi" w:cstheme="majorHAnsi"/>
          <w:szCs w:val="20"/>
        </w:rPr>
        <w:t>December 2019</w:t>
      </w:r>
      <w:r w:rsidR="00315816">
        <w:rPr>
          <w:rFonts w:asciiTheme="majorHAnsi" w:hAnsiTheme="majorHAnsi" w:cstheme="majorHAnsi"/>
          <w:szCs w:val="20"/>
        </w:rPr>
        <w:t>,</w:t>
      </w:r>
      <w:r w:rsidRPr="0047194F">
        <w:rPr>
          <w:rFonts w:asciiTheme="majorHAnsi" w:hAnsiTheme="majorHAnsi" w:cstheme="majorHAnsi"/>
          <w:szCs w:val="20"/>
        </w:rPr>
        <w:t xml:space="preserve"> </w:t>
      </w:r>
      <w:r w:rsidR="006B25D8" w:rsidRPr="0047194F">
        <w:rPr>
          <w:rFonts w:asciiTheme="majorHAnsi" w:hAnsiTheme="majorHAnsi" w:cstheme="majorHAnsi"/>
          <w:szCs w:val="20"/>
        </w:rPr>
        <w:t xml:space="preserve">contemplated </w:t>
      </w:r>
      <w:r w:rsidR="00A24861" w:rsidRPr="0047194F">
        <w:rPr>
          <w:rFonts w:asciiTheme="majorHAnsi" w:hAnsiTheme="majorHAnsi" w:cstheme="majorHAnsi"/>
          <w:szCs w:val="20"/>
        </w:rPr>
        <w:t>a</w:t>
      </w:r>
      <w:r w:rsidR="00A24861">
        <w:rPr>
          <w:rFonts w:asciiTheme="majorHAnsi" w:hAnsiTheme="majorHAnsi" w:cstheme="majorHAnsi"/>
          <w:szCs w:val="20"/>
        </w:rPr>
        <w:t xml:space="preserve"> </w:t>
      </w:r>
      <w:r w:rsidR="00924CFE">
        <w:rPr>
          <w:rFonts w:asciiTheme="majorHAnsi" w:hAnsiTheme="majorHAnsi" w:cstheme="majorHAnsi"/>
          <w:szCs w:val="20"/>
        </w:rPr>
        <w:t>post-Brexit</w:t>
      </w:r>
      <w:r w:rsidR="00A24861">
        <w:rPr>
          <w:rFonts w:asciiTheme="majorHAnsi" w:hAnsiTheme="majorHAnsi" w:cstheme="majorHAnsi"/>
          <w:szCs w:val="20"/>
        </w:rPr>
        <w:t xml:space="preserve"> regulatory </w:t>
      </w:r>
      <w:proofErr w:type="gramStart"/>
      <w:r w:rsidR="00A24861">
        <w:rPr>
          <w:rFonts w:asciiTheme="majorHAnsi" w:hAnsiTheme="majorHAnsi" w:cstheme="majorHAnsi"/>
          <w:szCs w:val="20"/>
        </w:rPr>
        <w:t>landscape</w:t>
      </w:r>
      <w:proofErr w:type="gramEnd"/>
      <w:r w:rsidR="00650477">
        <w:rPr>
          <w:rFonts w:asciiTheme="majorHAnsi" w:hAnsiTheme="majorHAnsi" w:cstheme="majorHAnsi"/>
          <w:szCs w:val="20"/>
        </w:rPr>
        <w:t xml:space="preserve"> </w:t>
      </w:r>
      <w:r w:rsidR="00386168">
        <w:rPr>
          <w:rFonts w:asciiTheme="majorHAnsi" w:hAnsiTheme="majorHAnsi" w:cstheme="majorHAnsi"/>
          <w:szCs w:val="20"/>
        </w:rPr>
        <w:t>and</w:t>
      </w:r>
      <w:r w:rsidR="0016255C">
        <w:rPr>
          <w:rFonts w:asciiTheme="majorHAnsi" w:hAnsiTheme="majorHAnsi" w:cstheme="majorHAnsi"/>
          <w:szCs w:val="20"/>
        </w:rPr>
        <w:t xml:space="preserve"> </w:t>
      </w:r>
      <w:r w:rsidR="00386168">
        <w:rPr>
          <w:rFonts w:asciiTheme="majorHAnsi" w:hAnsiTheme="majorHAnsi" w:cstheme="majorHAnsi"/>
          <w:szCs w:val="20"/>
        </w:rPr>
        <w:t xml:space="preserve">catered </w:t>
      </w:r>
      <w:r w:rsidR="00531504">
        <w:rPr>
          <w:rFonts w:asciiTheme="majorHAnsi" w:hAnsiTheme="majorHAnsi" w:cstheme="majorHAnsi"/>
          <w:szCs w:val="20"/>
        </w:rPr>
        <w:t>for</w:t>
      </w:r>
      <w:r w:rsidR="00A64571">
        <w:rPr>
          <w:rFonts w:asciiTheme="majorHAnsi" w:hAnsiTheme="majorHAnsi" w:cstheme="majorHAnsi"/>
          <w:szCs w:val="20"/>
        </w:rPr>
        <w:t xml:space="preserve"> </w:t>
      </w:r>
      <w:r w:rsidR="00386168">
        <w:rPr>
          <w:rFonts w:asciiTheme="majorHAnsi" w:hAnsiTheme="majorHAnsi" w:cstheme="majorHAnsi"/>
          <w:szCs w:val="20"/>
        </w:rPr>
        <w:t xml:space="preserve">the fact that </w:t>
      </w:r>
      <w:r w:rsidR="00F02B90">
        <w:rPr>
          <w:rFonts w:asciiTheme="majorHAnsi" w:hAnsiTheme="majorHAnsi" w:cstheme="majorHAnsi"/>
          <w:szCs w:val="20"/>
        </w:rPr>
        <w:t xml:space="preserve">there are only relatively minor differences between EMIR and UK EMIR </w:t>
      </w:r>
      <w:r w:rsidR="000A773B">
        <w:rPr>
          <w:rFonts w:asciiTheme="majorHAnsi" w:hAnsiTheme="majorHAnsi" w:cstheme="majorHAnsi"/>
          <w:szCs w:val="20"/>
        </w:rPr>
        <w:t>(</w:t>
      </w:r>
      <w:r w:rsidR="00AB6CCD">
        <w:rPr>
          <w:rFonts w:asciiTheme="majorHAnsi" w:hAnsiTheme="majorHAnsi" w:cstheme="majorHAnsi"/>
          <w:szCs w:val="20"/>
        </w:rPr>
        <w:t xml:space="preserve">differences </w:t>
      </w:r>
      <w:r w:rsidR="0016255C">
        <w:rPr>
          <w:rFonts w:asciiTheme="majorHAnsi" w:hAnsiTheme="majorHAnsi" w:cstheme="majorHAnsi"/>
          <w:szCs w:val="20"/>
        </w:rPr>
        <w:t>which</w:t>
      </w:r>
      <w:r w:rsidR="006976F0">
        <w:rPr>
          <w:rFonts w:asciiTheme="majorHAnsi" w:hAnsiTheme="majorHAnsi" w:cstheme="majorHAnsi"/>
          <w:szCs w:val="20"/>
        </w:rPr>
        <w:t xml:space="preserve"> address the fact that the UK is no longer part of the EU</w:t>
      </w:r>
      <w:r w:rsidR="000A773B">
        <w:rPr>
          <w:rFonts w:asciiTheme="majorHAnsi" w:hAnsiTheme="majorHAnsi" w:cstheme="majorHAnsi"/>
          <w:szCs w:val="20"/>
        </w:rPr>
        <w:t>)</w:t>
      </w:r>
      <w:r w:rsidR="00547424">
        <w:rPr>
          <w:rFonts w:asciiTheme="majorHAnsi" w:hAnsiTheme="majorHAnsi" w:cstheme="majorHAnsi"/>
          <w:szCs w:val="20"/>
        </w:rPr>
        <w:t>.</w:t>
      </w:r>
      <w:r w:rsidR="002C685B">
        <w:rPr>
          <w:rFonts w:asciiTheme="majorHAnsi" w:hAnsiTheme="majorHAnsi" w:cstheme="majorHAnsi"/>
          <w:szCs w:val="20"/>
        </w:rPr>
        <w:t xml:space="preserve"> </w:t>
      </w:r>
      <w:r w:rsidR="007311C7">
        <w:rPr>
          <w:rFonts w:asciiTheme="majorHAnsi" w:hAnsiTheme="majorHAnsi" w:cstheme="majorHAnsi"/>
          <w:szCs w:val="20"/>
        </w:rPr>
        <w:t>On this basis, t</w:t>
      </w:r>
      <w:r w:rsidR="00B53107">
        <w:rPr>
          <w:rFonts w:asciiTheme="majorHAnsi" w:hAnsiTheme="majorHAnsi" w:cstheme="majorHAnsi"/>
          <w:szCs w:val="20"/>
        </w:rPr>
        <w:t>he amendments made to the MRRA</w:t>
      </w:r>
      <w:r w:rsidR="00EA0534">
        <w:rPr>
          <w:rFonts w:asciiTheme="majorHAnsi" w:hAnsiTheme="majorHAnsi" w:cstheme="majorHAnsi"/>
          <w:szCs w:val="20"/>
        </w:rPr>
        <w:t xml:space="preserve"> in 2023 are intended </w:t>
      </w:r>
      <w:r w:rsidR="00424196">
        <w:rPr>
          <w:rFonts w:asciiTheme="majorHAnsi" w:hAnsiTheme="majorHAnsi" w:cstheme="majorHAnsi"/>
          <w:szCs w:val="20"/>
        </w:rPr>
        <w:t>as clarificatory in nature</w:t>
      </w:r>
      <w:r w:rsidR="004E2330">
        <w:rPr>
          <w:rFonts w:asciiTheme="majorHAnsi" w:hAnsiTheme="majorHAnsi" w:cstheme="majorHAnsi"/>
          <w:szCs w:val="20"/>
        </w:rPr>
        <w:t xml:space="preserve">, reflecting both that the </w:t>
      </w:r>
      <w:r w:rsidR="006976F0">
        <w:t xml:space="preserve">UK </w:t>
      </w:r>
      <w:r w:rsidRPr="003A6069">
        <w:t xml:space="preserve">formally left the </w:t>
      </w:r>
      <w:r>
        <w:t>EU o</w:t>
      </w:r>
      <w:r w:rsidRPr="003A6069">
        <w:t>n 31 January 2020</w:t>
      </w:r>
      <w:r w:rsidR="004E2330">
        <w:t xml:space="preserve"> and </w:t>
      </w:r>
      <w:r w:rsidR="008D6800">
        <w:t xml:space="preserve">that </w:t>
      </w:r>
      <w:r w:rsidR="004E2330">
        <w:t xml:space="preserve">the related </w:t>
      </w:r>
      <w:r w:rsidRPr="003A6069">
        <w:t>transition period expire</w:t>
      </w:r>
      <w:r>
        <w:t>d</w:t>
      </w:r>
      <w:r w:rsidRPr="003A6069">
        <w:t xml:space="preserve"> on 31 December 2020</w:t>
      </w:r>
      <w:r w:rsidR="004E2330">
        <w:t>.</w:t>
      </w:r>
      <w:r w:rsidR="00380393">
        <w:t xml:space="preserve"> The 2023 updates to the MRRA are also intended to </w:t>
      </w:r>
      <w:r w:rsidR="003905CA">
        <w:t>accommodate future changes to the UK EMIR reporting regime</w:t>
      </w:r>
      <w:r w:rsidR="00F95882">
        <w:t>.</w:t>
      </w:r>
      <w:r w:rsidR="0011205A">
        <w:t xml:space="preserve"> </w:t>
      </w:r>
      <w:r w:rsidR="00F95882">
        <w:t xml:space="preserve">Principally, on </w:t>
      </w:r>
      <w:r w:rsidR="00514445">
        <w:t xml:space="preserve">30 September 2024, </w:t>
      </w:r>
      <w:r w:rsidR="00597252">
        <w:t>the current technical standards for reporting</w:t>
      </w:r>
      <w:r w:rsidR="00AB0F71" w:rsidRPr="00A84878">
        <w:rPr>
          <w:rStyle w:val="FootnoteReference"/>
          <w:rFonts w:asciiTheme="majorHAnsi" w:hAnsiTheme="majorHAnsi" w:cstheme="majorHAnsi"/>
          <w:szCs w:val="20"/>
        </w:rPr>
        <w:footnoteReference w:id="12"/>
      </w:r>
      <w:r w:rsidR="00597252">
        <w:t xml:space="preserve"> will be replaced by new </w:t>
      </w:r>
      <w:r w:rsidR="00514445">
        <w:t>technical standards introducing new regulatory reporting</w:t>
      </w:r>
      <w:r w:rsidR="008572BD">
        <w:t xml:space="preserve"> </w:t>
      </w:r>
      <w:r w:rsidR="008572BD" w:rsidRPr="00650477">
        <w:t>standards</w:t>
      </w:r>
      <w:r w:rsidR="00514445">
        <w:t>.</w:t>
      </w:r>
      <w:r w:rsidR="005D6BEF" w:rsidRPr="00A84878">
        <w:rPr>
          <w:rStyle w:val="FootnoteReference"/>
          <w:rFonts w:asciiTheme="majorHAnsi" w:hAnsiTheme="majorHAnsi" w:cstheme="majorHAnsi"/>
          <w:szCs w:val="20"/>
        </w:rPr>
        <w:footnoteReference w:id="13"/>
      </w:r>
      <w:r w:rsidR="00514445">
        <w:t xml:space="preserve"> These standards are equivalent to those introduced pursuant to the EMIR REFIT Regulation which come into effect </w:t>
      </w:r>
      <w:r w:rsidR="001B0AC3">
        <w:t xml:space="preserve">in the EU </w:t>
      </w:r>
      <w:r w:rsidR="00514445">
        <w:t>on 29 April 2024.</w:t>
      </w:r>
    </w:p>
    <w:p w14:paraId="11C7D4CB" w14:textId="0D53D0D3" w:rsidR="00EE432F" w:rsidRDefault="007876E1" w:rsidP="00493206">
      <w:pPr>
        <w:pStyle w:val="Body"/>
      </w:pPr>
      <w:r>
        <w:lastRenderedPageBreak/>
        <w:t xml:space="preserve">Unlike </w:t>
      </w:r>
      <w:r w:rsidR="00494320">
        <w:t xml:space="preserve">under </w:t>
      </w:r>
      <w:r>
        <w:t>EMIR,</w:t>
      </w:r>
      <w:r w:rsidR="00494320">
        <w:t xml:space="preserve"> EU regulated markets (as well as markets in certain other jurisdictions) are “equivalent” under Article 2a of UK EMIR</w:t>
      </w:r>
      <w:r w:rsidR="00446774">
        <w:t xml:space="preserve">. </w:t>
      </w:r>
      <w:r w:rsidR="00E6059F">
        <w:t>As a result,</w:t>
      </w:r>
      <w:r w:rsidR="00494320">
        <w:t xml:space="preserve"> derivatives traded on those markets </w:t>
      </w:r>
      <w:proofErr w:type="gramStart"/>
      <w:r w:rsidR="00494320">
        <w:t xml:space="preserve">are </w:t>
      </w:r>
      <w:r w:rsidR="00E6059F">
        <w:t xml:space="preserve">considered </w:t>
      </w:r>
      <w:r w:rsidR="00461B44">
        <w:t>to be</w:t>
      </w:r>
      <w:proofErr w:type="gramEnd"/>
      <w:r w:rsidR="00461B44">
        <w:t xml:space="preserve"> </w:t>
      </w:r>
      <w:r w:rsidR="00615A4C">
        <w:t xml:space="preserve">exchange-traded derivatives </w:t>
      </w:r>
      <w:r w:rsidR="00461B44">
        <w:t>rather than</w:t>
      </w:r>
      <w:r w:rsidR="00615A4C">
        <w:t xml:space="preserve"> OTC derivatives for the purposes of reporting under UK EMIR.</w:t>
      </w:r>
      <w:r>
        <w:t xml:space="preserve"> </w:t>
      </w:r>
    </w:p>
    <w:p w14:paraId="439CA934" w14:textId="11F33118" w:rsidR="009B04E1" w:rsidRDefault="009B04E1" w:rsidP="009B04E1">
      <w:pPr>
        <w:pStyle w:val="Body"/>
        <w:rPr>
          <w:rFonts w:asciiTheme="majorHAnsi" w:hAnsiTheme="majorHAnsi" w:cstheme="majorHAnsi"/>
          <w:szCs w:val="20"/>
        </w:rPr>
      </w:pPr>
      <w:r>
        <w:rPr>
          <w:rFonts w:asciiTheme="majorHAnsi" w:hAnsiTheme="majorHAnsi" w:cstheme="majorHAnsi"/>
          <w:szCs w:val="20"/>
        </w:rPr>
        <w:t xml:space="preserve">Under the new UK </w:t>
      </w:r>
      <w:r w:rsidR="000A59DA">
        <w:rPr>
          <w:rFonts w:asciiTheme="majorHAnsi" w:hAnsiTheme="majorHAnsi" w:cstheme="majorHAnsi"/>
          <w:szCs w:val="20"/>
        </w:rPr>
        <w:t xml:space="preserve">reporting </w:t>
      </w:r>
      <w:r>
        <w:rPr>
          <w:rFonts w:asciiTheme="majorHAnsi" w:hAnsiTheme="majorHAnsi" w:cstheme="majorHAnsi"/>
          <w:szCs w:val="20"/>
        </w:rPr>
        <w:t>rules, reporting entities will be required to re-report</w:t>
      </w:r>
      <w:r w:rsidR="00B04953">
        <w:rPr>
          <w:rFonts w:asciiTheme="majorHAnsi" w:hAnsiTheme="majorHAnsi" w:cstheme="majorHAnsi"/>
          <w:szCs w:val="20"/>
        </w:rPr>
        <w:t>, in accordance with the new reporting fields,</w:t>
      </w:r>
      <w:r>
        <w:rPr>
          <w:rFonts w:asciiTheme="majorHAnsi" w:hAnsiTheme="majorHAnsi" w:cstheme="majorHAnsi"/>
          <w:szCs w:val="20"/>
        </w:rPr>
        <w:t xml:space="preserve"> any existing derivatives outstanding as </w:t>
      </w:r>
      <w:proofErr w:type="gramStart"/>
      <w:r>
        <w:rPr>
          <w:rFonts w:asciiTheme="majorHAnsi" w:hAnsiTheme="majorHAnsi" w:cstheme="majorHAnsi"/>
          <w:szCs w:val="20"/>
        </w:rPr>
        <w:t>at</w:t>
      </w:r>
      <w:proofErr w:type="gramEnd"/>
      <w:r>
        <w:rPr>
          <w:rFonts w:asciiTheme="majorHAnsi" w:hAnsiTheme="majorHAnsi" w:cstheme="majorHAnsi"/>
          <w:szCs w:val="20"/>
        </w:rPr>
        <w:t xml:space="preserve"> </w:t>
      </w:r>
      <w:r w:rsidR="000A59DA">
        <w:rPr>
          <w:rFonts w:asciiTheme="majorHAnsi" w:hAnsiTheme="majorHAnsi" w:cstheme="majorHAnsi"/>
          <w:szCs w:val="20"/>
        </w:rPr>
        <w:t>30 September</w:t>
      </w:r>
      <w:r>
        <w:rPr>
          <w:rFonts w:asciiTheme="majorHAnsi" w:hAnsiTheme="majorHAnsi" w:cstheme="majorHAnsi"/>
          <w:szCs w:val="20"/>
        </w:rPr>
        <w:t xml:space="preserve"> 2024. Entities will have until </w:t>
      </w:r>
      <w:r w:rsidR="000A59DA">
        <w:rPr>
          <w:rFonts w:asciiTheme="majorHAnsi" w:hAnsiTheme="majorHAnsi" w:cstheme="majorHAnsi"/>
          <w:szCs w:val="20"/>
        </w:rPr>
        <w:t>31 March 2025</w:t>
      </w:r>
      <w:r>
        <w:rPr>
          <w:rFonts w:asciiTheme="majorHAnsi" w:hAnsiTheme="majorHAnsi" w:cstheme="majorHAnsi"/>
          <w:szCs w:val="20"/>
        </w:rPr>
        <w:t xml:space="preserve"> (being 180 calendar days from </w:t>
      </w:r>
      <w:r w:rsidR="000A59DA">
        <w:rPr>
          <w:rFonts w:asciiTheme="majorHAnsi" w:hAnsiTheme="majorHAnsi" w:cstheme="majorHAnsi"/>
          <w:szCs w:val="20"/>
        </w:rPr>
        <w:t>30 September</w:t>
      </w:r>
      <w:r>
        <w:rPr>
          <w:rFonts w:asciiTheme="majorHAnsi" w:hAnsiTheme="majorHAnsi" w:cstheme="majorHAnsi"/>
          <w:szCs w:val="20"/>
        </w:rPr>
        <w:t xml:space="preserve"> 2024) to complete their re-reporting.</w:t>
      </w:r>
    </w:p>
    <w:p w14:paraId="754A8484" w14:textId="77777777" w:rsidR="0096566C" w:rsidRPr="00D15F5D" w:rsidRDefault="0096566C" w:rsidP="005B393D">
      <w:pPr>
        <w:pStyle w:val="Body"/>
        <w:spacing w:before="280"/>
        <w:rPr>
          <w:rFonts w:asciiTheme="majorHAnsi" w:hAnsiTheme="majorHAnsi" w:cstheme="majorHAnsi"/>
          <w:sz w:val="18"/>
          <w:szCs w:val="20"/>
          <w:u w:val="single"/>
        </w:rPr>
      </w:pPr>
      <w:r w:rsidRPr="00D15F5D">
        <w:rPr>
          <w:rFonts w:asciiTheme="majorHAnsi" w:hAnsiTheme="majorHAnsi" w:cstheme="majorHAnsi"/>
          <w:b/>
          <w:sz w:val="22"/>
          <w:u w:val="single"/>
        </w:rPr>
        <w:t>SFTR</w:t>
      </w:r>
    </w:p>
    <w:p w14:paraId="46CAAF1E" w14:textId="77777777" w:rsidR="008156F1" w:rsidRPr="00A84878" w:rsidRDefault="002732DB" w:rsidP="003442C7">
      <w:pPr>
        <w:pStyle w:val="Body"/>
        <w:rPr>
          <w:rFonts w:asciiTheme="majorHAnsi" w:hAnsiTheme="majorHAnsi" w:cstheme="majorHAnsi"/>
          <w:szCs w:val="23"/>
        </w:rPr>
      </w:pPr>
      <w:r w:rsidRPr="00700AE0">
        <w:rPr>
          <w:rFonts w:asciiTheme="majorHAnsi" w:hAnsiTheme="majorHAnsi" w:cstheme="majorHAnsi"/>
          <w:szCs w:val="20"/>
        </w:rPr>
        <w:t xml:space="preserve">Article 4 of SFTR </w:t>
      </w:r>
      <w:r w:rsidR="00DC4A02" w:rsidRPr="00700AE0">
        <w:rPr>
          <w:rFonts w:asciiTheme="majorHAnsi" w:hAnsiTheme="majorHAnsi" w:cstheme="majorHAnsi"/>
          <w:szCs w:val="20"/>
        </w:rPr>
        <w:t xml:space="preserve">sets out the </w:t>
      </w:r>
      <w:r w:rsidR="00DC4A02" w:rsidRPr="00700AE0">
        <w:rPr>
          <w:rFonts w:asciiTheme="majorHAnsi" w:hAnsiTheme="majorHAnsi" w:cstheme="majorHAnsi"/>
          <w:szCs w:val="23"/>
        </w:rPr>
        <w:t>reporting</w:t>
      </w:r>
      <w:r w:rsidR="00DC4A02" w:rsidRPr="00A84878">
        <w:rPr>
          <w:rFonts w:asciiTheme="majorHAnsi" w:hAnsiTheme="majorHAnsi" w:cstheme="majorHAnsi"/>
          <w:szCs w:val="23"/>
        </w:rPr>
        <w:t xml:space="preserve"> requirement on counterparties to SFTs. Counterparties are required to submit details of SFTs they have concluded, and of any modification or termination of the SFT, to a trade repository registered</w:t>
      </w:r>
      <w:r w:rsidR="009E13E4" w:rsidRPr="00A84878">
        <w:rPr>
          <w:rFonts w:asciiTheme="majorHAnsi" w:hAnsiTheme="majorHAnsi" w:cstheme="majorHAnsi"/>
          <w:szCs w:val="23"/>
        </w:rPr>
        <w:t xml:space="preserve"> with</w:t>
      </w:r>
      <w:r w:rsidR="005A52EF" w:rsidRPr="00A84878">
        <w:rPr>
          <w:rFonts w:asciiTheme="majorHAnsi" w:hAnsiTheme="majorHAnsi" w:cstheme="majorHAnsi"/>
          <w:szCs w:val="23"/>
        </w:rPr>
        <w:t xml:space="preserve"> </w:t>
      </w:r>
      <w:r w:rsidR="00DC4A02" w:rsidRPr="00A84878">
        <w:rPr>
          <w:rFonts w:asciiTheme="majorHAnsi" w:hAnsiTheme="majorHAnsi" w:cstheme="majorHAnsi"/>
          <w:szCs w:val="23"/>
        </w:rPr>
        <w:t>ESMA</w:t>
      </w:r>
      <w:r w:rsidR="009E13E4" w:rsidRPr="00A84878">
        <w:rPr>
          <w:rFonts w:asciiTheme="majorHAnsi" w:hAnsiTheme="majorHAnsi" w:cstheme="majorHAnsi"/>
          <w:szCs w:val="23"/>
        </w:rPr>
        <w:t>,</w:t>
      </w:r>
      <w:r w:rsidR="00DC4A02" w:rsidRPr="00A84878">
        <w:rPr>
          <w:rFonts w:asciiTheme="majorHAnsi" w:hAnsiTheme="majorHAnsi" w:cstheme="majorHAnsi"/>
          <w:szCs w:val="23"/>
        </w:rPr>
        <w:t xml:space="preserve"> by the following business day (T+1).</w:t>
      </w:r>
      <w:r w:rsidR="00C8693A" w:rsidRPr="00A84878">
        <w:rPr>
          <w:rFonts w:asciiTheme="majorHAnsi" w:hAnsiTheme="majorHAnsi" w:cstheme="majorHAnsi"/>
        </w:rPr>
        <w:t xml:space="preserve"> </w:t>
      </w:r>
      <w:r w:rsidR="00C8693A" w:rsidRPr="00A84878">
        <w:rPr>
          <w:rFonts w:asciiTheme="majorHAnsi" w:hAnsiTheme="majorHAnsi" w:cstheme="majorHAnsi"/>
          <w:szCs w:val="23"/>
        </w:rPr>
        <w:t>The reporting obligation is imposed on counterparties to SFTs established either in the EU</w:t>
      </w:r>
      <w:r w:rsidR="009E13E4" w:rsidRPr="00A84878">
        <w:rPr>
          <w:rFonts w:asciiTheme="majorHAnsi" w:hAnsiTheme="majorHAnsi" w:cstheme="majorHAnsi"/>
          <w:szCs w:val="23"/>
        </w:rPr>
        <w:t>,</w:t>
      </w:r>
      <w:r w:rsidR="00C8693A" w:rsidRPr="00A84878">
        <w:rPr>
          <w:rFonts w:asciiTheme="majorHAnsi" w:hAnsiTheme="majorHAnsi" w:cstheme="majorHAnsi"/>
          <w:szCs w:val="23"/>
        </w:rPr>
        <w:t xml:space="preserve"> or in a third country where the SFT is concluded </w:t>
      </w:r>
      <w:proofErr w:type="gramStart"/>
      <w:r w:rsidR="004759AC" w:rsidRPr="00A84878">
        <w:rPr>
          <w:rFonts w:asciiTheme="majorHAnsi" w:hAnsiTheme="majorHAnsi" w:cstheme="majorHAnsi"/>
          <w:szCs w:val="23"/>
        </w:rPr>
        <w:t>in the course of</w:t>
      </w:r>
      <w:proofErr w:type="gramEnd"/>
      <w:r w:rsidR="004759AC" w:rsidRPr="00A84878">
        <w:rPr>
          <w:rFonts w:asciiTheme="majorHAnsi" w:hAnsiTheme="majorHAnsi" w:cstheme="majorHAnsi"/>
          <w:szCs w:val="23"/>
        </w:rPr>
        <w:t xml:space="preserve"> the operations of</w:t>
      </w:r>
      <w:r w:rsidR="00C8693A" w:rsidRPr="00A84878">
        <w:rPr>
          <w:rFonts w:asciiTheme="majorHAnsi" w:hAnsiTheme="majorHAnsi" w:cstheme="majorHAnsi"/>
          <w:szCs w:val="23"/>
        </w:rPr>
        <w:t xml:space="preserve"> a branch of that counterparty in the EU.</w:t>
      </w:r>
      <w:r w:rsidR="004759AC" w:rsidRPr="00A84878">
        <w:rPr>
          <w:rStyle w:val="FootnoteReference"/>
          <w:rFonts w:asciiTheme="majorHAnsi" w:hAnsiTheme="majorHAnsi" w:cstheme="majorHAnsi"/>
          <w:szCs w:val="23"/>
        </w:rPr>
        <w:footnoteReference w:id="14"/>
      </w:r>
    </w:p>
    <w:p w14:paraId="68ACF2C7" w14:textId="0D0199FE" w:rsidR="00281A17" w:rsidRPr="00A84878" w:rsidRDefault="00281A17" w:rsidP="003442C7">
      <w:pPr>
        <w:pStyle w:val="Body"/>
        <w:rPr>
          <w:rFonts w:asciiTheme="majorHAnsi" w:hAnsiTheme="majorHAnsi" w:cstheme="majorHAnsi"/>
          <w:szCs w:val="20"/>
        </w:rPr>
      </w:pPr>
      <w:r w:rsidRPr="00A84878">
        <w:rPr>
          <w:rFonts w:asciiTheme="majorHAnsi" w:hAnsiTheme="majorHAnsi" w:cstheme="majorHAnsi"/>
          <w:szCs w:val="20"/>
        </w:rPr>
        <w:t xml:space="preserve">The reporting obligation under Article 4 </w:t>
      </w:r>
      <w:r w:rsidR="00ED5672">
        <w:rPr>
          <w:rFonts w:asciiTheme="majorHAnsi" w:hAnsiTheme="majorHAnsi" w:cstheme="majorHAnsi"/>
          <w:szCs w:val="20"/>
        </w:rPr>
        <w:t>was</w:t>
      </w:r>
      <w:r w:rsidRPr="00A84878">
        <w:rPr>
          <w:rFonts w:asciiTheme="majorHAnsi" w:hAnsiTheme="majorHAnsi" w:cstheme="majorHAnsi"/>
          <w:szCs w:val="20"/>
        </w:rPr>
        <w:t xml:space="preserve"> phased in over a </w:t>
      </w:r>
      <w:r w:rsidR="00454E9F">
        <w:rPr>
          <w:rFonts w:asciiTheme="majorHAnsi" w:hAnsiTheme="majorHAnsi" w:cstheme="majorHAnsi"/>
          <w:szCs w:val="20"/>
        </w:rPr>
        <w:t>nine-</w:t>
      </w:r>
      <w:r w:rsidRPr="00A84878">
        <w:rPr>
          <w:rFonts w:asciiTheme="majorHAnsi" w:hAnsiTheme="majorHAnsi" w:cstheme="majorHAnsi"/>
          <w:szCs w:val="20"/>
        </w:rPr>
        <w:t>month period, starting from 1</w:t>
      </w:r>
      <w:r w:rsidR="004759AC" w:rsidRPr="00A84878">
        <w:rPr>
          <w:rFonts w:asciiTheme="majorHAnsi" w:hAnsiTheme="majorHAnsi" w:cstheme="majorHAnsi"/>
          <w:szCs w:val="20"/>
        </w:rPr>
        <w:t>1</w:t>
      </w:r>
      <w:r w:rsidRPr="00A84878">
        <w:rPr>
          <w:rFonts w:asciiTheme="majorHAnsi" w:hAnsiTheme="majorHAnsi" w:cstheme="majorHAnsi"/>
          <w:szCs w:val="20"/>
        </w:rPr>
        <w:t xml:space="preserve"> April 2020</w:t>
      </w:r>
      <w:r w:rsidRPr="00A84878">
        <w:rPr>
          <w:rStyle w:val="FootnoteReference"/>
          <w:rFonts w:asciiTheme="majorHAnsi" w:hAnsiTheme="majorHAnsi" w:cstheme="majorHAnsi"/>
          <w:szCs w:val="20"/>
        </w:rPr>
        <w:footnoteReference w:id="15"/>
      </w:r>
      <w:r w:rsidRPr="00A84878">
        <w:rPr>
          <w:rFonts w:asciiTheme="majorHAnsi" w:hAnsiTheme="majorHAnsi" w:cstheme="majorHAnsi"/>
          <w:szCs w:val="20"/>
        </w:rPr>
        <w:t xml:space="preserve"> and ending 11 January 2021</w:t>
      </w:r>
      <w:r w:rsidR="00ED5672">
        <w:rPr>
          <w:rFonts w:asciiTheme="majorHAnsi" w:hAnsiTheme="majorHAnsi" w:cstheme="majorHAnsi"/>
          <w:szCs w:val="20"/>
        </w:rPr>
        <w:t>, with d</w:t>
      </w:r>
      <w:r w:rsidRPr="00A84878">
        <w:rPr>
          <w:rFonts w:asciiTheme="majorHAnsi" w:hAnsiTheme="majorHAnsi" w:cstheme="majorHAnsi"/>
          <w:szCs w:val="20"/>
        </w:rPr>
        <w:t>ifferent phase-in dates apply</w:t>
      </w:r>
      <w:r w:rsidR="00ED5672">
        <w:rPr>
          <w:rFonts w:asciiTheme="majorHAnsi" w:hAnsiTheme="majorHAnsi" w:cstheme="majorHAnsi"/>
          <w:szCs w:val="20"/>
        </w:rPr>
        <w:t>ing</w:t>
      </w:r>
      <w:r w:rsidRPr="00A84878">
        <w:rPr>
          <w:rFonts w:asciiTheme="majorHAnsi" w:hAnsiTheme="majorHAnsi" w:cstheme="majorHAnsi"/>
          <w:szCs w:val="20"/>
        </w:rPr>
        <w:t xml:space="preserve"> in respect of different types of entities</w:t>
      </w:r>
      <w:r w:rsidR="00EA528A">
        <w:rPr>
          <w:rFonts w:asciiTheme="majorHAnsi" w:hAnsiTheme="majorHAnsi" w:cstheme="majorHAnsi"/>
          <w:szCs w:val="20"/>
        </w:rPr>
        <w:t xml:space="preserve"> including investment firms/credit institutions, central counterparties/central securities depositories, insurance undertaking</w:t>
      </w:r>
      <w:r w:rsidR="0079751E">
        <w:rPr>
          <w:rFonts w:asciiTheme="majorHAnsi" w:hAnsiTheme="majorHAnsi" w:cstheme="majorHAnsi"/>
          <w:szCs w:val="20"/>
        </w:rPr>
        <w:t>s</w:t>
      </w:r>
      <w:r w:rsidR="00EA528A">
        <w:rPr>
          <w:rFonts w:asciiTheme="majorHAnsi" w:hAnsiTheme="majorHAnsi" w:cstheme="majorHAnsi"/>
          <w:szCs w:val="20"/>
        </w:rPr>
        <w:t>/reinsurance undertaking</w:t>
      </w:r>
      <w:r w:rsidR="0079751E">
        <w:rPr>
          <w:rFonts w:asciiTheme="majorHAnsi" w:hAnsiTheme="majorHAnsi" w:cstheme="majorHAnsi"/>
          <w:szCs w:val="20"/>
        </w:rPr>
        <w:t>s</w:t>
      </w:r>
      <w:r w:rsidR="00EA528A">
        <w:rPr>
          <w:rFonts w:asciiTheme="majorHAnsi" w:hAnsiTheme="majorHAnsi" w:cstheme="majorHAnsi"/>
          <w:szCs w:val="20"/>
        </w:rPr>
        <w:t>/UCITS/AIF</w:t>
      </w:r>
      <w:r w:rsidR="0079751E">
        <w:rPr>
          <w:rFonts w:asciiTheme="majorHAnsi" w:hAnsiTheme="majorHAnsi" w:cstheme="majorHAnsi"/>
          <w:szCs w:val="20"/>
        </w:rPr>
        <w:t>s</w:t>
      </w:r>
      <w:r w:rsidR="00EA528A">
        <w:rPr>
          <w:rFonts w:asciiTheme="majorHAnsi" w:hAnsiTheme="majorHAnsi" w:cstheme="majorHAnsi"/>
          <w:szCs w:val="20"/>
        </w:rPr>
        <w:t>/IORP</w:t>
      </w:r>
      <w:r w:rsidR="0079751E">
        <w:rPr>
          <w:rFonts w:asciiTheme="majorHAnsi" w:hAnsiTheme="majorHAnsi" w:cstheme="majorHAnsi"/>
          <w:szCs w:val="20"/>
        </w:rPr>
        <w:t>s and non-financial counterparties</w:t>
      </w:r>
      <w:r w:rsidR="001B33C4" w:rsidRPr="00A84878">
        <w:rPr>
          <w:rFonts w:asciiTheme="majorHAnsi" w:hAnsiTheme="majorHAnsi" w:cstheme="majorHAnsi"/>
          <w:szCs w:val="20"/>
        </w:rPr>
        <w:t>.</w:t>
      </w:r>
      <w:r w:rsidR="00AE7D2F">
        <w:rPr>
          <w:rFonts w:asciiTheme="majorHAnsi" w:hAnsiTheme="majorHAnsi" w:cstheme="majorHAnsi"/>
          <w:szCs w:val="20"/>
        </w:rPr>
        <w:t xml:space="preserve"> </w:t>
      </w:r>
    </w:p>
    <w:p w14:paraId="2B0F2C39" w14:textId="41C44E29" w:rsidR="009E13E4" w:rsidRPr="00A84878" w:rsidRDefault="00734F8F" w:rsidP="003442C7">
      <w:pPr>
        <w:pStyle w:val="Body1"/>
        <w:ind w:left="0"/>
        <w:rPr>
          <w:rFonts w:asciiTheme="majorHAnsi" w:hAnsiTheme="majorHAnsi" w:cstheme="majorHAnsi"/>
        </w:rPr>
      </w:pPr>
      <w:r w:rsidRPr="00A84878">
        <w:rPr>
          <w:rFonts w:asciiTheme="majorHAnsi" w:hAnsiTheme="majorHAnsi" w:cstheme="majorHAnsi"/>
        </w:rPr>
        <w:t>Article 4 provides, in a similar way to EMIR, that the counterparty subject to the reporting obligation may delegate its reporting obligation</w:t>
      </w:r>
      <w:r w:rsidR="009E13E4" w:rsidRPr="00A84878">
        <w:rPr>
          <w:rFonts w:asciiTheme="majorHAnsi" w:hAnsiTheme="majorHAnsi" w:cstheme="majorHAnsi"/>
        </w:rPr>
        <w:t>,</w:t>
      </w:r>
      <w:r w:rsidR="009C14D6" w:rsidRPr="00A84878">
        <w:rPr>
          <w:rFonts w:asciiTheme="majorHAnsi" w:hAnsiTheme="majorHAnsi" w:cstheme="majorHAnsi"/>
        </w:rPr>
        <w:t xml:space="preserve"> while retaining responsibility under SFTR for the details of the report</w:t>
      </w:r>
      <w:r w:rsidRPr="00A84878">
        <w:rPr>
          <w:rFonts w:asciiTheme="majorHAnsi" w:hAnsiTheme="majorHAnsi" w:cstheme="majorHAnsi"/>
        </w:rPr>
        <w:t xml:space="preserve">. </w:t>
      </w:r>
      <w:r w:rsidR="00C52899" w:rsidRPr="00A84878">
        <w:rPr>
          <w:rFonts w:asciiTheme="majorHAnsi" w:hAnsiTheme="majorHAnsi" w:cstheme="majorHAnsi"/>
        </w:rPr>
        <w:t>Th</w:t>
      </w:r>
      <w:r w:rsidR="00163947" w:rsidRPr="00A84878">
        <w:rPr>
          <w:rFonts w:asciiTheme="majorHAnsi" w:hAnsiTheme="majorHAnsi" w:cstheme="majorHAnsi"/>
        </w:rPr>
        <w:t xml:space="preserve">e MRRA provides for this delegation by way of Delegated Reporting </w:t>
      </w:r>
      <w:r w:rsidR="0027189B" w:rsidRPr="00A84878">
        <w:rPr>
          <w:rFonts w:asciiTheme="majorHAnsi" w:hAnsiTheme="majorHAnsi" w:cstheme="majorHAnsi"/>
        </w:rPr>
        <w:t>and SFT-specific elections in the Securities Financing Transactions Annex</w:t>
      </w:r>
      <w:r w:rsidR="00163947" w:rsidRPr="00A84878">
        <w:rPr>
          <w:rFonts w:asciiTheme="majorHAnsi" w:hAnsiTheme="majorHAnsi" w:cstheme="majorHAnsi"/>
        </w:rPr>
        <w:t>.</w:t>
      </w:r>
    </w:p>
    <w:p w14:paraId="002055B0" w14:textId="073DCDAB" w:rsidR="009308C9" w:rsidRPr="00A84878" w:rsidRDefault="00163947" w:rsidP="003442C7">
      <w:pPr>
        <w:pStyle w:val="Body1"/>
        <w:ind w:left="0"/>
        <w:rPr>
          <w:rFonts w:asciiTheme="majorHAnsi" w:hAnsiTheme="majorHAnsi" w:cstheme="majorHAnsi"/>
        </w:rPr>
      </w:pPr>
      <w:r w:rsidRPr="00A84878">
        <w:rPr>
          <w:rFonts w:asciiTheme="majorHAnsi" w:hAnsiTheme="majorHAnsi" w:cstheme="majorHAnsi"/>
        </w:rPr>
        <w:t>Alongside providing counterparties with the ability to delegate their reporting obligation, Article 4 of SFTR also sets out a mandatory reporting requirement. W</w:t>
      </w:r>
      <w:r w:rsidRPr="00A84878">
        <w:rPr>
          <w:rFonts w:asciiTheme="majorHAnsi" w:hAnsiTheme="majorHAnsi" w:cstheme="majorHAnsi"/>
          <w:szCs w:val="20"/>
        </w:rPr>
        <w:t>here one of the counterparties to an SFT is an FC under SFTR</w:t>
      </w:r>
      <w:r w:rsidRPr="00A84878">
        <w:rPr>
          <w:rStyle w:val="FootnoteReference"/>
          <w:rFonts w:asciiTheme="majorHAnsi" w:hAnsiTheme="majorHAnsi" w:cstheme="majorHAnsi"/>
          <w:szCs w:val="20"/>
        </w:rPr>
        <w:footnoteReference w:id="16"/>
      </w:r>
      <w:r w:rsidRPr="00A84878">
        <w:rPr>
          <w:rFonts w:asciiTheme="majorHAnsi" w:hAnsiTheme="majorHAnsi" w:cstheme="majorHAnsi"/>
          <w:szCs w:val="20"/>
        </w:rPr>
        <w:t>, and the other counterparty is an NFC under SFTR that is a small or medium-sized undertaking for accounting purposes</w:t>
      </w:r>
      <w:r w:rsidRPr="00A84878">
        <w:rPr>
          <w:rStyle w:val="FootnoteReference"/>
          <w:rFonts w:asciiTheme="majorHAnsi" w:hAnsiTheme="majorHAnsi" w:cstheme="majorHAnsi"/>
          <w:szCs w:val="20"/>
        </w:rPr>
        <w:footnoteReference w:id="17"/>
      </w:r>
      <w:r w:rsidRPr="00A84878">
        <w:rPr>
          <w:rFonts w:asciiTheme="majorHAnsi" w:hAnsiTheme="majorHAnsi" w:cstheme="majorHAnsi"/>
          <w:szCs w:val="20"/>
        </w:rPr>
        <w:t xml:space="preserve"> (an “</w:t>
      </w:r>
      <w:r w:rsidRPr="00A84878">
        <w:rPr>
          <w:rFonts w:asciiTheme="majorHAnsi" w:hAnsiTheme="majorHAnsi" w:cstheme="majorHAnsi"/>
          <w:b/>
          <w:szCs w:val="20"/>
        </w:rPr>
        <w:t>NFC-</w:t>
      </w:r>
      <w:r w:rsidR="00187B30" w:rsidRPr="00A84878">
        <w:rPr>
          <w:rFonts w:asciiTheme="majorHAnsi" w:hAnsiTheme="majorHAnsi" w:cstheme="majorHAnsi"/>
          <w:b/>
          <w:szCs w:val="20"/>
        </w:rPr>
        <w:t xml:space="preserve"> </w:t>
      </w:r>
      <w:r w:rsidRPr="00A84878">
        <w:rPr>
          <w:rFonts w:asciiTheme="majorHAnsi" w:hAnsiTheme="majorHAnsi" w:cstheme="majorHAnsi"/>
          <w:b/>
          <w:szCs w:val="20"/>
        </w:rPr>
        <w:t>SME</w:t>
      </w:r>
      <w:r w:rsidRPr="00A84878">
        <w:rPr>
          <w:rFonts w:asciiTheme="majorHAnsi" w:hAnsiTheme="majorHAnsi" w:cstheme="majorHAnsi"/>
          <w:szCs w:val="20"/>
        </w:rPr>
        <w:t>”), the FC is responsible for reporting on behalf of that NFC-</w:t>
      </w:r>
      <w:r w:rsidR="00187B30" w:rsidRPr="00A84878">
        <w:rPr>
          <w:rFonts w:asciiTheme="majorHAnsi" w:hAnsiTheme="majorHAnsi" w:cstheme="majorHAnsi"/>
          <w:szCs w:val="20"/>
        </w:rPr>
        <w:t xml:space="preserve"> </w:t>
      </w:r>
      <w:r w:rsidRPr="00A84878">
        <w:rPr>
          <w:rFonts w:asciiTheme="majorHAnsi" w:hAnsiTheme="majorHAnsi" w:cstheme="majorHAnsi"/>
          <w:szCs w:val="20"/>
        </w:rPr>
        <w:t>SME, as well as on its own behalf</w:t>
      </w:r>
      <w:r w:rsidR="009308C9" w:rsidRPr="00A84878">
        <w:rPr>
          <w:rFonts w:asciiTheme="majorHAnsi" w:hAnsiTheme="majorHAnsi" w:cstheme="majorHAnsi"/>
          <w:szCs w:val="20"/>
        </w:rPr>
        <w:t xml:space="preserve">. </w:t>
      </w:r>
      <w:r w:rsidR="00525564" w:rsidRPr="00A84878">
        <w:rPr>
          <w:rFonts w:asciiTheme="majorHAnsi" w:hAnsiTheme="majorHAnsi" w:cstheme="majorHAnsi"/>
        </w:rPr>
        <w:t xml:space="preserve">The MRRA caters for this </w:t>
      </w:r>
      <w:r w:rsidR="004759AC" w:rsidRPr="00A84878">
        <w:rPr>
          <w:rFonts w:asciiTheme="majorHAnsi" w:hAnsiTheme="majorHAnsi" w:cstheme="majorHAnsi"/>
        </w:rPr>
        <w:t xml:space="preserve">through the </w:t>
      </w:r>
      <w:r w:rsidR="00525564" w:rsidRPr="00A84878">
        <w:rPr>
          <w:rFonts w:asciiTheme="majorHAnsi" w:hAnsiTheme="majorHAnsi" w:cstheme="majorHAnsi"/>
        </w:rPr>
        <w:t>Mandatory Reporting</w:t>
      </w:r>
      <w:r w:rsidR="004759AC" w:rsidRPr="00A84878">
        <w:rPr>
          <w:rFonts w:asciiTheme="majorHAnsi" w:hAnsiTheme="majorHAnsi" w:cstheme="majorHAnsi"/>
        </w:rPr>
        <w:t xml:space="preserve"> Provisions</w:t>
      </w:r>
      <w:r w:rsidR="00525564" w:rsidRPr="00A84878">
        <w:rPr>
          <w:rFonts w:asciiTheme="majorHAnsi" w:hAnsiTheme="majorHAnsi" w:cstheme="majorHAnsi"/>
        </w:rPr>
        <w:t xml:space="preserve"> and</w:t>
      </w:r>
      <w:r w:rsidR="0027189B" w:rsidRPr="00A84878">
        <w:rPr>
          <w:rFonts w:asciiTheme="majorHAnsi" w:hAnsiTheme="majorHAnsi" w:cstheme="majorHAnsi"/>
        </w:rPr>
        <w:t xml:space="preserve"> SFT-specific elections in the Securities Financing Transactions </w:t>
      </w:r>
      <w:r w:rsidR="0027189B" w:rsidRPr="00A84878">
        <w:rPr>
          <w:rFonts w:asciiTheme="majorHAnsi" w:hAnsiTheme="majorHAnsi" w:cstheme="majorHAnsi"/>
        </w:rPr>
        <w:lastRenderedPageBreak/>
        <w:t xml:space="preserve">Annex. </w:t>
      </w:r>
      <w:r w:rsidR="009E13E4" w:rsidRPr="00A84878">
        <w:rPr>
          <w:rFonts w:asciiTheme="majorHAnsi" w:hAnsiTheme="majorHAnsi" w:cstheme="majorHAnsi"/>
        </w:rPr>
        <w:t>Unlike EMIR, SFTR does not provide for an NFC- SME to opt-out from mandatory reporting by the FC and to make its own reports.</w:t>
      </w:r>
    </w:p>
    <w:p w14:paraId="7383DF48" w14:textId="6BF5F31B" w:rsidR="0027189B" w:rsidRPr="00A84878" w:rsidRDefault="0027189B" w:rsidP="003442C7">
      <w:pPr>
        <w:pStyle w:val="Body1"/>
        <w:ind w:left="0"/>
        <w:rPr>
          <w:rFonts w:asciiTheme="majorHAnsi" w:hAnsiTheme="majorHAnsi" w:cstheme="majorHAnsi"/>
          <w:szCs w:val="20"/>
        </w:rPr>
      </w:pPr>
      <w:r w:rsidRPr="00A84878">
        <w:rPr>
          <w:rFonts w:asciiTheme="majorHAnsi" w:hAnsiTheme="majorHAnsi" w:cstheme="majorHAnsi"/>
          <w:szCs w:val="20"/>
        </w:rPr>
        <w:t xml:space="preserve">Article 4 </w:t>
      </w:r>
      <w:r w:rsidR="009E13E4" w:rsidRPr="00A84878">
        <w:rPr>
          <w:rFonts w:asciiTheme="majorHAnsi" w:hAnsiTheme="majorHAnsi" w:cstheme="majorHAnsi"/>
          <w:szCs w:val="20"/>
        </w:rPr>
        <w:t xml:space="preserve">also </w:t>
      </w:r>
      <w:r w:rsidR="00187B30" w:rsidRPr="00A84878">
        <w:rPr>
          <w:rFonts w:asciiTheme="majorHAnsi" w:hAnsiTheme="majorHAnsi" w:cstheme="majorHAnsi"/>
          <w:szCs w:val="20"/>
        </w:rPr>
        <w:t>provid</w:t>
      </w:r>
      <w:r w:rsidR="009E13E4" w:rsidRPr="00A84878">
        <w:rPr>
          <w:rFonts w:asciiTheme="majorHAnsi" w:hAnsiTheme="majorHAnsi" w:cstheme="majorHAnsi"/>
          <w:szCs w:val="20"/>
        </w:rPr>
        <w:t>es</w:t>
      </w:r>
      <w:r w:rsidR="00187B30" w:rsidRPr="00A84878">
        <w:rPr>
          <w:rFonts w:asciiTheme="majorHAnsi" w:hAnsiTheme="majorHAnsi" w:cstheme="majorHAnsi"/>
          <w:szCs w:val="20"/>
        </w:rPr>
        <w:t xml:space="preserve"> that t</w:t>
      </w:r>
      <w:r w:rsidRPr="00A84878">
        <w:rPr>
          <w:rFonts w:asciiTheme="majorHAnsi" w:hAnsiTheme="majorHAnsi" w:cstheme="majorHAnsi"/>
          <w:szCs w:val="20"/>
        </w:rPr>
        <w:t>he management company of a UCITS and the AIFM will be responsible for reporting the details of SFTs to which th</w:t>
      </w:r>
      <w:r w:rsidR="00003DA9" w:rsidRPr="00A84878">
        <w:rPr>
          <w:rFonts w:asciiTheme="majorHAnsi" w:hAnsiTheme="majorHAnsi" w:cstheme="majorHAnsi"/>
          <w:szCs w:val="20"/>
        </w:rPr>
        <w:t>e</w:t>
      </w:r>
      <w:r w:rsidRPr="00A84878">
        <w:rPr>
          <w:rFonts w:asciiTheme="majorHAnsi" w:hAnsiTheme="majorHAnsi" w:cstheme="majorHAnsi"/>
          <w:szCs w:val="20"/>
        </w:rPr>
        <w:t xml:space="preserve"> UCITS or AIF, respectively, is a counterparty.</w:t>
      </w:r>
      <w:r w:rsidR="00003DA9" w:rsidRPr="00A84878">
        <w:rPr>
          <w:rStyle w:val="FootnoteReference"/>
          <w:rFonts w:asciiTheme="majorHAnsi" w:hAnsiTheme="majorHAnsi" w:cstheme="majorHAnsi"/>
          <w:szCs w:val="20"/>
        </w:rPr>
        <w:footnoteReference w:id="18"/>
      </w:r>
      <w:r w:rsidR="009E13E4" w:rsidRPr="00A84878">
        <w:rPr>
          <w:rFonts w:asciiTheme="majorHAnsi" w:hAnsiTheme="majorHAnsi" w:cstheme="majorHAnsi"/>
          <w:szCs w:val="20"/>
        </w:rPr>
        <w:t xml:space="preserve"> </w:t>
      </w:r>
    </w:p>
    <w:p w14:paraId="67671F51" w14:textId="09646ABC" w:rsidR="008156F1" w:rsidRPr="00A84878" w:rsidRDefault="009E13E4" w:rsidP="00672F15">
      <w:pPr>
        <w:pStyle w:val="Body1"/>
        <w:ind w:left="0"/>
      </w:pPr>
      <w:r w:rsidRPr="00A84878">
        <w:rPr>
          <w:rFonts w:asciiTheme="majorHAnsi" w:hAnsiTheme="majorHAnsi" w:cstheme="majorHAnsi"/>
          <w:szCs w:val="23"/>
        </w:rPr>
        <w:t xml:space="preserve">The </w:t>
      </w:r>
      <w:r w:rsidRPr="00A84878">
        <w:rPr>
          <w:rFonts w:asciiTheme="majorHAnsi" w:hAnsiTheme="majorHAnsi" w:cstheme="majorHAnsi"/>
        </w:rPr>
        <w:t>MRRA</w:t>
      </w:r>
      <w:r w:rsidRPr="00A84878">
        <w:rPr>
          <w:rFonts w:asciiTheme="majorHAnsi" w:hAnsiTheme="majorHAnsi" w:cstheme="majorHAnsi"/>
          <w:szCs w:val="23"/>
        </w:rPr>
        <w:t xml:space="preserve"> is not designed to cater for any agreements that may need to be put in place between a Fund Manager and a </w:t>
      </w:r>
      <w:r w:rsidR="0091330C">
        <w:rPr>
          <w:rFonts w:asciiTheme="majorHAnsi" w:hAnsiTheme="majorHAnsi" w:cstheme="majorHAnsi"/>
          <w:szCs w:val="23"/>
        </w:rPr>
        <w:t>F</w:t>
      </w:r>
      <w:r w:rsidRPr="00A84878">
        <w:rPr>
          <w:rFonts w:asciiTheme="majorHAnsi" w:hAnsiTheme="majorHAnsi" w:cstheme="majorHAnsi"/>
          <w:szCs w:val="23"/>
        </w:rPr>
        <w:t xml:space="preserve">und to facilitate the reporting by the Fund Manager, pursuant to Article </w:t>
      </w:r>
      <w:r w:rsidR="00A84878" w:rsidRPr="00A84878">
        <w:rPr>
          <w:rFonts w:asciiTheme="majorHAnsi" w:hAnsiTheme="majorHAnsi" w:cstheme="majorHAnsi"/>
          <w:szCs w:val="23"/>
        </w:rPr>
        <w:t>4</w:t>
      </w:r>
      <w:r w:rsidRPr="00A84878">
        <w:rPr>
          <w:rFonts w:asciiTheme="majorHAnsi" w:hAnsiTheme="majorHAnsi" w:cstheme="majorHAnsi"/>
          <w:szCs w:val="23"/>
        </w:rPr>
        <w:t xml:space="preserve">, of </w:t>
      </w:r>
      <w:r w:rsidR="00A84878" w:rsidRPr="00A84878">
        <w:rPr>
          <w:rFonts w:asciiTheme="majorHAnsi" w:hAnsiTheme="majorHAnsi" w:cstheme="majorHAnsi"/>
          <w:szCs w:val="23"/>
        </w:rPr>
        <w:t>SFTs</w:t>
      </w:r>
      <w:r w:rsidRPr="00A84878">
        <w:rPr>
          <w:rFonts w:asciiTheme="majorHAnsi" w:hAnsiTheme="majorHAnsi" w:cstheme="majorHAnsi"/>
          <w:szCs w:val="23"/>
        </w:rPr>
        <w:t xml:space="preserve"> of the </w:t>
      </w:r>
      <w:r w:rsidR="0091330C">
        <w:rPr>
          <w:rFonts w:asciiTheme="majorHAnsi" w:hAnsiTheme="majorHAnsi" w:cstheme="majorHAnsi"/>
          <w:szCs w:val="23"/>
        </w:rPr>
        <w:t>F</w:t>
      </w:r>
      <w:r w:rsidRPr="00A84878">
        <w:rPr>
          <w:rFonts w:asciiTheme="majorHAnsi" w:hAnsiTheme="majorHAnsi" w:cstheme="majorHAnsi"/>
          <w:szCs w:val="23"/>
        </w:rPr>
        <w:t>und. Where a Fund Manager has the responsibility to report transactions of a Fund, the Fund Manager can use the MRRA to delegate its reporting function to the Reporting Party</w:t>
      </w:r>
      <w:r w:rsidR="001B33C4" w:rsidRPr="00A84878">
        <w:t>.</w:t>
      </w:r>
    </w:p>
    <w:p w14:paraId="55C13DAE" w14:textId="5484E1F6" w:rsidR="006A647C" w:rsidRPr="008E0EAB" w:rsidRDefault="007D0056" w:rsidP="006A647C">
      <w:pPr>
        <w:pStyle w:val="Body"/>
        <w:rPr>
          <w:rFonts w:asciiTheme="majorHAnsi" w:hAnsiTheme="majorHAnsi" w:cstheme="majorHAnsi"/>
          <w:szCs w:val="20"/>
        </w:rPr>
      </w:pPr>
      <w:r w:rsidRPr="00A84878">
        <w:rPr>
          <w:rFonts w:asciiTheme="majorHAnsi" w:hAnsiTheme="majorHAnsi" w:cstheme="majorHAnsi"/>
          <w:szCs w:val="20"/>
        </w:rPr>
        <w:t>Details</w:t>
      </w:r>
      <w:r w:rsidR="001A2884" w:rsidRPr="00A84878">
        <w:rPr>
          <w:rFonts w:asciiTheme="majorHAnsi" w:hAnsiTheme="majorHAnsi" w:cstheme="majorHAnsi"/>
          <w:szCs w:val="20"/>
        </w:rPr>
        <w:t xml:space="preserve"> that need to be reported </w:t>
      </w:r>
      <w:r w:rsidR="00171F1F" w:rsidRPr="00A84878">
        <w:rPr>
          <w:rFonts w:asciiTheme="majorHAnsi" w:hAnsiTheme="majorHAnsi" w:cstheme="majorHAnsi"/>
          <w:szCs w:val="20"/>
        </w:rPr>
        <w:t xml:space="preserve">under SFTR are provided in </w:t>
      </w:r>
      <w:r w:rsidR="00171F1F" w:rsidRPr="00A84878">
        <w:rPr>
          <w:rStyle w:val="Hyperlink"/>
          <w:rFonts w:asciiTheme="majorHAnsi" w:hAnsiTheme="majorHAnsi" w:cstheme="majorHAnsi"/>
          <w:color w:val="auto"/>
          <w:szCs w:val="20"/>
        </w:rPr>
        <w:t>Tables 1,</w:t>
      </w:r>
      <w:r w:rsidR="00022D98">
        <w:rPr>
          <w:rStyle w:val="Hyperlink"/>
          <w:rFonts w:asciiTheme="majorHAnsi" w:hAnsiTheme="majorHAnsi" w:cstheme="majorHAnsi"/>
          <w:color w:val="auto"/>
          <w:szCs w:val="20"/>
        </w:rPr>
        <w:t xml:space="preserve"> </w:t>
      </w:r>
      <w:r w:rsidR="00171F1F" w:rsidRPr="00A84878">
        <w:rPr>
          <w:rStyle w:val="Hyperlink"/>
          <w:rFonts w:asciiTheme="majorHAnsi" w:hAnsiTheme="majorHAnsi" w:cstheme="majorHAnsi"/>
          <w:color w:val="auto"/>
          <w:szCs w:val="20"/>
        </w:rPr>
        <w:t>2,</w:t>
      </w:r>
      <w:r w:rsidR="00022D98">
        <w:rPr>
          <w:rStyle w:val="Hyperlink"/>
          <w:rFonts w:asciiTheme="majorHAnsi" w:hAnsiTheme="majorHAnsi" w:cstheme="majorHAnsi"/>
          <w:color w:val="auto"/>
          <w:szCs w:val="20"/>
        </w:rPr>
        <w:t xml:space="preserve"> </w:t>
      </w:r>
      <w:r w:rsidR="00171F1F" w:rsidRPr="00A84878">
        <w:rPr>
          <w:rStyle w:val="Hyperlink"/>
          <w:rFonts w:asciiTheme="majorHAnsi" w:hAnsiTheme="majorHAnsi" w:cstheme="majorHAnsi"/>
          <w:color w:val="auto"/>
          <w:szCs w:val="20"/>
        </w:rPr>
        <w:t xml:space="preserve">3 and 4 of </w:t>
      </w:r>
      <w:r w:rsidR="004211C9">
        <w:rPr>
          <w:rStyle w:val="Hyperlink"/>
          <w:rFonts w:asciiTheme="majorHAnsi" w:hAnsiTheme="majorHAnsi" w:cstheme="majorHAnsi"/>
          <w:color w:val="auto"/>
          <w:szCs w:val="20"/>
        </w:rPr>
        <w:t xml:space="preserve">limbs </w:t>
      </w:r>
      <w:r w:rsidR="00425C92">
        <w:rPr>
          <w:rStyle w:val="Hyperlink"/>
          <w:rFonts w:asciiTheme="majorHAnsi" w:hAnsiTheme="majorHAnsi" w:cstheme="majorHAnsi"/>
          <w:color w:val="auto"/>
          <w:szCs w:val="20"/>
        </w:rPr>
        <w:t>(i)</w:t>
      </w:r>
      <w:r w:rsidR="004211C9">
        <w:rPr>
          <w:rStyle w:val="Hyperlink"/>
          <w:rFonts w:asciiTheme="majorHAnsi" w:hAnsiTheme="majorHAnsi" w:cstheme="majorHAnsi"/>
          <w:color w:val="auto"/>
          <w:szCs w:val="20"/>
        </w:rPr>
        <w:t xml:space="preserve">(A) and </w:t>
      </w:r>
      <w:r w:rsidR="00425C92">
        <w:rPr>
          <w:rStyle w:val="Hyperlink"/>
          <w:rFonts w:asciiTheme="majorHAnsi" w:hAnsiTheme="majorHAnsi" w:cstheme="majorHAnsi"/>
          <w:color w:val="auto"/>
          <w:szCs w:val="20"/>
        </w:rPr>
        <w:t>(i)</w:t>
      </w:r>
      <w:r w:rsidR="004211C9">
        <w:rPr>
          <w:rStyle w:val="Hyperlink"/>
          <w:rFonts w:asciiTheme="majorHAnsi" w:hAnsiTheme="majorHAnsi" w:cstheme="majorHAnsi"/>
          <w:color w:val="auto"/>
          <w:szCs w:val="20"/>
        </w:rPr>
        <w:t xml:space="preserve">(B) of </w:t>
      </w:r>
      <w:r w:rsidR="002165DA" w:rsidRPr="00A84878">
        <w:rPr>
          <w:rStyle w:val="Hyperlink"/>
          <w:rFonts w:asciiTheme="majorHAnsi" w:hAnsiTheme="majorHAnsi" w:cstheme="majorHAnsi"/>
          <w:color w:val="auto"/>
          <w:szCs w:val="20"/>
        </w:rPr>
        <w:t xml:space="preserve">the </w:t>
      </w:r>
      <w:r w:rsidR="00425C92">
        <w:rPr>
          <w:rStyle w:val="Hyperlink"/>
          <w:rFonts w:asciiTheme="majorHAnsi" w:hAnsiTheme="majorHAnsi" w:cstheme="majorHAnsi"/>
          <w:color w:val="auto"/>
          <w:szCs w:val="20"/>
        </w:rPr>
        <w:t>definition</w:t>
      </w:r>
      <w:r w:rsidR="00DB0C2A">
        <w:rPr>
          <w:rStyle w:val="Hyperlink"/>
          <w:rFonts w:asciiTheme="majorHAnsi" w:hAnsiTheme="majorHAnsi" w:cstheme="majorHAnsi"/>
          <w:color w:val="auto"/>
          <w:szCs w:val="20"/>
        </w:rPr>
        <w:t xml:space="preserve"> of </w:t>
      </w:r>
      <w:r w:rsidR="00171F1F" w:rsidRPr="00A84878">
        <w:rPr>
          <w:rStyle w:val="Hyperlink"/>
          <w:rFonts w:asciiTheme="majorHAnsi" w:hAnsiTheme="majorHAnsi" w:cstheme="majorHAnsi"/>
          <w:color w:val="auto"/>
          <w:szCs w:val="20"/>
        </w:rPr>
        <w:t>SFTR</w:t>
      </w:r>
      <w:r w:rsidR="004211C9">
        <w:rPr>
          <w:rStyle w:val="Hyperlink"/>
          <w:rFonts w:asciiTheme="majorHAnsi" w:hAnsiTheme="majorHAnsi" w:cstheme="majorHAnsi"/>
          <w:color w:val="auto"/>
          <w:szCs w:val="20"/>
        </w:rPr>
        <w:t>/UK SFTR</w:t>
      </w:r>
      <w:r w:rsidR="0081014B" w:rsidRPr="00A84878">
        <w:rPr>
          <w:rStyle w:val="Hyperlink"/>
          <w:rFonts w:asciiTheme="majorHAnsi" w:hAnsiTheme="majorHAnsi" w:cstheme="majorHAnsi"/>
          <w:color w:val="auto"/>
          <w:szCs w:val="20"/>
        </w:rPr>
        <w:t xml:space="preserve"> </w:t>
      </w:r>
      <w:r w:rsidR="002165DA" w:rsidRPr="00A84878">
        <w:rPr>
          <w:rStyle w:val="Hyperlink"/>
          <w:rFonts w:asciiTheme="majorHAnsi" w:hAnsiTheme="majorHAnsi" w:cstheme="majorHAnsi"/>
          <w:color w:val="auto"/>
          <w:szCs w:val="20"/>
        </w:rPr>
        <w:t>R</w:t>
      </w:r>
      <w:r w:rsidR="0081014B" w:rsidRPr="00A84878">
        <w:rPr>
          <w:rStyle w:val="Hyperlink"/>
          <w:rFonts w:asciiTheme="majorHAnsi" w:hAnsiTheme="majorHAnsi" w:cstheme="majorHAnsi"/>
          <w:color w:val="auto"/>
          <w:szCs w:val="20"/>
        </w:rPr>
        <w:t xml:space="preserve">eporting </w:t>
      </w:r>
      <w:r w:rsidR="002165DA" w:rsidRPr="00A84878">
        <w:rPr>
          <w:rStyle w:val="Hyperlink"/>
          <w:rFonts w:asciiTheme="majorHAnsi" w:hAnsiTheme="majorHAnsi" w:cstheme="majorHAnsi"/>
          <w:color w:val="auto"/>
          <w:szCs w:val="20"/>
        </w:rPr>
        <w:t>An</w:t>
      </w:r>
      <w:r w:rsidR="0081014B" w:rsidRPr="00A84878">
        <w:rPr>
          <w:rStyle w:val="Hyperlink"/>
          <w:rFonts w:asciiTheme="majorHAnsi" w:hAnsiTheme="majorHAnsi" w:cstheme="majorHAnsi"/>
          <w:color w:val="auto"/>
          <w:szCs w:val="20"/>
        </w:rPr>
        <w:t>nexes</w:t>
      </w:r>
      <w:r w:rsidR="00ED748E" w:rsidRPr="00A84878">
        <w:rPr>
          <w:rStyle w:val="FootnoteReference"/>
          <w:rFonts w:asciiTheme="majorHAnsi" w:hAnsiTheme="majorHAnsi" w:cstheme="majorHAnsi"/>
          <w:szCs w:val="20"/>
        </w:rPr>
        <w:footnoteReference w:id="19"/>
      </w:r>
      <w:r w:rsidR="00171F1F" w:rsidRPr="00A84878">
        <w:rPr>
          <w:rFonts w:asciiTheme="majorHAnsi" w:hAnsiTheme="majorHAnsi" w:cstheme="majorHAnsi"/>
          <w:szCs w:val="20"/>
        </w:rPr>
        <w:t xml:space="preserve">. They </w:t>
      </w:r>
      <w:r w:rsidR="001A2884" w:rsidRPr="00A84878">
        <w:rPr>
          <w:rFonts w:asciiTheme="majorHAnsi" w:hAnsiTheme="majorHAnsi" w:cstheme="majorHAnsi"/>
          <w:szCs w:val="20"/>
        </w:rPr>
        <w:t>include</w:t>
      </w:r>
      <w:r w:rsidR="00171F1F" w:rsidRPr="00A84878">
        <w:rPr>
          <w:rFonts w:asciiTheme="majorHAnsi" w:hAnsiTheme="majorHAnsi" w:cstheme="majorHAnsi"/>
          <w:szCs w:val="20"/>
        </w:rPr>
        <w:t xml:space="preserve">, among other details, </w:t>
      </w:r>
      <w:r w:rsidR="002165DA" w:rsidRPr="00A84878">
        <w:rPr>
          <w:rFonts w:asciiTheme="majorHAnsi" w:hAnsiTheme="majorHAnsi" w:cstheme="majorHAnsi"/>
          <w:szCs w:val="20"/>
        </w:rPr>
        <w:t>‘c</w:t>
      </w:r>
      <w:r w:rsidR="00171F1F" w:rsidRPr="00A84878">
        <w:rPr>
          <w:rFonts w:asciiTheme="majorHAnsi" w:hAnsiTheme="majorHAnsi" w:cstheme="majorHAnsi"/>
          <w:szCs w:val="20"/>
        </w:rPr>
        <w:t xml:space="preserve">ounterparty </w:t>
      </w:r>
      <w:r w:rsidR="002165DA" w:rsidRPr="00A84878">
        <w:rPr>
          <w:rFonts w:asciiTheme="majorHAnsi" w:hAnsiTheme="majorHAnsi" w:cstheme="majorHAnsi"/>
          <w:szCs w:val="20"/>
        </w:rPr>
        <w:t>d</w:t>
      </w:r>
      <w:r w:rsidR="00171F1F" w:rsidRPr="00A84878">
        <w:rPr>
          <w:rFonts w:asciiTheme="majorHAnsi" w:hAnsiTheme="majorHAnsi" w:cstheme="majorHAnsi"/>
          <w:szCs w:val="20"/>
        </w:rPr>
        <w:t>ata</w:t>
      </w:r>
      <w:r w:rsidR="002165DA" w:rsidRPr="00A84878">
        <w:rPr>
          <w:rFonts w:asciiTheme="majorHAnsi" w:hAnsiTheme="majorHAnsi" w:cstheme="majorHAnsi"/>
          <w:szCs w:val="20"/>
        </w:rPr>
        <w:t>’</w:t>
      </w:r>
      <w:r w:rsidR="00A44C3D" w:rsidRPr="00A84878">
        <w:rPr>
          <w:rFonts w:asciiTheme="majorHAnsi" w:hAnsiTheme="majorHAnsi" w:cstheme="majorHAnsi"/>
          <w:szCs w:val="20"/>
        </w:rPr>
        <w:t xml:space="preserve"> in Table 1</w:t>
      </w:r>
      <w:r w:rsidR="00171F1F" w:rsidRPr="00A84878">
        <w:rPr>
          <w:rFonts w:asciiTheme="majorHAnsi" w:hAnsiTheme="majorHAnsi" w:cstheme="majorHAnsi"/>
          <w:szCs w:val="20"/>
        </w:rPr>
        <w:t xml:space="preserve"> (for example, counterparty</w:t>
      </w:r>
      <w:r w:rsidR="00022D98">
        <w:rPr>
          <w:rFonts w:asciiTheme="majorHAnsi" w:hAnsiTheme="majorHAnsi" w:cstheme="majorHAnsi"/>
          <w:szCs w:val="20"/>
        </w:rPr>
        <w:t xml:space="preserve"> ID</w:t>
      </w:r>
      <w:r w:rsidR="00171F1F" w:rsidRPr="00A84878">
        <w:rPr>
          <w:rFonts w:asciiTheme="majorHAnsi" w:hAnsiTheme="majorHAnsi" w:cstheme="majorHAnsi"/>
          <w:szCs w:val="20"/>
        </w:rPr>
        <w:t>)</w:t>
      </w:r>
      <w:r w:rsidR="00A44C3D" w:rsidRPr="00A84878">
        <w:rPr>
          <w:rFonts w:asciiTheme="majorHAnsi" w:hAnsiTheme="majorHAnsi" w:cstheme="majorHAnsi"/>
          <w:szCs w:val="20"/>
        </w:rPr>
        <w:t xml:space="preserve">, </w:t>
      </w:r>
      <w:r w:rsidR="002165DA" w:rsidRPr="00A84878">
        <w:rPr>
          <w:rFonts w:asciiTheme="majorHAnsi" w:hAnsiTheme="majorHAnsi" w:cstheme="majorHAnsi"/>
          <w:szCs w:val="20"/>
        </w:rPr>
        <w:t>‘</w:t>
      </w:r>
      <w:r w:rsidR="00601954" w:rsidRPr="00A84878">
        <w:rPr>
          <w:rFonts w:asciiTheme="majorHAnsi" w:hAnsiTheme="majorHAnsi" w:cstheme="majorHAnsi"/>
          <w:szCs w:val="20"/>
        </w:rPr>
        <w:t>l</w:t>
      </w:r>
      <w:r w:rsidR="00A44C3D" w:rsidRPr="00A84878">
        <w:rPr>
          <w:rFonts w:asciiTheme="majorHAnsi" w:hAnsiTheme="majorHAnsi" w:cstheme="majorHAnsi"/>
          <w:szCs w:val="20"/>
        </w:rPr>
        <w:t xml:space="preserve">oan and </w:t>
      </w:r>
      <w:r w:rsidR="00601954" w:rsidRPr="00A84878">
        <w:rPr>
          <w:rFonts w:asciiTheme="majorHAnsi" w:hAnsiTheme="majorHAnsi" w:cstheme="majorHAnsi"/>
          <w:szCs w:val="20"/>
        </w:rPr>
        <w:t>c</w:t>
      </w:r>
      <w:r w:rsidR="00A44C3D" w:rsidRPr="00A84878">
        <w:rPr>
          <w:rFonts w:asciiTheme="majorHAnsi" w:hAnsiTheme="majorHAnsi" w:cstheme="majorHAnsi"/>
          <w:szCs w:val="20"/>
        </w:rPr>
        <w:t>ollateral</w:t>
      </w:r>
      <w:r w:rsidR="002165DA" w:rsidRPr="00A84878">
        <w:rPr>
          <w:rFonts w:asciiTheme="majorHAnsi" w:hAnsiTheme="majorHAnsi" w:cstheme="majorHAnsi"/>
          <w:szCs w:val="20"/>
        </w:rPr>
        <w:t>’</w:t>
      </w:r>
      <w:r w:rsidR="00A44C3D" w:rsidRPr="00A84878">
        <w:rPr>
          <w:rFonts w:asciiTheme="majorHAnsi" w:hAnsiTheme="majorHAnsi" w:cstheme="majorHAnsi"/>
          <w:szCs w:val="20"/>
        </w:rPr>
        <w:t xml:space="preserve"> </w:t>
      </w:r>
      <w:r w:rsidR="00601954" w:rsidRPr="00A84878">
        <w:rPr>
          <w:rFonts w:asciiTheme="majorHAnsi" w:hAnsiTheme="majorHAnsi" w:cstheme="majorHAnsi"/>
          <w:szCs w:val="20"/>
        </w:rPr>
        <w:t>d</w:t>
      </w:r>
      <w:r w:rsidR="00A44C3D" w:rsidRPr="00A84878">
        <w:rPr>
          <w:rFonts w:asciiTheme="majorHAnsi" w:hAnsiTheme="majorHAnsi" w:cstheme="majorHAnsi"/>
          <w:szCs w:val="20"/>
        </w:rPr>
        <w:t>ata in Table 2 (</w:t>
      </w:r>
      <w:r w:rsidR="00601954" w:rsidRPr="00A84878">
        <w:rPr>
          <w:rFonts w:asciiTheme="majorHAnsi" w:hAnsiTheme="majorHAnsi" w:cstheme="majorHAnsi"/>
          <w:szCs w:val="20"/>
        </w:rPr>
        <w:t xml:space="preserve">such as </w:t>
      </w:r>
      <w:r w:rsidR="001C5737" w:rsidRPr="00A84878">
        <w:rPr>
          <w:rFonts w:asciiTheme="majorHAnsi" w:hAnsiTheme="majorHAnsi" w:cstheme="majorHAnsi"/>
          <w:szCs w:val="20"/>
        </w:rPr>
        <w:t xml:space="preserve">unique reference assigned to the SFT in order to identify the trade </w:t>
      </w:r>
      <w:r w:rsidR="00601954" w:rsidRPr="00A84878">
        <w:rPr>
          <w:rFonts w:asciiTheme="majorHAnsi" w:hAnsiTheme="majorHAnsi" w:cstheme="majorHAnsi"/>
          <w:szCs w:val="20"/>
        </w:rPr>
        <w:t xml:space="preserve">and type of SFT), </w:t>
      </w:r>
      <w:r w:rsidR="002165DA" w:rsidRPr="00A84878">
        <w:rPr>
          <w:rFonts w:asciiTheme="majorHAnsi" w:hAnsiTheme="majorHAnsi" w:cstheme="majorHAnsi"/>
          <w:szCs w:val="20"/>
        </w:rPr>
        <w:t>‘</w:t>
      </w:r>
      <w:r w:rsidR="00601954" w:rsidRPr="00A84878">
        <w:rPr>
          <w:rFonts w:asciiTheme="majorHAnsi" w:hAnsiTheme="majorHAnsi" w:cstheme="majorHAnsi"/>
          <w:szCs w:val="20"/>
        </w:rPr>
        <w:t>margin data</w:t>
      </w:r>
      <w:r w:rsidR="002165DA" w:rsidRPr="00A84878">
        <w:rPr>
          <w:rFonts w:asciiTheme="majorHAnsi" w:hAnsiTheme="majorHAnsi" w:cstheme="majorHAnsi"/>
          <w:szCs w:val="20"/>
        </w:rPr>
        <w:t>’</w:t>
      </w:r>
      <w:r w:rsidR="00601954" w:rsidRPr="00A84878">
        <w:rPr>
          <w:rFonts w:asciiTheme="majorHAnsi" w:hAnsiTheme="majorHAnsi" w:cstheme="majorHAnsi"/>
          <w:szCs w:val="20"/>
        </w:rPr>
        <w:t xml:space="preserve"> in Table 3</w:t>
      </w:r>
      <w:r w:rsidR="00B50F5A" w:rsidRPr="00A84878">
        <w:rPr>
          <w:rFonts w:asciiTheme="majorHAnsi" w:hAnsiTheme="majorHAnsi" w:cstheme="majorHAnsi"/>
          <w:szCs w:val="20"/>
        </w:rPr>
        <w:t xml:space="preserve"> with respect to cleared SFTs</w:t>
      </w:r>
      <w:r w:rsidR="00601954" w:rsidRPr="00A84878">
        <w:rPr>
          <w:rFonts w:asciiTheme="majorHAnsi" w:hAnsiTheme="majorHAnsi" w:cstheme="majorHAnsi"/>
          <w:szCs w:val="20"/>
        </w:rPr>
        <w:t xml:space="preserve"> (such as event date and initial margin posted) and </w:t>
      </w:r>
      <w:r w:rsidR="002165DA" w:rsidRPr="00A84878">
        <w:rPr>
          <w:rFonts w:asciiTheme="majorHAnsi" w:hAnsiTheme="majorHAnsi" w:cstheme="majorHAnsi"/>
          <w:szCs w:val="20"/>
        </w:rPr>
        <w:t>‘</w:t>
      </w:r>
      <w:r w:rsidR="00601954" w:rsidRPr="00A84878">
        <w:rPr>
          <w:rFonts w:asciiTheme="majorHAnsi" w:hAnsiTheme="majorHAnsi" w:cstheme="majorHAnsi"/>
          <w:szCs w:val="20"/>
        </w:rPr>
        <w:t>re-use, cash reinvestment and funding sources data</w:t>
      </w:r>
      <w:r w:rsidR="002165DA" w:rsidRPr="00A84878">
        <w:rPr>
          <w:rFonts w:asciiTheme="majorHAnsi" w:hAnsiTheme="majorHAnsi" w:cstheme="majorHAnsi"/>
          <w:szCs w:val="20"/>
        </w:rPr>
        <w:t>’</w:t>
      </w:r>
      <w:r w:rsidR="00601954" w:rsidRPr="00A84878">
        <w:rPr>
          <w:rFonts w:asciiTheme="majorHAnsi" w:hAnsiTheme="majorHAnsi" w:cstheme="majorHAnsi"/>
          <w:szCs w:val="20"/>
        </w:rPr>
        <w:t xml:space="preserve"> </w:t>
      </w:r>
      <w:r w:rsidR="001C5737" w:rsidRPr="00A84878">
        <w:rPr>
          <w:rFonts w:asciiTheme="majorHAnsi" w:hAnsiTheme="majorHAnsi" w:cstheme="majorHAnsi"/>
          <w:szCs w:val="20"/>
        </w:rPr>
        <w:t>in Table 4</w:t>
      </w:r>
      <w:r w:rsidR="00601954" w:rsidRPr="00A84878">
        <w:rPr>
          <w:rFonts w:asciiTheme="majorHAnsi" w:hAnsiTheme="majorHAnsi" w:cstheme="majorHAnsi"/>
          <w:szCs w:val="20"/>
        </w:rPr>
        <w:t>.</w:t>
      </w:r>
    </w:p>
    <w:p w14:paraId="71682170" w14:textId="03E1FCF0" w:rsidR="006A647C" w:rsidRPr="00D15F5D" w:rsidRDefault="006A647C" w:rsidP="006A647C">
      <w:pPr>
        <w:pStyle w:val="Body"/>
        <w:spacing w:before="280"/>
        <w:rPr>
          <w:rFonts w:asciiTheme="majorHAnsi" w:hAnsiTheme="majorHAnsi" w:cstheme="majorHAnsi"/>
          <w:sz w:val="18"/>
          <w:szCs w:val="20"/>
          <w:u w:val="single"/>
        </w:rPr>
      </w:pPr>
      <w:r>
        <w:rPr>
          <w:rFonts w:asciiTheme="majorHAnsi" w:hAnsiTheme="majorHAnsi" w:cstheme="majorHAnsi"/>
          <w:b/>
          <w:sz w:val="22"/>
          <w:u w:val="single"/>
        </w:rPr>
        <w:t xml:space="preserve">UK </w:t>
      </w:r>
      <w:r w:rsidRPr="00D15F5D">
        <w:rPr>
          <w:rFonts w:asciiTheme="majorHAnsi" w:hAnsiTheme="majorHAnsi" w:cstheme="majorHAnsi"/>
          <w:b/>
          <w:sz w:val="22"/>
          <w:u w:val="single"/>
        </w:rPr>
        <w:t>SFTR</w:t>
      </w:r>
    </w:p>
    <w:p w14:paraId="4C6B9952" w14:textId="617A0148" w:rsidR="00531504" w:rsidRDefault="0047656F" w:rsidP="006A647C">
      <w:pPr>
        <w:pStyle w:val="Body"/>
        <w:rPr>
          <w:rFonts w:asciiTheme="majorHAnsi" w:hAnsiTheme="majorHAnsi" w:cstheme="majorHAnsi"/>
          <w:szCs w:val="20"/>
        </w:rPr>
      </w:pPr>
      <w:r>
        <w:rPr>
          <w:rFonts w:asciiTheme="majorHAnsi" w:hAnsiTheme="majorHAnsi" w:cstheme="majorHAnsi"/>
          <w:szCs w:val="20"/>
        </w:rPr>
        <w:t>As with the Derivatives Annex, t</w:t>
      </w:r>
      <w:r w:rsidR="00A64571">
        <w:rPr>
          <w:rFonts w:asciiTheme="majorHAnsi" w:hAnsiTheme="majorHAnsi" w:cstheme="majorHAnsi"/>
          <w:szCs w:val="20"/>
        </w:rPr>
        <w:t xml:space="preserve">he </w:t>
      </w:r>
      <w:r w:rsidR="00066522" w:rsidRPr="00A84878">
        <w:rPr>
          <w:rFonts w:asciiTheme="majorHAnsi" w:hAnsiTheme="majorHAnsi" w:cstheme="majorHAnsi"/>
        </w:rPr>
        <w:t xml:space="preserve">Securities Financing Transactions </w:t>
      </w:r>
      <w:r w:rsidR="00C21918">
        <w:rPr>
          <w:rFonts w:asciiTheme="majorHAnsi" w:hAnsiTheme="majorHAnsi" w:cstheme="majorHAnsi"/>
          <w:szCs w:val="20"/>
        </w:rPr>
        <w:t>Annex of the MRRA,</w:t>
      </w:r>
      <w:r>
        <w:rPr>
          <w:rFonts w:asciiTheme="majorHAnsi" w:hAnsiTheme="majorHAnsi" w:cstheme="majorHAnsi"/>
          <w:szCs w:val="20"/>
        </w:rPr>
        <w:t xml:space="preserve"> </w:t>
      </w:r>
      <w:r w:rsidR="009B0F6B">
        <w:rPr>
          <w:rFonts w:asciiTheme="majorHAnsi" w:hAnsiTheme="majorHAnsi" w:cstheme="majorHAnsi"/>
          <w:szCs w:val="20"/>
        </w:rPr>
        <w:t>as</w:t>
      </w:r>
      <w:r w:rsidR="00C21918">
        <w:rPr>
          <w:rFonts w:asciiTheme="majorHAnsi" w:hAnsiTheme="majorHAnsi" w:cstheme="majorHAnsi"/>
          <w:szCs w:val="20"/>
        </w:rPr>
        <w:t xml:space="preserve"> originally </w:t>
      </w:r>
      <w:r w:rsidR="00B93718">
        <w:rPr>
          <w:rFonts w:asciiTheme="majorHAnsi" w:hAnsiTheme="majorHAnsi" w:cstheme="majorHAnsi"/>
          <w:szCs w:val="20"/>
        </w:rPr>
        <w:t>published</w:t>
      </w:r>
      <w:r w:rsidR="00C21918">
        <w:rPr>
          <w:rFonts w:asciiTheme="majorHAnsi" w:hAnsiTheme="majorHAnsi" w:cstheme="majorHAnsi"/>
          <w:szCs w:val="20"/>
        </w:rPr>
        <w:t xml:space="preserve"> in December 2019</w:t>
      </w:r>
      <w:r>
        <w:rPr>
          <w:rFonts w:asciiTheme="majorHAnsi" w:hAnsiTheme="majorHAnsi" w:cstheme="majorHAnsi"/>
          <w:szCs w:val="20"/>
        </w:rPr>
        <w:t>,</w:t>
      </w:r>
      <w:r w:rsidR="00C21918">
        <w:rPr>
          <w:rFonts w:asciiTheme="majorHAnsi" w:hAnsiTheme="majorHAnsi" w:cstheme="majorHAnsi"/>
          <w:szCs w:val="20"/>
        </w:rPr>
        <w:t xml:space="preserve"> </w:t>
      </w:r>
      <w:r w:rsidR="009B0F6B">
        <w:rPr>
          <w:rFonts w:asciiTheme="majorHAnsi" w:hAnsiTheme="majorHAnsi" w:cstheme="majorHAnsi"/>
          <w:szCs w:val="20"/>
        </w:rPr>
        <w:t xml:space="preserve">contemplated </w:t>
      </w:r>
      <w:r w:rsidR="00C21918">
        <w:rPr>
          <w:rFonts w:asciiTheme="majorHAnsi" w:hAnsiTheme="majorHAnsi" w:cstheme="majorHAnsi"/>
          <w:szCs w:val="20"/>
        </w:rPr>
        <w:t xml:space="preserve">a post-Brexit regulatory </w:t>
      </w:r>
      <w:proofErr w:type="gramStart"/>
      <w:r w:rsidR="00C21918">
        <w:rPr>
          <w:rFonts w:asciiTheme="majorHAnsi" w:hAnsiTheme="majorHAnsi" w:cstheme="majorHAnsi"/>
          <w:szCs w:val="20"/>
        </w:rPr>
        <w:t>landscape</w:t>
      </w:r>
      <w:proofErr w:type="gramEnd"/>
      <w:r w:rsidR="00650477">
        <w:rPr>
          <w:rFonts w:asciiTheme="majorHAnsi" w:hAnsiTheme="majorHAnsi" w:cstheme="majorHAnsi"/>
          <w:szCs w:val="20"/>
        </w:rPr>
        <w:t xml:space="preserve"> </w:t>
      </w:r>
      <w:r w:rsidR="00F95882">
        <w:rPr>
          <w:rFonts w:asciiTheme="majorHAnsi" w:hAnsiTheme="majorHAnsi" w:cstheme="majorHAnsi"/>
          <w:szCs w:val="20"/>
        </w:rPr>
        <w:t>and catered for the fact that there w</w:t>
      </w:r>
      <w:r w:rsidR="00BF713E">
        <w:rPr>
          <w:rFonts w:asciiTheme="majorHAnsi" w:hAnsiTheme="majorHAnsi" w:cstheme="majorHAnsi"/>
          <w:szCs w:val="20"/>
        </w:rPr>
        <w:t>as</w:t>
      </w:r>
      <w:r w:rsidR="00F95882">
        <w:rPr>
          <w:rFonts w:asciiTheme="majorHAnsi" w:hAnsiTheme="majorHAnsi" w:cstheme="majorHAnsi"/>
          <w:szCs w:val="20"/>
        </w:rPr>
        <w:t xml:space="preserve"> </w:t>
      </w:r>
      <w:r w:rsidR="00DD542C">
        <w:rPr>
          <w:rFonts w:asciiTheme="majorHAnsi" w:hAnsiTheme="majorHAnsi" w:cstheme="majorHAnsi"/>
          <w:szCs w:val="20"/>
        </w:rPr>
        <w:t xml:space="preserve">expected to be </w:t>
      </w:r>
      <w:r w:rsidR="00F95882">
        <w:rPr>
          <w:rFonts w:asciiTheme="majorHAnsi" w:hAnsiTheme="majorHAnsi" w:cstheme="majorHAnsi"/>
          <w:szCs w:val="20"/>
        </w:rPr>
        <w:t xml:space="preserve">only relatively minor differences between </w:t>
      </w:r>
      <w:r w:rsidR="00C12AF6">
        <w:rPr>
          <w:rFonts w:asciiTheme="majorHAnsi" w:hAnsiTheme="majorHAnsi" w:cstheme="majorHAnsi"/>
          <w:szCs w:val="20"/>
        </w:rPr>
        <w:t xml:space="preserve">SFTR </w:t>
      </w:r>
      <w:r w:rsidR="00F95882">
        <w:rPr>
          <w:rFonts w:asciiTheme="majorHAnsi" w:hAnsiTheme="majorHAnsi" w:cstheme="majorHAnsi"/>
          <w:szCs w:val="20"/>
        </w:rPr>
        <w:t xml:space="preserve">and UK </w:t>
      </w:r>
      <w:r w:rsidR="00C12AF6">
        <w:rPr>
          <w:rFonts w:asciiTheme="majorHAnsi" w:hAnsiTheme="majorHAnsi" w:cstheme="majorHAnsi"/>
          <w:szCs w:val="20"/>
        </w:rPr>
        <w:t xml:space="preserve">SFTR </w:t>
      </w:r>
      <w:r w:rsidR="00F95882">
        <w:rPr>
          <w:rFonts w:asciiTheme="majorHAnsi" w:hAnsiTheme="majorHAnsi" w:cstheme="majorHAnsi"/>
          <w:szCs w:val="20"/>
        </w:rPr>
        <w:t xml:space="preserve">(differences which address the fact that the </w:t>
      </w:r>
      <w:r w:rsidR="001653CB">
        <w:rPr>
          <w:rFonts w:asciiTheme="majorHAnsi" w:hAnsiTheme="majorHAnsi" w:cstheme="majorHAnsi"/>
          <w:szCs w:val="20"/>
        </w:rPr>
        <w:t>UK</w:t>
      </w:r>
      <w:r w:rsidR="00F95882">
        <w:rPr>
          <w:rFonts w:asciiTheme="majorHAnsi" w:hAnsiTheme="majorHAnsi" w:cstheme="majorHAnsi"/>
          <w:szCs w:val="20"/>
        </w:rPr>
        <w:t xml:space="preserve"> is no longer part of the EU). </w:t>
      </w:r>
      <w:r w:rsidR="00C12AF6">
        <w:rPr>
          <w:rFonts w:asciiTheme="majorHAnsi" w:hAnsiTheme="majorHAnsi" w:cstheme="majorHAnsi"/>
          <w:szCs w:val="20"/>
        </w:rPr>
        <w:t xml:space="preserve">Since December 2019, </w:t>
      </w:r>
      <w:r w:rsidR="00D93C62">
        <w:rPr>
          <w:rFonts w:asciiTheme="majorHAnsi" w:hAnsiTheme="majorHAnsi" w:cstheme="majorHAnsi"/>
          <w:szCs w:val="20"/>
        </w:rPr>
        <w:t xml:space="preserve">the </w:t>
      </w:r>
      <w:r w:rsidR="00C12AF6">
        <w:rPr>
          <w:rFonts w:asciiTheme="majorHAnsi" w:hAnsiTheme="majorHAnsi" w:cstheme="majorHAnsi"/>
          <w:szCs w:val="20"/>
        </w:rPr>
        <w:t xml:space="preserve">reporting obligations under UK SFTR have </w:t>
      </w:r>
      <w:r w:rsidR="00D93C62">
        <w:rPr>
          <w:rFonts w:asciiTheme="majorHAnsi" w:hAnsiTheme="majorHAnsi" w:cstheme="majorHAnsi"/>
          <w:szCs w:val="20"/>
        </w:rPr>
        <w:t>been phased-in</w:t>
      </w:r>
      <w:r w:rsidR="00DE3418">
        <w:rPr>
          <w:rFonts w:asciiTheme="majorHAnsi" w:hAnsiTheme="majorHAnsi" w:cstheme="majorHAnsi"/>
          <w:szCs w:val="20"/>
        </w:rPr>
        <w:t>,</w:t>
      </w:r>
      <w:r w:rsidR="00DE3418" w:rsidRPr="00A84878">
        <w:rPr>
          <w:rStyle w:val="FootnoteReference"/>
          <w:rFonts w:asciiTheme="majorHAnsi" w:hAnsiTheme="majorHAnsi" w:cstheme="majorHAnsi"/>
          <w:szCs w:val="20"/>
        </w:rPr>
        <w:footnoteReference w:id="20"/>
      </w:r>
      <w:r w:rsidR="00E027AB">
        <w:rPr>
          <w:rFonts w:asciiTheme="majorHAnsi" w:hAnsiTheme="majorHAnsi" w:cstheme="majorHAnsi"/>
          <w:szCs w:val="20"/>
        </w:rPr>
        <w:t xml:space="preserve"> and while the </w:t>
      </w:r>
      <w:r w:rsidR="00F95882">
        <w:rPr>
          <w:rFonts w:asciiTheme="majorHAnsi" w:hAnsiTheme="majorHAnsi" w:cstheme="majorHAnsi"/>
          <w:szCs w:val="20"/>
        </w:rPr>
        <w:t xml:space="preserve">amendments made to the MRRA in 2023 are intended </w:t>
      </w:r>
      <w:r w:rsidR="00086C06">
        <w:rPr>
          <w:rFonts w:asciiTheme="majorHAnsi" w:hAnsiTheme="majorHAnsi" w:cstheme="majorHAnsi"/>
          <w:szCs w:val="20"/>
        </w:rPr>
        <w:t xml:space="preserve">to </w:t>
      </w:r>
      <w:r w:rsidR="00E027AB">
        <w:rPr>
          <w:rFonts w:asciiTheme="majorHAnsi" w:hAnsiTheme="majorHAnsi" w:cstheme="majorHAnsi"/>
          <w:szCs w:val="20"/>
        </w:rPr>
        <w:t xml:space="preserve">reflect </w:t>
      </w:r>
      <w:r w:rsidR="00F95882">
        <w:rPr>
          <w:rFonts w:asciiTheme="majorHAnsi" w:hAnsiTheme="majorHAnsi" w:cstheme="majorHAnsi"/>
          <w:szCs w:val="20"/>
        </w:rPr>
        <w:t xml:space="preserve">both that the </w:t>
      </w:r>
      <w:r w:rsidR="00F95882">
        <w:t xml:space="preserve">UK </w:t>
      </w:r>
      <w:r w:rsidR="00F95882" w:rsidRPr="003A6069">
        <w:t xml:space="preserve">formally left the </w:t>
      </w:r>
      <w:r w:rsidR="00F95882">
        <w:t>EU o</w:t>
      </w:r>
      <w:r w:rsidR="00F95882" w:rsidRPr="003A6069">
        <w:t>n 31 January 2020</w:t>
      </w:r>
      <w:r w:rsidR="00F95882">
        <w:t xml:space="preserve"> and that the related </w:t>
      </w:r>
      <w:r w:rsidR="00F95882" w:rsidRPr="003A6069">
        <w:t>transition period expire</w:t>
      </w:r>
      <w:r w:rsidR="00F95882">
        <w:t>d</w:t>
      </w:r>
      <w:r w:rsidR="00F95882" w:rsidRPr="003A6069">
        <w:t xml:space="preserve"> on 31 December 2020</w:t>
      </w:r>
      <w:r w:rsidR="001F6C01">
        <w:t xml:space="preserve">, they also provide for </w:t>
      </w:r>
      <w:r w:rsidR="00086C06">
        <w:t>the differences in approach to NFC reporting under UK SFTR</w:t>
      </w:r>
      <w:r w:rsidR="00F95882">
        <w:t>.</w:t>
      </w:r>
      <w:r w:rsidR="007E0661">
        <w:t xml:space="preserve"> As described above, </w:t>
      </w:r>
      <w:r w:rsidR="00C826C8">
        <w:t>Article 4 of SFTR sets out a mandatory reporting requirement</w:t>
      </w:r>
      <w:r w:rsidR="006B2049">
        <w:t xml:space="preserve"> </w:t>
      </w:r>
      <w:r w:rsidR="00734F03">
        <w:t>whereby an FC is responsible for reporting on behalf of an NFC- SME</w:t>
      </w:r>
      <w:r w:rsidR="00B51C8D">
        <w:t xml:space="preserve"> counterparty</w:t>
      </w:r>
      <w:r w:rsidR="0013680C">
        <w:t>.</w:t>
      </w:r>
      <w:r w:rsidR="00C53FDA">
        <w:t xml:space="preserve"> </w:t>
      </w:r>
      <w:r w:rsidR="00B51C8D">
        <w:t>For purposes of UK SFTR</w:t>
      </w:r>
      <w:r w:rsidR="00C53FDA">
        <w:t xml:space="preserve">, </w:t>
      </w:r>
      <w:r w:rsidR="001C39E1">
        <w:rPr>
          <w:rFonts w:asciiTheme="majorHAnsi" w:hAnsiTheme="majorHAnsi" w:cstheme="majorHAnsi"/>
          <w:szCs w:val="20"/>
        </w:rPr>
        <w:t xml:space="preserve">NFCs </w:t>
      </w:r>
      <w:r w:rsidR="003011CF">
        <w:rPr>
          <w:rFonts w:asciiTheme="majorHAnsi" w:hAnsiTheme="majorHAnsi" w:cstheme="majorHAnsi"/>
          <w:szCs w:val="20"/>
        </w:rPr>
        <w:t xml:space="preserve">(whether NFC- SME or otherwise) </w:t>
      </w:r>
      <w:r w:rsidR="001C39E1">
        <w:rPr>
          <w:rFonts w:asciiTheme="majorHAnsi" w:hAnsiTheme="majorHAnsi" w:cstheme="majorHAnsi"/>
          <w:szCs w:val="20"/>
        </w:rPr>
        <w:t>are not in scope of the UK SFTR reporting regime.</w:t>
      </w:r>
      <w:r w:rsidR="006B2049" w:rsidRPr="00A84878">
        <w:rPr>
          <w:rStyle w:val="FootnoteReference"/>
          <w:rFonts w:asciiTheme="majorHAnsi" w:hAnsiTheme="majorHAnsi" w:cstheme="majorHAnsi"/>
          <w:szCs w:val="20"/>
        </w:rPr>
        <w:footnoteReference w:id="21"/>
      </w:r>
      <w:r w:rsidR="006B2049">
        <w:rPr>
          <w:rFonts w:asciiTheme="majorHAnsi" w:hAnsiTheme="majorHAnsi" w:cstheme="majorHAnsi"/>
          <w:szCs w:val="20"/>
        </w:rPr>
        <w:t xml:space="preserve"> </w:t>
      </w:r>
      <w:r w:rsidR="001C39E1">
        <w:rPr>
          <w:rFonts w:asciiTheme="majorHAnsi" w:hAnsiTheme="majorHAnsi" w:cstheme="majorHAnsi"/>
          <w:szCs w:val="20"/>
        </w:rPr>
        <w:t>As such</w:t>
      </w:r>
      <w:r w:rsidR="00B51C8D">
        <w:rPr>
          <w:rFonts w:asciiTheme="majorHAnsi" w:hAnsiTheme="majorHAnsi" w:cstheme="majorHAnsi"/>
          <w:szCs w:val="20"/>
        </w:rPr>
        <w:t xml:space="preserve">, mandatory reporting </w:t>
      </w:r>
      <w:r w:rsidR="007D72A9">
        <w:rPr>
          <w:rFonts w:asciiTheme="majorHAnsi" w:hAnsiTheme="majorHAnsi" w:cstheme="majorHAnsi"/>
          <w:szCs w:val="20"/>
        </w:rPr>
        <w:t>is</w:t>
      </w:r>
      <w:r w:rsidR="00B51C8D">
        <w:rPr>
          <w:rFonts w:asciiTheme="majorHAnsi" w:hAnsiTheme="majorHAnsi" w:cstheme="majorHAnsi"/>
          <w:szCs w:val="20"/>
        </w:rPr>
        <w:t xml:space="preserve"> not relevant. </w:t>
      </w:r>
    </w:p>
    <w:p w14:paraId="0126C1C3" w14:textId="77777777" w:rsidR="00D15F5D" w:rsidRDefault="00D15F5D">
      <w:pPr>
        <w:rPr>
          <w:rFonts w:asciiTheme="majorHAnsi" w:hAnsiTheme="majorHAnsi" w:cstheme="majorHAnsi"/>
          <w:b/>
          <w:kern w:val="20"/>
          <w:sz w:val="23"/>
          <w:szCs w:val="23"/>
        </w:rPr>
      </w:pPr>
      <w:r>
        <w:rPr>
          <w:rFonts w:asciiTheme="majorHAnsi" w:hAnsiTheme="majorHAnsi" w:cstheme="majorHAnsi"/>
          <w:b/>
          <w:sz w:val="23"/>
          <w:szCs w:val="23"/>
        </w:rPr>
        <w:br w:type="page"/>
      </w:r>
    </w:p>
    <w:p w14:paraId="46E40BB7" w14:textId="77777777" w:rsidR="00F30D5C" w:rsidRPr="00A84878" w:rsidRDefault="00F30D5C" w:rsidP="002F4A68">
      <w:pPr>
        <w:pStyle w:val="Body"/>
        <w:spacing w:before="280"/>
        <w:rPr>
          <w:rFonts w:asciiTheme="majorHAnsi" w:hAnsiTheme="majorHAnsi" w:cstheme="majorHAnsi"/>
          <w:b/>
          <w:sz w:val="23"/>
          <w:szCs w:val="23"/>
        </w:rPr>
      </w:pPr>
      <w:r w:rsidRPr="00A84878">
        <w:rPr>
          <w:rFonts w:asciiTheme="majorHAnsi" w:hAnsiTheme="majorHAnsi" w:cstheme="majorHAnsi"/>
          <w:b/>
          <w:sz w:val="23"/>
          <w:szCs w:val="23"/>
        </w:rPr>
        <w:lastRenderedPageBreak/>
        <w:t>GUIDANCE</w:t>
      </w:r>
    </w:p>
    <w:p w14:paraId="35A235F6" w14:textId="77777777" w:rsidR="00BB59C6" w:rsidRPr="00D15F5D" w:rsidRDefault="00F30D5C" w:rsidP="00DE54BD">
      <w:pPr>
        <w:pStyle w:val="Body1"/>
        <w:spacing w:before="280"/>
        <w:ind w:left="0"/>
        <w:rPr>
          <w:rFonts w:asciiTheme="majorHAnsi" w:hAnsiTheme="majorHAnsi" w:cstheme="majorHAnsi"/>
          <w:b/>
          <w:sz w:val="22"/>
          <w:u w:val="single"/>
        </w:rPr>
      </w:pPr>
      <w:r w:rsidRPr="00D15F5D">
        <w:rPr>
          <w:rFonts w:asciiTheme="majorHAnsi" w:hAnsiTheme="majorHAnsi" w:cstheme="majorHAnsi"/>
          <w:b/>
          <w:sz w:val="22"/>
          <w:u w:val="single"/>
        </w:rPr>
        <w:t xml:space="preserve">Parties and </w:t>
      </w:r>
      <w:r w:rsidR="00BB59C6" w:rsidRPr="00D15F5D">
        <w:rPr>
          <w:rFonts w:asciiTheme="majorHAnsi" w:hAnsiTheme="majorHAnsi" w:cstheme="majorHAnsi"/>
          <w:b/>
          <w:sz w:val="22"/>
          <w:u w:val="single"/>
        </w:rPr>
        <w:t xml:space="preserve">Recitals </w:t>
      </w:r>
    </w:p>
    <w:p w14:paraId="2AFCF270" w14:textId="77777777" w:rsidR="0080293B" w:rsidRPr="00A84878" w:rsidRDefault="0080293B" w:rsidP="00F407D4">
      <w:pPr>
        <w:pStyle w:val="Body1"/>
        <w:ind w:left="0"/>
        <w:rPr>
          <w:rFonts w:asciiTheme="majorHAnsi" w:hAnsiTheme="majorHAnsi" w:cstheme="majorHAnsi"/>
        </w:rPr>
      </w:pPr>
      <w:r w:rsidRPr="00A84878">
        <w:rPr>
          <w:rFonts w:asciiTheme="majorHAnsi" w:hAnsiTheme="majorHAnsi" w:cstheme="majorHAnsi"/>
        </w:rPr>
        <w:t xml:space="preserve">The MRRA may be executed by an Agent on behalf of one or more Clients and/or a Fund Manager acting as manager of one or more Funds, in which case a separate MRRA may be deemed </w:t>
      </w:r>
      <w:proofErr w:type="gramStart"/>
      <w:r w:rsidRPr="00A84878">
        <w:rPr>
          <w:rFonts w:asciiTheme="majorHAnsi" w:hAnsiTheme="majorHAnsi" w:cstheme="majorHAnsi"/>
        </w:rPr>
        <w:t>entered</w:t>
      </w:r>
      <w:r w:rsidR="00CE0C8B">
        <w:rPr>
          <w:rFonts w:asciiTheme="majorHAnsi" w:hAnsiTheme="majorHAnsi" w:cstheme="majorHAnsi"/>
        </w:rPr>
        <w:t xml:space="preserve"> </w:t>
      </w:r>
      <w:r w:rsidRPr="00A84878">
        <w:rPr>
          <w:rFonts w:asciiTheme="majorHAnsi" w:hAnsiTheme="majorHAnsi" w:cstheme="majorHAnsi"/>
        </w:rPr>
        <w:t>into</w:t>
      </w:r>
      <w:proofErr w:type="gramEnd"/>
      <w:r w:rsidRPr="00A84878">
        <w:rPr>
          <w:rFonts w:asciiTheme="majorHAnsi" w:hAnsiTheme="majorHAnsi" w:cstheme="majorHAnsi"/>
        </w:rPr>
        <w:t xml:space="preserve"> between the Reporting Party and each Client and/or </w:t>
      </w:r>
      <w:r w:rsidR="00CE0C8B">
        <w:rPr>
          <w:rFonts w:asciiTheme="majorHAnsi" w:hAnsiTheme="majorHAnsi" w:cstheme="majorHAnsi"/>
        </w:rPr>
        <w:t xml:space="preserve">between </w:t>
      </w:r>
      <w:r w:rsidRPr="00A84878">
        <w:rPr>
          <w:rFonts w:asciiTheme="majorHAnsi" w:hAnsiTheme="majorHAnsi" w:cstheme="majorHAnsi"/>
        </w:rPr>
        <w:t>the Reporting Party and Fund Manager with respect to each Fund.</w:t>
      </w:r>
    </w:p>
    <w:p w14:paraId="44ED84E2" w14:textId="77777777" w:rsidR="00776461" w:rsidRPr="00A84878" w:rsidRDefault="001202DD" w:rsidP="00F407D4">
      <w:pPr>
        <w:pStyle w:val="Body1"/>
        <w:ind w:left="0"/>
        <w:rPr>
          <w:rFonts w:asciiTheme="majorHAnsi" w:hAnsiTheme="majorHAnsi" w:cstheme="majorHAnsi"/>
        </w:rPr>
      </w:pPr>
      <w:r w:rsidRPr="00A84878">
        <w:rPr>
          <w:rFonts w:asciiTheme="majorHAnsi" w:hAnsiTheme="majorHAnsi" w:cstheme="majorHAnsi"/>
        </w:rPr>
        <w:t>In certain circumstances,</w:t>
      </w:r>
      <w:r w:rsidR="00B50F5A" w:rsidRPr="00A84878">
        <w:rPr>
          <w:rFonts w:asciiTheme="majorHAnsi" w:hAnsiTheme="majorHAnsi" w:cstheme="majorHAnsi"/>
        </w:rPr>
        <w:t xml:space="preserve"> a party</w:t>
      </w:r>
      <w:r w:rsidRPr="00A84878">
        <w:rPr>
          <w:rFonts w:asciiTheme="majorHAnsi" w:hAnsiTheme="majorHAnsi" w:cstheme="majorHAnsi"/>
        </w:rPr>
        <w:t xml:space="preserve"> may wish to execute the </w:t>
      </w:r>
      <w:r w:rsidR="00601954" w:rsidRPr="00A84878">
        <w:rPr>
          <w:rFonts w:asciiTheme="majorHAnsi" w:hAnsiTheme="majorHAnsi" w:cstheme="majorHAnsi"/>
        </w:rPr>
        <w:t>MRRA</w:t>
      </w:r>
      <w:r w:rsidRPr="00A84878">
        <w:rPr>
          <w:rFonts w:asciiTheme="majorHAnsi" w:hAnsiTheme="majorHAnsi" w:cstheme="majorHAnsi"/>
        </w:rPr>
        <w:t xml:space="preserve"> as Agent on behalf of a Fund (as the Client) and separately as Fund Manager with respect to the same Fund. For example, where a </w:t>
      </w:r>
      <w:r w:rsidR="006751F0">
        <w:rPr>
          <w:rFonts w:asciiTheme="majorHAnsi" w:hAnsiTheme="majorHAnsi" w:cstheme="majorHAnsi"/>
        </w:rPr>
        <w:t>F</w:t>
      </w:r>
      <w:r w:rsidRPr="00A84878">
        <w:rPr>
          <w:rFonts w:asciiTheme="majorHAnsi" w:hAnsiTheme="majorHAnsi" w:cstheme="majorHAnsi"/>
        </w:rPr>
        <w:t xml:space="preserve">und is trading OTC </w:t>
      </w:r>
      <w:r w:rsidR="00B50F5A" w:rsidRPr="00A84878">
        <w:rPr>
          <w:rFonts w:asciiTheme="majorHAnsi" w:hAnsiTheme="majorHAnsi" w:cstheme="majorHAnsi"/>
        </w:rPr>
        <w:t>Derivatives and Exchange-Traded Derivatives</w:t>
      </w:r>
      <w:r w:rsidRPr="00A84878">
        <w:rPr>
          <w:rFonts w:asciiTheme="majorHAnsi" w:hAnsiTheme="majorHAnsi" w:cstheme="majorHAnsi"/>
        </w:rPr>
        <w:t xml:space="preserve">, the Fund Manager will only be bound to report on behalf of the Fund in relation to OTC </w:t>
      </w:r>
      <w:r w:rsidR="00B50F5A" w:rsidRPr="00A84878">
        <w:rPr>
          <w:rFonts w:asciiTheme="majorHAnsi" w:hAnsiTheme="majorHAnsi" w:cstheme="majorHAnsi"/>
        </w:rPr>
        <w:t>Derivatives</w:t>
      </w:r>
      <w:r w:rsidRPr="00A84878">
        <w:rPr>
          <w:rFonts w:asciiTheme="majorHAnsi" w:hAnsiTheme="majorHAnsi" w:cstheme="majorHAnsi"/>
        </w:rPr>
        <w:t xml:space="preserve">, with the Fund Manager reporting on behalf of the Fund as Agent in respect of </w:t>
      </w:r>
      <w:r w:rsidR="00B50F5A" w:rsidRPr="00A84878">
        <w:rPr>
          <w:rFonts w:asciiTheme="majorHAnsi" w:hAnsiTheme="majorHAnsi" w:cstheme="majorHAnsi"/>
        </w:rPr>
        <w:t>Exchange-Traded Derivatives</w:t>
      </w:r>
      <w:r w:rsidRPr="00A84878">
        <w:rPr>
          <w:rFonts w:asciiTheme="majorHAnsi" w:hAnsiTheme="majorHAnsi" w:cstheme="majorHAnsi"/>
        </w:rPr>
        <w:t xml:space="preserve">. The MRRA caters for such a situation </w:t>
      </w:r>
      <w:r w:rsidR="00B50F5A" w:rsidRPr="00A84878">
        <w:rPr>
          <w:rFonts w:asciiTheme="majorHAnsi" w:hAnsiTheme="majorHAnsi" w:cstheme="majorHAnsi"/>
        </w:rPr>
        <w:t xml:space="preserve">by allowing the document to be executed </w:t>
      </w:r>
      <w:r w:rsidRPr="00A84878">
        <w:rPr>
          <w:rFonts w:asciiTheme="majorHAnsi" w:hAnsiTheme="majorHAnsi" w:cstheme="majorHAnsi"/>
        </w:rPr>
        <w:t>in different capacities</w:t>
      </w:r>
      <w:r w:rsidR="00B50F5A" w:rsidRPr="00A84878">
        <w:rPr>
          <w:rFonts w:asciiTheme="majorHAnsi" w:hAnsiTheme="majorHAnsi" w:cstheme="majorHAnsi"/>
        </w:rPr>
        <w:t>, with different MRRAs being deemed to apply</w:t>
      </w:r>
      <w:r w:rsidRPr="00A84878">
        <w:rPr>
          <w:rFonts w:asciiTheme="majorHAnsi" w:hAnsiTheme="majorHAnsi" w:cstheme="majorHAnsi"/>
        </w:rPr>
        <w:t xml:space="preserve">. </w:t>
      </w:r>
    </w:p>
    <w:p w14:paraId="670FB5E7" w14:textId="77777777" w:rsidR="00BE1A49" w:rsidRPr="00D15F5D" w:rsidRDefault="00BE1A49" w:rsidP="00DE54BD">
      <w:pPr>
        <w:pStyle w:val="Body1"/>
        <w:spacing w:before="280"/>
        <w:ind w:left="0"/>
        <w:rPr>
          <w:rFonts w:asciiTheme="majorHAnsi" w:hAnsiTheme="majorHAnsi" w:cstheme="majorHAnsi"/>
          <w:b/>
          <w:sz w:val="22"/>
          <w:u w:val="single"/>
        </w:rPr>
      </w:pPr>
      <w:r w:rsidRPr="00D15F5D">
        <w:rPr>
          <w:rFonts w:asciiTheme="majorHAnsi" w:hAnsiTheme="majorHAnsi" w:cstheme="majorHAnsi"/>
          <w:b/>
          <w:sz w:val="22"/>
          <w:u w:val="single"/>
        </w:rPr>
        <w:t>Interpretation, Structure and Existing Arrangements</w:t>
      </w:r>
    </w:p>
    <w:p w14:paraId="60C25D05" w14:textId="77777777" w:rsidR="00BB59C6" w:rsidRPr="00BE1A49" w:rsidRDefault="00653E88" w:rsidP="00DE54BD">
      <w:pPr>
        <w:pStyle w:val="Body1"/>
        <w:spacing w:before="280"/>
        <w:ind w:left="0"/>
        <w:rPr>
          <w:rFonts w:asciiTheme="majorHAnsi" w:hAnsiTheme="majorHAnsi" w:cstheme="majorHAnsi"/>
          <w:b/>
          <w:i/>
        </w:rPr>
      </w:pPr>
      <w:r w:rsidRPr="00BE1A49">
        <w:rPr>
          <w:rFonts w:asciiTheme="majorHAnsi" w:hAnsiTheme="majorHAnsi" w:cstheme="majorHAnsi"/>
          <w:b/>
        </w:rPr>
        <w:t>Section 1.2 (</w:t>
      </w:r>
      <w:r w:rsidR="00BB59C6" w:rsidRPr="00BE1A49">
        <w:rPr>
          <w:rFonts w:asciiTheme="majorHAnsi" w:hAnsiTheme="majorHAnsi" w:cstheme="majorHAnsi"/>
          <w:b/>
          <w:i/>
        </w:rPr>
        <w:t>Interpretation</w:t>
      </w:r>
      <w:r w:rsidRPr="00BE1A49">
        <w:rPr>
          <w:rFonts w:asciiTheme="majorHAnsi" w:hAnsiTheme="majorHAnsi" w:cstheme="majorHAnsi"/>
          <w:b/>
        </w:rPr>
        <w:t>)</w:t>
      </w:r>
    </w:p>
    <w:p w14:paraId="1B777D8F" w14:textId="77777777" w:rsidR="00A0641B" w:rsidRPr="00A84878" w:rsidRDefault="008A1E93" w:rsidP="00A0641B">
      <w:pPr>
        <w:pStyle w:val="Body"/>
        <w:rPr>
          <w:rFonts w:asciiTheme="majorHAnsi" w:hAnsiTheme="majorHAnsi" w:cstheme="majorHAnsi"/>
        </w:rPr>
      </w:pPr>
      <w:r w:rsidRPr="00A84878">
        <w:rPr>
          <w:rFonts w:asciiTheme="majorHAnsi" w:hAnsiTheme="majorHAnsi" w:cstheme="majorHAnsi"/>
        </w:rPr>
        <w:t xml:space="preserve">This </w:t>
      </w:r>
      <w:r w:rsidR="00B50F5A" w:rsidRPr="00A84878">
        <w:rPr>
          <w:rFonts w:asciiTheme="majorHAnsi" w:hAnsiTheme="majorHAnsi" w:cstheme="majorHAnsi"/>
        </w:rPr>
        <w:t>section</w:t>
      </w:r>
      <w:r w:rsidR="00A045C6" w:rsidRPr="00A84878">
        <w:rPr>
          <w:rFonts w:asciiTheme="majorHAnsi" w:hAnsiTheme="majorHAnsi" w:cstheme="majorHAnsi"/>
        </w:rPr>
        <w:t xml:space="preserve"> sets out the structure of the MRRA. It </w:t>
      </w:r>
      <w:r w:rsidRPr="00A84878">
        <w:rPr>
          <w:rFonts w:asciiTheme="majorHAnsi" w:hAnsiTheme="majorHAnsi" w:cstheme="majorHAnsi"/>
        </w:rPr>
        <w:t>provides that the</w:t>
      </w:r>
      <w:r w:rsidR="007A3F96" w:rsidRPr="00A84878">
        <w:rPr>
          <w:rFonts w:asciiTheme="majorHAnsi" w:hAnsiTheme="majorHAnsi" w:cstheme="majorHAnsi"/>
        </w:rPr>
        <w:t xml:space="preserve"> MRRA comprises a main body</w:t>
      </w:r>
      <w:r w:rsidR="00A0641B" w:rsidRPr="00A84878">
        <w:rPr>
          <w:rFonts w:asciiTheme="majorHAnsi" w:hAnsiTheme="majorHAnsi" w:cstheme="majorHAnsi"/>
        </w:rPr>
        <w:t xml:space="preserve"> together with one or more of the Annexes as well as any applicable Schedules that the parties attach. The terms of the main body of the MRRA, and the Schedules, if applicable, will be supplemented and amended by the applicable Annex(es), and these supplemented and amended terms will apply to the Relevant Transactions which are identified in the Annex(es). Where there</w:t>
      </w:r>
      <w:r w:rsidR="00837AAB" w:rsidRPr="00A84878">
        <w:rPr>
          <w:rFonts w:asciiTheme="majorHAnsi" w:hAnsiTheme="majorHAnsi" w:cstheme="majorHAnsi"/>
        </w:rPr>
        <w:t xml:space="preserve"> is any inconsistency between the main </w:t>
      </w:r>
      <w:r w:rsidR="00A0641B" w:rsidRPr="00A84878">
        <w:rPr>
          <w:rFonts w:asciiTheme="majorHAnsi" w:hAnsiTheme="majorHAnsi" w:cstheme="majorHAnsi"/>
        </w:rPr>
        <w:t xml:space="preserve">body of the MRRA </w:t>
      </w:r>
      <w:r w:rsidR="00DE19BB">
        <w:rPr>
          <w:rFonts w:asciiTheme="majorHAnsi" w:hAnsiTheme="majorHAnsi" w:cstheme="majorHAnsi"/>
        </w:rPr>
        <w:t xml:space="preserve">or a Schedule </w:t>
      </w:r>
      <w:r w:rsidR="00837AAB" w:rsidRPr="00A84878">
        <w:rPr>
          <w:rFonts w:asciiTheme="majorHAnsi" w:hAnsiTheme="majorHAnsi" w:cstheme="majorHAnsi"/>
        </w:rPr>
        <w:t xml:space="preserve">and </w:t>
      </w:r>
      <w:r w:rsidR="00A0641B" w:rsidRPr="00A84878">
        <w:rPr>
          <w:rFonts w:asciiTheme="majorHAnsi" w:hAnsiTheme="majorHAnsi" w:cstheme="majorHAnsi"/>
        </w:rPr>
        <w:t xml:space="preserve">an </w:t>
      </w:r>
      <w:r w:rsidR="00837AAB" w:rsidRPr="00A84878">
        <w:rPr>
          <w:rFonts w:asciiTheme="majorHAnsi" w:hAnsiTheme="majorHAnsi" w:cstheme="majorHAnsi"/>
        </w:rPr>
        <w:t xml:space="preserve">Annex, </w:t>
      </w:r>
      <w:r w:rsidR="00A0641B" w:rsidRPr="00A84878">
        <w:rPr>
          <w:rFonts w:asciiTheme="majorHAnsi" w:hAnsiTheme="majorHAnsi" w:cstheme="majorHAnsi"/>
        </w:rPr>
        <w:t xml:space="preserve">the </w:t>
      </w:r>
      <w:r w:rsidR="00837AAB" w:rsidRPr="00A84878">
        <w:rPr>
          <w:rFonts w:asciiTheme="majorHAnsi" w:hAnsiTheme="majorHAnsi" w:cstheme="majorHAnsi"/>
        </w:rPr>
        <w:t xml:space="preserve">Annex </w:t>
      </w:r>
      <w:r w:rsidR="00A0641B" w:rsidRPr="00A84878">
        <w:rPr>
          <w:rFonts w:asciiTheme="majorHAnsi" w:hAnsiTheme="majorHAnsi" w:cstheme="majorHAnsi"/>
        </w:rPr>
        <w:t xml:space="preserve">will </w:t>
      </w:r>
      <w:r w:rsidR="00837AAB" w:rsidRPr="00A84878">
        <w:rPr>
          <w:rFonts w:asciiTheme="majorHAnsi" w:hAnsiTheme="majorHAnsi" w:cstheme="majorHAnsi"/>
        </w:rPr>
        <w:t>prevail.</w:t>
      </w:r>
    </w:p>
    <w:p w14:paraId="52188A46" w14:textId="77777777" w:rsidR="008A1E93" w:rsidRDefault="00A0641B" w:rsidP="00A0641B">
      <w:pPr>
        <w:pStyle w:val="Body"/>
        <w:rPr>
          <w:rFonts w:asciiTheme="majorHAnsi" w:hAnsiTheme="majorHAnsi" w:cstheme="majorHAnsi"/>
        </w:rPr>
      </w:pPr>
      <w:r w:rsidRPr="00A84878">
        <w:rPr>
          <w:rFonts w:asciiTheme="majorHAnsi" w:hAnsiTheme="majorHAnsi" w:cstheme="majorHAnsi"/>
        </w:rPr>
        <w:t>T</w:t>
      </w:r>
      <w:r w:rsidR="00837AAB" w:rsidRPr="00A84878">
        <w:rPr>
          <w:rFonts w:asciiTheme="majorHAnsi" w:hAnsiTheme="majorHAnsi" w:cstheme="majorHAnsi"/>
        </w:rPr>
        <w:t xml:space="preserve">here </w:t>
      </w:r>
      <w:r w:rsidR="002813EC" w:rsidRPr="00A84878">
        <w:rPr>
          <w:rFonts w:asciiTheme="majorHAnsi" w:hAnsiTheme="majorHAnsi" w:cstheme="majorHAnsi"/>
        </w:rPr>
        <w:t xml:space="preserve">are also various options in square brackets </w:t>
      </w:r>
      <w:r w:rsidR="00B9702F" w:rsidRPr="00A84878">
        <w:rPr>
          <w:rFonts w:asciiTheme="majorHAnsi" w:hAnsiTheme="majorHAnsi" w:cstheme="majorHAnsi"/>
        </w:rPr>
        <w:t>in Section 1.2.3 that provide for how an Agent o</w:t>
      </w:r>
      <w:r w:rsidR="00B50F5A" w:rsidRPr="00A84878">
        <w:rPr>
          <w:rFonts w:asciiTheme="majorHAnsi" w:hAnsiTheme="majorHAnsi" w:cstheme="majorHAnsi"/>
        </w:rPr>
        <w:t>r</w:t>
      </w:r>
      <w:r w:rsidR="00B9702F" w:rsidRPr="00A84878">
        <w:rPr>
          <w:rFonts w:asciiTheme="majorHAnsi" w:hAnsiTheme="majorHAnsi" w:cstheme="majorHAnsi"/>
        </w:rPr>
        <w:t xml:space="preserve"> Fund Manager may make updates to a Schedule which includes a list of Clients or a list of Funds, and when such updates are deemed effective.</w:t>
      </w:r>
      <w:r w:rsidR="00837AAB" w:rsidRPr="00A84878">
        <w:rPr>
          <w:rFonts w:asciiTheme="majorHAnsi" w:hAnsiTheme="majorHAnsi" w:cstheme="majorHAnsi"/>
        </w:rPr>
        <w:t xml:space="preserve"> </w:t>
      </w:r>
      <w:r w:rsidR="00B9702F" w:rsidRPr="00A84878">
        <w:rPr>
          <w:rFonts w:asciiTheme="majorHAnsi" w:hAnsiTheme="majorHAnsi" w:cstheme="majorHAnsi"/>
        </w:rPr>
        <w:t>The wording provides that t</w:t>
      </w:r>
      <w:r w:rsidR="00837AAB" w:rsidRPr="00A84878">
        <w:rPr>
          <w:rFonts w:asciiTheme="majorHAnsi" w:hAnsiTheme="majorHAnsi" w:cstheme="majorHAnsi"/>
        </w:rPr>
        <w:t xml:space="preserve">he Reporting Party will only be obliged to report </w:t>
      </w:r>
      <w:r w:rsidR="005C5E22" w:rsidRPr="00A84878">
        <w:rPr>
          <w:rFonts w:asciiTheme="majorHAnsi" w:hAnsiTheme="majorHAnsi" w:cstheme="majorHAnsi"/>
        </w:rPr>
        <w:t xml:space="preserve">transactions </w:t>
      </w:r>
      <w:r w:rsidR="00837AAB" w:rsidRPr="00A84878">
        <w:rPr>
          <w:rFonts w:asciiTheme="majorHAnsi" w:hAnsiTheme="majorHAnsi" w:cstheme="majorHAnsi"/>
        </w:rPr>
        <w:t xml:space="preserve">in respect of any new Client or Fund </w:t>
      </w:r>
      <w:r w:rsidR="005C5E22" w:rsidRPr="00A84878">
        <w:rPr>
          <w:rFonts w:asciiTheme="majorHAnsi" w:hAnsiTheme="majorHAnsi" w:cstheme="majorHAnsi"/>
        </w:rPr>
        <w:t xml:space="preserve">once the agreed steps have been completed </w:t>
      </w:r>
      <w:r w:rsidR="00837AAB" w:rsidRPr="00A84878">
        <w:rPr>
          <w:rFonts w:asciiTheme="majorHAnsi" w:hAnsiTheme="majorHAnsi" w:cstheme="majorHAnsi"/>
        </w:rPr>
        <w:t>in accordance with the provision</w:t>
      </w:r>
      <w:r w:rsidR="005C5E22" w:rsidRPr="00A84878">
        <w:rPr>
          <w:rFonts w:asciiTheme="majorHAnsi" w:hAnsiTheme="majorHAnsi" w:cstheme="majorHAnsi"/>
        </w:rPr>
        <w:t xml:space="preserve"> (e.g. written consent from the Reporting Party </w:t>
      </w:r>
      <w:r w:rsidR="00B50F5A" w:rsidRPr="00A84878">
        <w:rPr>
          <w:rFonts w:asciiTheme="majorHAnsi" w:hAnsiTheme="majorHAnsi" w:cstheme="majorHAnsi"/>
        </w:rPr>
        <w:t>and/</w:t>
      </w:r>
      <w:r w:rsidR="005C5E22" w:rsidRPr="00A84878">
        <w:rPr>
          <w:rFonts w:asciiTheme="majorHAnsi" w:hAnsiTheme="majorHAnsi" w:cstheme="majorHAnsi"/>
        </w:rPr>
        <w:t>or completion of any necessary onboarding steps)</w:t>
      </w:r>
      <w:r w:rsidR="00837AAB" w:rsidRPr="00A84878">
        <w:rPr>
          <w:rFonts w:asciiTheme="majorHAnsi" w:hAnsiTheme="majorHAnsi" w:cstheme="majorHAnsi"/>
        </w:rPr>
        <w:t>.</w:t>
      </w:r>
    </w:p>
    <w:p w14:paraId="127D8988" w14:textId="77777777" w:rsidR="00BB59C6" w:rsidRPr="00BE1A49" w:rsidRDefault="002B65CF" w:rsidP="00DE54BD">
      <w:pPr>
        <w:pStyle w:val="Body"/>
        <w:spacing w:before="280"/>
        <w:rPr>
          <w:rFonts w:asciiTheme="majorHAnsi" w:hAnsiTheme="majorHAnsi" w:cstheme="majorHAnsi"/>
          <w:b/>
        </w:rPr>
      </w:pPr>
      <w:r w:rsidRPr="00BE1A49">
        <w:rPr>
          <w:rFonts w:asciiTheme="majorHAnsi" w:hAnsiTheme="majorHAnsi" w:cstheme="majorHAnsi"/>
          <w:b/>
        </w:rPr>
        <w:t>Section 1.3</w:t>
      </w:r>
      <w:r w:rsidR="00653E88" w:rsidRPr="00BE1A49">
        <w:rPr>
          <w:rFonts w:asciiTheme="majorHAnsi" w:hAnsiTheme="majorHAnsi" w:cstheme="majorHAnsi"/>
          <w:b/>
        </w:rPr>
        <w:t xml:space="preserve"> (</w:t>
      </w:r>
      <w:r w:rsidR="00653E88" w:rsidRPr="00BE1A49">
        <w:rPr>
          <w:rFonts w:asciiTheme="majorHAnsi" w:hAnsiTheme="majorHAnsi" w:cstheme="majorHAnsi"/>
          <w:b/>
          <w:i/>
        </w:rPr>
        <w:t>Existing Reporting Arrangements</w:t>
      </w:r>
      <w:r w:rsidR="00653E88" w:rsidRPr="00BE1A49">
        <w:rPr>
          <w:rFonts w:asciiTheme="majorHAnsi" w:hAnsiTheme="majorHAnsi" w:cstheme="majorHAnsi"/>
          <w:b/>
        </w:rPr>
        <w:t>)</w:t>
      </w:r>
    </w:p>
    <w:p w14:paraId="7511E1AC" w14:textId="1992D4CC" w:rsidR="008243A6" w:rsidRPr="00A84878" w:rsidRDefault="00DC314A" w:rsidP="002B65CF">
      <w:pPr>
        <w:pStyle w:val="Body1Bold"/>
        <w:rPr>
          <w:rFonts w:asciiTheme="majorHAnsi" w:hAnsiTheme="majorHAnsi" w:cstheme="majorHAnsi"/>
          <w:b w:val="0"/>
          <w:i w:val="0"/>
        </w:rPr>
      </w:pPr>
      <w:r w:rsidRPr="00A84878">
        <w:rPr>
          <w:rFonts w:asciiTheme="majorHAnsi" w:hAnsiTheme="majorHAnsi" w:cstheme="majorHAnsi"/>
          <w:b w:val="0"/>
          <w:i w:val="0"/>
        </w:rPr>
        <w:t xml:space="preserve">This </w:t>
      </w:r>
      <w:r w:rsidR="00B50F5A" w:rsidRPr="00A84878">
        <w:rPr>
          <w:rFonts w:asciiTheme="majorHAnsi" w:hAnsiTheme="majorHAnsi" w:cstheme="majorHAnsi"/>
          <w:b w:val="0"/>
          <w:i w:val="0"/>
        </w:rPr>
        <w:t>section</w:t>
      </w:r>
      <w:r w:rsidR="002813EC" w:rsidRPr="00A84878">
        <w:rPr>
          <w:rFonts w:asciiTheme="majorHAnsi" w:hAnsiTheme="majorHAnsi" w:cstheme="majorHAnsi"/>
          <w:b w:val="0"/>
          <w:i w:val="0"/>
        </w:rPr>
        <w:t xml:space="preserve"> of the MRRA includes optional </w:t>
      </w:r>
      <w:r w:rsidR="00026B4F" w:rsidRPr="00A84878">
        <w:rPr>
          <w:rFonts w:asciiTheme="majorHAnsi" w:hAnsiTheme="majorHAnsi" w:cstheme="majorHAnsi"/>
          <w:b w:val="0"/>
          <w:i w:val="0"/>
        </w:rPr>
        <w:t>wording</w:t>
      </w:r>
      <w:r w:rsidR="002813EC" w:rsidRPr="00A84878">
        <w:rPr>
          <w:rFonts w:asciiTheme="majorHAnsi" w:hAnsiTheme="majorHAnsi" w:cstheme="majorHAnsi"/>
          <w:b w:val="0"/>
          <w:i w:val="0"/>
        </w:rPr>
        <w:t xml:space="preserve"> in square brackets which the parties can include </w:t>
      </w:r>
      <w:proofErr w:type="gramStart"/>
      <w:r w:rsidR="002813EC" w:rsidRPr="00A84878">
        <w:rPr>
          <w:rFonts w:asciiTheme="majorHAnsi" w:hAnsiTheme="majorHAnsi" w:cstheme="majorHAnsi"/>
          <w:b w:val="0"/>
          <w:i w:val="0"/>
        </w:rPr>
        <w:t>in order to</w:t>
      </w:r>
      <w:proofErr w:type="gramEnd"/>
      <w:r w:rsidR="002813EC" w:rsidRPr="00A84878">
        <w:rPr>
          <w:rFonts w:asciiTheme="majorHAnsi" w:hAnsiTheme="majorHAnsi" w:cstheme="majorHAnsi"/>
          <w:b w:val="0"/>
          <w:i w:val="0"/>
        </w:rPr>
        <w:t xml:space="preserve"> clarify how the MRRA will interact with any other master regulatory reporting agreement or delegated reporting agreement which the parties have previously entered into for the purposes of dealing with EMIR</w:t>
      </w:r>
      <w:r w:rsidR="004C6EE2">
        <w:rPr>
          <w:rFonts w:asciiTheme="majorHAnsi" w:hAnsiTheme="majorHAnsi" w:cstheme="majorHAnsi"/>
          <w:b w:val="0"/>
          <w:i w:val="0"/>
        </w:rPr>
        <w:t>/UK EMIR</w:t>
      </w:r>
      <w:r w:rsidR="002813EC" w:rsidRPr="00A84878">
        <w:rPr>
          <w:rFonts w:asciiTheme="majorHAnsi" w:hAnsiTheme="majorHAnsi" w:cstheme="majorHAnsi"/>
          <w:b w:val="0"/>
          <w:i w:val="0"/>
        </w:rPr>
        <w:t xml:space="preserve"> or SFTR</w:t>
      </w:r>
      <w:r w:rsidR="000D3E44">
        <w:rPr>
          <w:rFonts w:asciiTheme="majorHAnsi" w:hAnsiTheme="majorHAnsi" w:cstheme="majorHAnsi"/>
          <w:b w:val="0"/>
          <w:i w:val="0"/>
        </w:rPr>
        <w:t>/UK SFTR</w:t>
      </w:r>
      <w:r w:rsidR="002813EC" w:rsidRPr="00A84878">
        <w:rPr>
          <w:rFonts w:asciiTheme="majorHAnsi" w:hAnsiTheme="majorHAnsi" w:cstheme="majorHAnsi"/>
          <w:b w:val="0"/>
          <w:i w:val="0"/>
        </w:rPr>
        <w:t xml:space="preserve"> reporting. If the optional </w:t>
      </w:r>
      <w:r w:rsidR="00026B4F" w:rsidRPr="00A84878">
        <w:rPr>
          <w:rFonts w:asciiTheme="majorHAnsi" w:hAnsiTheme="majorHAnsi" w:cstheme="majorHAnsi"/>
          <w:b w:val="0"/>
          <w:i w:val="0"/>
        </w:rPr>
        <w:t>wording</w:t>
      </w:r>
      <w:r w:rsidR="002813EC" w:rsidRPr="00A84878">
        <w:rPr>
          <w:rFonts w:asciiTheme="majorHAnsi" w:hAnsiTheme="majorHAnsi" w:cstheme="majorHAnsi"/>
          <w:b w:val="0"/>
          <w:i w:val="0"/>
        </w:rPr>
        <w:t xml:space="preserve"> is included, the MRRA will supersede any previous EMIR</w:t>
      </w:r>
      <w:r w:rsidR="000D3E44">
        <w:rPr>
          <w:rFonts w:asciiTheme="majorHAnsi" w:hAnsiTheme="majorHAnsi" w:cstheme="majorHAnsi"/>
          <w:b w:val="0"/>
          <w:i w:val="0"/>
        </w:rPr>
        <w:t>/UK EMIR</w:t>
      </w:r>
      <w:r w:rsidR="002813EC" w:rsidRPr="00A84878">
        <w:rPr>
          <w:rFonts w:asciiTheme="majorHAnsi" w:hAnsiTheme="majorHAnsi" w:cstheme="majorHAnsi"/>
          <w:b w:val="0"/>
          <w:i w:val="0"/>
        </w:rPr>
        <w:t xml:space="preserve"> or SFTR</w:t>
      </w:r>
      <w:r w:rsidR="000D3E44">
        <w:rPr>
          <w:rFonts w:asciiTheme="majorHAnsi" w:hAnsiTheme="majorHAnsi" w:cstheme="majorHAnsi"/>
          <w:b w:val="0"/>
          <w:i w:val="0"/>
        </w:rPr>
        <w:t>/UK SFTR</w:t>
      </w:r>
      <w:r w:rsidR="002813EC" w:rsidRPr="00A84878">
        <w:rPr>
          <w:rFonts w:asciiTheme="majorHAnsi" w:hAnsiTheme="majorHAnsi" w:cstheme="majorHAnsi"/>
          <w:b w:val="0"/>
          <w:i w:val="0"/>
        </w:rPr>
        <w:t xml:space="preserve"> reporting agreement. The parties are provided with the opportunity to agree alternative wording in the MRRA or otherwise to remove Section 1.3.1</w:t>
      </w:r>
      <w:r w:rsidR="008243A6" w:rsidRPr="00A84878">
        <w:rPr>
          <w:rFonts w:asciiTheme="majorHAnsi" w:hAnsiTheme="majorHAnsi" w:cstheme="majorHAnsi"/>
          <w:b w:val="0"/>
          <w:i w:val="0"/>
        </w:rPr>
        <w:t>.</w:t>
      </w:r>
    </w:p>
    <w:p w14:paraId="4A0B7753" w14:textId="77777777" w:rsidR="002813EC" w:rsidRPr="00A84878" w:rsidRDefault="008243A6" w:rsidP="002B65CF">
      <w:pPr>
        <w:pStyle w:val="Body1Bold"/>
        <w:rPr>
          <w:rFonts w:asciiTheme="majorHAnsi" w:hAnsiTheme="majorHAnsi" w:cstheme="majorHAnsi"/>
          <w:b w:val="0"/>
          <w:i w:val="0"/>
        </w:rPr>
      </w:pPr>
      <w:r w:rsidRPr="00A84878">
        <w:rPr>
          <w:rFonts w:asciiTheme="majorHAnsi" w:hAnsiTheme="majorHAnsi" w:cstheme="majorHAnsi"/>
          <w:b w:val="0"/>
          <w:i w:val="0"/>
        </w:rPr>
        <w:t xml:space="preserve">This </w:t>
      </w:r>
      <w:r w:rsidR="00B50F5A" w:rsidRPr="00A84878">
        <w:rPr>
          <w:rFonts w:asciiTheme="majorHAnsi" w:hAnsiTheme="majorHAnsi" w:cstheme="majorHAnsi"/>
          <w:b w:val="0"/>
          <w:i w:val="0"/>
        </w:rPr>
        <w:t>section</w:t>
      </w:r>
      <w:r w:rsidRPr="00A84878">
        <w:rPr>
          <w:rFonts w:asciiTheme="majorHAnsi" w:hAnsiTheme="majorHAnsi" w:cstheme="majorHAnsi"/>
          <w:b w:val="0"/>
          <w:i w:val="0"/>
        </w:rPr>
        <w:t xml:space="preserve"> also provides that the MRRA only has a bearing on those transactions that are identified as Relevant Transactions in any applicable Annex(es). Any prior reporting agreements </w:t>
      </w:r>
      <w:proofErr w:type="gramStart"/>
      <w:r w:rsidRPr="00A84878">
        <w:rPr>
          <w:rFonts w:asciiTheme="majorHAnsi" w:hAnsiTheme="majorHAnsi" w:cstheme="majorHAnsi"/>
          <w:b w:val="0"/>
          <w:i w:val="0"/>
        </w:rPr>
        <w:t>entered into</w:t>
      </w:r>
      <w:proofErr w:type="gramEnd"/>
      <w:r w:rsidRPr="00A84878">
        <w:rPr>
          <w:rFonts w:asciiTheme="majorHAnsi" w:hAnsiTheme="majorHAnsi" w:cstheme="majorHAnsi"/>
          <w:b w:val="0"/>
          <w:i w:val="0"/>
        </w:rPr>
        <w:t xml:space="preserve"> in respect of transactions that are not Relevant Transactions will not be affected by the MRRA.</w:t>
      </w:r>
      <w:r w:rsidR="002813EC" w:rsidRPr="00A84878">
        <w:rPr>
          <w:rFonts w:asciiTheme="majorHAnsi" w:hAnsiTheme="majorHAnsi" w:cstheme="majorHAnsi"/>
          <w:b w:val="0"/>
          <w:i w:val="0"/>
        </w:rPr>
        <w:t xml:space="preserve">  </w:t>
      </w:r>
    </w:p>
    <w:p w14:paraId="34ED7E19" w14:textId="30359358" w:rsidR="00734BFF" w:rsidRPr="00A84878" w:rsidRDefault="00734BFF" w:rsidP="002B65CF">
      <w:pPr>
        <w:pStyle w:val="Body1Bold"/>
        <w:rPr>
          <w:rFonts w:asciiTheme="majorHAnsi" w:hAnsiTheme="majorHAnsi" w:cstheme="majorHAnsi"/>
          <w:b w:val="0"/>
          <w:i w:val="0"/>
        </w:rPr>
      </w:pPr>
      <w:r w:rsidRPr="00A84878">
        <w:rPr>
          <w:rFonts w:asciiTheme="majorHAnsi" w:hAnsiTheme="majorHAnsi" w:cstheme="majorHAnsi"/>
          <w:b w:val="0"/>
          <w:i w:val="0"/>
        </w:rPr>
        <w:lastRenderedPageBreak/>
        <w:t xml:space="preserve">Whether or not Section 1.3.1 is included, entry into the MRRA would not affect any existing agreements relating to </w:t>
      </w:r>
      <w:r w:rsidR="006D3AEB">
        <w:rPr>
          <w:rFonts w:asciiTheme="majorHAnsi" w:hAnsiTheme="majorHAnsi" w:cstheme="majorHAnsi"/>
          <w:b w:val="0"/>
          <w:i w:val="0"/>
        </w:rPr>
        <w:t xml:space="preserve">reporting of </w:t>
      </w:r>
      <w:r w:rsidRPr="00A84878">
        <w:rPr>
          <w:rFonts w:asciiTheme="majorHAnsi" w:hAnsiTheme="majorHAnsi" w:cstheme="majorHAnsi"/>
          <w:b w:val="0"/>
          <w:i w:val="0"/>
        </w:rPr>
        <w:t>transactions repo</w:t>
      </w:r>
      <w:r w:rsidR="00977E48" w:rsidRPr="00A84878">
        <w:rPr>
          <w:rFonts w:asciiTheme="majorHAnsi" w:hAnsiTheme="majorHAnsi" w:cstheme="majorHAnsi"/>
          <w:b w:val="0"/>
          <w:i w:val="0"/>
        </w:rPr>
        <w:t>rted under Article 26 of MiFIR</w:t>
      </w:r>
      <w:r w:rsidR="00BD7F6F">
        <w:rPr>
          <w:rFonts w:asciiTheme="majorHAnsi" w:hAnsiTheme="majorHAnsi" w:cstheme="majorHAnsi"/>
          <w:b w:val="0"/>
          <w:i w:val="0"/>
        </w:rPr>
        <w:t xml:space="preserve"> or MiFIR </w:t>
      </w:r>
      <w:r w:rsidR="00810C8D" w:rsidRPr="00810C8D">
        <w:rPr>
          <w:rFonts w:asciiTheme="majorHAnsi" w:hAnsiTheme="majorHAnsi" w:cstheme="majorHAnsi"/>
          <w:b w:val="0"/>
          <w:i w:val="0"/>
        </w:rPr>
        <w:t>as it forms part of UK domestic legislation or regulation from time to time</w:t>
      </w:r>
      <w:r w:rsidR="00810C8D">
        <w:rPr>
          <w:rFonts w:asciiTheme="majorHAnsi" w:hAnsiTheme="majorHAnsi" w:cstheme="majorHAnsi"/>
          <w:b w:val="0"/>
          <w:i w:val="0"/>
        </w:rPr>
        <w:t xml:space="preserve"> (“</w:t>
      </w:r>
      <w:r w:rsidR="00810C8D" w:rsidRPr="00810C8D">
        <w:rPr>
          <w:rFonts w:asciiTheme="majorHAnsi" w:hAnsiTheme="majorHAnsi" w:cstheme="majorHAnsi"/>
          <w:bCs/>
          <w:i w:val="0"/>
        </w:rPr>
        <w:t>UK MiFIR</w:t>
      </w:r>
      <w:r w:rsidR="00810C8D">
        <w:rPr>
          <w:rFonts w:asciiTheme="majorHAnsi" w:hAnsiTheme="majorHAnsi" w:cstheme="majorHAnsi"/>
          <w:b w:val="0"/>
          <w:i w:val="0"/>
        </w:rPr>
        <w:t>”)</w:t>
      </w:r>
      <w:r w:rsidR="00977E48" w:rsidRPr="00A84878">
        <w:rPr>
          <w:rFonts w:asciiTheme="majorHAnsi" w:hAnsiTheme="majorHAnsi" w:cstheme="majorHAnsi"/>
          <w:b w:val="0"/>
          <w:i w:val="0"/>
        </w:rPr>
        <w:t>.</w:t>
      </w:r>
      <w:r w:rsidR="006D3AEB">
        <w:rPr>
          <w:rStyle w:val="FootnoteReference"/>
          <w:rFonts w:cstheme="majorHAnsi"/>
          <w:b w:val="0"/>
          <w:i w:val="0"/>
        </w:rPr>
        <w:footnoteReference w:id="22"/>
      </w:r>
      <w:r w:rsidR="00977E48" w:rsidRPr="00A84878">
        <w:rPr>
          <w:rFonts w:asciiTheme="majorHAnsi" w:hAnsiTheme="majorHAnsi" w:cstheme="majorHAnsi"/>
          <w:b w:val="0"/>
          <w:i w:val="0"/>
        </w:rPr>
        <w:t xml:space="preserve"> </w:t>
      </w:r>
    </w:p>
    <w:p w14:paraId="160B61D9" w14:textId="77777777" w:rsidR="002B65CF" w:rsidRPr="00A84878" w:rsidRDefault="002B65CF" w:rsidP="00DE54BD">
      <w:pPr>
        <w:pStyle w:val="Body1Bold"/>
        <w:spacing w:before="280"/>
        <w:rPr>
          <w:rFonts w:asciiTheme="majorHAnsi" w:hAnsiTheme="majorHAnsi" w:cstheme="majorHAnsi"/>
          <w:i w:val="0"/>
          <w:u w:val="single"/>
        </w:rPr>
      </w:pPr>
      <w:r w:rsidRPr="00D15F5D">
        <w:rPr>
          <w:rFonts w:asciiTheme="majorHAnsi" w:hAnsiTheme="majorHAnsi" w:cstheme="majorHAnsi"/>
          <w:i w:val="0"/>
          <w:sz w:val="22"/>
          <w:u w:val="single"/>
        </w:rPr>
        <w:t>Delegated Reporting Provisions</w:t>
      </w:r>
    </w:p>
    <w:p w14:paraId="4DB5705D" w14:textId="77777777" w:rsidR="002B65CF" w:rsidRPr="00A84878" w:rsidRDefault="001731C9" w:rsidP="002B65CF">
      <w:pPr>
        <w:pStyle w:val="Body1Bold"/>
        <w:rPr>
          <w:rFonts w:asciiTheme="majorHAnsi" w:hAnsiTheme="majorHAnsi" w:cstheme="majorHAnsi"/>
          <w:b w:val="0"/>
          <w:i w:val="0"/>
        </w:rPr>
      </w:pPr>
      <w:r w:rsidRPr="00A84878">
        <w:rPr>
          <w:rFonts w:asciiTheme="majorHAnsi" w:hAnsiTheme="majorHAnsi" w:cstheme="majorHAnsi"/>
          <w:b w:val="0"/>
          <w:i w:val="0"/>
        </w:rPr>
        <w:t>The MRRA is constructed such that the parties may agree to delete the Delegated Reporting Provisions section from the MRRA and only include the Mandatory Reporting Provisions</w:t>
      </w:r>
      <w:r w:rsidR="00977E48" w:rsidRPr="00A84878">
        <w:rPr>
          <w:rFonts w:asciiTheme="majorHAnsi" w:hAnsiTheme="majorHAnsi" w:cstheme="majorHAnsi"/>
          <w:b w:val="0"/>
          <w:i w:val="0"/>
        </w:rPr>
        <w:t xml:space="preserve"> (or vice versa)</w:t>
      </w:r>
      <w:r w:rsidRPr="00A84878">
        <w:rPr>
          <w:rFonts w:asciiTheme="majorHAnsi" w:hAnsiTheme="majorHAnsi" w:cstheme="majorHAnsi"/>
          <w:b w:val="0"/>
          <w:i w:val="0"/>
        </w:rPr>
        <w:t>. Where the parties have indicated that Delegated Reporting is applicable to certain or all Relevant Transactions within Paragraph 3 (</w:t>
      </w:r>
      <w:r w:rsidRPr="00A84878">
        <w:rPr>
          <w:rFonts w:asciiTheme="majorHAnsi" w:hAnsiTheme="majorHAnsi" w:cstheme="majorHAnsi"/>
          <w:b w:val="0"/>
        </w:rPr>
        <w:t>Relevant Transactions and Related Elections</w:t>
      </w:r>
      <w:r w:rsidRPr="00A84878">
        <w:rPr>
          <w:rFonts w:asciiTheme="majorHAnsi" w:hAnsiTheme="majorHAnsi" w:cstheme="majorHAnsi"/>
          <w:b w:val="0"/>
          <w:i w:val="0"/>
        </w:rPr>
        <w:t xml:space="preserve">) of an Annex, then the </w:t>
      </w:r>
      <w:r w:rsidR="00D4065B" w:rsidRPr="00A84878">
        <w:rPr>
          <w:rFonts w:asciiTheme="majorHAnsi" w:hAnsiTheme="majorHAnsi" w:cstheme="majorHAnsi"/>
          <w:b w:val="0"/>
          <w:i w:val="0"/>
        </w:rPr>
        <w:t xml:space="preserve">parties should retain the </w:t>
      </w:r>
      <w:r w:rsidRPr="00A84878">
        <w:rPr>
          <w:rFonts w:asciiTheme="majorHAnsi" w:hAnsiTheme="majorHAnsi" w:cstheme="majorHAnsi"/>
          <w:b w:val="0"/>
          <w:i w:val="0"/>
        </w:rPr>
        <w:t xml:space="preserve">Delegated Reporting Provisions. </w:t>
      </w:r>
    </w:p>
    <w:p w14:paraId="44A471E8" w14:textId="23E61D68" w:rsidR="007A58D1" w:rsidRPr="00A84878" w:rsidRDefault="007A58D1" w:rsidP="007A58D1">
      <w:pPr>
        <w:pStyle w:val="Body1Bold"/>
        <w:rPr>
          <w:rFonts w:asciiTheme="majorHAnsi" w:hAnsiTheme="majorHAnsi" w:cstheme="majorHAnsi"/>
          <w:b w:val="0"/>
          <w:i w:val="0"/>
        </w:rPr>
      </w:pPr>
      <w:r w:rsidRPr="00A84878">
        <w:rPr>
          <w:rFonts w:asciiTheme="majorHAnsi" w:hAnsiTheme="majorHAnsi" w:cstheme="majorHAnsi"/>
          <w:b w:val="0"/>
          <w:i w:val="0"/>
        </w:rPr>
        <w:t xml:space="preserve">If the Client is an NFC- or </w:t>
      </w:r>
      <w:r w:rsidR="000E6852">
        <w:rPr>
          <w:rFonts w:asciiTheme="majorHAnsi" w:hAnsiTheme="majorHAnsi" w:cstheme="majorHAnsi"/>
          <w:b w:val="0"/>
          <w:i w:val="0"/>
        </w:rPr>
        <w:t xml:space="preserve">(in the case of SFTR) </w:t>
      </w:r>
      <w:r w:rsidRPr="00A84878">
        <w:rPr>
          <w:rFonts w:asciiTheme="majorHAnsi" w:hAnsiTheme="majorHAnsi" w:cstheme="majorHAnsi"/>
          <w:b w:val="0"/>
          <w:i w:val="0"/>
        </w:rPr>
        <w:t>NFC-</w:t>
      </w:r>
      <w:r w:rsidR="00D93114" w:rsidRPr="00A84878">
        <w:rPr>
          <w:rFonts w:asciiTheme="majorHAnsi" w:hAnsiTheme="majorHAnsi" w:cstheme="majorHAnsi"/>
          <w:b w:val="0"/>
          <w:i w:val="0"/>
        </w:rPr>
        <w:t xml:space="preserve"> SME</w:t>
      </w:r>
      <w:r w:rsidRPr="00A84878">
        <w:rPr>
          <w:rFonts w:asciiTheme="majorHAnsi" w:hAnsiTheme="majorHAnsi" w:cstheme="majorHAnsi"/>
          <w:b w:val="0"/>
          <w:i w:val="0"/>
        </w:rPr>
        <w:t xml:space="preserve"> and therefore could become an NFC+ </w:t>
      </w:r>
      <w:r w:rsidR="00D93114" w:rsidRPr="00A84878">
        <w:rPr>
          <w:rFonts w:asciiTheme="majorHAnsi" w:hAnsiTheme="majorHAnsi" w:cstheme="majorHAnsi"/>
          <w:b w:val="0"/>
          <w:i w:val="0"/>
        </w:rPr>
        <w:t xml:space="preserve">or NFC other than an NFC- SME </w:t>
      </w:r>
      <w:r w:rsidRPr="00A84878">
        <w:rPr>
          <w:rFonts w:asciiTheme="majorHAnsi" w:hAnsiTheme="majorHAnsi" w:cstheme="majorHAnsi"/>
          <w:b w:val="0"/>
          <w:i w:val="0"/>
        </w:rPr>
        <w:t>in future, and an election for ‘Automatic Transition to Delegated Reporting’ has been made, the Delegated Reporting Provisions should also be retained.</w:t>
      </w:r>
    </w:p>
    <w:p w14:paraId="73B2AE1D" w14:textId="77777777" w:rsidR="004A2C2F" w:rsidRPr="00A84878" w:rsidRDefault="00653E88" w:rsidP="00DE54BD">
      <w:pPr>
        <w:pStyle w:val="Level2"/>
        <w:numPr>
          <w:ilvl w:val="0"/>
          <w:numId w:val="0"/>
        </w:numPr>
        <w:spacing w:before="280"/>
        <w:ind w:left="680" w:hanging="680"/>
        <w:rPr>
          <w:rFonts w:asciiTheme="majorHAnsi" w:hAnsiTheme="majorHAnsi" w:cstheme="majorHAnsi"/>
          <w:b/>
        </w:rPr>
      </w:pPr>
      <w:r w:rsidRPr="00A84878">
        <w:rPr>
          <w:rFonts w:asciiTheme="majorHAnsi" w:hAnsiTheme="majorHAnsi" w:cstheme="majorHAnsi"/>
          <w:b/>
        </w:rPr>
        <w:t>Section 2 (</w:t>
      </w:r>
      <w:r w:rsidR="004A2C2F" w:rsidRPr="00A84878">
        <w:rPr>
          <w:rFonts w:asciiTheme="majorHAnsi" w:hAnsiTheme="majorHAnsi" w:cstheme="majorHAnsi"/>
          <w:b/>
          <w:i/>
        </w:rPr>
        <w:t>Delegated Reporting</w:t>
      </w:r>
      <w:r w:rsidRPr="00A84878">
        <w:rPr>
          <w:rFonts w:asciiTheme="majorHAnsi" w:hAnsiTheme="majorHAnsi" w:cstheme="majorHAnsi"/>
          <w:b/>
        </w:rPr>
        <w:t>)</w:t>
      </w:r>
      <w:r w:rsidR="00EA00B3" w:rsidRPr="00A84878">
        <w:rPr>
          <w:rFonts w:asciiTheme="majorHAnsi" w:hAnsiTheme="majorHAnsi" w:cstheme="majorHAnsi"/>
          <w:b/>
        </w:rPr>
        <w:t xml:space="preserve"> of the Delegated Reporting Provisions</w:t>
      </w:r>
    </w:p>
    <w:p w14:paraId="28CE90C3" w14:textId="77777777" w:rsidR="00E84F68" w:rsidRPr="00A84878" w:rsidRDefault="000607A0" w:rsidP="0035776C">
      <w:pPr>
        <w:pStyle w:val="Level2"/>
        <w:numPr>
          <w:ilvl w:val="0"/>
          <w:numId w:val="0"/>
        </w:numPr>
        <w:rPr>
          <w:rFonts w:asciiTheme="majorHAnsi" w:hAnsiTheme="majorHAnsi" w:cstheme="majorHAnsi"/>
        </w:rPr>
      </w:pPr>
      <w:r w:rsidRPr="00A84878">
        <w:rPr>
          <w:rFonts w:asciiTheme="majorHAnsi" w:hAnsiTheme="majorHAnsi" w:cstheme="majorHAnsi"/>
        </w:rPr>
        <w:t xml:space="preserve">Section 2.1 provides that the Delegating Party – being the </w:t>
      </w:r>
      <w:r w:rsidR="00977E48" w:rsidRPr="00A84878">
        <w:rPr>
          <w:rFonts w:asciiTheme="majorHAnsi" w:hAnsiTheme="majorHAnsi" w:cstheme="majorHAnsi"/>
        </w:rPr>
        <w:t>Client or Fund Manager</w:t>
      </w:r>
      <w:r w:rsidRPr="00A84878">
        <w:rPr>
          <w:rFonts w:asciiTheme="majorHAnsi" w:hAnsiTheme="majorHAnsi" w:cstheme="majorHAnsi"/>
        </w:rPr>
        <w:t xml:space="preserve"> that delegates its reporting obligation to </w:t>
      </w:r>
      <w:r w:rsidR="004D126D">
        <w:rPr>
          <w:rFonts w:asciiTheme="majorHAnsi" w:hAnsiTheme="majorHAnsi" w:cstheme="majorHAnsi"/>
        </w:rPr>
        <w:t>the Reporting Party</w:t>
      </w:r>
      <w:r w:rsidRPr="00A84878">
        <w:rPr>
          <w:rFonts w:asciiTheme="majorHAnsi" w:hAnsiTheme="majorHAnsi" w:cstheme="majorHAnsi"/>
        </w:rPr>
        <w:t xml:space="preserve"> – </w:t>
      </w:r>
      <w:r w:rsidR="0035776C" w:rsidRPr="00A84878">
        <w:rPr>
          <w:rFonts w:asciiTheme="majorHAnsi" w:hAnsiTheme="majorHAnsi" w:cstheme="majorHAnsi"/>
        </w:rPr>
        <w:t xml:space="preserve">requires, </w:t>
      </w:r>
      <w:proofErr w:type="gramStart"/>
      <w:r w:rsidR="0035776C" w:rsidRPr="00A84878">
        <w:rPr>
          <w:rFonts w:asciiTheme="majorHAnsi" w:hAnsiTheme="majorHAnsi" w:cstheme="majorHAnsi"/>
        </w:rPr>
        <w:t>appoints</w:t>
      </w:r>
      <w:proofErr w:type="gramEnd"/>
      <w:r w:rsidR="0035776C" w:rsidRPr="00A84878">
        <w:rPr>
          <w:rFonts w:asciiTheme="majorHAnsi" w:hAnsiTheme="majorHAnsi" w:cstheme="majorHAnsi"/>
        </w:rPr>
        <w:t xml:space="preserve"> and authorises the Reporting Party to report on its behalf, and the Reporting Party agrees to such reporting in respect of each Relevant Transaction</w:t>
      </w:r>
      <w:r w:rsidR="00B33C6F" w:rsidRPr="00A84878">
        <w:rPr>
          <w:rFonts w:asciiTheme="majorHAnsi" w:hAnsiTheme="majorHAnsi" w:cstheme="majorHAnsi"/>
        </w:rPr>
        <w:t xml:space="preserve"> (</w:t>
      </w:r>
      <w:r w:rsidR="00E84F68" w:rsidRPr="00A84878">
        <w:rPr>
          <w:rFonts w:asciiTheme="majorHAnsi" w:hAnsiTheme="majorHAnsi" w:cstheme="majorHAnsi"/>
        </w:rPr>
        <w:t>which</w:t>
      </w:r>
      <w:r w:rsidR="00786E64" w:rsidRPr="00A84878">
        <w:rPr>
          <w:rFonts w:asciiTheme="majorHAnsi" w:hAnsiTheme="majorHAnsi" w:cstheme="majorHAnsi"/>
        </w:rPr>
        <w:t xml:space="preserve"> </w:t>
      </w:r>
      <w:r w:rsidR="00E84F68" w:rsidRPr="00A84878">
        <w:rPr>
          <w:rFonts w:asciiTheme="majorHAnsi" w:hAnsiTheme="majorHAnsi" w:cstheme="majorHAnsi"/>
        </w:rPr>
        <w:t xml:space="preserve">refers to a </w:t>
      </w:r>
      <w:r w:rsidR="0035776C" w:rsidRPr="00A84878">
        <w:rPr>
          <w:rFonts w:asciiTheme="majorHAnsi" w:hAnsiTheme="majorHAnsi" w:cstheme="majorHAnsi"/>
        </w:rPr>
        <w:t xml:space="preserve">transaction within a </w:t>
      </w:r>
      <w:r w:rsidR="00E84F68" w:rsidRPr="00A84878">
        <w:rPr>
          <w:rFonts w:asciiTheme="majorHAnsi" w:hAnsiTheme="majorHAnsi" w:cstheme="majorHAnsi"/>
        </w:rPr>
        <w:t>specific pool of transactions</w:t>
      </w:r>
      <w:r w:rsidR="00786E64" w:rsidRPr="00A84878">
        <w:rPr>
          <w:rFonts w:asciiTheme="majorHAnsi" w:hAnsiTheme="majorHAnsi" w:cstheme="majorHAnsi"/>
        </w:rPr>
        <w:t xml:space="preserve"> identified in </w:t>
      </w:r>
      <w:r w:rsidR="00B33C6F" w:rsidRPr="00A84878">
        <w:rPr>
          <w:rFonts w:asciiTheme="majorHAnsi" w:hAnsiTheme="majorHAnsi" w:cstheme="majorHAnsi"/>
        </w:rPr>
        <w:t>an Annex).</w:t>
      </w:r>
    </w:p>
    <w:p w14:paraId="179456FE" w14:textId="77777777" w:rsidR="0035776C" w:rsidRPr="00A84878" w:rsidRDefault="0035776C" w:rsidP="0035776C">
      <w:pPr>
        <w:pStyle w:val="Level2"/>
        <w:numPr>
          <w:ilvl w:val="0"/>
          <w:numId w:val="0"/>
        </w:numPr>
        <w:rPr>
          <w:rFonts w:asciiTheme="majorHAnsi" w:hAnsiTheme="majorHAnsi" w:cstheme="majorHAnsi"/>
        </w:rPr>
      </w:pPr>
      <w:r w:rsidRPr="00A84878">
        <w:rPr>
          <w:rFonts w:asciiTheme="majorHAnsi" w:hAnsiTheme="majorHAnsi" w:cstheme="majorHAnsi"/>
        </w:rPr>
        <w:t xml:space="preserve">To enable the Reporting Party to fulfil its responsibilities in respect of the Delegating Party’s </w:t>
      </w:r>
      <w:r w:rsidR="001258AC" w:rsidRPr="00A84878">
        <w:rPr>
          <w:rFonts w:asciiTheme="majorHAnsi" w:hAnsiTheme="majorHAnsi" w:cstheme="majorHAnsi"/>
        </w:rPr>
        <w:t>R</w:t>
      </w:r>
      <w:r w:rsidRPr="00A84878">
        <w:rPr>
          <w:rFonts w:asciiTheme="majorHAnsi" w:hAnsiTheme="majorHAnsi" w:cstheme="majorHAnsi"/>
        </w:rPr>
        <w:t xml:space="preserve">eporting </w:t>
      </w:r>
      <w:r w:rsidR="001258AC" w:rsidRPr="00A84878">
        <w:rPr>
          <w:rFonts w:asciiTheme="majorHAnsi" w:hAnsiTheme="majorHAnsi" w:cstheme="majorHAnsi"/>
        </w:rPr>
        <w:t>O</w:t>
      </w:r>
      <w:r w:rsidRPr="00A84878">
        <w:rPr>
          <w:rFonts w:asciiTheme="majorHAnsi" w:hAnsiTheme="majorHAnsi" w:cstheme="majorHAnsi"/>
        </w:rPr>
        <w:t xml:space="preserve">bligation, various </w:t>
      </w:r>
      <w:r w:rsidR="00B50F5A" w:rsidRPr="00A84878">
        <w:rPr>
          <w:rFonts w:asciiTheme="majorHAnsi" w:hAnsiTheme="majorHAnsi" w:cstheme="majorHAnsi"/>
        </w:rPr>
        <w:t>sub-sections</w:t>
      </w:r>
      <w:r w:rsidRPr="00A84878">
        <w:rPr>
          <w:rFonts w:asciiTheme="majorHAnsi" w:hAnsiTheme="majorHAnsi" w:cstheme="majorHAnsi"/>
        </w:rPr>
        <w:t xml:space="preserve"> are include</w:t>
      </w:r>
      <w:r w:rsidR="00B33C6F" w:rsidRPr="00A84878">
        <w:rPr>
          <w:rFonts w:asciiTheme="majorHAnsi" w:hAnsiTheme="majorHAnsi" w:cstheme="majorHAnsi"/>
        </w:rPr>
        <w:t>d</w:t>
      </w:r>
      <w:r w:rsidR="003D166D" w:rsidRPr="00A84878">
        <w:rPr>
          <w:rFonts w:asciiTheme="majorHAnsi" w:hAnsiTheme="majorHAnsi" w:cstheme="majorHAnsi"/>
        </w:rPr>
        <w:t>.</w:t>
      </w:r>
    </w:p>
    <w:p w14:paraId="30DA130F" w14:textId="77777777" w:rsidR="00B33C6F" w:rsidRPr="00A84878" w:rsidRDefault="00B33C6F" w:rsidP="00B33C6F">
      <w:pPr>
        <w:pStyle w:val="Level2"/>
        <w:numPr>
          <w:ilvl w:val="0"/>
          <w:numId w:val="50"/>
        </w:numPr>
        <w:rPr>
          <w:rFonts w:asciiTheme="majorHAnsi" w:hAnsiTheme="majorHAnsi" w:cstheme="majorHAnsi"/>
        </w:rPr>
      </w:pPr>
      <w:r w:rsidRPr="00A84878">
        <w:rPr>
          <w:rFonts w:asciiTheme="majorHAnsi" w:hAnsiTheme="majorHAnsi" w:cstheme="majorHAnsi"/>
        </w:rPr>
        <w:t xml:space="preserve">The Delegating Party is required to deliver </w:t>
      </w:r>
      <w:r w:rsidR="00977E48" w:rsidRPr="00A84878">
        <w:rPr>
          <w:rFonts w:asciiTheme="majorHAnsi" w:hAnsiTheme="majorHAnsi" w:cstheme="majorHAnsi"/>
        </w:rPr>
        <w:t>certain</w:t>
      </w:r>
      <w:r w:rsidRPr="00A84878">
        <w:rPr>
          <w:rFonts w:asciiTheme="majorHAnsi" w:hAnsiTheme="majorHAnsi" w:cstheme="majorHAnsi"/>
        </w:rPr>
        <w:t xml:space="preserve"> Counterparty Data to the Reporting Party</w:t>
      </w:r>
      <w:r w:rsidR="006A1CEF" w:rsidRPr="00A84878">
        <w:rPr>
          <w:rFonts w:asciiTheme="majorHAnsi" w:hAnsiTheme="majorHAnsi" w:cstheme="majorHAnsi"/>
        </w:rPr>
        <w:t xml:space="preserve"> </w:t>
      </w:r>
      <w:r w:rsidR="00021FEA" w:rsidRPr="00A84878">
        <w:rPr>
          <w:rFonts w:asciiTheme="majorHAnsi" w:hAnsiTheme="majorHAnsi" w:cstheme="majorHAnsi"/>
        </w:rPr>
        <w:t xml:space="preserve">and </w:t>
      </w:r>
      <w:r w:rsidR="006A1CEF" w:rsidRPr="00A84878">
        <w:rPr>
          <w:rFonts w:asciiTheme="majorHAnsi" w:hAnsiTheme="majorHAnsi" w:cstheme="majorHAnsi"/>
        </w:rPr>
        <w:t>represents that the data is, and continues to be</w:t>
      </w:r>
      <w:r w:rsidR="00192B5B" w:rsidRPr="00A84878">
        <w:rPr>
          <w:rFonts w:asciiTheme="majorHAnsi" w:hAnsiTheme="majorHAnsi" w:cstheme="majorHAnsi"/>
        </w:rPr>
        <w:t>,</w:t>
      </w:r>
      <w:r w:rsidR="006A1CEF" w:rsidRPr="00A84878">
        <w:rPr>
          <w:rFonts w:asciiTheme="majorHAnsi" w:hAnsiTheme="majorHAnsi" w:cstheme="majorHAnsi"/>
        </w:rPr>
        <w:t xml:space="preserve"> “true, accurate and complete in every material respect”</w:t>
      </w:r>
      <w:r w:rsidRPr="00A84878">
        <w:rPr>
          <w:rFonts w:asciiTheme="majorHAnsi" w:hAnsiTheme="majorHAnsi" w:cstheme="majorHAnsi"/>
        </w:rPr>
        <w:t xml:space="preserve">. </w:t>
      </w:r>
      <w:r w:rsidR="002C2C16" w:rsidRPr="00A84878">
        <w:rPr>
          <w:rFonts w:asciiTheme="majorHAnsi" w:hAnsiTheme="majorHAnsi" w:cstheme="majorHAnsi"/>
        </w:rPr>
        <w:t xml:space="preserve">The Reporting Party may also rely on the Counterparty Data without investigation. </w:t>
      </w:r>
      <w:r w:rsidR="003D166D" w:rsidRPr="00A84878">
        <w:rPr>
          <w:rFonts w:asciiTheme="majorHAnsi" w:hAnsiTheme="majorHAnsi" w:cstheme="majorHAnsi"/>
        </w:rPr>
        <w:t xml:space="preserve">Optional </w:t>
      </w:r>
      <w:r w:rsidR="00026B4F" w:rsidRPr="00A84878">
        <w:rPr>
          <w:rFonts w:asciiTheme="majorHAnsi" w:hAnsiTheme="majorHAnsi" w:cstheme="majorHAnsi"/>
        </w:rPr>
        <w:t>wording</w:t>
      </w:r>
      <w:r w:rsidR="00977E48" w:rsidRPr="00A84878">
        <w:rPr>
          <w:rFonts w:asciiTheme="majorHAnsi" w:hAnsiTheme="majorHAnsi" w:cstheme="majorHAnsi"/>
        </w:rPr>
        <w:t xml:space="preserve"> provides</w:t>
      </w:r>
      <w:r w:rsidR="003D166D" w:rsidRPr="00A84878">
        <w:rPr>
          <w:rFonts w:asciiTheme="majorHAnsi" w:hAnsiTheme="majorHAnsi" w:cstheme="majorHAnsi"/>
        </w:rPr>
        <w:t xml:space="preserve"> for t</w:t>
      </w:r>
      <w:r w:rsidRPr="00A84878">
        <w:rPr>
          <w:rFonts w:asciiTheme="majorHAnsi" w:hAnsiTheme="majorHAnsi" w:cstheme="majorHAnsi"/>
        </w:rPr>
        <w:t xml:space="preserve">he parties </w:t>
      </w:r>
      <w:r w:rsidR="003D166D" w:rsidRPr="00A84878">
        <w:rPr>
          <w:rFonts w:asciiTheme="majorHAnsi" w:hAnsiTheme="majorHAnsi" w:cstheme="majorHAnsi"/>
        </w:rPr>
        <w:t xml:space="preserve">to </w:t>
      </w:r>
      <w:r w:rsidRPr="00A84878">
        <w:rPr>
          <w:rFonts w:asciiTheme="majorHAnsi" w:hAnsiTheme="majorHAnsi" w:cstheme="majorHAnsi"/>
        </w:rPr>
        <w:t>specify whether the Counterparty Data includes Static Data</w:t>
      </w:r>
      <w:r w:rsidR="0030071D" w:rsidRPr="00A84878">
        <w:rPr>
          <w:rFonts w:asciiTheme="majorHAnsi" w:hAnsiTheme="majorHAnsi" w:cstheme="majorHAnsi"/>
        </w:rPr>
        <w:t xml:space="preserve"> (i.e. Counterparty Data which is expected to change infrequently or at least not on a trade</w:t>
      </w:r>
      <w:r w:rsidR="0091330C">
        <w:rPr>
          <w:rFonts w:asciiTheme="majorHAnsi" w:hAnsiTheme="majorHAnsi" w:cstheme="majorHAnsi"/>
        </w:rPr>
        <w:t>-</w:t>
      </w:r>
      <w:r w:rsidR="0030071D" w:rsidRPr="00A84878">
        <w:rPr>
          <w:rFonts w:asciiTheme="majorHAnsi" w:hAnsiTheme="majorHAnsi" w:cstheme="majorHAnsi"/>
        </w:rPr>
        <w:t>by</w:t>
      </w:r>
      <w:r w:rsidR="0091330C">
        <w:rPr>
          <w:rFonts w:asciiTheme="majorHAnsi" w:hAnsiTheme="majorHAnsi" w:cstheme="majorHAnsi"/>
        </w:rPr>
        <w:t>-</w:t>
      </w:r>
      <w:r w:rsidR="0030071D" w:rsidRPr="00A84878">
        <w:rPr>
          <w:rFonts w:asciiTheme="majorHAnsi" w:hAnsiTheme="majorHAnsi" w:cstheme="majorHAnsi"/>
        </w:rPr>
        <w:t>trade basis)</w:t>
      </w:r>
      <w:r w:rsidRPr="00A84878">
        <w:rPr>
          <w:rFonts w:asciiTheme="majorHAnsi" w:hAnsiTheme="majorHAnsi" w:cstheme="majorHAnsi"/>
        </w:rPr>
        <w:t xml:space="preserve"> </w:t>
      </w:r>
      <w:r w:rsidR="00977E48" w:rsidRPr="00A84878">
        <w:rPr>
          <w:rFonts w:asciiTheme="majorHAnsi" w:hAnsiTheme="majorHAnsi" w:cstheme="majorHAnsi"/>
        </w:rPr>
        <w:t xml:space="preserve">as </w:t>
      </w:r>
      <w:r w:rsidRPr="00A84878">
        <w:rPr>
          <w:rFonts w:asciiTheme="majorHAnsi" w:hAnsiTheme="majorHAnsi" w:cstheme="majorHAnsi"/>
        </w:rPr>
        <w:t>separately set out in a Schedule to the MRRA.</w:t>
      </w:r>
      <w:r w:rsidR="00DD3B7D" w:rsidRPr="00A84878">
        <w:rPr>
          <w:rFonts w:asciiTheme="majorHAnsi" w:hAnsiTheme="majorHAnsi" w:cstheme="majorHAnsi"/>
        </w:rPr>
        <w:t xml:space="preserve"> If the Delegating Party fails to provide Counterparty Data, the Reporting Party will be under no obligation to submit such data on its behalf before the Reporting Deadline.</w:t>
      </w:r>
    </w:p>
    <w:p w14:paraId="3919F68C" w14:textId="77777777" w:rsidR="003D166D" w:rsidRPr="00A84878" w:rsidRDefault="003D166D" w:rsidP="00762D23">
      <w:pPr>
        <w:pStyle w:val="Level2"/>
        <w:numPr>
          <w:ilvl w:val="0"/>
          <w:numId w:val="50"/>
        </w:numPr>
        <w:rPr>
          <w:rFonts w:asciiTheme="majorHAnsi" w:hAnsiTheme="majorHAnsi" w:cstheme="majorHAnsi"/>
        </w:rPr>
      </w:pPr>
      <w:r w:rsidRPr="00A84878">
        <w:rPr>
          <w:rFonts w:asciiTheme="majorHAnsi" w:hAnsiTheme="majorHAnsi" w:cstheme="majorHAnsi"/>
        </w:rPr>
        <w:t xml:space="preserve">Optional </w:t>
      </w:r>
      <w:r w:rsidR="00026B4F" w:rsidRPr="00A84878">
        <w:rPr>
          <w:rFonts w:asciiTheme="majorHAnsi" w:hAnsiTheme="majorHAnsi" w:cstheme="majorHAnsi"/>
        </w:rPr>
        <w:t>wording</w:t>
      </w:r>
      <w:r w:rsidRPr="00A84878">
        <w:rPr>
          <w:rFonts w:asciiTheme="majorHAnsi" w:hAnsiTheme="majorHAnsi" w:cstheme="majorHAnsi"/>
        </w:rPr>
        <w:t xml:space="preserve"> is included in respect of when the Delegating Party must deliver the Counterparty Data, with the options being either to deliver it “in time” </w:t>
      </w:r>
      <w:r w:rsidR="00786E64" w:rsidRPr="00A84878">
        <w:rPr>
          <w:rFonts w:asciiTheme="majorHAnsi" w:hAnsiTheme="majorHAnsi" w:cstheme="majorHAnsi"/>
        </w:rPr>
        <w:t xml:space="preserve">for the </w:t>
      </w:r>
      <w:r w:rsidR="004F4BB1" w:rsidRPr="00A84878">
        <w:rPr>
          <w:rFonts w:asciiTheme="majorHAnsi" w:hAnsiTheme="majorHAnsi" w:cstheme="majorHAnsi"/>
        </w:rPr>
        <w:t>R</w:t>
      </w:r>
      <w:r w:rsidR="00786E64" w:rsidRPr="00A84878">
        <w:rPr>
          <w:rFonts w:asciiTheme="majorHAnsi" w:hAnsiTheme="majorHAnsi" w:cstheme="majorHAnsi"/>
        </w:rPr>
        <w:t xml:space="preserve">eporting Party to </w:t>
      </w:r>
      <w:r w:rsidR="00977E48" w:rsidRPr="00A84878">
        <w:rPr>
          <w:rFonts w:asciiTheme="majorHAnsi" w:hAnsiTheme="majorHAnsi" w:cstheme="majorHAnsi"/>
        </w:rPr>
        <w:t xml:space="preserve">report by the Reporting Deadline </w:t>
      </w:r>
      <w:r w:rsidR="00786E64" w:rsidRPr="00A84878">
        <w:rPr>
          <w:rFonts w:asciiTheme="majorHAnsi" w:hAnsiTheme="majorHAnsi" w:cstheme="majorHAnsi"/>
        </w:rPr>
        <w:t xml:space="preserve">or within </w:t>
      </w:r>
      <w:r w:rsidRPr="00A84878">
        <w:rPr>
          <w:rFonts w:asciiTheme="majorHAnsi" w:hAnsiTheme="majorHAnsi" w:cstheme="majorHAnsi"/>
        </w:rPr>
        <w:t>a</w:t>
      </w:r>
      <w:r w:rsidR="004D126D">
        <w:rPr>
          <w:rFonts w:asciiTheme="majorHAnsi" w:hAnsiTheme="majorHAnsi" w:cstheme="majorHAnsi"/>
        </w:rPr>
        <w:t xml:space="preserve"> specific</w:t>
      </w:r>
      <w:r w:rsidRPr="00A84878">
        <w:rPr>
          <w:rFonts w:asciiTheme="majorHAnsi" w:hAnsiTheme="majorHAnsi" w:cstheme="majorHAnsi"/>
        </w:rPr>
        <w:t xml:space="preserve"> </w:t>
      </w:r>
      <w:proofErr w:type="gramStart"/>
      <w:r w:rsidR="00786E64" w:rsidRPr="00A84878">
        <w:rPr>
          <w:rFonts w:asciiTheme="majorHAnsi" w:hAnsiTheme="majorHAnsi" w:cstheme="majorHAnsi"/>
        </w:rPr>
        <w:t>time</w:t>
      </w:r>
      <w:r w:rsidRPr="00A84878">
        <w:rPr>
          <w:rFonts w:asciiTheme="majorHAnsi" w:hAnsiTheme="majorHAnsi" w:cstheme="majorHAnsi"/>
        </w:rPr>
        <w:t xml:space="preserve"> </w:t>
      </w:r>
      <w:r w:rsidR="00786E64" w:rsidRPr="00A84878">
        <w:rPr>
          <w:rFonts w:asciiTheme="majorHAnsi" w:hAnsiTheme="majorHAnsi" w:cstheme="majorHAnsi"/>
        </w:rPr>
        <w:t>period</w:t>
      </w:r>
      <w:proofErr w:type="gramEnd"/>
      <w:r w:rsidR="00786E64" w:rsidRPr="00A84878">
        <w:rPr>
          <w:rFonts w:asciiTheme="majorHAnsi" w:hAnsiTheme="majorHAnsi" w:cstheme="majorHAnsi"/>
        </w:rPr>
        <w:t xml:space="preserve"> </w:t>
      </w:r>
      <w:r w:rsidR="004D126D">
        <w:rPr>
          <w:rFonts w:asciiTheme="majorHAnsi" w:hAnsiTheme="majorHAnsi" w:cstheme="majorHAnsi"/>
        </w:rPr>
        <w:t>set out</w:t>
      </w:r>
      <w:r w:rsidR="00786E64" w:rsidRPr="00A84878">
        <w:rPr>
          <w:rFonts w:asciiTheme="majorHAnsi" w:hAnsiTheme="majorHAnsi" w:cstheme="majorHAnsi"/>
        </w:rPr>
        <w:t xml:space="preserve"> in </w:t>
      </w:r>
      <w:r w:rsidR="004D126D">
        <w:rPr>
          <w:rFonts w:asciiTheme="majorHAnsi" w:hAnsiTheme="majorHAnsi" w:cstheme="majorHAnsi"/>
        </w:rPr>
        <w:t>a</w:t>
      </w:r>
      <w:r w:rsidR="00786E64" w:rsidRPr="00A84878">
        <w:rPr>
          <w:rFonts w:asciiTheme="majorHAnsi" w:hAnsiTheme="majorHAnsi" w:cstheme="majorHAnsi"/>
        </w:rPr>
        <w:t xml:space="preserve"> </w:t>
      </w:r>
      <w:r w:rsidRPr="00A84878">
        <w:rPr>
          <w:rFonts w:asciiTheme="majorHAnsi" w:hAnsiTheme="majorHAnsi" w:cstheme="majorHAnsi"/>
        </w:rPr>
        <w:t>Schedule relating to ‘</w:t>
      </w:r>
      <w:r w:rsidR="005439F7" w:rsidRPr="00A84878">
        <w:rPr>
          <w:rFonts w:asciiTheme="majorHAnsi" w:hAnsiTheme="majorHAnsi" w:cstheme="majorHAnsi"/>
        </w:rPr>
        <w:t>Operational and Procedural Provisions</w:t>
      </w:r>
      <w:r w:rsidRPr="00A84878">
        <w:rPr>
          <w:rFonts w:asciiTheme="majorHAnsi" w:hAnsiTheme="majorHAnsi" w:cstheme="majorHAnsi"/>
        </w:rPr>
        <w:t>’</w:t>
      </w:r>
      <w:r w:rsidR="00786E64" w:rsidRPr="00A84878">
        <w:rPr>
          <w:rFonts w:asciiTheme="majorHAnsi" w:hAnsiTheme="majorHAnsi" w:cstheme="majorHAnsi"/>
        </w:rPr>
        <w:t xml:space="preserve">. </w:t>
      </w:r>
    </w:p>
    <w:p w14:paraId="3414395E" w14:textId="77777777" w:rsidR="00CC4010" w:rsidRPr="00A84878" w:rsidRDefault="003D166D" w:rsidP="00CC4010">
      <w:pPr>
        <w:pStyle w:val="Level2"/>
        <w:numPr>
          <w:ilvl w:val="0"/>
          <w:numId w:val="50"/>
        </w:numPr>
        <w:rPr>
          <w:rFonts w:asciiTheme="majorHAnsi" w:hAnsiTheme="majorHAnsi" w:cstheme="majorHAnsi"/>
        </w:rPr>
      </w:pPr>
      <w:r w:rsidRPr="00A84878">
        <w:rPr>
          <w:rFonts w:asciiTheme="majorHAnsi" w:hAnsiTheme="majorHAnsi" w:cstheme="majorHAnsi"/>
        </w:rPr>
        <w:t>T</w:t>
      </w:r>
      <w:r w:rsidR="009E6630" w:rsidRPr="00A84878">
        <w:rPr>
          <w:rFonts w:asciiTheme="majorHAnsi" w:hAnsiTheme="majorHAnsi" w:cstheme="majorHAnsi"/>
        </w:rPr>
        <w:t xml:space="preserve">he Delegating Party </w:t>
      </w:r>
      <w:r w:rsidRPr="00A84878">
        <w:rPr>
          <w:rFonts w:asciiTheme="majorHAnsi" w:hAnsiTheme="majorHAnsi" w:cstheme="majorHAnsi"/>
        </w:rPr>
        <w:t xml:space="preserve">also </w:t>
      </w:r>
      <w:r w:rsidR="009E6630" w:rsidRPr="00A84878">
        <w:rPr>
          <w:rFonts w:asciiTheme="majorHAnsi" w:hAnsiTheme="majorHAnsi" w:cstheme="majorHAnsi"/>
        </w:rPr>
        <w:t xml:space="preserve">agrees to </w:t>
      </w:r>
      <w:r w:rsidRPr="00A84878">
        <w:rPr>
          <w:rFonts w:asciiTheme="majorHAnsi" w:hAnsiTheme="majorHAnsi" w:cstheme="majorHAnsi"/>
        </w:rPr>
        <w:t xml:space="preserve">update any Static Data to ensure it remains “true, accurate and complete in every material respect” and notify </w:t>
      </w:r>
      <w:r w:rsidR="009E6630" w:rsidRPr="00A84878">
        <w:rPr>
          <w:rFonts w:asciiTheme="majorHAnsi" w:hAnsiTheme="majorHAnsi" w:cstheme="majorHAnsi"/>
        </w:rPr>
        <w:t xml:space="preserve">the Reporting Party </w:t>
      </w:r>
      <w:r w:rsidRPr="00A84878">
        <w:rPr>
          <w:rFonts w:asciiTheme="majorHAnsi" w:hAnsiTheme="majorHAnsi" w:cstheme="majorHAnsi"/>
        </w:rPr>
        <w:t xml:space="preserve">of any such change. </w:t>
      </w:r>
      <w:r w:rsidR="00CC4010" w:rsidRPr="00A84878">
        <w:rPr>
          <w:rFonts w:asciiTheme="majorHAnsi" w:hAnsiTheme="majorHAnsi" w:cstheme="majorHAnsi"/>
        </w:rPr>
        <w:t xml:space="preserve">The parties will need to agree the point at which any update to Static Data is effective. They can do so either in a relevant Annex or in </w:t>
      </w:r>
      <w:r w:rsidR="004D126D">
        <w:rPr>
          <w:rFonts w:asciiTheme="majorHAnsi" w:hAnsiTheme="majorHAnsi" w:cstheme="majorHAnsi"/>
        </w:rPr>
        <w:t>a</w:t>
      </w:r>
      <w:r w:rsidR="00CC4010" w:rsidRPr="00A84878">
        <w:rPr>
          <w:rFonts w:asciiTheme="majorHAnsi" w:hAnsiTheme="majorHAnsi" w:cstheme="majorHAnsi"/>
        </w:rPr>
        <w:t xml:space="preserve"> Schedule relating to ‘Operational and Procedural Provisions’.</w:t>
      </w:r>
    </w:p>
    <w:p w14:paraId="06E9A331" w14:textId="77777777" w:rsidR="001258AC" w:rsidRPr="00A84878" w:rsidRDefault="002B4B92" w:rsidP="00D320F8">
      <w:pPr>
        <w:pStyle w:val="Level2"/>
        <w:numPr>
          <w:ilvl w:val="0"/>
          <w:numId w:val="0"/>
        </w:numPr>
        <w:rPr>
          <w:rFonts w:asciiTheme="majorHAnsi" w:hAnsiTheme="majorHAnsi" w:cstheme="majorHAnsi"/>
        </w:rPr>
      </w:pPr>
      <w:r w:rsidRPr="00A84878">
        <w:rPr>
          <w:rFonts w:asciiTheme="majorHAnsi" w:hAnsiTheme="majorHAnsi" w:cstheme="majorHAnsi"/>
        </w:rPr>
        <w:t>In respect of the ‘Unique Trade Identifier’ (</w:t>
      </w:r>
      <w:r w:rsidR="00E25562">
        <w:rPr>
          <w:rFonts w:asciiTheme="majorHAnsi" w:hAnsiTheme="majorHAnsi" w:cstheme="majorHAnsi"/>
        </w:rPr>
        <w:t>“</w:t>
      </w:r>
      <w:r w:rsidRPr="00E25562">
        <w:rPr>
          <w:rFonts w:asciiTheme="majorHAnsi" w:hAnsiTheme="majorHAnsi" w:cstheme="majorHAnsi"/>
          <w:b/>
        </w:rPr>
        <w:t>UTI</w:t>
      </w:r>
      <w:r w:rsidR="00E25562">
        <w:rPr>
          <w:rFonts w:asciiTheme="majorHAnsi" w:hAnsiTheme="majorHAnsi" w:cstheme="majorHAnsi"/>
        </w:rPr>
        <w:t>”</w:t>
      </w:r>
      <w:r w:rsidRPr="00A84878">
        <w:rPr>
          <w:rFonts w:asciiTheme="majorHAnsi" w:hAnsiTheme="majorHAnsi" w:cstheme="majorHAnsi"/>
        </w:rPr>
        <w:t>), Section 2.3 provides flexibility in respect of whether the Reporting Party may or shall generate the trade identifier depending on the relationship between Delegating Party and Reporting Party and their respective responsibilities.</w:t>
      </w:r>
      <w:r w:rsidR="00F1527A" w:rsidRPr="00A84878">
        <w:rPr>
          <w:rFonts w:asciiTheme="majorHAnsi" w:hAnsiTheme="majorHAnsi" w:cstheme="majorHAnsi"/>
        </w:rPr>
        <w:t xml:space="preserve"> Where the Reporting </w:t>
      </w:r>
      <w:r w:rsidR="00F1527A" w:rsidRPr="00A84878">
        <w:rPr>
          <w:rFonts w:asciiTheme="majorHAnsi" w:hAnsiTheme="majorHAnsi" w:cstheme="majorHAnsi"/>
        </w:rPr>
        <w:lastRenderedPageBreak/>
        <w:t xml:space="preserve">Party is an agent lender, for example, the UTI may </w:t>
      </w:r>
      <w:r w:rsidR="004D126D">
        <w:rPr>
          <w:rFonts w:asciiTheme="majorHAnsi" w:hAnsiTheme="majorHAnsi" w:cstheme="majorHAnsi"/>
        </w:rPr>
        <w:t xml:space="preserve">in practice </w:t>
      </w:r>
      <w:r w:rsidR="00F1527A" w:rsidRPr="00A84878">
        <w:rPr>
          <w:rFonts w:asciiTheme="majorHAnsi" w:hAnsiTheme="majorHAnsi" w:cstheme="majorHAnsi"/>
        </w:rPr>
        <w:t>be generated by the relevant borrower</w:t>
      </w:r>
      <w:r w:rsidR="00977E48" w:rsidRPr="00A84878">
        <w:rPr>
          <w:rFonts w:asciiTheme="majorHAnsi" w:hAnsiTheme="majorHAnsi" w:cstheme="majorHAnsi"/>
        </w:rPr>
        <w:t xml:space="preserve"> rather than the agent lender</w:t>
      </w:r>
      <w:r w:rsidR="00F1527A" w:rsidRPr="00A84878">
        <w:rPr>
          <w:rFonts w:asciiTheme="majorHAnsi" w:hAnsiTheme="majorHAnsi" w:cstheme="majorHAnsi"/>
        </w:rPr>
        <w:t>.</w:t>
      </w:r>
      <w:r w:rsidRPr="00A84878">
        <w:rPr>
          <w:rFonts w:asciiTheme="majorHAnsi" w:hAnsiTheme="majorHAnsi" w:cstheme="majorHAnsi"/>
        </w:rPr>
        <w:t xml:space="preserve"> </w:t>
      </w:r>
    </w:p>
    <w:p w14:paraId="4C2652AF" w14:textId="77777777" w:rsidR="006B2666" w:rsidRPr="00A84878" w:rsidRDefault="00A41987" w:rsidP="00A41987">
      <w:pPr>
        <w:pStyle w:val="Level2"/>
        <w:numPr>
          <w:ilvl w:val="0"/>
          <w:numId w:val="0"/>
        </w:numPr>
        <w:rPr>
          <w:rFonts w:asciiTheme="majorHAnsi" w:hAnsiTheme="majorHAnsi" w:cstheme="majorHAnsi"/>
        </w:rPr>
      </w:pPr>
      <w:r w:rsidRPr="00A84878">
        <w:rPr>
          <w:rFonts w:asciiTheme="majorHAnsi" w:hAnsiTheme="majorHAnsi" w:cstheme="majorHAnsi"/>
        </w:rPr>
        <w:t xml:space="preserve">Section 2.4 indicates that </w:t>
      </w:r>
      <w:r w:rsidR="00977E48" w:rsidRPr="00A84878">
        <w:rPr>
          <w:rFonts w:asciiTheme="majorHAnsi" w:hAnsiTheme="majorHAnsi" w:cstheme="majorHAnsi"/>
        </w:rPr>
        <w:t xml:space="preserve">the Delegating Party will be entitled to report the Relevant Data on its own behalf </w:t>
      </w:r>
      <w:r w:rsidRPr="00A84878">
        <w:rPr>
          <w:rFonts w:asciiTheme="majorHAnsi" w:hAnsiTheme="majorHAnsi" w:cstheme="majorHAnsi"/>
        </w:rPr>
        <w:t xml:space="preserve">where the Reporting Party does not or will not report the Relevant Data by the Reporting Deadline. </w:t>
      </w:r>
    </w:p>
    <w:p w14:paraId="753EF324" w14:textId="77777777" w:rsidR="004D126D" w:rsidRDefault="00A41987" w:rsidP="00DA4BA8">
      <w:pPr>
        <w:pStyle w:val="Body1"/>
        <w:ind w:left="0"/>
        <w:rPr>
          <w:rFonts w:asciiTheme="majorHAnsi" w:hAnsiTheme="majorHAnsi" w:cstheme="majorHAnsi"/>
        </w:rPr>
      </w:pPr>
      <w:r w:rsidRPr="00A84878">
        <w:rPr>
          <w:rFonts w:asciiTheme="majorHAnsi" w:hAnsiTheme="majorHAnsi" w:cstheme="majorHAnsi"/>
        </w:rPr>
        <w:t xml:space="preserve">Section 2 also includes optional wording pursuant to which the parties can specify documentation that will need to be received by the Reporting Party before it undertakes Delegated Reporting on behalf of the Delegating Party. This documentation can be listed in an additional Schedule attached to the MRRA. There is, further, an option for the parties to agree operational and procedural reporting conditions </w:t>
      </w:r>
      <w:r w:rsidR="002C0B79" w:rsidRPr="00A84878">
        <w:rPr>
          <w:rFonts w:asciiTheme="majorHAnsi" w:hAnsiTheme="majorHAnsi" w:cstheme="majorHAnsi"/>
        </w:rPr>
        <w:t xml:space="preserve">in </w:t>
      </w:r>
      <w:r w:rsidR="004D126D">
        <w:rPr>
          <w:rFonts w:asciiTheme="majorHAnsi" w:hAnsiTheme="majorHAnsi" w:cstheme="majorHAnsi"/>
        </w:rPr>
        <w:t>a</w:t>
      </w:r>
      <w:r w:rsidR="002C0B79" w:rsidRPr="00A84878">
        <w:rPr>
          <w:rFonts w:asciiTheme="majorHAnsi" w:hAnsiTheme="majorHAnsi" w:cstheme="majorHAnsi"/>
        </w:rPr>
        <w:t xml:space="preserve"> Schedule relating to ‘Operational and Procedural Provisions’ and to state that they are bound by such conditions</w:t>
      </w:r>
      <w:r w:rsidR="006B2666" w:rsidRPr="00A84878">
        <w:rPr>
          <w:rFonts w:asciiTheme="majorHAnsi" w:hAnsiTheme="majorHAnsi" w:cstheme="majorHAnsi"/>
        </w:rPr>
        <w:t>.</w:t>
      </w:r>
    </w:p>
    <w:p w14:paraId="0B0297AE" w14:textId="77777777" w:rsidR="00DA4BA8" w:rsidRPr="00A84878" w:rsidRDefault="002C0B79" w:rsidP="00DA4BA8">
      <w:pPr>
        <w:pStyle w:val="Body1"/>
        <w:ind w:left="0"/>
        <w:rPr>
          <w:rFonts w:asciiTheme="majorHAnsi" w:hAnsiTheme="majorHAnsi" w:cstheme="majorHAnsi"/>
          <w:b/>
          <w:szCs w:val="20"/>
        </w:rPr>
      </w:pPr>
      <w:r w:rsidRPr="00A84878">
        <w:rPr>
          <w:rFonts w:asciiTheme="majorHAnsi" w:hAnsiTheme="majorHAnsi" w:cstheme="majorHAnsi"/>
        </w:rPr>
        <w:t xml:space="preserve">The parties should consider </w:t>
      </w:r>
      <w:r w:rsidR="003973A9" w:rsidRPr="00A84878">
        <w:rPr>
          <w:rFonts w:asciiTheme="majorHAnsi" w:hAnsiTheme="majorHAnsi" w:cstheme="majorHAnsi"/>
        </w:rPr>
        <w:t>the</w:t>
      </w:r>
      <w:r w:rsidRPr="00A84878">
        <w:rPr>
          <w:rFonts w:asciiTheme="majorHAnsi" w:hAnsiTheme="majorHAnsi" w:cstheme="majorHAnsi"/>
        </w:rPr>
        <w:t xml:space="preserve"> details they may want to exchange in any such Schedule.</w:t>
      </w:r>
      <w:r w:rsidR="003973A9" w:rsidRPr="00A84878">
        <w:rPr>
          <w:rFonts w:asciiTheme="majorHAnsi" w:hAnsiTheme="majorHAnsi" w:cstheme="majorHAnsi"/>
        </w:rPr>
        <w:t xml:space="preserve"> For example, </w:t>
      </w:r>
      <w:r w:rsidR="00DA4BA8" w:rsidRPr="00A84878">
        <w:rPr>
          <w:rFonts w:asciiTheme="majorHAnsi" w:hAnsiTheme="majorHAnsi" w:cstheme="majorHAnsi"/>
        </w:rPr>
        <w:t xml:space="preserve">if they consider it appropriate, the parties may seek to address how trade repository rejections of submitted data should be communicated </w:t>
      </w:r>
      <w:r w:rsidR="00977E48" w:rsidRPr="00A84878">
        <w:rPr>
          <w:rFonts w:asciiTheme="majorHAnsi" w:hAnsiTheme="majorHAnsi" w:cstheme="majorHAnsi"/>
        </w:rPr>
        <w:t xml:space="preserve">to the Delegating Party </w:t>
      </w:r>
      <w:r w:rsidR="00DA4BA8" w:rsidRPr="00A84878">
        <w:rPr>
          <w:rFonts w:asciiTheme="majorHAnsi" w:hAnsiTheme="majorHAnsi" w:cstheme="majorHAnsi"/>
        </w:rPr>
        <w:t xml:space="preserve">and </w:t>
      </w:r>
      <w:r w:rsidR="00977E48" w:rsidRPr="00A84878">
        <w:rPr>
          <w:rFonts w:asciiTheme="majorHAnsi" w:hAnsiTheme="majorHAnsi" w:cstheme="majorHAnsi"/>
        </w:rPr>
        <w:t>responsibilities for</w:t>
      </w:r>
      <w:r w:rsidR="00DA4BA8" w:rsidRPr="00A84878">
        <w:rPr>
          <w:rFonts w:asciiTheme="majorHAnsi" w:hAnsiTheme="majorHAnsi" w:cstheme="majorHAnsi"/>
        </w:rPr>
        <w:t xml:space="preserve"> annual renewal of the parties’ legal entity identifier (</w:t>
      </w:r>
      <w:r w:rsidR="00E25562">
        <w:rPr>
          <w:rFonts w:asciiTheme="majorHAnsi" w:hAnsiTheme="majorHAnsi" w:cstheme="majorHAnsi"/>
        </w:rPr>
        <w:t>“</w:t>
      </w:r>
      <w:r w:rsidR="00DA4BA8" w:rsidRPr="00E25562">
        <w:rPr>
          <w:rFonts w:asciiTheme="majorHAnsi" w:hAnsiTheme="majorHAnsi" w:cstheme="majorHAnsi"/>
          <w:b/>
        </w:rPr>
        <w:t>LEI</w:t>
      </w:r>
      <w:r w:rsidR="00E25562">
        <w:rPr>
          <w:rFonts w:asciiTheme="majorHAnsi" w:hAnsiTheme="majorHAnsi" w:cstheme="majorHAnsi"/>
        </w:rPr>
        <w:t>”</w:t>
      </w:r>
      <w:r w:rsidR="00DA4BA8" w:rsidRPr="00A84878">
        <w:rPr>
          <w:rFonts w:asciiTheme="majorHAnsi" w:hAnsiTheme="majorHAnsi" w:cstheme="majorHAnsi"/>
        </w:rPr>
        <w:t>)</w:t>
      </w:r>
      <w:r w:rsidR="004D126D">
        <w:rPr>
          <w:rFonts w:asciiTheme="majorHAnsi" w:hAnsiTheme="majorHAnsi" w:cstheme="majorHAnsi"/>
        </w:rPr>
        <w:t>.</w:t>
      </w:r>
      <w:r w:rsidR="004D126D">
        <w:rPr>
          <w:rStyle w:val="FootnoteReference"/>
          <w:rFonts w:cstheme="majorHAnsi"/>
        </w:rPr>
        <w:footnoteReference w:id="23"/>
      </w:r>
      <w:r w:rsidR="0097758E" w:rsidRPr="00A84878">
        <w:rPr>
          <w:rFonts w:asciiTheme="majorHAnsi" w:hAnsiTheme="majorHAnsi" w:cstheme="majorHAnsi"/>
          <w:szCs w:val="20"/>
        </w:rPr>
        <w:t xml:space="preserve"> Any requirements arising from any applicable outsourcing rules or guidelines applicable to the Delegating Party could also be addressed in any such Schedule.</w:t>
      </w:r>
    </w:p>
    <w:p w14:paraId="7D819B64" w14:textId="3FF84B65" w:rsidR="006B2666" w:rsidRPr="00A84878" w:rsidRDefault="00653E88" w:rsidP="007526AE">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3 (</w:t>
      </w:r>
      <w:r w:rsidR="00AA4AD4">
        <w:rPr>
          <w:rFonts w:asciiTheme="majorHAnsi" w:hAnsiTheme="majorHAnsi" w:cstheme="majorHAnsi"/>
          <w:b/>
          <w:i/>
          <w:iCs/>
        </w:rPr>
        <w:t xml:space="preserve">Notification and </w:t>
      </w:r>
      <w:r w:rsidR="006B2666" w:rsidRPr="00A84878">
        <w:rPr>
          <w:rFonts w:asciiTheme="majorHAnsi" w:hAnsiTheme="majorHAnsi" w:cstheme="majorHAnsi"/>
          <w:b/>
          <w:i/>
        </w:rPr>
        <w:t>Correction of Errors</w:t>
      </w:r>
      <w:r w:rsidR="008B1169">
        <w:rPr>
          <w:rFonts w:asciiTheme="majorHAnsi" w:hAnsiTheme="majorHAnsi" w:cstheme="majorHAnsi"/>
          <w:b/>
          <w:i/>
        </w:rPr>
        <w:t xml:space="preserve"> and Reconciliation Failures</w:t>
      </w:r>
      <w:r w:rsidRPr="00A84878">
        <w:rPr>
          <w:rFonts w:asciiTheme="majorHAnsi" w:hAnsiTheme="majorHAnsi" w:cstheme="majorHAnsi"/>
          <w:b/>
        </w:rPr>
        <w:t>)</w:t>
      </w:r>
      <w:r w:rsidR="00EA00B3" w:rsidRPr="00A84878">
        <w:rPr>
          <w:rFonts w:asciiTheme="majorHAnsi" w:hAnsiTheme="majorHAnsi" w:cstheme="majorHAnsi"/>
          <w:b/>
        </w:rPr>
        <w:t xml:space="preserve"> of the Delegated Reporting Provisions</w:t>
      </w:r>
    </w:p>
    <w:p w14:paraId="70333978" w14:textId="5ACB72C4" w:rsidR="006B2666" w:rsidRPr="00A84878" w:rsidRDefault="00686E1D" w:rsidP="00616459">
      <w:pPr>
        <w:pStyle w:val="Level2"/>
        <w:numPr>
          <w:ilvl w:val="0"/>
          <w:numId w:val="0"/>
        </w:numPr>
        <w:rPr>
          <w:rFonts w:asciiTheme="majorHAnsi" w:hAnsiTheme="majorHAnsi" w:cstheme="majorHAnsi"/>
        </w:rPr>
      </w:pPr>
      <w:r w:rsidRPr="00A84878">
        <w:rPr>
          <w:rFonts w:asciiTheme="majorHAnsi" w:hAnsiTheme="majorHAnsi" w:cstheme="majorHAnsi"/>
        </w:rPr>
        <w:t xml:space="preserve">Optional </w:t>
      </w:r>
      <w:r w:rsidR="00026B4F" w:rsidRPr="00A84878">
        <w:rPr>
          <w:rFonts w:asciiTheme="majorHAnsi" w:hAnsiTheme="majorHAnsi" w:cstheme="majorHAnsi"/>
        </w:rPr>
        <w:t>wording</w:t>
      </w:r>
      <w:r w:rsidRPr="00A84878">
        <w:rPr>
          <w:rFonts w:asciiTheme="majorHAnsi" w:hAnsiTheme="majorHAnsi" w:cstheme="majorHAnsi"/>
        </w:rPr>
        <w:t xml:space="preserve"> is included in Section 3, which requires</w:t>
      </w:r>
      <w:r w:rsidR="00014A69" w:rsidRPr="00A84878">
        <w:rPr>
          <w:rFonts w:asciiTheme="majorHAnsi" w:hAnsiTheme="majorHAnsi" w:cstheme="majorHAnsi"/>
        </w:rPr>
        <w:t xml:space="preserve"> both </w:t>
      </w:r>
      <w:r w:rsidR="0091330C">
        <w:rPr>
          <w:rFonts w:asciiTheme="majorHAnsi" w:hAnsiTheme="majorHAnsi" w:cstheme="majorHAnsi"/>
        </w:rPr>
        <w:t xml:space="preserve">the </w:t>
      </w:r>
      <w:r w:rsidRPr="00A84878">
        <w:rPr>
          <w:rFonts w:asciiTheme="majorHAnsi" w:hAnsiTheme="majorHAnsi" w:cstheme="majorHAnsi"/>
        </w:rPr>
        <w:t xml:space="preserve">Delegating </w:t>
      </w:r>
      <w:r w:rsidR="0091330C">
        <w:rPr>
          <w:rFonts w:asciiTheme="majorHAnsi" w:hAnsiTheme="majorHAnsi" w:cstheme="majorHAnsi"/>
        </w:rPr>
        <w:t xml:space="preserve">Party </w:t>
      </w:r>
      <w:r w:rsidRPr="00A84878">
        <w:rPr>
          <w:rFonts w:asciiTheme="majorHAnsi" w:hAnsiTheme="majorHAnsi" w:cstheme="majorHAnsi"/>
        </w:rPr>
        <w:t xml:space="preserve">and </w:t>
      </w:r>
      <w:r w:rsidR="0091330C">
        <w:rPr>
          <w:rFonts w:asciiTheme="majorHAnsi" w:hAnsiTheme="majorHAnsi" w:cstheme="majorHAnsi"/>
        </w:rPr>
        <w:t xml:space="preserve">the </w:t>
      </w:r>
      <w:r w:rsidRPr="00A84878">
        <w:rPr>
          <w:rFonts w:asciiTheme="majorHAnsi" w:hAnsiTheme="majorHAnsi" w:cstheme="majorHAnsi"/>
        </w:rPr>
        <w:t xml:space="preserve">Reporting Party </w:t>
      </w:r>
      <w:r w:rsidR="00014A69" w:rsidRPr="00A84878">
        <w:rPr>
          <w:rFonts w:asciiTheme="majorHAnsi" w:hAnsiTheme="majorHAnsi" w:cstheme="majorHAnsi"/>
        </w:rPr>
        <w:t xml:space="preserve">to </w:t>
      </w:r>
      <w:r w:rsidRPr="00A84878">
        <w:rPr>
          <w:rFonts w:asciiTheme="majorHAnsi" w:hAnsiTheme="majorHAnsi" w:cstheme="majorHAnsi"/>
        </w:rPr>
        <w:t xml:space="preserve">notify the other party of </w:t>
      </w:r>
      <w:r w:rsidR="00AB0F79">
        <w:rPr>
          <w:rFonts w:asciiTheme="majorHAnsi" w:hAnsiTheme="majorHAnsi" w:cstheme="majorHAnsi"/>
        </w:rPr>
        <w:t xml:space="preserve">reconciliation failures and </w:t>
      </w:r>
      <w:r w:rsidRPr="00A84878">
        <w:rPr>
          <w:rFonts w:asciiTheme="majorHAnsi" w:hAnsiTheme="majorHAnsi" w:cstheme="majorHAnsi"/>
        </w:rPr>
        <w:t xml:space="preserve">material errors in any Relevant Data and to </w:t>
      </w:r>
      <w:proofErr w:type="gramStart"/>
      <w:r w:rsidRPr="00A84878">
        <w:rPr>
          <w:rFonts w:asciiTheme="majorHAnsi" w:hAnsiTheme="majorHAnsi" w:cstheme="majorHAnsi"/>
        </w:rPr>
        <w:t>make</w:t>
      </w:r>
      <w:r w:rsidR="0097758E" w:rsidRPr="00A84878">
        <w:rPr>
          <w:rFonts w:asciiTheme="majorHAnsi" w:hAnsiTheme="majorHAnsi" w:cstheme="majorHAnsi"/>
        </w:rPr>
        <w:t xml:space="preserve"> </w:t>
      </w:r>
      <w:r w:rsidRPr="00A84878">
        <w:rPr>
          <w:rFonts w:asciiTheme="majorHAnsi" w:hAnsiTheme="majorHAnsi" w:cstheme="majorHAnsi"/>
        </w:rPr>
        <w:t>an effort</w:t>
      </w:r>
      <w:proofErr w:type="gramEnd"/>
      <w:r w:rsidRPr="00A84878">
        <w:rPr>
          <w:rFonts w:asciiTheme="majorHAnsi" w:hAnsiTheme="majorHAnsi" w:cstheme="majorHAnsi"/>
        </w:rPr>
        <w:t xml:space="preserve"> to resolve any </w:t>
      </w:r>
      <w:r w:rsidR="008B1169">
        <w:rPr>
          <w:rFonts w:asciiTheme="majorHAnsi" w:hAnsiTheme="majorHAnsi" w:cstheme="majorHAnsi"/>
        </w:rPr>
        <w:t xml:space="preserve">reconciliation failures or </w:t>
      </w:r>
      <w:r w:rsidRPr="00A84878">
        <w:rPr>
          <w:rFonts w:asciiTheme="majorHAnsi" w:hAnsiTheme="majorHAnsi" w:cstheme="majorHAnsi"/>
        </w:rPr>
        <w:t>errors.</w:t>
      </w:r>
      <w:r w:rsidR="001E0639">
        <w:rPr>
          <w:rFonts w:asciiTheme="majorHAnsi" w:hAnsiTheme="majorHAnsi" w:cstheme="majorHAnsi"/>
        </w:rPr>
        <w:t xml:space="preserve"> Optional wording is also included </w:t>
      </w:r>
      <w:r w:rsidR="00470774">
        <w:rPr>
          <w:rFonts w:asciiTheme="majorHAnsi" w:hAnsiTheme="majorHAnsi" w:cstheme="majorHAnsi"/>
        </w:rPr>
        <w:t xml:space="preserve">pursuant to which </w:t>
      </w:r>
      <w:r w:rsidR="00D344F0">
        <w:rPr>
          <w:rFonts w:asciiTheme="majorHAnsi" w:hAnsiTheme="majorHAnsi" w:cstheme="majorHAnsi"/>
        </w:rPr>
        <w:t xml:space="preserve">both </w:t>
      </w:r>
      <w:r w:rsidR="00470774">
        <w:rPr>
          <w:rFonts w:asciiTheme="majorHAnsi" w:hAnsiTheme="majorHAnsi" w:cstheme="majorHAnsi"/>
        </w:rPr>
        <w:t xml:space="preserve">the Reporting Party </w:t>
      </w:r>
      <w:r w:rsidR="00D344F0">
        <w:rPr>
          <w:rFonts w:asciiTheme="majorHAnsi" w:hAnsiTheme="majorHAnsi" w:cstheme="majorHAnsi"/>
        </w:rPr>
        <w:t xml:space="preserve">and the Delegating Party </w:t>
      </w:r>
      <w:r w:rsidR="00CF442F">
        <w:rPr>
          <w:rFonts w:asciiTheme="majorHAnsi" w:hAnsiTheme="majorHAnsi" w:cstheme="majorHAnsi"/>
        </w:rPr>
        <w:t>are</w:t>
      </w:r>
      <w:r w:rsidR="00470774">
        <w:rPr>
          <w:rFonts w:asciiTheme="majorHAnsi" w:hAnsiTheme="majorHAnsi" w:cstheme="majorHAnsi"/>
        </w:rPr>
        <w:t xml:space="preserve"> required to notify the </w:t>
      </w:r>
      <w:r w:rsidR="00314A8B">
        <w:rPr>
          <w:rFonts w:asciiTheme="majorHAnsi" w:hAnsiTheme="majorHAnsi" w:cstheme="majorHAnsi"/>
        </w:rPr>
        <w:t>other party</w:t>
      </w:r>
      <w:r w:rsidR="00470774">
        <w:rPr>
          <w:rFonts w:asciiTheme="majorHAnsi" w:hAnsiTheme="majorHAnsi" w:cstheme="majorHAnsi"/>
        </w:rPr>
        <w:t xml:space="preserve"> of systems issues which result in material omissions or data quality issues </w:t>
      </w:r>
      <w:r w:rsidR="00F63F79">
        <w:rPr>
          <w:rFonts w:asciiTheme="majorHAnsi" w:hAnsiTheme="majorHAnsi" w:cstheme="majorHAnsi"/>
        </w:rPr>
        <w:t xml:space="preserve">in respect of the reporting services </w:t>
      </w:r>
      <w:r w:rsidR="006426A5">
        <w:rPr>
          <w:rFonts w:asciiTheme="majorHAnsi" w:hAnsiTheme="majorHAnsi" w:cstheme="majorHAnsi"/>
        </w:rPr>
        <w:t>provided under the MRRA</w:t>
      </w:r>
      <w:r w:rsidR="00F63F79">
        <w:rPr>
          <w:rFonts w:asciiTheme="majorHAnsi" w:hAnsiTheme="majorHAnsi" w:cstheme="majorHAnsi"/>
        </w:rPr>
        <w:t>.</w:t>
      </w:r>
      <w:r w:rsidR="004A1351">
        <w:rPr>
          <w:rFonts w:asciiTheme="majorHAnsi" w:hAnsiTheme="majorHAnsi" w:cstheme="majorHAnsi"/>
        </w:rPr>
        <w:t xml:space="preserve"> </w:t>
      </w:r>
      <w:r w:rsidR="00151B8C">
        <w:rPr>
          <w:rFonts w:asciiTheme="majorHAnsi" w:hAnsiTheme="majorHAnsi" w:cstheme="majorHAnsi"/>
        </w:rPr>
        <w:t xml:space="preserve">The </w:t>
      </w:r>
      <w:r w:rsidR="003A3A33">
        <w:rPr>
          <w:rFonts w:asciiTheme="majorHAnsi" w:hAnsiTheme="majorHAnsi" w:cstheme="majorHAnsi"/>
        </w:rPr>
        <w:t>ESMA</w:t>
      </w:r>
      <w:r w:rsidR="00151B8C">
        <w:rPr>
          <w:rFonts w:asciiTheme="majorHAnsi" w:hAnsiTheme="majorHAnsi" w:cstheme="majorHAnsi"/>
        </w:rPr>
        <w:t xml:space="preserve"> Guidelines</w:t>
      </w:r>
      <w:r w:rsidR="003A6AA2">
        <w:rPr>
          <w:rFonts w:asciiTheme="majorHAnsi" w:hAnsiTheme="majorHAnsi" w:cstheme="majorHAnsi"/>
        </w:rPr>
        <w:t xml:space="preserve"> for reporting under EMIR</w:t>
      </w:r>
      <w:r w:rsidR="003A6AA2" w:rsidRPr="00A84878">
        <w:rPr>
          <w:rStyle w:val="FootnoteReference"/>
          <w:rFonts w:asciiTheme="majorHAnsi" w:hAnsiTheme="majorHAnsi" w:cstheme="majorHAnsi"/>
          <w:szCs w:val="20"/>
        </w:rPr>
        <w:footnoteReference w:id="24"/>
      </w:r>
      <w:r w:rsidR="003A6AA2">
        <w:rPr>
          <w:rFonts w:asciiTheme="majorHAnsi" w:hAnsiTheme="majorHAnsi" w:cstheme="majorHAnsi"/>
        </w:rPr>
        <w:t xml:space="preserve"> </w:t>
      </w:r>
      <w:r w:rsidR="00DC70C0">
        <w:rPr>
          <w:rFonts w:asciiTheme="majorHAnsi" w:hAnsiTheme="majorHAnsi" w:cstheme="majorHAnsi"/>
        </w:rPr>
        <w:t xml:space="preserve">include </w:t>
      </w:r>
      <w:r w:rsidR="00467DC9">
        <w:rPr>
          <w:rFonts w:asciiTheme="majorHAnsi" w:hAnsiTheme="majorHAnsi" w:cstheme="majorHAnsi"/>
        </w:rPr>
        <w:t xml:space="preserve">guidance </w:t>
      </w:r>
      <w:r w:rsidR="00AA1E94">
        <w:rPr>
          <w:rFonts w:asciiTheme="majorHAnsi" w:hAnsiTheme="majorHAnsi" w:cstheme="majorHAnsi"/>
        </w:rPr>
        <w:t xml:space="preserve">(at paragraph 389) </w:t>
      </w:r>
      <w:r w:rsidR="008637B5">
        <w:rPr>
          <w:rFonts w:asciiTheme="majorHAnsi" w:hAnsiTheme="majorHAnsi" w:cstheme="majorHAnsi"/>
        </w:rPr>
        <w:t xml:space="preserve">addressing </w:t>
      </w:r>
      <w:r w:rsidR="008808C1">
        <w:rPr>
          <w:rFonts w:asciiTheme="majorHAnsi" w:hAnsiTheme="majorHAnsi" w:cstheme="majorHAnsi"/>
        </w:rPr>
        <w:t xml:space="preserve">misreporting caused by </w:t>
      </w:r>
      <w:r w:rsidR="008637B5">
        <w:rPr>
          <w:rFonts w:asciiTheme="majorHAnsi" w:hAnsiTheme="majorHAnsi" w:cstheme="majorHAnsi"/>
        </w:rPr>
        <w:t xml:space="preserve">(among other things) </w:t>
      </w:r>
      <w:r w:rsidR="008808C1">
        <w:rPr>
          <w:rFonts w:asciiTheme="majorHAnsi" w:hAnsiTheme="majorHAnsi" w:cstheme="majorHAnsi"/>
        </w:rPr>
        <w:t>flaws in reporting systems</w:t>
      </w:r>
      <w:r w:rsidR="008637B5">
        <w:rPr>
          <w:rFonts w:asciiTheme="majorHAnsi" w:hAnsiTheme="majorHAnsi" w:cstheme="majorHAnsi"/>
        </w:rPr>
        <w:t>,</w:t>
      </w:r>
      <w:r w:rsidR="008808C1">
        <w:rPr>
          <w:rFonts w:asciiTheme="majorHAnsi" w:hAnsiTheme="majorHAnsi" w:cstheme="majorHAnsi"/>
        </w:rPr>
        <w:t xml:space="preserve"> and t</w:t>
      </w:r>
      <w:r w:rsidR="004A1351">
        <w:rPr>
          <w:rFonts w:asciiTheme="majorHAnsi" w:hAnsiTheme="majorHAnsi" w:cstheme="majorHAnsi"/>
        </w:rPr>
        <w:t xml:space="preserve">his wording </w:t>
      </w:r>
      <w:r w:rsidR="008808C1">
        <w:rPr>
          <w:rFonts w:asciiTheme="majorHAnsi" w:hAnsiTheme="majorHAnsi" w:cstheme="majorHAnsi"/>
        </w:rPr>
        <w:t>is intended to facilitate</w:t>
      </w:r>
      <w:r w:rsidR="00684F4D">
        <w:rPr>
          <w:rFonts w:asciiTheme="majorHAnsi" w:hAnsiTheme="majorHAnsi" w:cstheme="majorHAnsi"/>
        </w:rPr>
        <w:t xml:space="preserve"> the</w:t>
      </w:r>
      <w:r w:rsidR="006506AD">
        <w:rPr>
          <w:rFonts w:asciiTheme="majorHAnsi" w:hAnsiTheme="majorHAnsi" w:cstheme="majorHAnsi"/>
        </w:rPr>
        <w:t xml:space="preserve"> </w:t>
      </w:r>
      <w:r w:rsidR="000D6CC1">
        <w:rPr>
          <w:rFonts w:asciiTheme="majorHAnsi" w:hAnsiTheme="majorHAnsi" w:cstheme="majorHAnsi"/>
        </w:rPr>
        <w:t>rectification of any such issues</w:t>
      </w:r>
      <w:r w:rsidR="008637B5">
        <w:rPr>
          <w:rFonts w:asciiTheme="majorHAnsi" w:hAnsiTheme="majorHAnsi" w:cstheme="majorHAnsi"/>
        </w:rPr>
        <w:t xml:space="preserve"> and, if applicable, notification to competent authorities</w:t>
      </w:r>
      <w:r w:rsidR="000D6CC1">
        <w:rPr>
          <w:rFonts w:asciiTheme="majorHAnsi" w:hAnsiTheme="majorHAnsi" w:cstheme="majorHAnsi"/>
        </w:rPr>
        <w:t>.</w:t>
      </w:r>
      <w:r w:rsidR="006506AD">
        <w:rPr>
          <w:rFonts w:asciiTheme="majorHAnsi" w:hAnsiTheme="majorHAnsi" w:cstheme="majorHAnsi"/>
        </w:rPr>
        <w:t xml:space="preserve"> </w:t>
      </w:r>
      <w:r w:rsidRPr="00A84878">
        <w:rPr>
          <w:rFonts w:asciiTheme="majorHAnsi" w:hAnsiTheme="majorHAnsi" w:cstheme="majorHAnsi"/>
        </w:rPr>
        <w:t xml:space="preserve"> </w:t>
      </w:r>
    </w:p>
    <w:p w14:paraId="7830B164" w14:textId="77777777" w:rsidR="004B46C4" w:rsidRPr="00A84878" w:rsidRDefault="0097758E" w:rsidP="004B46C4">
      <w:pPr>
        <w:pStyle w:val="Level2"/>
        <w:numPr>
          <w:ilvl w:val="0"/>
          <w:numId w:val="0"/>
        </w:numPr>
        <w:rPr>
          <w:rFonts w:asciiTheme="majorHAnsi" w:hAnsiTheme="majorHAnsi" w:cstheme="majorHAnsi"/>
        </w:rPr>
      </w:pPr>
      <w:r w:rsidRPr="00A84878">
        <w:rPr>
          <w:rFonts w:asciiTheme="majorHAnsi" w:hAnsiTheme="majorHAnsi" w:cstheme="majorHAnsi"/>
        </w:rPr>
        <w:t>As regards the ability of the</w:t>
      </w:r>
      <w:r w:rsidR="004B46C4" w:rsidRPr="00A84878">
        <w:rPr>
          <w:rFonts w:asciiTheme="majorHAnsi" w:hAnsiTheme="majorHAnsi" w:cstheme="majorHAnsi"/>
        </w:rPr>
        <w:t xml:space="preserve"> Delegating Party </w:t>
      </w:r>
      <w:r w:rsidRPr="00A84878">
        <w:rPr>
          <w:rFonts w:asciiTheme="majorHAnsi" w:hAnsiTheme="majorHAnsi" w:cstheme="majorHAnsi"/>
        </w:rPr>
        <w:t xml:space="preserve">to monitor data reported on its behalf, it </w:t>
      </w:r>
      <w:r w:rsidR="004D126D">
        <w:rPr>
          <w:rFonts w:asciiTheme="majorHAnsi" w:hAnsiTheme="majorHAnsi" w:cstheme="majorHAnsi"/>
        </w:rPr>
        <w:t>may</w:t>
      </w:r>
      <w:r w:rsidR="004B46C4" w:rsidRPr="00A84878">
        <w:rPr>
          <w:rFonts w:asciiTheme="majorHAnsi" w:hAnsiTheme="majorHAnsi" w:cstheme="majorHAnsi"/>
        </w:rPr>
        <w:t xml:space="preserve"> open an account with a relevant trade repository </w:t>
      </w:r>
      <w:proofErr w:type="gramStart"/>
      <w:r w:rsidR="004B46C4" w:rsidRPr="00A84878">
        <w:rPr>
          <w:rFonts w:asciiTheme="majorHAnsi" w:hAnsiTheme="majorHAnsi" w:cstheme="majorHAnsi"/>
        </w:rPr>
        <w:t>in order to</w:t>
      </w:r>
      <w:proofErr w:type="gramEnd"/>
      <w:r w:rsidR="004B46C4" w:rsidRPr="00A84878">
        <w:rPr>
          <w:rFonts w:asciiTheme="majorHAnsi" w:hAnsiTheme="majorHAnsi" w:cstheme="majorHAnsi"/>
        </w:rPr>
        <w:t xml:space="preserve"> </w:t>
      </w:r>
      <w:r w:rsidRPr="00A84878">
        <w:rPr>
          <w:rFonts w:asciiTheme="majorHAnsi" w:hAnsiTheme="majorHAnsi" w:cstheme="majorHAnsi"/>
        </w:rPr>
        <w:t>access such data</w:t>
      </w:r>
      <w:r w:rsidR="004B46C4" w:rsidRPr="00A84878">
        <w:rPr>
          <w:rFonts w:asciiTheme="majorHAnsi" w:hAnsiTheme="majorHAnsi" w:cstheme="majorHAnsi"/>
        </w:rPr>
        <w:t xml:space="preserve">. Further guidance on </w:t>
      </w:r>
      <w:r w:rsidRPr="00A84878">
        <w:rPr>
          <w:rFonts w:asciiTheme="majorHAnsi" w:hAnsiTheme="majorHAnsi" w:cstheme="majorHAnsi"/>
        </w:rPr>
        <w:t xml:space="preserve">how </w:t>
      </w:r>
      <w:r w:rsidR="004D126D">
        <w:rPr>
          <w:rFonts w:asciiTheme="majorHAnsi" w:hAnsiTheme="majorHAnsi" w:cstheme="majorHAnsi"/>
        </w:rPr>
        <w:t>the Delegating Party</w:t>
      </w:r>
      <w:r w:rsidR="004B46C4" w:rsidRPr="00A84878">
        <w:rPr>
          <w:rFonts w:asciiTheme="majorHAnsi" w:hAnsiTheme="majorHAnsi" w:cstheme="majorHAnsi"/>
        </w:rPr>
        <w:t xml:space="preserve"> can</w:t>
      </w:r>
      <w:r w:rsidR="00EA00B3" w:rsidRPr="00A84878">
        <w:rPr>
          <w:rFonts w:asciiTheme="majorHAnsi" w:hAnsiTheme="majorHAnsi" w:cstheme="majorHAnsi"/>
        </w:rPr>
        <w:t xml:space="preserve"> do so may</w:t>
      </w:r>
      <w:r w:rsidR="004B46C4" w:rsidRPr="00A84878">
        <w:rPr>
          <w:rFonts w:asciiTheme="majorHAnsi" w:hAnsiTheme="majorHAnsi" w:cstheme="majorHAnsi"/>
        </w:rPr>
        <w:t xml:space="preserve"> be provided by </w:t>
      </w:r>
      <w:r w:rsidR="00EA00B3" w:rsidRPr="00A84878">
        <w:rPr>
          <w:rFonts w:asciiTheme="majorHAnsi" w:hAnsiTheme="majorHAnsi" w:cstheme="majorHAnsi"/>
        </w:rPr>
        <w:t xml:space="preserve">the </w:t>
      </w:r>
      <w:r w:rsidR="004B46C4" w:rsidRPr="00A84878">
        <w:rPr>
          <w:rFonts w:asciiTheme="majorHAnsi" w:hAnsiTheme="majorHAnsi" w:cstheme="majorHAnsi"/>
        </w:rPr>
        <w:t>Reporting Party</w:t>
      </w:r>
      <w:r w:rsidRPr="00A84878">
        <w:rPr>
          <w:rFonts w:asciiTheme="majorHAnsi" w:hAnsiTheme="majorHAnsi" w:cstheme="majorHAnsi"/>
        </w:rPr>
        <w:t xml:space="preserve">, for example in </w:t>
      </w:r>
      <w:r w:rsidR="004D126D">
        <w:rPr>
          <w:rFonts w:asciiTheme="majorHAnsi" w:hAnsiTheme="majorHAnsi" w:cstheme="majorHAnsi"/>
        </w:rPr>
        <w:t>a</w:t>
      </w:r>
      <w:r w:rsidRPr="00A84878">
        <w:rPr>
          <w:rFonts w:asciiTheme="majorHAnsi" w:hAnsiTheme="majorHAnsi" w:cstheme="majorHAnsi"/>
        </w:rPr>
        <w:t xml:space="preserve"> Schedule relating to ‘Operational and Procedural Provisions’</w:t>
      </w:r>
      <w:r w:rsidR="004B46C4" w:rsidRPr="00A84878">
        <w:rPr>
          <w:rFonts w:asciiTheme="majorHAnsi" w:hAnsiTheme="majorHAnsi" w:cstheme="majorHAnsi"/>
        </w:rPr>
        <w:t>.</w:t>
      </w:r>
    </w:p>
    <w:p w14:paraId="7F1252D1" w14:textId="77777777" w:rsidR="009D2CF9" w:rsidRPr="00A84878" w:rsidRDefault="00653E88" w:rsidP="00DE54BD">
      <w:pPr>
        <w:pStyle w:val="Level2"/>
        <w:numPr>
          <w:ilvl w:val="0"/>
          <w:numId w:val="0"/>
        </w:numPr>
        <w:spacing w:before="280"/>
        <w:ind w:left="680" w:hanging="680"/>
        <w:rPr>
          <w:rFonts w:asciiTheme="majorHAnsi" w:hAnsiTheme="majorHAnsi" w:cstheme="majorHAnsi"/>
          <w:b/>
        </w:rPr>
      </w:pPr>
      <w:r w:rsidRPr="00A84878">
        <w:rPr>
          <w:rFonts w:asciiTheme="majorHAnsi" w:hAnsiTheme="majorHAnsi" w:cstheme="majorHAnsi"/>
          <w:b/>
        </w:rPr>
        <w:t>Section 4 (</w:t>
      </w:r>
      <w:r w:rsidR="009D2CF9" w:rsidRPr="00A84878">
        <w:rPr>
          <w:rFonts w:asciiTheme="majorHAnsi" w:hAnsiTheme="majorHAnsi" w:cstheme="majorHAnsi"/>
          <w:b/>
          <w:i/>
        </w:rPr>
        <w:t>Use of Third Parties</w:t>
      </w:r>
      <w:r w:rsidRPr="00A84878">
        <w:rPr>
          <w:rFonts w:asciiTheme="majorHAnsi" w:hAnsiTheme="majorHAnsi" w:cstheme="majorHAnsi"/>
          <w:b/>
        </w:rPr>
        <w:t>)</w:t>
      </w:r>
      <w:r w:rsidR="00EA00B3" w:rsidRPr="00A84878">
        <w:rPr>
          <w:rFonts w:asciiTheme="majorHAnsi" w:hAnsiTheme="majorHAnsi" w:cstheme="majorHAnsi"/>
          <w:b/>
        </w:rPr>
        <w:t xml:space="preserve"> of the Delegated Reporting Provisions</w:t>
      </w:r>
    </w:p>
    <w:p w14:paraId="7D00281D" w14:textId="77777777" w:rsidR="004F1D3F" w:rsidRPr="00A84878" w:rsidRDefault="00C24228" w:rsidP="00C24228">
      <w:pPr>
        <w:pStyle w:val="Level2"/>
        <w:numPr>
          <w:ilvl w:val="0"/>
          <w:numId w:val="0"/>
        </w:numPr>
        <w:rPr>
          <w:rFonts w:asciiTheme="majorHAnsi" w:hAnsiTheme="majorHAnsi" w:cstheme="majorHAnsi"/>
        </w:rPr>
      </w:pPr>
      <w:r w:rsidRPr="00A84878">
        <w:rPr>
          <w:rFonts w:asciiTheme="majorHAnsi" w:hAnsiTheme="majorHAnsi" w:cstheme="majorHAnsi"/>
        </w:rPr>
        <w:t xml:space="preserve">Section 4 provides </w:t>
      </w:r>
      <w:r w:rsidR="004F1D3F" w:rsidRPr="00A84878">
        <w:rPr>
          <w:rFonts w:asciiTheme="majorHAnsi" w:hAnsiTheme="majorHAnsi" w:cstheme="majorHAnsi"/>
        </w:rPr>
        <w:t>that t</w:t>
      </w:r>
      <w:r w:rsidR="004D41C5" w:rsidRPr="00A84878">
        <w:rPr>
          <w:rFonts w:asciiTheme="majorHAnsi" w:hAnsiTheme="majorHAnsi" w:cstheme="majorHAnsi"/>
        </w:rPr>
        <w:t xml:space="preserve">he Delegating Party </w:t>
      </w:r>
      <w:r w:rsidR="004F1D3F" w:rsidRPr="00A84878">
        <w:rPr>
          <w:rFonts w:asciiTheme="majorHAnsi" w:hAnsiTheme="majorHAnsi" w:cstheme="majorHAnsi"/>
        </w:rPr>
        <w:t xml:space="preserve">or </w:t>
      </w:r>
      <w:r w:rsidR="004D41C5" w:rsidRPr="00A84878">
        <w:rPr>
          <w:rFonts w:asciiTheme="majorHAnsi" w:hAnsiTheme="majorHAnsi" w:cstheme="majorHAnsi"/>
        </w:rPr>
        <w:t xml:space="preserve">the Reporting Party </w:t>
      </w:r>
      <w:r w:rsidR="004F1D3F" w:rsidRPr="00A84878">
        <w:rPr>
          <w:rFonts w:asciiTheme="majorHAnsi" w:hAnsiTheme="majorHAnsi" w:cstheme="majorHAnsi"/>
        </w:rPr>
        <w:t xml:space="preserve">may </w:t>
      </w:r>
      <w:r w:rsidR="004D41C5" w:rsidRPr="00A84878">
        <w:rPr>
          <w:rFonts w:asciiTheme="majorHAnsi" w:hAnsiTheme="majorHAnsi" w:cstheme="majorHAnsi"/>
        </w:rPr>
        <w:t xml:space="preserve">use </w:t>
      </w:r>
      <w:r w:rsidR="00F0303F" w:rsidRPr="00A84878">
        <w:rPr>
          <w:rFonts w:asciiTheme="majorHAnsi" w:hAnsiTheme="majorHAnsi" w:cstheme="majorHAnsi"/>
        </w:rPr>
        <w:t xml:space="preserve">the services of </w:t>
      </w:r>
      <w:r w:rsidR="004F1D3F" w:rsidRPr="00A84878">
        <w:rPr>
          <w:rFonts w:asciiTheme="majorHAnsi" w:hAnsiTheme="majorHAnsi" w:cstheme="majorHAnsi"/>
        </w:rPr>
        <w:t xml:space="preserve">a </w:t>
      </w:r>
      <w:r w:rsidR="00F0303F" w:rsidRPr="00A84878">
        <w:rPr>
          <w:rFonts w:asciiTheme="majorHAnsi" w:hAnsiTheme="majorHAnsi" w:cstheme="majorHAnsi"/>
        </w:rPr>
        <w:t>Third Party Service Provider</w:t>
      </w:r>
      <w:r w:rsidR="004F1D3F" w:rsidRPr="00A84878">
        <w:rPr>
          <w:rFonts w:asciiTheme="majorHAnsi" w:hAnsiTheme="majorHAnsi" w:cstheme="majorHAnsi"/>
        </w:rPr>
        <w:t xml:space="preserve"> in relation to its </w:t>
      </w:r>
      <w:r w:rsidR="0097758E" w:rsidRPr="00A84878">
        <w:rPr>
          <w:rFonts w:asciiTheme="majorHAnsi" w:hAnsiTheme="majorHAnsi" w:cstheme="majorHAnsi"/>
        </w:rPr>
        <w:t>responsibilities</w:t>
      </w:r>
      <w:r w:rsidR="004F1D3F" w:rsidRPr="00A84878">
        <w:rPr>
          <w:rFonts w:asciiTheme="majorHAnsi" w:hAnsiTheme="majorHAnsi" w:cstheme="majorHAnsi"/>
        </w:rPr>
        <w:t xml:space="preserve"> under the MRRA</w:t>
      </w:r>
      <w:r w:rsidR="00F0303F" w:rsidRPr="00A84878">
        <w:rPr>
          <w:rFonts w:asciiTheme="majorHAnsi" w:hAnsiTheme="majorHAnsi" w:cstheme="majorHAnsi"/>
        </w:rPr>
        <w:t>.</w:t>
      </w:r>
      <w:r w:rsidR="004F1D3F" w:rsidRPr="00A84878">
        <w:rPr>
          <w:rFonts w:asciiTheme="majorHAnsi" w:hAnsiTheme="majorHAnsi" w:cstheme="majorHAnsi"/>
        </w:rPr>
        <w:t xml:space="preserve"> </w:t>
      </w:r>
    </w:p>
    <w:p w14:paraId="0A0FDB0C" w14:textId="77777777" w:rsidR="00625B04" w:rsidRPr="00A84878" w:rsidRDefault="00F0303F" w:rsidP="004F1D3F">
      <w:pPr>
        <w:pStyle w:val="Level2"/>
        <w:numPr>
          <w:ilvl w:val="0"/>
          <w:numId w:val="0"/>
        </w:numPr>
        <w:rPr>
          <w:rFonts w:asciiTheme="majorHAnsi" w:hAnsiTheme="majorHAnsi" w:cstheme="majorHAnsi"/>
        </w:rPr>
      </w:pPr>
      <w:r w:rsidRPr="00A84878">
        <w:rPr>
          <w:rFonts w:asciiTheme="majorHAnsi" w:hAnsiTheme="majorHAnsi" w:cstheme="majorHAnsi"/>
        </w:rPr>
        <w:t xml:space="preserve">There is no requirement for </w:t>
      </w:r>
      <w:r w:rsidR="004F1D3F" w:rsidRPr="00A84878">
        <w:rPr>
          <w:rFonts w:asciiTheme="majorHAnsi" w:hAnsiTheme="majorHAnsi" w:cstheme="majorHAnsi"/>
        </w:rPr>
        <w:t xml:space="preserve">one party to </w:t>
      </w:r>
      <w:r w:rsidRPr="00A84878">
        <w:rPr>
          <w:rFonts w:asciiTheme="majorHAnsi" w:hAnsiTheme="majorHAnsi" w:cstheme="majorHAnsi"/>
        </w:rPr>
        <w:t xml:space="preserve">notify </w:t>
      </w:r>
      <w:r w:rsidR="004F1D3F" w:rsidRPr="00A84878">
        <w:rPr>
          <w:rFonts w:asciiTheme="majorHAnsi" w:hAnsiTheme="majorHAnsi" w:cstheme="majorHAnsi"/>
        </w:rPr>
        <w:t>the other of any appointment of a Third Party Service Provider, but t</w:t>
      </w:r>
      <w:r w:rsidRPr="00A84878">
        <w:rPr>
          <w:rFonts w:asciiTheme="majorHAnsi" w:hAnsiTheme="majorHAnsi" w:cstheme="majorHAnsi"/>
        </w:rPr>
        <w:t>he Reporting Party</w:t>
      </w:r>
      <w:r w:rsidR="004F1D3F" w:rsidRPr="00A84878">
        <w:rPr>
          <w:rFonts w:asciiTheme="majorHAnsi" w:hAnsiTheme="majorHAnsi" w:cstheme="majorHAnsi"/>
        </w:rPr>
        <w:t xml:space="preserve"> </w:t>
      </w:r>
      <w:r w:rsidR="0097758E" w:rsidRPr="00A84878">
        <w:rPr>
          <w:rFonts w:asciiTheme="majorHAnsi" w:hAnsiTheme="majorHAnsi" w:cstheme="majorHAnsi"/>
        </w:rPr>
        <w:t>must</w:t>
      </w:r>
      <w:r w:rsidR="004F1D3F" w:rsidRPr="00A84878">
        <w:rPr>
          <w:rFonts w:asciiTheme="majorHAnsi" w:hAnsiTheme="majorHAnsi" w:cstheme="majorHAnsi"/>
        </w:rPr>
        <w:t xml:space="preserve"> use</w:t>
      </w:r>
      <w:r w:rsidRPr="00A84878">
        <w:rPr>
          <w:rFonts w:asciiTheme="majorHAnsi" w:hAnsiTheme="majorHAnsi" w:cstheme="majorHAnsi"/>
        </w:rPr>
        <w:t xml:space="preserve"> </w:t>
      </w:r>
      <w:r w:rsidR="004F1D3F" w:rsidRPr="00A84878">
        <w:rPr>
          <w:rFonts w:asciiTheme="majorHAnsi" w:hAnsiTheme="majorHAnsi" w:cstheme="majorHAnsi"/>
        </w:rPr>
        <w:t>reasonable care in</w:t>
      </w:r>
      <w:r w:rsidRPr="00A84878">
        <w:rPr>
          <w:rFonts w:asciiTheme="majorHAnsi" w:hAnsiTheme="majorHAnsi" w:cstheme="majorHAnsi"/>
        </w:rPr>
        <w:t xml:space="preserve"> selecting a </w:t>
      </w:r>
      <w:r w:rsidR="004F1D3F" w:rsidRPr="00A84878">
        <w:rPr>
          <w:rFonts w:asciiTheme="majorHAnsi" w:hAnsiTheme="majorHAnsi" w:cstheme="majorHAnsi"/>
        </w:rPr>
        <w:t>Third Party Service Provider</w:t>
      </w:r>
      <w:r w:rsidRPr="00A84878">
        <w:rPr>
          <w:rFonts w:asciiTheme="majorHAnsi" w:hAnsiTheme="majorHAnsi" w:cstheme="majorHAnsi"/>
        </w:rPr>
        <w:t>.</w:t>
      </w:r>
      <w:r w:rsidR="004F1D3F" w:rsidRPr="00A84878">
        <w:rPr>
          <w:rFonts w:asciiTheme="majorHAnsi" w:hAnsiTheme="majorHAnsi" w:cstheme="majorHAnsi"/>
        </w:rPr>
        <w:t xml:space="preserve"> The parties are provided with optional wording in square brackets which, if included, </w:t>
      </w:r>
      <w:r w:rsidR="0091330C">
        <w:rPr>
          <w:rFonts w:asciiTheme="majorHAnsi" w:hAnsiTheme="majorHAnsi" w:cstheme="majorHAnsi"/>
        </w:rPr>
        <w:t xml:space="preserve">will </w:t>
      </w:r>
      <w:r w:rsidRPr="00A84878">
        <w:rPr>
          <w:rFonts w:asciiTheme="majorHAnsi" w:hAnsiTheme="majorHAnsi" w:cstheme="majorHAnsi"/>
        </w:rPr>
        <w:t xml:space="preserve">impose </w:t>
      </w:r>
      <w:r w:rsidR="00822B4E" w:rsidRPr="00A84878">
        <w:rPr>
          <w:rFonts w:asciiTheme="majorHAnsi" w:hAnsiTheme="majorHAnsi" w:cstheme="majorHAnsi"/>
        </w:rPr>
        <w:t xml:space="preserve">an obligation </w:t>
      </w:r>
      <w:r w:rsidR="004F1D3F" w:rsidRPr="00A84878">
        <w:rPr>
          <w:rFonts w:asciiTheme="majorHAnsi" w:hAnsiTheme="majorHAnsi" w:cstheme="majorHAnsi"/>
        </w:rPr>
        <w:t xml:space="preserve">on the Reporting Party </w:t>
      </w:r>
      <w:r w:rsidR="00822B4E" w:rsidRPr="00A84878">
        <w:rPr>
          <w:rFonts w:asciiTheme="majorHAnsi" w:hAnsiTheme="majorHAnsi" w:cstheme="majorHAnsi"/>
        </w:rPr>
        <w:t xml:space="preserve">to monitor the services provided </w:t>
      </w:r>
      <w:r w:rsidR="004F1D3F" w:rsidRPr="00A84878">
        <w:rPr>
          <w:rFonts w:asciiTheme="majorHAnsi" w:hAnsiTheme="majorHAnsi" w:cstheme="majorHAnsi"/>
        </w:rPr>
        <w:t xml:space="preserve">to it by a Third Party </w:t>
      </w:r>
      <w:r w:rsidR="004F1D3F" w:rsidRPr="00A84878">
        <w:rPr>
          <w:rFonts w:asciiTheme="majorHAnsi" w:hAnsiTheme="majorHAnsi" w:cstheme="majorHAnsi"/>
        </w:rPr>
        <w:lastRenderedPageBreak/>
        <w:t>Service Provider.</w:t>
      </w:r>
      <w:r w:rsidR="00625B04" w:rsidRPr="00A84878">
        <w:rPr>
          <w:rFonts w:asciiTheme="majorHAnsi" w:hAnsiTheme="majorHAnsi" w:cstheme="majorHAnsi"/>
        </w:rPr>
        <w:t xml:space="preserve"> The parties may need to tailor this language, and the </w:t>
      </w:r>
      <w:proofErr w:type="gramStart"/>
      <w:r w:rsidR="00625B04" w:rsidRPr="00A84878">
        <w:rPr>
          <w:rFonts w:asciiTheme="majorHAnsi" w:hAnsiTheme="majorHAnsi" w:cstheme="majorHAnsi"/>
        </w:rPr>
        <w:t>provision as a whole, in</w:t>
      </w:r>
      <w:proofErr w:type="gramEnd"/>
      <w:r w:rsidR="00625B04" w:rsidRPr="00A84878">
        <w:rPr>
          <w:rFonts w:asciiTheme="majorHAnsi" w:hAnsiTheme="majorHAnsi" w:cstheme="majorHAnsi"/>
        </w:rPr>
        <w:t xml:space="preserve"> light of any additional outsourcing rules </w:t>
      </w:r>
      <w:r w:rsidR="0097758E" w:rsidRPr="00A84878">
        <w:rPr>
          <w:rFonts w:asciiTheme="majorHAnsi" w:hAnsiTheme="majorHAnsi" w:cstheme="majorHAnsi"/>
        </w:rPr>
        <w:t xml:space="preserve">or guidelines </w:t>
      </w:r>
      <w:r w:rsidR="00625B04" w:rsidRPr="00A84878">
        <w:rPr>
          <w:rFonts w:asciiTheme="majorHAnsi" w:hAnsiTheme="majorHAnsi" w:cstheme="majorHAnsi"/>
        </w:rPr>
        <w:t>applicable to the Delegating Party.</w:t>
      </w:r>
      <w:r w:rsidR="004F1D3F" w:rsidRPr="00A84878">
        <w:rPr>
          <w:rFonts w:asciiTheme="majorHAnsi" w:hAnsiTheme="majorHAnsi" w:cstheme="majorHAnsi"/>
        </w:rPr>
        <w:t xml:space="preserve"> </w:t>
      </w:r>
    </w:p>
    <w:p w14:paraId="1D530E3D" w14:textId="77777777" w:rsidR="00625B04" w:rsidRPr="00A84878" w:rsidRDefault="00822B4E" w:rsidP="00625B04">
      <w:pPr>
        <w:pStyle w:val="Level2"/>
        <w:numPr>
          <w:ilvl w:val="0"/>
          <w:numId w:val="0"/>
        </w:numPr>
        <w:rPr>
          <w:rFonts w:asciiTheme="majorHAnsi" w:hAnsiTheme="majorHAnsi" w:cstheme="majorHAnsi"/>
        </w:rPr>
      </w:pPr>
      <w:r w:rsidRPr="00A84878">
        <w:rPr>
          <w:rFonts w:asciiTheme="majorHAnsi" w:hAnsiTheme="majorHAnsi" w:cstheme="majorHAnsi"/>
        </w:rPr>
        <w:t xml:space="preserve">Depending on the type of Third Party Service Provider used, the parties </w:t>
      </w:r>
      <w:r w:rsidR="00625B04" w:rsidRPr="00A84878">
        <w:rPr>
          <w:rFonts w:asciiTheme="majorHAnsi" w:hAnsiTheme="majorHAnsi" w:cstheme="majorHAnsi"/>
        </w:rPr>
        <w:t xml:space="preserve">also </w:t>
      </w:r>
      <w:r w:rsidRPr="00A84878">
        <w:rPr>
          <w:rFonts w:asciiTheme="majorHAnsi" w:hAnsiTheme="majorHAnsi" w:cstheme="majorHAnsi"/>
        </w:rPr>
        <w:t xml:space="preserve">may want to consider </w:t>
      </w:r>
      <w:r w:rsidR="00625B04" w:rsidRPr="00A84878">
        <w:rPr>
          <w:rFonts w:asciiTheme="majorHAnsi" w:hAnsiTheme="majorHAnsi" w:cstheme="majorHAnsi"/>
        </w:rPr>
        <w:t xml:space="preserve">whether </w:t>
      </w:r>
      <w:r w:rsidRPr="00A84878">
        <w:rPr>
          <w:rFonts w:asciiTheme="majorHAnsi" w:hAnsiTheme="majorHAnsi" w:cstheme="majorHAnsi"/>
        </w:rPr>
        <w:t xml:space="preserve">further language </w:t>
      </w:r>
      <w:r w:rsidR="00625B04" w:rsidRPr="00A84878">
        <w:rPr>
          <w:rFonts w:asciiTheme="majorHAnsi" w:hAnsiTheme="majorHAnsi" w:cstheme="majorHAnsi"/>
        </w:rPr>
        <w:t xml:space="preserve">should be included </w:t>
      </w:r>
      <w:r w:rsidRPr="00A84878">
        <w:rPr>
          <w:rFonts w:asciiTheme="majorHAnsi" w:hAnsiTheme="majorHAnsi" w:cstheme="majorHAnsi"/>
        </w:rPr>
        <w:t xml:space="preserve">relating to the level of service provided by the Third Party Service Provider. </w:t>
      </w:r>
    </w:p>
    <w:p w14:paraId="7B75E1C5" w14:textId="77777777" w:rsidR="009D2CF9" w:rsidRPr="00A84878" w:rsidRDefault="00653E88"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5 (</w:t>
      </w:r>
      <w:r w:rsidR="009D2CF9" w:rsidRPr="00A84878">
        <w:rPr>
          <w:rFonts w:asciiTheme="majorHAnsi" w:hAnsiTheme="majorHAnsi" w:cstheme="majorHAnsi"/>
          <w:b/>
          <w:i/>
        </w:rPr>
        <w:t>Delegating Party Acknowledgement</w:t>
      </w:r>
      <w:r w:rsidRPr="00A84878">
        <w:rPr>
          <w:rFonts w:asciiTheme="majorHAnsi" w:hAnsiTheme="majorHAnsi" w:cstheme="majorHAnsi"/>
          <w:b/>
        </w:rPr>
        <w:t>)</w:t>
      </w:r>
      <w:r w:rsidR="00EA00B3" w:rsidRPr="00A84878">
        <w:rPr>
          <w:rFonts w:asciiTheme="majorHAnsi" w:hAnsiTheme="majorHAnsi" w:cstheme="majorHAnsi"/>
          <w:b/>
        </w:rPr>
        <w:t xml:space="preserve"> of the Delegated Reporting Provisions</w:t>
      </w:r>
    </w:p>
    <w:p w14:paraId="74633428" w14:textId="1DFB1BA1" w:rsidR="00AA37EC" w:rsidRDefault="005A07F6" w:rsidP="00903299">
      <w:pPr>
        <w:pStyle w:val="Level2"/>
        <w:numPr>
          <w:ilvl w:val="0"/>
          <w:numId w:val="0"/>
        </w:numPr>
        <w:rPr>
          <w:rFonts w:asciiTheme="majorHAnsi" w:hAnsiTheme="majorHAnsi" w:cstheme="majorHAnsi"/>
        </w:rPr>
      </w:pPr>
      <w:r w:rsidRPr="00A84878">
        <w:rPr>
          <w:rFonts w:asciiTheme="majorHAnsi" w:hAnsiTheme="majorHAnsi" w:cstheme="majorHAnsi"/>
        </w:rPr>
        <w:t xml:space="preserve">The Delegating Party provides </w:t>
      </w:r>
      <w:proofErr w:type="gramStart"/>
      <w:r w:rsidRPr="00A84878">
        <w:rPr>
          <w:rFonts w:asciiTheme="majorHAnsi" w:hAnsiTheme="majorHAnsi" w:cstheme="majorHAnsi"/>
        </w:rPr>
        <w:t>a number of</w:t>
      </w:r>
      <w:proofErr w:type="gramEnd"/>
      <w:r w:rsidRPr="00A84878">
        <w:rPr>
          <w:rFonts w:asciiTheme="majorHAnsi" w:hAnsiTheme="majorHAnsi" w:cstheme="majorHAnsi"/>
        </w:rPr>
        <w:t xml:space="preserve"> acknowledgements in </w:t>
      </w:r>
      <w:r w:rsidR="00625B04" w:rsidRPr="00A84878">
        <w:rPr>
          <w:rFonts w:asciiTheme="majorHAnsi" w:hAnsiTheme="majorHAnsi" w:cstheme="majorHAnsi"/>
        </w:rPr>
        <w:t>Section 5</w:t>
      </w:r>
      <w:r w:rsidR="00903299" w:rsidRPr="00A84878">
        <w:rPr>
          <w:rFonts w:asciiTheme="majorHAnsi" w:hAnsiTheme="majorHAnsi" w:cstheme="majorHAnsi"/>
        </w:rPr>
        <w:t>. Of particular importance is the Delegating Party’s acknowledgement that it will remain responsible for</w:t>
      </w:r>
      <w:r w:rsidR="00822B4E" w:rsidRPr="00A84878">
        <w:rPr>
          <w:rFonts w:asciiTheme="majorHAnsi" w:hAnsiTheme="majorHAnsi" w:cstheme="majorHAnsi"/>
        </w:rPr>
        <w:t xml:space="preserve"> </w:t>
      </w:r>
      <w:r w:rsidR="006F3A4F" w:rsidRPr="00A84878">
        <w:rPr>
          <w:rFonts w:asciiTheme="majorHAnsi" w:hAnsiTheme="majorHAnsi" w:cstheme="majorHAnsi"/>
        </w:rPr>
        <w:t xml:space="preserve">complying with its </w:t>
      </w:r>
      <w:r w:rsidR="00822B4E" w:rsidRPr="00A84878">
        <w:rPr>
          <w:rFonts w:asciiTheme="majorHAnsi" w:hAnsiTheme="majorHAnsi" w:cstheme="majorHAnsi"/>
        </w:rPr>
        <w:t>EMIR</w:t>
      </w:r>
      <w:r w:rsidR="000E4803">
        <w:rPr>
          <w:rFonts w:asciiTheme="majorHAnsi" w:hAnsiTheme="majorHAnsi" w:cstheme="majorHAnsi"/>
        </w:rPr>
        <w:t>/UK EMIR</w:t>
      </w:r>
      <w:r w:rsidR="006F3A4F" w:rsidRPr="00A84878">
        <w:rPr>
          <w:rFonts w:asciiTheme="majorHAnsi" w:hAnsiTheme="majorHAnsi" w:cstheme="majorHAnsi"/>
        </w:rPr>
        <w:t xml:space="preserve"> or </w:t>
      </w:r>
      <w:r w:rsidR="00822B4E" w:rsidRPr="00A84878">
        <w:rPr>
          <w:rFonts w:asciiTheme="majorHAnsi" w:hAnsiTheme="majorHAnsi" w:cstheme="majorHAnsi"/>
        </w:rPr>
        <w:t>SFTR</w:t>
      </w:r>
      <w:r w:rsidR="000E4803">
        <w:rPr>
          <w:rFonts w:asciiTheme="majorHAnsi" w:hAnsiTheme="majorHAnsi" w:cstheme="majorHAnsi"/>
        </w:rPr>
        <w:t>/UK SFTR</w:t>
      </w:r>
      <w:r w:rsidR="00822B4E" w:rsidRPr="00A84878">
        <w:rPr>
          <w:rFonts w:asciiTheme="majorHAnsi" w:hAnsiTheme="majorHAnsi" w:cstheme="majorHAnsi"/>
        </w:rPr>
        <w:t xml:space="preserve"> reporting obligations generally</w:t>
      </w:r>
      <w:r w:rsidR="00903299" w:rsidRPr="00A84878">
        <w:rPr>
          <w:rFonts w:asciiTheme="majorHAnsi" w:hAnsiTheme="majorHAnsi" w:cstheme="majorHAnsi"/>
        </w:rPr>
        <w:t>.</w:t>
      </w:r>
    </w:p>
    <w:p w14:paraId="1CD4CA76" w14:textId="77777777" w:rsidR="004A2C2F" w:rsidRPr="00A84878" w:rsidRDefault="00653E88"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6 (</w:t>
      </w:r>
      <w:r w:rsidR="004A2C2F" w:rsidRPr="00A84878">
        <w:rPr>
          <w:rFonts w:asciiTheme="majorHAnsi" w:hAnsiTheme="majorHAnsi" w:cstheme="majorHAnsi"/>
          <w:b/>
          <w:i/>
        </w:rPr>
        <w:t>Liability</w:t>
      </w:r>
      <w:r w:rsidRPr="00A84878">
        <w:rPr>
          <w:rFonts w:asciiTheme="majorHAnsi" w:hAnsiTheme="majorHAnsi" w:cstheme="majorHAnsi"/>
          <w:b/>
        </w:rPr>
        <w:t>)</w:t>
      </w:r>
      <w:r w:rsidR="00EA00B3" w:rsidRPr="00A84878">
        <w:rPr>
          <w:rFonts w:asciiTheme="majorHAnsi" w:hAnsiTheme="majorHAnsi" w:cstheme="majorHAnsi"/>
          <w:b/>
        </w:rPr>
        <w:t xml:space="preserve"> of the Delegated Reporting Provisions</w:t>
      </w:r>
    </w:p>
    <w:p w14:paraId="2A67C1F2" w14:textId="77777777" w:rsidR="00F206AE" w:rsidRDefault="00903299" w:rsidP="00EA00B3">
      <w:pPr>
        <w:pStyle w:val="Level2"/>
        <w:numPr>
          <w:ilvl w:val="0"/>
          <w:numId w:val="0"/>
        </w:numPr>
        <w:rPr>
          <w:rFonts w:asciiTheme="majorHAnsi" w:hAnsiTheme="majorHAnsi" w:cstheme="majorHAnsi"/>
        </w:rPr>
      </w:pPr>
      <w:r w:rsidRPr="00A84878">
        <w:rPr>
          <w:rFonts w:asciiTheme="majorHAnsi" w:hAnsiTheme="majorHAnsi" w:cstheme="majorHAnsi"/>
        </w:rPr>
        <w:t xml:space="preserve">This liability provision generally reflects the position in the ISDA/FIA DRA. </w:t>
      </w:r>
      <w:r w:rsidR="003B4743" w:rsidRPr="00A84878">
        <w:rPr>
          <w:rFonts w:asciiTheme="majorHAnsi" w:hAnsiTheme="majorHAnsi" w:cstheme="majorHAnsi"/>
        </w:rPr>
        <w:t>The Reporting Party may prefer to provide a restricted cap on liability</w:t>
      </w:r>
      <w:r w:rsidR="00F206AE" w:rsidRPr="00A84878">
        <w:rPr>
          <w:rFonts w:asciiTheme="majorHAnsi" w:hAnsiTheme="majorHAnsi" w:cstheme="majorHAnsi"/>
        </w:rPr>
        <w:t>, which would entail adding wording in the penultimate paragraph.</w:t>
      </w:r>
    </w:p>
    <w:p w14:paraId="698839C7" w14:textId="77777777" w:rsidR="0052574C" w:rsidRPr="00A84878" w:rsidRDefault="00653E88"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7 (</w:t>
      </w:r>
      <w:r w:rsidR="009D2CF9" w:rsidRPr="00A84878">
        <w:rPr>
          <w:rFonts w:asciiTheme="majorHAnsi" w:hAnsiTheme="majorHAnsi" w:cstheme="majorHAnsi"/>
          <w:b/>
          <w:i/>
        </w:rPr>
        <w:t>Force Majeure</w:t>
      </w:r>
      <w:r w:rsidRPr="00A84878">
        <w:rPr>
          <w:rFonts w:asciiTheme="majorHAnsi" w:hAnsiTheme="majorHAnsi" w:cstheme="majorHAnsi"/>
          <w:b/>
        </w:rPr>
        <w:t>)</w:t>
      </w:r>
      <w:r w:rsidR="0052574C" w:rsidRPr="00A84878">
        <w:rPr>
          <w:rFonts w:asciiTheme="majorHAnsi" w:hAnsiTheme="majorHAnsi" w:cstheme="majorHAnsi"/>
          <w:b/>
        </w:rPr>
        <w:t xml:space="preserve"> of the Delegated Reporting Provisions</w:t>
      </w:r>
    </w:p>
    <w:p w14:paraId="2A1D7178" w14:textId="77777777" w:rsidR="00FF2019" w:rsidRPr="00A84878" w:rsidRDefault="0052574C" w:rsidP="00F206AE">
      <w:pPr>
        <w:pStyle w:val="Level2"/>
        <w:numPr>
          <w:ilvl w:val="0"/>
          <w:numId w:val="0"/>
        </w:numPr>
        <w:rPr>
          <w:rFonts w:asciiTheme="majorHAnsi" w:hAnsiTheme="majorHAnsi" w:cstheme="majorHAnsi"/>
        </w:rPr>
      </w:pPr>
      <w:r w:rsidRPr="00A84878">
        <w:rPr>
          <w:rFonts w:asciiTheme="majorHAnsi" w:hAnsiTheme="majorHAnsi" w:cstheme="majorHAnsi"/>
        </w:rPr>
        <w:t xml:space="preserve">Pursuant to this </w:t>
      </w:r>
      <w:r w:rsidR="00B50F5A" w:rsidRPr="00A84878">
        <w:rPr>
          <w:rFonts w:asciiTheme="majorHAnsi" w:hAnsiTheme="majorHAnsi" w:cstheme="majorHAnsi"/>
        </w:rPr>
        <w:t>section</w:t>
      </w:r>
      <w:r w:rsidRPr="00A84878">
        <w:rPr>
          <w:rFonts w:asciiTheme="majorHAnsi" w:hAnsiTheme="majorHAnsi" w:cstheme="majorHAnsi"/>
        </w:rPr>
        <w:t>, t</w:t>
      </w:r>
      <w:r w:rsidR="00C03AB0" w:rsidRPr="00A84878">
        <w:rPr>
          <w:rFonts w:asciiTheme="majorHAnsi" w:hAnsiTheme="majorHAnsi" w:cstheme="majorHAnsi"/>
        </w:rPr>
        <w:t xml:space="preserve">he Reporting Party’s obligations under the MRRA are suspended for as long as a Force Majeure </w:t>
      </w:r>
      <w:r w:rsidR="00FF2019" w:rsidRPr="00A84878">
        <w:rPr>
          <w:rFonts w:asciiTheme="majorHAnsi" w:hAnsiTheme="majorHAnsi" w:cstheme="majorHAnsi"/>
        </w:rPr>
        <w:t>E</w:t>
      </w:r>
      <w:r w:rsidR="00C03AB0" w:rsidRPr="00A84878">
        <w:rPr>
          <w:rFonts w:asciiTheme="majorHAnsi" w:hAnsiTheme="majorHAnsi" w:cstheme="majorHAnsi"/>
        </w:rPr>
        <w:t>vent is continuing.</w:t>
      </w:r>
    </w:p>
    <w:p w14:paraId="4696CAD5" w14:textId="77777777" w:rsidR="00FF2019" w:rsidRPr="00A84878" w:rsidRDefault="00FF2019" w:rsidP="00F206AE">
      <w:pPr>
        <w:pStyle w:val="Level2"/>
        <w:numPr>
          <w:ilvl w:val="0"/>
          <w:numId w:val="0"/>
        </w:numPr>
        <w:rPr>
          <w:rFonts w:asciiTheme="majorHAnsi" w:hAnsiTheme="majorHAnsi" w:cstheme="majorHAnsi"/>
        </w:rPr>
      </w:pPr>
      <w:r w:rsidRPr="00A84878">
        <w:rPr>
          <w:rFonts w:asciiTheme="majorHAnsi" w:hAnsiTheme="majorHAnsi" w:cstheme="majorHAnsi"/>
        </w:rPr>
        <w:t>T</w:t>
      </w:r>
      <w:r w:rsidR="00C03AB0" w:rsidRPr="00A84878">
        <w:rPr>
          <w:rFonts w:asciiTheme="majorHAnsi" w:hAnsiTheme="majorHAnsi" w:cstheme="majorHAnsi"/>
        </w:rPr>
        <w:t xml:space="preserve">his </w:t>
      </w:r>
      <w:r w:rsidR="00B50F5A" w:rsidRPr="00A84878">
        <w:rPr>
          <w:rFonts w:asciiTheme="majorHAnsi" w:hAnsiTheme="majorHAnsi" w:cstheme="majorHAnsi"/>
        </w:rPr>
        <w:t>section</w:t>
      </w:r>
      <w:r w:rsidR="00C03AB0" w:rsidRPr="00A84878">
        <w:rPr>
          <w:rFonts w:asciiTheme="majorHAnsi" w:hAnsiTheme="majorHAnsi" w:cstheme="majorHAnsi"/>
        </w:rPr>
        <w:t xml:space="preserve"> </w:t>
      </w:r>
      <w:r w:rsidRPr="00A84878">
        <w:rPr>
          <w:rFonts w:asciiTheme="majorHAnsi" w:hAnsiTheme="majorHAnsi" w:cstheme="majorHAnsi"/>
        </w:rPr>
        <w:t xml:space="preserve">includes optional wording which provides that </w:t>
      </w:r>
      <w:r w:rsidR="00C03AB0" w:rsidRPr="00A84878">
        <w:rPr>
          <w:rFonts w:asciiTheme="majorHAnsi" w:hAnsiTheme="majorHAnsi" w:cstheme="majorHAnsi"/>
        </w:rPr>
        <w:t xml:space="preserve">the Reporting Party will perform its </w:t>
      </w:r>
      <w:r w:rsidRPr="00A84878">
        <w:rPr>
          <w:rFonts w:asciiTheme="majorHAnsi" w:hAnsiTheme="majorHAnsi" w:cstheme="majorHAnsi"/>
        </w:rPr>
        <w:t xml:space="preserve">previously suspended </w:t>
      </w:r>
      <w:r w:rsidR="00C03AB0" w:rsidRPr="00A84878">
        <w:rPr>
          <w:rFonts w:asciiTheme="majorHAnsi" w:hAnsiTheme="majorHAnsi" w:cstheme="majorHAnsi"/>
        </w:rPr>
        <w:t xml:space="preserve">obligations once </w:t>
      </w:r>
      <w:r w:rsidRPr="00A84878">
        <w:rPr>
          <w:rFonts w:asciiTheme="majorHAnsi" w:hAnsiTheme="majorHAnsi" w:cstheme="majorHAnsi"/>
        </w:rPr>
        <w:t xml:space="preserve">the Force Majeure Event </w:t>
      </w:r>
      <w:r w:rsidR="00C03AB0" w:rsidRPr="00A84878">
        <w:rPr>
          <w:rFonts w:asciiTheme="majorHAnsi" w:hAnsiTheme="majorHAnsi" w:cstheme="majorHAnsi"/>
        </w:rPr>
        <w:t xml:space="preserve">is </w:t>
      </w:r>
      <w:r w:rsidRPr="00A84878">
        <w:rPr>
          <w:rFonts w:asciiTheme="majorHAnsi" w:hAnsiTheme="majorHAnsi" w:cstheme="majorHAnsi"/>
        </w:rPr>
        <w:t>over</w:t>
      </w:r>
      <w:r w:rsidR="00C03AB0" w:rsidRPr="00A84878">
        <w:rPr>
          <w:rFonts w:asciiTheme="majorHAnsi" w:hAnsiTheme="majorHAnsi" w:cstheme="majorHAnsi"/>
        </w:rPr>
        <w:t xml:space="preserve">, unless otherwise agreed and unless the </w:t>
      </w:r>
      <w:r w:rsidRPr="00A84878">
        <w:rPr>
          <w:rFonts w:asciiTheme="majorHAnsi" w:hAnsiTheme="majorHAnsi" w:cstheme="majorHAnsi"/>
        </w:rPr>
        <w:t>D</w:t>
      </w:r>
      <w:r w:rsidR="00C03AB0" w:rsidRPr="00A84878">
        <w:rPr>
          <w:rFonts w:asciiTheme="majorHAnsi" w:hAnsiTheme="majorHAnsi" w:cstheme="majorHAnsi"/>
        </w:rPr>
        <w:t xml:space="preserve">elegating Party confirms that it has </w:t>
      </w:r>
      <w:r w:rsidRPr="00A84878">
        <w:rPr>
          <w:rFonts w:asciiTheme="majorHAnsi" w:hAnsiTheme="majorHAnsi" w:cstheme="majorHAnsi"/>
        </w:rPr>
        <w:t xml:space="preserve">itself </w:t>
      </w:r>
      <w:r w:rsidR="00C03AB0" w:rsidRPr="00A84878">
        <w:rPr>
          <w:rFonts w:asciiTheme="majorHAnsi" w:hAnsiTheme="majorHAnsi" w:cstheme="majorHAnsi"/>
        </w:rPr>
        <w:t xml:space="preserve">reported the affected </w:t>
      </w:r>
      <w:r w:rsidRPr="00A84878">
        <w:rPr>
          <w:rFonts w:asciiTheme="majorHAnsi" w:hAnsiTheme="majorHAnsi" w:cstheme="majorHAnsi"/>
        </w:rPr>
        <w:t>transactions</w:t>
      </w:r>
      <w:r w:rsidR="00C03AB0" w:rsidRPr="00A84878">
        <w:rPr>
          <w:rFonts w:asciiTheme="majorHAnsi" w:hAnsiTheme="majorHAnsi" w:cstheme="majorHAnsi"/>
        </w:rPr>
        <w:t>.</w:t>
      </w:r>
      <w:r w:rsidRPr="00A84878">
        <w:rPr>
          <w:rFonts w:asciiTheme="majorHAnsi" w:hAnsiTheme="majorHAnsi" w:cstheme="majorHAnsi"/>
        </w:rPr>
        <w:t xml:space="preserve"> Where the parties prefer that suspended reporting obligations should not be performed following the curing of a Force Majeure Event, this square bracketed language can be removed. </w:t>
      </w:r>
    </w:p>
    <w:p w14:paraId="21F016BC" w14:textId="77777777" w:rsidR="0052574C" w:rsidRPr="00A84878" w:rsidRDefault="00FF2019" w:rsidP="00FF2019">
      <w:pPr>
        <w:pStyle w:val="Level2"/>
        <w:numPr>
          <w:ilvl w:val="0"/>
          <w:numId w:val="0"/>
        </w:numPr>
        <w:rPr>
          <w:rFonts w:asciiTheme="majorHAnsi" w:hAnsiTheme="majorHAnsi" w:cstheme="majorHAnsi"/>
        </w:rPr>
      </w:pPr>
      <w:r w:rsidRPr="00A84878">
        <w:rPr>
          <w:rFonts w:asciiTheme="majorHAnsi" w:hAnsiTheme="majorHAnsi" w:cstheme="majorHAnsi"/>
        </w:rPr>
        <w:t xml:space="preserve">The square bracketed language indicates </w:t>
      </w:r>
      <w:r w:rsidR="0052574C" w:rsidRPr="00A84878">
        <w:rPr>
          <w:rFonts w:asciiTheme="majorHAnsi" w:hAnsiTheme="majorHAnsi" w:cstheme="majorHAnsi"/>
        </w:rPr>
        <w:t xml:space="preserve">that previously suspended obligations will only need to be performed “where applicable”, i.e. that back-reporting of </w:t>
      </w:r>
      <w:r w:rsidR="00541181">
        <w:rPr>
          <w:rFonts w:asciiTheme="majorHAnsi" w:hAnsiTheme="majorHAnsi" w:cstheme="majorHAnsi"/>
        </w:rPr>
        <w:t>historic</w:t>
      </w:r>
      <w:r w:rsidR="0052574C" w:rsidRPr="00A84878">
        <w:rPr>
          <w:rFonts w:asciiTheme="majorHAnsi" w:hAnsiTheme="majorHAnsi" w:cstheme="majorHAnsi"/>
        </w:rPr>
        <w:t xml:space="preserve"> valuation data will not be necessary.</w:t>
      </w:r>
    </w:p>
    <w:p w14:paraId="12A4FD78" w14:textId="77777777" w:rsidR="009D2CF9" w:rsidRPr="00A84878" w:rsidRDefault="00653E88"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8 (</w:t>
      </w:r>
      <w:r w:rsidR="009D2CF9" w:rsidRPr="00A84878">
        <w:rPr>
          <w:rFonts w:asciiTheme="majorHAnsi" w:hAnsiTheme="majorHAnsi" w:cstheme="majorHAnsi"/>
          <w:b/>
          <w:i/>
        </w:rPr>
        <w:t>Indemnity</w:t>
      </w:r>
      <w:r w:rsidRPr="00A84878">
        <w:rPr>
          <w:rFonts w:asciiTheme="majorHAnsi" w:hAnsiTheme="majorHAnsi" w:cstheme="majorHAnsi"/>
          <w:b/>
        </w:rPr>
        <w:t>)</w:t>
      </w:r>
      <w:r w:rsidR="005D1BF1" w:rsidRPr="00A84878">
        <w:rPr>
          <w:rFonts w:asciiTheme="majorHAnsi" w:hAnsiTheme="majorHAnsi" w:cstheme="majorHAnsi"/>
          <w:b/>
        </w:rPr>
        <w:t xml:space="preserve"> of the Delegated Reporting Provisions</w:t>
      </w:r>
    </w:p>
    <w:p w14:paraId="5E9CAFE5" w14:textId="77777777" w:rsidR="005D1BF1" w:rsidRPr="00A84878" w:rsidRDefault="005D1BF1" w:rsidP="005D1BF1">
      <w:pPr>
        <w:pStyle w:val="Level2"/>
        <w:numPr>
          <w:ilvl w:val="0"/>
          <w:numId w:val="0"/>
        </w:numPr>
        <w:rPr>
          <w:rFonts w:asciiTheme="majorHAnsi" w:hAnsiTheme="majorHAnsi" w:cstheme="majorHAnsi"/>
        </w:rPr>
      </w:pPr>
      <w:r w:rsidRPr="00A84878">
        <w:rPr>
          <w:rFonts w:asciiTheme="majorHAnsi" w:hAnsiTheme="majorHAnsi" w:cstheme="majorHAnsi"/>
        </w:rPr>
        <w:t xml:space="preserve">This indemnity provision generally reflects the position in the ISDA/FIA DRA, with the addition of wording in Section 8.1.2 </w:t>
      </w:r>
      <w:r w:rsidR="003D13B3" w:rsidRPr="00A84878">
        <w:rPr>
          <w:rFonts w:asciiTheme="majorHAnsi" w:hAnsiTheme="majorHAnsi" w:cstheme="majorHAnsi"/>
        </w:rPr>
        <w:t>indemnifying the Reporting Party in the event of the Delegating Party’s f</w:t>
      </w:r>
      <w:r w:rsidRPr="00A84878">
        <w:rPr>
          <w:rFonts w:asciiTheme="majorHAnsi" w:hAnsiTheme="majorHAnsi" w:cstheme="majorHAnsi"/>
        </w:rPr>
        <w:t>ailure to provide information required by the Reporting Party to fulfil its reporting obligations and wording in 8.1.3</w:t>
      </w:r>
      <w:r w:rsidR="003D13B3" w:rsidRPr="00A84878">
        <w:rPr>
          <w:rFonts w:asciiTheme="majorHAnsi" w:hAnsiTheme="majorHAnsi" w:cstheme="majorHAnsi"/>
        </w:rPr>
        <w:t xml:space="preserve"> </w:t>
      </w:r>
      <w:r w:rsidR="0097758E" w:rsidRPr="00A84878">
        <w:rPr>
          <w:rFonts w:asciiTheme="majorHAnsi" w:hAnsiTheme="majorHAnsi" w:cstheme="majorHAnsi"/>
        </w:rPr>
        <w:t>relating to</w:t>
      </w:r>
      <w:r w:rsidR="003D13B3" w:rsidRPr="00A84878">
        <w:rPr>
          <w:rFonts w:asciiTheme="majorHAnsi" w:hAnsiTheme="majorHAnsi" w:cstheme="majorHAnsi"/>
        </w:rPr>
        <w:t xml:space="preserve"> corrections made by the Reporting Party</w:t>
      </w:r>
      <w:r w:rsidRPr="00A84878">
        <w:rPr>
          <w:rFonts w:asciiTheme="majorHAnsi" w:hAnsiTheme="majorHAnsi" w:cstheme="majorHAnsi"/>
        </w:rPr>
        <w:t>.</w:t>
      </w:r>
    </w:p>
    <w:p w14:paraId="3C14D316" w14:textId="77777777" w:rsidR="00D038AF" w:rsidRPr="00A84878" w:rsidRDefault="00653E88"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9 (</w:t>
      </w:r>
      <w:r w:rsidR="004A2C2F" w:rsidRPr="00A84878">
        <w:rPr>
          <w:rFonts w:asciiTheme="majorHAnsi" w:hAnsiTheme="majorHAnsi" w:cstheme="majorHAnsi"/>
          <w:b/>
          <w:i/>
        </w:rPr>
        <w:t>Amendment and Termination</w:t>
      </w:r>
      <w:r w:rsidRPr="00A84878">
        <w:rPr>
          <w:rFonts w:asciiTheme="majorHAnsi" w:hAnsiTheme="majorHAnsi" w:cstheme="majorHAnsi"/>
          <w:b/>
        </w:rPr>
        <w:t>)</w:t>
      </w:r>
      <w:r w:rsidR="00D038AF" w:rsidRPr="00A84878">
        <w:rPr>
          <w:rFonts w:asciiTheme="majorHAnsi" w:hAnsiTheme="majorHAnsi" w:cstheme="majorHAnsi"/>
          <w:b/>
        </w:rPr>
        <w:t xml:space="preserve"> of the Delegated Reporting Provisions</w:t>
      </w:r>
    </w:p>
    <w:p w14:paraId="05F2C63E" w14:textId="77777777" w:rsidR="00DF523E" w:rsidRDefault="00DF523E" w:rsidP="00D038AF">
      <w:pPr>
        <w:pStyle w:val="Level2"/>
        <w:numPr>
          <w:ilvl w:val="0"/>
          <w:numId w:val="0"/>
        </w:numPr>
        <w:rPr>
          <w:rFonts w:asciiTheme="majorHAnsi" w:hAnsiTheme="majorHAnsi" w:cstheme="majorHAnsi"/>
        </w:rPr>
      </w:pPr>
      <w:r>
        <w:rPr>
          <w:rFonts w:asciiTheme="majorHAnsi" w:hAnsiTheme="majorHAnsi" w:cstheme="majorHAnsi"/>
        </w:rPr>
        <w:t>The parties may wish to consider further amendments to Section 9.1 such as permitting the Reporting Party to withdraw a rejected amendment within a set period.</w:t>
      </w:r>
    </w:p>
    <w:p w14:paraId="4DABE46E" w14:textId="77777777" w:rsidR="00D038AF" w:rsidRPr="00CE56F6" w:rsidRDefault="00D038AF" w:rsidP="00CE56F6">
      <w:pPr>
        <w:pStyle w:val="Body1Bold"/>
        <w:rPr>
          <w:rFonts w:asciiTheme="majorHAnsi" w:hAnsiTheme="majorHAnsi" w:cstheme="majorHAnsi"/>
          <w:b w:val="0"/>
          <w:i w:val="0"/>
        </w:rPr>
      </w:pPr>
      <w:r w:rsidRPr="00CE56F6">
        <w:rPr>
          <w:rFonts w:asciiTheme="majorHAnsi" w:hAnsiTheme="majorHAnsi" w:cstheme="majorHAnsi"/>
          <w:b w:val="0"/>
          <w:i w:val="0"/>
        </w:rPr>
        <w:t xml:space="preserve">Section 9.2 provides that, as at effective termination of the </w:t>
      </w:r>
      <w:r w:rsidR="002C6EC3" w:rsidRPr="00CE56F6">
        <w:rPr>
          <w:rFonts w:asciiTheme="majorHAnsi" w:hAnsiTheme="majorHAnsi" w:cstheme="majorHAnsi"/>
          <w:b w:val="0"/>
          <w:i w:val="0"/>
        </w:rPr>
        <w:t>MRRA</w:t>
      </w:r>
      <w:r w:rsidR="00BC5C6C" w:rsidRPr="00CE56F6">
        <w:rPr>
          <w:rFonts w:asciiTheme="majorHAnsi" w:hAnsiTheme="majorHAnsi" w:cstheme="majorHAnsi"/>
          <w:b w:val="0"/>
          <w:i w:val="0"/>
        </w:rPr>
        <w:t>,</w:t>
      </w:r>
      <w:r w:rsidR="002C6EC3" w:rsidRPr="00CE56F6">
        <w:rPr>
          <w:rFonts w:asciiTheme="majorHAnsi" w:hAnsiTheme="majorHAnsi" w:cstheme="majorHAnsi"/>
          <w:b w:val="0"/>
          <w:i w:val="0"/>
        </w:rPr>
        <w:t xml:space="preserve"> transactions specified to be Relevant Transactions </w:t>
      </w:r>
      <w:r w:rsidRPr="00CE56F6">
        <w:rPr>
          <w:rFonts w:asciiTheme="majorHAnsi" w:hAnsiTheme="majorHAnsi" w:cstheme="majorHAnsi"/>
          <w:b w:val="0"/>
          <w:i w:val="0"/>
        </w:rPr>
        <w:t xml:space="preserve">in one or more Annexes to the MRRA </w:t>
      </w:r>
      <w:r w:rsidR="002C6EC3" w:rsidRPr="00CE56F6">
        <w:rPr>
          <w:rFonts w:asciiTheme="majorHAnsi" w:hAnsiTheme="majorHAnsi" w:cstheme="majorHAnsi"/>
          <w:b w:val="0"/>
          <w:i w:val="0"/>
        </w:rPr>
        <w:t>will no longer be considered as such and the Reporting Party will no</w:t>
      </w:r>
      <w:r w:rsidRPr="00CE56F6">
        <w:rPr>
          <w:rFonts w:asciiTheme="majorHAnsi" w:hAnsiTheme="majorHAnsi" w:cstheme="majorHAnsi"/>
          <w:b w:val="0"/>
          <w:i w:val="0"/>
        </w:rPr>
        <w:t xml:space="preserve"> longer</w:t>
      </w:r>
      <w:r w:rsidR="002C6EC3" w:rsidRPr="00CE56F6">
        <w:rPr>
          <w:rFonts w:asciiTheme="majorHAnsi" w:hAnsiTheme="majorHAnsi" w:cstheme="majorHAnsi"/>
          <w:b w:val="0"/>
          <w:i w:val="0"/>
        </w:rPr>
        <w:t xml:space="preserve"> have </w:t>
      </w:r>
      <w:r w:rsidR="00BC5C6C" w:rsidRPr="00CE56F6">
        <w:rPr>
          <w:rFonts w:asciiTheme="majorHAnsi" w:hAnsiTheme="majorHAnsi" w:cstheme="majorHAnsi"/>
          <w:b w:val="0"/>
          <w:i w:val="0"/>
        </w:rPr>
        <w:t>any</w:t>
      </w:r>
      <w:r w:rsidR="002C6EC3" w:rsidRPr="00CE56F6">
        <w:rPr>
          <w:rFonts w:asciiTheme="majorHAnsi" w:hAnsiTheme="majorHAnsi" w:cstheme="majorHAnsi"/>
          <w:b w:val="0"/>
          <w:i w:val="0"/>
        </w:rPr>
        <w:t xml:space="preserve"> obligations in respect of </w:t>
      </w:r>
      <w:r w:rsidR="00BC5C6C" w:rsidRPr="00CE56F6">
        <w:rPr>
          <w:rFonts w:asciiTheme="majorHAnsi" w:hAnsiTheme="majorHAnsi" w:cstheme="majorHAnsi"/>
          <w:b w:val="0"/>
          <w:i w:val="0"/>
        </w:rPr>
        <w:t>those</w:t>
      </w:r>
      <w:r w:rsidR="002C6EC3" w:rsidRPr="00CE56F6">
        <w:rPr>
          <w:rFonts w:asciiTheme="majorHAnsi" w:hAnsiTheme="majorHAnsi" w:cstheme="majorHAnsi"/>
          <w:b w:val="0"/>
          <w:i w:val="0"/>
        </w:rPr>
        <w:t xml:space="preserve"> transactions.</w:t>
      </w:r>
      <w:r w:rsidRPr="00CE56F6">
        <w:rPr>
          <w:rFonts w:asciiTheme="majorHAnsi" w:hAnsiTheme="majorHAnsi" w:cstheme="majorHAnsi"/>
          <w:b w:val="0"/>
          <w:i w:val="0"/>
        </w:rPr>
        <w:t xml:space="preserve"> </w:t>
      </w:r>
    </w:p>
    <w:p w14:paraId="514511EB" w14:textId="0F6A4B01" w:rsidR="007631D5" w:rsidRDefault="00D038AF" w:rsidP="004066E3">
      <w:pPr>
        <w:pStyle w:val="Body1Bold"/>
      </w:pPr>
      <w:r w:rsidRPr="00A84878">
        <w:rPr>
          <w:rFonts w:asciiTheme="majorHAnsi" w:hAnsiTheme="majorHAnsi" w:cstheme="majorHAnsi"/>
          <w:b w:val="0"/>
          <w:i w:val="0"/>
        </w:rPr>
        <w:t>This language will mean that, “unless otherwise agreed between the parties”, the Reporting Party will not continue to provide Delegated Reporting on behalf of the Delegating Party in respect of outstanding transactions which are subsequently modified or terminated; the Delegating Party itself</w:t>
      </w:r>
      <w:r w:rsidR="0097758E" w:rsidRPr="00A84878">
        <w:rPr>
          <w:rFonts w:asciiTheme="majorHAnsi" w:hAnsiTheme="majorHAnsi" w:cstheme="majorHAnsi"/>
          <w:b w:val="0"/>
          <w:i w:val="0"/>
        </w:rPr>
        <w:t xml:space="preserve"> or any new reporting party it appoints</w:t>
      </w:r>
      <w:r w:rsidRPr="00A84878">
        <w:rPr>
          <w:rFonts w:asciiTheme="majorHAnsi" w:hAnsiTheme="majorHAnsi" w:cstheme="majorHAnsi"/>
          <w:b w:val="0"/>
          <w:i w:val="0"/>
        </w:rPr>
        <w:t xml:space="preserve"> would be obliged to report any modification or termination of outstanding transactions. </w:t>
      </w:r>
      <w:r w:rsidR="00D4065B" w:rsidRPr="00A84878">
        <w:rPr>
          <w:rFonts w:asciiTheme="majorHAnsi" w:hAnsiTheme="majorHAnsi" w:cstheme="majorHAnsi"/>
          <w:b w:val="0"/>
          <w:i w:val="0"/>
        </w:rPr>
        <w:t xml:space="preserve">The language “unless otherwise agreed” caters for a scenario in which the </w:t>
      </w:r>
      <w:r w:rsidR="00D4065B" w:rsidRPr="00A84878">
        <w:rPr>
          <w:rFonts w:asciiTheme="majorHAnsi" w:hAnsiTheme="majorHAnsi" w:cstheme="majorHAnsi"/>
          <w:b w:val="0"/>
          <w:i w:val="0"/>
        </w:rPr>
        <w:lastRenderedPageBreak/>
        <w:t>parties prefer that Delegated Reporting remain</w:t>
      </w:r>
      <w:r w:rsidR="0091330C">
        <w:rPr>
          <w:rFonts w:asciiTheme="majorHAnsi" w:hAnsiTheme="majorHAnsi" w:cstheme="majorHAnsi"/>
          <w:b w:val="0"/>
          <w:i w:val="0"/>
        </w:rPr>
        <w:t>s</w:t>
      </w:r>
      <w:r w:rsidR="00D4065B" w:rsidRPr="00A84878">
        <w:rPr>
          <w:rFonts w:asciiTheme="majorHAnsi" w:hAnsiTheme="majorHAnsi" w:cstheme="majorHAnsi"/>
          <w:b w:val="0"/>
          <w:i w:val="0"/>
        </w:rPr>
        <w:t xml:space="preserve"> applicable in respect of outstanding transactions</w:t>
      </w:r>
      <w:r w:rsidR="0091330C">
        <w:rPr>
          <w:rFonts w:asciiTheme="majorHAnsi" w:hAnsiTheme="majorHAnsi" w:cstheme="majorHAnsi"/>
          <w:b w:val="0"/>
          <w:i w:val="0"/>
        </w:rPr>
        <w:t>:</w:t>
      </w:r>
      <w:r w:rsidR="00D4065B" w:rsidRPr="00A84878">
        <w:rPr>
          <w:rFonts w:asciiTheme="majorHAnsi" w:hAnsiTheme="majorHAnsi" w:cstheme="majorHAnsi"/>
          <w:b w:val="0"/>
          <w:i w:val="0"/>
        </w:rPr>
        <w:t xml:space="preserve"> </w:t>
      </w:r>
      <w:r w:rsidR="0091330C">
        <w:rPr>
          <w:rFonts w:asciiTheme="majorHAnsi" w:hAnsiTheme="majorHAnsi" w:cstheme="majorHAnsi"/>
          <w:b w:val="0"/>
          <w:i w:val="0"/>
        </w:rPr>
        <w:t>f</w:t>
      </w:r>
      <w:r w:rsidR="00D4065B" w:rsidRPr="00A84878">
        <w:rPr>
          <w:rFonts w:asciiTheme="majorHAnsi" w:hAnsiTheme="majorHAnsi" w:cstheme="majorHAnsi"/>
          <w:b w:val="0"/>
          <w:i w:val="0"/>
        </w:rPr>
        <w:t>or example, where an agent lender continues to report any modification or termination of outstanding loans arranged by that agent lender.</w:t>
      </w:r>
    </w:p>
    <w:p w14:paraId="61CD331E" w14:textId="77777777" w:rsidR="00341CC0" w:rsidRPr="00DE54BD" w:rsidRDefault="00CF419C" w:rsidP="00DE54BD">
      <w:pPr>
        <w:spacing w:before="280" w:after="140"/>
        <w:rPr>
          <w:rFonts w:asciiTheme="majorHAnsi" w:hAnsiTheme="majorHAnsi" w:cstheme="majorHAnsi"/>
          <w:b/>
          <w:sz w:val="22"/>
          <w:u w:val="single"/>
        </w:rPr>
      </w:pPr>
      <w:r w:rsidRPr="00FA0467">
        <w:rPr>
          <w:rFonts w:asciiTheme="majorHAnsi" w:hAnsiTheme="majorHAnsi" w:cstheme="majorHAnsi"/>
          <w:b/>
          <w:sz w:val="22"/>
          <w:u w:val="single"/>
        </w:rPr>
        <w:t>Mandatory Reporting</w:t>
      </w:r>
      <w:r w:rsidR="00D4065B" w:rsidRPr="00FA0467">
        <w:rPr>
          <w:rFonts w:asciiTheme="majorHAnsi" w:hAnsiTheme="majorHAnsi" w:cstheme="majorHAnsi"/>
          <w:b/>
          <w:sz w:val="22"/>
          <w:u w:val="single"/>
        </w:rPr>
        <w:t xml:space="preserve"> Provisions</w:t>
      </w:r>
    </w:p>
    <w:p w14:paraId="182F026F" w14:textId="77777777" w:rsidR="00D4065B" w:rsidRPr="00A84878" w:rsidRDefault="00D4065B" w:rsidP="00341CC0">
      <w:pPr>
        <w:pStyle w:val="Body1Bold"/>
        <w:rPr>
          <w:rFonts w:asciiTheme="majorHAnsi" w:hAnsiTheme="majorHAnsi" w:cstheme="majorHAnsi"/>
          <w:b w:val="0"/>
          <w:i w:val="0"/>
        </w:rPr>
      </w:pPr>
      <w:r w:rsidRPr="00A84878">
        <w:rPr>
          <w:rFonts w:asciiTheme="majorHAnsi" w:hAnsiTheme="majorHAnsi" w:cstheme="majorHAnsi"/>
          <w:b w:val="0"/>
          <w:i w:val="0"/>
        </w:rPr>
        <w:t>The MRRA is constructed such that the parties may agree to delete the Mandatory Reporting Provisions section from the MRRA and only include the Delegated Reporting Provisions</w:t>
      </w:r>
      <w:r w:rsidR="00977E48" w:rsidRPr="00A84878">
        <w:rPr>
          <w:rFonts w:asciiTheme="majorHAnsi" w:hAnsiTheme="majorHAnsi" w:cstheme="majorHAnsi"/>
          <w:b w:val="0"/>
          <w:i w:val="0"/>
        </w:rPr>
        <w:t xml:space="preserve"> (or vice versa)</w:t>
      </w:r>
      <w:r w:rsidRPr="00A84878">
        <w:rPr>
          <w:rFonts w:asciiTheme="majorHAnsi" w:hAnsiTheme="majorHAnsi" w:cstheme="majorHAnsi"/>
          <w:b w:val="0"/>
          <w:i w:val="0"/>
        </w:rPr>
        <w:t>. Where the parties have indicated that Mandatory Reporting is applicable to certain or all Relevant Transactions within Paragraph 3 (</w:t>
      </w:r>
      <w:r w:rsidRPr="00A84878">
        <w:rPr>
          <w:rFonts w:asciiTheme="majorHAnsi" w:hAnsiTheme="majorHAnsi" w:cstheme="majorHAnsi"/>
          <w:b w:val="0"/>
        </w:rPr>
        <w:t>Relevant Transactions and Related Elections</w:t>
      </w:r>
      <w:r w:rsidRPr="00A84878">
        <w:rPr>
          <w:rFonts w:asciiTheme="majorHAnsi" w:hAnsiTheme="majorHAnsi" w:cstheme="majorHAnsi"/>
          <w:b w:val="0"/>
          <w:i w:val="0"/>
        </w:rPr>
        <w:t xml:space="preserve">) of an Annex, then the parties should retain the Mandatory Reporting Provisions. </w:t>
      </w:r>
    </w:p>
    <w:p w14:paraId="5E7D0B74" w14:textId="19F0B057" w:rsidR="0097758E" w:rsidRPr="00A84878" w:rsidRDefault="0097758E" w:rsidP="00D4065B">
      <w:pPr>
        <w:pStyle w:val="Body1Bold"/>
        <w:rPr>
          <w:rFonts w:asciiTheme="majorHAnsi" w:hAnsiTheme="majorHAnsi" w:cstheme="majorHAnsi"/>
          <w:b w:val="0"/>
          <w:i w:val="0"/>
        </w:rPr>
      </w:pPr>
      <w:r w:rsidRPr="00A84878">
        <w:rPr>
          <w:rFonts w:asciiTheme="majorHAnsi" w:hAnsiTheme="majorHAnsi" w:cstheme="majorHAnsi"/>
          <w:b w:val="0"/>
          <w:i w:val="0"/>
        </w:rPr>
        <w:t xml:space="preserve">If the Client is an NFC+ </w:t>
      </w:r>
      <w:r w:rsidR="00D93114" w:rsidRPr="00A84878">
        <w:rPr>
          <w:rFonts w:asciiTheme="majorHAnsi" w:hAnsiTheme="majorHAnsi" w:cstheme="majorHAnsi"/>
          <w:b w:val="0"/>
          <w:i w:val="0"/>
        </w:rPr>
        <w:t xml:space="preserve">or </w:t>
      </w:r>
      <w:r w:rsidR="00D75872">
        <w:rPr>
          <w:rFonts w:asciiTheme="majorHAnsi" w:hAnsiTheme="majorHAnsi" w:cstheme="majorHAnsi"/>
          <w:b w:val="0"/>
          <w:i w:val="0"/>
        </w:rPr>
        <w:t xml:space="preserve">(in the case of SFTR) </w:t>
      </w:r>
      <w:r w:rsidR="00D93114" w:rsidRPr="00A84878">
        <w:rPr>
          <w:rFonts w:asciiTheme="majorHAnsi" w:hAnsiTheme="majorHAnsi" w:cstheme="majorHAnsi"/>
          <w:b w:val="0"/>
          <w:i w:val="0"/>
        </w:rPr>
        <w:t xml:space="preserve">an NFC other than an NFC- SME </w:t>
      </w:r>
      <w:r w:rsidRPr="00A84878">
        <w:rPr>
          <w:rFonts w:asciiTheme="majorHAnsi" w:hAnsiTheme="majorHAnsi" w:cstheme="majorHAnsi"/>
          <w:b w:val="0"/>
          <w:i w:val="0"/>
        </w:rPr>
        <w:t>and therefore could become a</w:t>
      </w:r>
      <w:r w:rsidR="007A58D1" w:rsidRPr="00A84878">
        <w:rPr>
          <w:rFonts w:asciiTheme="majorHAnsi" w:hAnsiTheme="majorHAnsi" w:cstheme="majorHAnsi"/>
          <w:b w:val="0"/>
          <w:i w:val="0"/>
        </w:rPr>
        <w:t xml:space="preserve">n NFC- or </w:t>
      </w:r>
      <w:r w:rsidR="00D93114" w:rsidRPr="00A84878">
        <w:rPr>
          <w:rFonts w:asciiTheme="majorHAnsi" w:hAnsiTheme="majorHAnsi" w:cstheme="majorHAnsi"/>
          <w:b w:val="0"/>
          <w:i w:val="0"/>
        </w:rPr>
        <w:t xml:space="preserve">NFC- </w:t>
      </w:r>
      <w:r w:rsidR="007A58D1" w:rsidRPr="00A84878">
        <w:rPr>
          <w:rFonts w:asciiTheme="majorHAnsi" w:hAnsiTheme="majorHAnsi" w:cstheme="majorHAnsi"/>
          <w:b w:val="0"/>
          <w:i w:val="0"/>
        </w:rPr>
        <w:t>SME in future, and an election for ‘Automatic Transition to Mandatory Reporting’ has been made, the Mandatory Reporting Provisions should also be retained.</w:t>
      </w:r>
    </w:p>
    <w:p w14:paraId="7E2D44A4" w14:textId="77777777" w:rsidR="004A2C2F" w:rsidRPr="00A84878" w:rsidRDefault="00D4065B" w:rsidP="00DE54BD">
      <w:pPr>
        <w:pStyle w:val="Level2"/>
        <w:numPr>
          <w:ilvl w:val="0"/>
          <w:numId w:val="0"/>
        </w:numPr>
        <w:spacing w:before="280"/>
        <w:ind w:left="680" w:hanging="680"/>
        <w:rPr>
          <w:rFonts w:asciiTheme="majorHAnsi" w:hAnsiTheme="majorHAnsi" w:cstheme="majorHAnsi"/>
          <w:b/>
        </w:rPr>
      </w:pPr>
      <w:r w:rsidRPr="00A84878">
        <w:rPr>
          <w:rFonts w:asciiTheme="majorHAnsi" w:hAnsiTheme="majorHAnsi" w:cstheme="majorHAnsi"/>
          <w:b/>
        </w:rPr>
        <w:t>Section 2</w:t>
      </w:r>
      <w:r w:rsidR="00E25084" w:rsidRPr="00A84878">
        <w:rPr>
          <w:rFonts w:asciiTheme="majorHAnsi" w:hAnsiTheme="majorHAnsi" w:cstheme="majorHAnsi"/>
          <w:b/>
        </w:rPr>
        <w:t xml:space="preserve"> (</w:t>
      </w:r>
      <w:r w:rsidR="00E25084" w:rsidRPr="00A84878">
        <w:rPr>
          <w:rFonts w:asciiTheme="majorHAnsi" w:hAnsiTheme="majorHAnsi" w:cstheme="majorHAnsi"/>
          <w:b/>
          <w:i/>
        </w:rPr>
        <w:t>Mandatory Reporting</w:t>
      </w:r>
      <w:r w:rsidR="00E25084" w:rsidRPr="00A84878">
        <w:rPr>
          <w:rFonts w:asciiTheme="majorHAnsi" w:hAnsiTheme="majorHAnsi" w:cstheme="majorHAnsi"/>
          <w:b/>
        </w:rPr>
        <w:t>)</w:t>
      </w:r>
      <w:r w:rsidRPr="00A84878">
        <w:rPr>
          <w:rFonts w:asciiTheme="majorHAnsi" w:hAnsiTheme="majorHAnsi" w:cstheme="majorHAnsi"/>
          <w:b/>
        </w:rPr>
        <w:t xml:space="preserve"> of the Mandatory Reporting Provisions</w:t>
      </w:r>
    </w:p>
    <w:p w14:paraId="29AF502D" w14:textId="485BF452" w:rsidR="00DF77D8" w:rsidRPr="00A84878" w:rsidRDefault="00480771" w:rsidP="00480771">
      <w:pPr>
        <w:pStyle w:val="Level2"/>
        <w:numPr>
          <w:ilvl w:val="0"/>
          <w:numId w:val="0"/>
        </w:numPr>
        <w:rPr>
          <w:rFonts w:asciiTheme="majorHAnsi" w:hAnsiTheme="majorHAnsi" w:cstheme="majorHAnsi"/>
        </w:rPr>
      </w:pPr>
      <w:r w:rsidRPr="00A84878">
        <w:rPr>
          <w:rFonts w:asciiTheme="majorHAnsi" w:hAnsiTheme="majorHAnsi" w:cstheme="majorHAnsi"/>
        </w:rPr>
        <w:t xml:space="preserve">Unlike the Delegated Reporting Provisions, the Mandatory Reporting Provisions do not contain a </w:t>
      </w:r>
      <w:r w:rsidR="00B50F5A" w:rsidRPr="00A84878">
        <w:rPr>
          <w:rFonts w:asciiTheme="majorHAnsi" w:hAnsiTheme="majorHAnsi" w:cstheme="majorHAnsi"/>
        </w:rPr>
        <w:t>section</w:t>
      </w:r>
      <w:r w:rsidRPr="00A84878">
        <w:rPr>
          <w:rFonts w:asciiTheme="majorHAnsi" w:hAnsiTheme="majorHAnsi" w:cstheme="majorHAnsi"/>
        </w:rPr>
        <w:t xml:space="preserve"> addressing the Reporting Party’s obligation to report the Relevant Data in respect of the Relevant Transactions. This obligation </w:t>
      </w:r>
      <w:r w:rsidR="00DF77D8" w:rsidRPr="00A84878">
        <w:rPr>
          <w:rFonts w:asciiTheme="majorHAnsi" w:hAnsiTheme="majorHAnsi" w:cstheme="majorHAnsi"/>
        </w:rPr>
        <w:t>rests on the Reporting Party pursuant to either EMIR</w:t>
      </w:r>
      <w:r w:rsidR="00F24B56">
        <w:rPr>
          <w:rFonts w:asciiTheme="majorHAnsi" w:hAnsiTheme="majorHAnsi" w:cstheme="majorHAnsi"/>
        </w:rPr>
        <w:t>/UK EMIR</w:t>
      </w:r>
      <w:r w:rsidR="00DF77D8" w:rsidRPr="00A84878">
        <w:rPr>
          <w:rFonts w:asciiTheme="majorHAnsi" w:hAnsiTheme="majorHAnsi" w:cstheme="majorHAnsi"/>
        </w:rPr>
        <w:t xml:space="preserve"> or SFTR. Section 2 instead include various </w:t>
      </w:r>
      <w:r w:rsidR="00B50F5A" w:rsidRPr="00A84878">
        <w:rPr>
          <w:rFonts w:asciiTheme="majorHAnsi" w:hAnsiTheme="majorHAnsi" w:cstheme="majorHAnsi"/>
        </w:rPr>
        <w:t>sections</w:t>
      </w:r>
      <w:r w:rsidR="00DF77D8" w:rsidRPr="00A84878">
        <w:rPr>
          <w:rFonts w:asciiTheme="majorHAnsi" w:hAnsiTheme="majorHAnsi" w:cstheme="majorHAnsi"/>
        </w:rPr>
        <w:t xml:space="preserve"> intended to regulate the relationship between the NFC- or </w:t>
      </w:r>
      <w:r w:rsidR="00D93114" w:rsidRPr="00A84878">
        <w:rPr>
          <w:rFonts w:asciiTheme="majorHAnsi" w:hAnsiTheme="majorHAnsi" w:cstheme="majorHAnsi"/>
        </w:rPr>
        <w:t xml:space="preserve">NFC- </w:t>
      </w:r>
      <w:r w:rsidR="00DF77D8" w:rsidRPr="00A84878">
        <w:rPr>
          <w:rFonts w:asciiTheme="majorHAnsi" w:hAnsiTheme="majorHAnsi" w:cstheme="majorHAnsi"/>
        </w:rPr>
        <w:t xml:space="preserve">SME (as applicable) as Client, and the FC as Reporting Party, and </w:t>
      </w:r>
      <w:r w:rsidR="00541181">
        <w:rPr>
          <w:rFonts w:asciiTheme="majorHAnsi" w:hAnsiTheme="majorHAnsi" w:cstheme="majorHAnsi"/>
        </w:rPr>
        <w:t>facilitate</w:t>
      </w:r>
      <w:r w:rsidR="00DF77D8" w:rsidRPr="00A84878">
        <w:rPr>
          <w:rFonts w:asciiTheme="majorHAnsi" w:hAnsiTheme="majorHAnsi" w:cstheme="majorHAnsi"/>
        </w:rPr>
        <w:t xml:space="preserve"> the Reporting Party </w:t>
      </w:r>
      <w:r w:rsidR="00541181">
        <w:rPr>
          <w:rFonts w:asciiTheme="majorHAnsi" w:hAnsiTheme="majorHAnsi" w:cstheme="majorHAnsi"/>
        </w:rPr>
        <w:t>in</w:t>
      </w:r>
      <w:r w:rsidR="00DF77D8" w:rsidRPr="00A84878">
        <w:rPr>
          <w:rFonts w:asciiTheme="majorHAnsi" w:hAnsiTheme="majorHAnsi" w:cstheme="majorHAnsi"/>
        </w:rPr>
        <w:t xml:space="preserve"> fulfi</w:t>
      </w:r>
      <w:r w:rsidR="00541181">
        <w:rPr>
          <w:rFonts w:asciiTheme="majorHAnsi" w:hAnsiTheme="majorHAnsi" w:cstheme="majorHAnsi"/>
        </w:rPr>
        <w:t>lling</w:t>
      </w:r>
      <w:r w:rsidR="00DF77D8" w:rsidRPr="00A84878">
        <w:rPr>
          <w:rFonts w:asciiTheme="majorHAnsi" w:hAnsiTheme="majorHAnsi" w:cstheme="majorHAnsi"/>
        </w:rPr>
        <w:t xml:space="preserve"> its regulatory obligations. </w:t>
      </w:r>
    </w:p>
    <w:p w14:paraId="45A386EB" w14:textId="1B62BA5D" w:rsidR="00541181" w:rsidRPr="00A84878" w:rsidRDefault="00541181" w:rsidP="00541181">
      <w:pPr>
        <w:pStyle w:val="Level2"/>
        <w:numPr>
          <w:ilvl w:val="0"/>
          <w:numId w:val="57"/>
        </w:numPr>
        <w:rPr>
          <w:rFonts w:asciiTheme="majorHAnsi" w:hAnsiTheme="majorHAnsi" w:cstheme="majorHAnsi"/>
        </w:rPr>
      </w:pPr>
      <w:r>
        <w:rPr>
          <w:rFonts w:asciiTheme="majorHAnsi" w:hAnsiTheme="majorHAnsi" w:cstheme="majorHAnsi"/>
        </w:rPr>
        <w:t>T</w:t>
      </w:r>
      <w:r w:rsidR="00F7773D" w:rsidRPr="00A84878">
        <w:rPr>
          <w:rFonts w:asciiTheme="majorHAnsi" w:hAnsiTheme="majorHAnsi" w:cstheme="majorHAnsi"/>
        </w:rPr>
        <w:t xml:space="preserve">he Client </w:t>
      </w:r>
      <w:r>
        <w:rPr>
          <w:rFonts w:asciiTheme="majorHAnsi" w:hAnsiTheme="majorHAnsi" w:cstheme="majorHAnsi"/>
        </w:rPr>
        <w:t xml:space="preserve">agrees </w:t>
      </w:r>
      <w:r w:rsidR="00F7773D" w:rsidRPr="00A84878">
        <w:rPr>
          <w:rFonts w:asciiTheme="majorHAnsi" w:hAnsiTheme="majorHAnsi" w:cstheme="majorHAnsi"/>
        </w:rPr>
        <w:t xml:space="preserve">to deliver </w:t>
      </w:r>
      <w:r w:rsidR="00977E48" w:rsidRPr="00A84878">
        <w:rPr>
          <w:rFonts w:asciiTheme="majorHAnsi" w:hAnsiTheme="majorHAnsi" w:cstheme="majorHAnsi"/>
        </w:rPr>
        <w:t>certain</w:t>
      </w:r>
      <w:r w:rsidR="00F7773D" w:rsidRPr="00A84878">
        <w:rPr>
          <w:rFonts w:asciiTheme="majorHAnsi" w:hAnsiTheme="majorHAnsi" w:cstheme="majorHAnsi"/>
        </w:rPr>
        <w:t xml:space="preserve"> Counterparty Data to the Reporting Party</w:t>
      </w:r>
      <w:r>
        <w:rPr>
          <w:rFonts w:asciiTheme="majorHAnsi" w:hAnsiTheme="majorHAnsi" w:cstheme="majorHAnsi"/>
        </w:rPr>
        <w:t xml:space="preserve">. </w:t>
      </w:r>
      <w:r w:rsidRPr="00A84878">
        <w:rPr>
          <w:rFonts w:asciiTheme="majorHAnsi" w:hAnsiTheme="majorHAnsi" w:cstheme="majorHAnsi"/>
        </w:rPr>
        <w:t>The Client’s obligation to deliver the Counterparty Data to the Reporting Party reflects the obligation of the NFC- under EMIR</w:t>
      </w:r>
      <w:r w:rsidR="00036641">
        <w:rPr>
          <w:rFonts w:asciiTheme="majorHAnsi" w:hAnsiTheme="majorHAnsi" w:cstheme="majorHAnsi"/>
        </w:rPr>
        <w:t>/UK EMIR</w:t>
      </w:r>
      <w:r w:rsidRPr="00A84878">
        <w:rPr>
          <w:rFonts w:asciiTheme="majorHAnsi" w:hAnsiTheme="majorHAnsi" w:cstheme="majorHAnsi"/>
        </w:rPr>
        <w:t xml:space="preserve"> to provide data that the FC “cannot reasonably be expected to possess” (identified, in this case, as the Counterparty Data).</w:t>
      </w:r>
      <w:r w:rsidR="001E2CDD">
        <w:rPr>
          <w:rStyle w:val="FootnoteReference"/>
          <w:rFonts w:cstheme="majorHAnsi"/>
        </w:rPr>
        <w:footnoteReference w:id="25"/>
      </w:r>
      <w:r w:rsidRPr="00A84878">
        <w:rPr>
          <w:rFonts w:asciiTheme="majorHAnsi" w:hAnsiTheme="majorHAnsi" w:cstheme="majorHAnsi"/>
        </w:rPr>
        <w:t xml:space="preserve"> Although there is no such provision in SFTR, as drafted, this section can be used in the context of both derivatives and SFTs</w:t>
      </w:r>
      <w:r w:rsidR="00E14F6A">
        <w:rPr>
          <w:rFonts w:asciiTheme="majorHAnsi" w:hAnsiTheme="majorHAnsi" w:cstheme="majorHAnsi"/>
        </w:rPr>
        <w:t xml:space="preserve"> (</w:t>
      </w:r>
      <w:r w:rsidR="0079751E">
        <w:rPr>
          <w:rFonts w:asciiTheme="majorHAnsi" w:hAnsiTheme="majorHAnsi" w:cstheme="majorHAnsi"/>
        </w:rPr>
        <w:t xml:space="preserve">albeit, in the latter case, </w:t>
      </w:r>
      <w:r w:rsidR="00E14F6A">
        <w:rPr>
          <w:rFonts w:asciiTheme="majorHAnsi" w:hAnsiTheme="majorHAnsi" w:cstheme="majorHAnsi"/>
        </w:rPr>
        <w:t xml:space="preserve">in </w:t>
      </w:r>
      <w:r w:rsidR="00E14F6A" w:rsidRPr="0079751E">
        <w:rPr>
          <w:rFonts w:asciiTheme="majorHAnsi" w:hAnsiTheme="majorHAnsi" w:cstheme="majorHAnsi"/>
        </w:rPr>
        <w:t>the context of SFTR only</w:t>
      </w:r>
      <w:r w:rsidR="00E14F6A">
        <w:rPr>
          <w:rFonts w:asciiTheme="majorHAnsi" w:hAnsiTheme="majorHAnsi" w:cstheme="majorHAnsi"/>
        </w:rPr>
        <w:t>)</w:t>
      </w:r>
      <w:r w:rsidRPr="00A84878">
        <w:rPr>
          <w:rFonts w:asciiTheme="majorHAnsi" w:hAnsiTheme="majorHAnsi" w:cstheme="majorHAnsi"/>
        </w:rPr>
        <w:t>. Given the counterparty types with respect to which Mandatory Reporting applies, it is less likely that there will be a significant number of instances in which Mandatory Reporting is applicable in respect of SFTs.</w:t>
      </w:r>
    </w:p>
    <w:p w14:paraId="0D23D5E2" w14:textId="1CD45D29" w:rsidR="002D58A3" w:rsidRDefault="00725A4F" w:rsidP="00A123B5">
      <w:pPr>
        <w:pStyle w:val="Level2"/>
        <w:numPr>
          <w:ilvl w:val="0"/>
          <w:numId w:val="57"/>
        </w:numPr>
        <w:rPr>
          <w:rFonts w:asciiTheme="majorHAnsi" w:hAnsiTheme="majorHAnsi" w:cstheme="majorHAnsi"/>
        </w:rPr>
      </w:pPr>
      <w:r>
        <w:rPr>
          <w:rFonts w:asciiTheme="majorHAnsi" w:hAnsiTheme="majorHAnsi" w:cstheme="majorHAnsi"/>
        </w:rPr>
        <w:t xml:space="preserve">Optional wording is included which provides for the Client to agree to use all reasonable endeavours to provide the Reporting Party with </w:t>
      </w:r>
      <w:r w:rsidR="00DC6208">
        <w:rPr>
          <w:rFonts w:asciiTheme="majorHAnsi" w:hAnsiTheme="majorHAnsi" w:cstheme="majorHAnsi"/>
        </w:rPr>
        <w:t>information to facilitate resolution of reconciliation breaks and data errors.</w:t>
      </w:r>
      <w:r w:rsidR="003C3614">
        <w:rPr>
          <w:rFonts w:asciiTheme="majorHAnsi" w:hAnsiTheme="majorHAnsi" w:cstheme="majorHAnsi"/>
        </w:rPr>
        <w:t xml:space="preserve"> </w:t>
      </w:r>
      <w:r w:rsidR="007548E8">
        <w:rPr>
          <w:rFonts w:asciiTheme="majorHAnsi" w:hAnsiTheme="majorHAnsi" w:cstheme="majorHAnsi"/>
        </w:rPr>
        <w:t xml:space="preserve">The parties can </w:t>
      </w:r>
      <w:r w:rsidR="00125D32">
        <w:rPr>
          <w:rFonts w:asciiTheme="majorHAnsi" w:hAnsiTheme="majorHAnsi" w:cstheme="majorHAnsi"/>
        </w:rPr>
        <w:t>set out the</w:t>
      </w:r>
      <w:r w:rsidR="007548E8">
        <w:rPr>
          <w:rFonts w:asciiTheme="majorHAnsi" w:hAnsiTheme="majorHAnsi" w:cstheme="majorHAnsi"/>
        </w:rPr>
        <w:t xml:space="preserve"> </w:t>
      </w:r>
      <w:r w:rsidR="00125D32">
        <w:rPr>
          <w:rFonts w:asciiTheme="majorHAnsi" w:hAnsiTheme="majorHAnsi" w:cstheme="majorHAnsi"/>
        </w:rPr>
        <w:t xml:space="preserve">relevant </w:t>
      </w:r>
      <w:r w:rsidR="003C3614">
        <w:rPr>
          <w:rFonts w:asciiTheme="majorHAnsi" w:hAnsiTheme="majorHAnsi" w:cstheme="majorHAnsi"/>
        </w:rPr>
        <w:t xml:space="preserve">arrangements </w:t>
      </w:r>
      <w:r w:rsidR="007548E8">
        <w:rPr>
          <w:rFonts w:asciiTheme="majorHAnsi" w:hAnsiTheme="majorHAnsi" w:cstheme="majorHAnsi"/>
        </w:rPr>
        <w:t>in a</w:t>
      </w:r>
      <w:r w:rsidR="007548E8" w:rsidRPr="00A84878">
        <w:rPr>
          <w:rFonts w:asciiTheme="majorHAnsi" w:hAnsiTheme="majorHAnsi" w:cstheme="majorHAnsi"/>
        </w:rPr>
        <w:t xml:space="preserve"> Schedule relating to ‘Operational and Procedural Provisions’</w:t>
      </w:r>
      <w:r w:rsidR="007548E8">
        <w:rPr>
          <w:rFonts w:asciiTheme="majorHAnsi" w:hAnsiTheme="majorHAnsi" w:cstheme="majorHAnsi"/>
        </w:rPr>
        <w:t>.</w:t>
      </w:r>
    </w:p>
    <w:p w14:paraId="2D7BC488" w14:textId="2592D5E1" w:rsidR="00F7773D" w:rsidRPr="00541181" w:rsidRDefault="00541181" w:rsidP="00A123B5">
      <w:pPr>
        <w:pStyle w:val="Level2"/>
        <w:numPr>
          <w:ilvl w:val="0"/>
          <w:numId w:val="57"/>
        </w:numPr>
        <w:rPr>
          <w:rFonts w:asciiTheme="majorHAnsi" w:hAnsiTheme="majorHAnsi" w:cstheme="majorHAnsi"/>
        </w:rPr>
      </w:pPr>
      <w:r w:rsidRPr="00541181">
        <w:rPr>
          <w:rFonts w:asciiTheme="majorHAnsi" w:hAnsiTheme="majorHAnsi" w:cstheme="majorHAnsi"/>
        </w:rPr>
        <w:t>The Client</w:t>
      </w:r>
      <w:r w:rsidR="00F7773D" w:rsidRPr="00541181">
        <w:rPr>
          <w:rFonts w:asciiTheme="majorHAnsi" w:hAnsiTheme="majorHAnsi" w:cstheme="majorHAnsi"/>
        </w:rPr>
        <w:t xml:space="preserve"> represents that the data is, and continues to be</w:t>
      </w:r>
      <w:r w:rsidR="00192B5B" w:rsidRPr="00541181">
        <w:rPr>
          <w:rFonts w:asciiTheme="majorHAnsi" w:hAnsiTheme="majorHAnsi" w:cstheme="majorHAnsi"/>
        </w:rPr>
        <w:t>,</w:t>
      </w:r>
      <w:r w:rsidR="00F7773D" w:rsidRPr="00541181">
        <w:rPr>
          <w:rFonts w:asciiTheme="majorHAnsi" w:hAnsiTheme="majorHAnsi" w:cstheme="majorHAnsi"/>
        </w:rPr>
        <w:t xml:space="preserve"> “true, accurate and complete in every material respect”. </w:t>
      </w:r>
      <w:r w:rsidR="002C2C16" w:rsidRPr="00541181">
        <w:rPr>
          <w:rFonts w:asciiTheme="majorHAnsi" w:hAnsiTheme="majorHAnsi" w:cstheme="majorHAnsi"/>
        </w:rPr>
        <w:t>The Reporting Party may rely on the Counterparty Data without investigation. These elements reflect that, under EMIR</w:t>
      </w:r>
      <w:r w:rsidR="00E14F6A">
        <w:rPr>
          <w:rFonts w:asciiTheme="majorHAnsi" w:hAnsiTheme="majorHAnsi" w:cstheme="majorHAnsi"/>
        </w:rPr>
        <w:t>/UK EMIR</w:t>
      </w:r>
      <w:r w:rsidR="002C2C16" w:rsidRPr="00541181">
        <w:rPr>
          <w:rFonts w:asciiTheme="majorHAnsi" w:hAnsiTheme="majorHAnsi" w:cstheme="majorHAnsi"/>
        </w:rPr>
        <w:t xml:space="preserve">, the Client is required to ensure that the data it provides to the Reporting Party </w:t>
      </w:r>
      <w:r w:rsidR="00021FEA" w:rsidRPr="00541181">
        <w:rPr>
          <w:rFonts w:asciiTheme="majorHAnsi" w:hAnsiTheme="majorHAnsi" w:cstheme="majorHAnsi"/>
        </w:rPr>
        <w:t xml:space="preserve">for reporting purposes </w:t>
      </w:r>
      <w:r w:rsidR="002C2C16" w:rsidRPr="00541181">
        <w:rPr>
          <w:rFonts w:asciiTheme="majorHAnsi" w:hAnsiTheme="majorHAnsi" w:cstheme="majorHAnsi"/>
        </w:rPr>
        <w:t xml:space="preserve">is correct. </w:t>
      </w:r>
      <w:r w:rsidR="00F7773D" w:rsidRPr="00541181">
        <w:rPr>
          <w:rFonts w:asciiTheme="majorHAnsi" w:hAnsiTheme="majorHAnsi" w:cstheme="majorHAnsi"/>
        </w:rPr>
        <w:t xml:space="preserve">Optional </w:t>
      </w:r>
      <w:r w:rsidR="00026B4F" w:rsidRPr="00541181">
        <w:rPr>
          <w:rFonts w:asciiTheme="majorHAnsi" w:hAnsiTheme="majorHAnsi" w:cstheme="majorHAnsi"/>
        </w:rPr>
        <w:t>wording</w:t>
      </w:r>
      <w:r w:rsidR="00F7773D" w:rsidRPr="00541181">
        <w:rPr>
          <w:rFonts w:asciiTheme="majorHAnsi" w:hAnsiTheme="majorHAnsi" w:cstheme="majorHAnsi"/>
        </w:rPr>
        <w:t xml:space="preserve"> </w:t>
      </w:r>
      <w:r w:rsidR="00977E48" w:rsidRPr="00541181">
        <w:rPr>
          <w:rFonts w:asciiTheme="majorHAnsi" w:hAnsiTheme="majorHAnsi" w:cstheme="majorHAnsi"/>
        </w:rPr>
        <w:t>provides</w:t>
      </w:r>
      <w:r w:rsidR="00F7773D" w:rsidRPr="00541181">
        <w:rPr>
          <w:rFonts w:asciiTheme="majorHAnsi" w:hAnsiTheme="majorHAnsi" w:cstheme="majorHAnsi"/>
        </w:rPr>
        <w:t xml:space="preserve"> for the parties to specify whether the Counterparty Data includes Static Data</w:t>
      </w:r>
      <w:r w:rsidR="0030071D" w:rsidRPr="00541181">
        <w:rPr>
          <w:rFonts w:asciiTheme="majorHAnsi" w:hAnsiTheme="majorHAnsi" w:cstheme="majorHAnsi"/>
        </w:rPr>
        <w:t xml:space="preserve"> (i.e. Counterparty Data which is expected to change infrequently or at least not on a trade</w:t>
      </w:r>
      <w:r w:rsidR="0091330C">
        <w:rPr>
          <w:rFonts w:asciiTheme="majorHAnsi" w:hAnsiTheme="majorHAnsi" w:cstheme="majorHAnsi"/>
        </w:rPr>
        <w:t>-</w:t>
      </w:r>
      <w:r w:rsidR="0030071D" w:rsidRPr="00541181">
        <w:rPr>
          <w:rFonts w:asciiTheme="majorHAnsi" w:hAnsiTheme="majorHAnsi" w:cstheme="majorHAnsi"/>
        </w:rPr>
        <w:t>by</w:t>
      </w:r>
      <w:r w:rsidR="0091330C">
        <w:rPr>
          <w:rFonts w:asciiTheme="majorHAnsi" w:hAnsiTheme="majorHAnsi" w:cstheme="majorHAnsi"/>
        </w:rPr>
        <w:t>-</w:t>
      </w:r>
      <w:r w:rsidR="0030071D" w:rsidRPr="00541181">
        <w:rPr>
          <w:rFonts w:asciiTheme="majorHAnsi" w:hAnsiTheme="majorHAnsi" w:cstheme="majorHAnsi"/>
        </w:rPr>
        <w:t>trade basis)</w:t>
      </w:r>
      <w:r w:rsidR="00F7773D" w:rsidRPr="00541181">
        <w:rPr>
          <w:rFonts w:asciiTheme="majorHAnsi" w:hAnsiTheme="majorHAnsi" w:cstheme="majorHAnsi"/>
        </w:rPr>
        <w:t xml:space="preserve"> </w:t>
      </w:r>
      <w:r w:rsidR="00977E48" w:rsidRPr="00541181">
        <w:rPr>
          <w:rFonts w:asciiTheme="majorHAnsi" w:hAnsiTheme="majorHAnsi" w:cstheme="majorHAnsi"/>
        </w:rPr>
        <w:t xml:space="preserve">as </w:t>
      </w:r>
      <w:r w:rsidR="00F7773D" w:rsidRPr="00541181">
        <w:rPr>
          <w:rFonts w:asciiTheme="majorHAnsi" w:hAnsiTheme="majorHAnsi" w:cstheme="majorHAnsi"/>
        </w:rPr>
        <w:t>separately set out in a Schedule to the MRRA.</w:t>
      </w:r>
      <w:r>
        <w:rPr>
          <w:rFonts w:asciiTheme="majorHAnsi" w:hAnsiTheme="majorHAnsi" w:cstheme="majorHAnsi"/>
        </w:rPr>
        <w:t xml:space="preserve"> U</w:t>
      </w:r>
      <w:r w:rsidR="00192B5B" w:rsidRPr="00541181">
        <w:rPr>
          <w:rFonts w:asciiTheme="majorHAnsi" w:hAnsiTheme="majorHAnsi" w:cstheme="majorHAnsi"/>
        </w:rPr>
        <w:t>nlike the Delegated Reporting Provisions, i</w:t>
      </w:r>
      <w:r w:rsidR="00F7773D" w:rsidRPr="00541181">
        <w:rPr>
          <w:rFonts w:asciiTheme="majorHAnsi" w:hAnsiTheme="majorHAnsi" w:cstheme="majorHAnsi"/>
        </w:rPr>
        <w:t xml:space="preserve">f the </w:t>
      </w:r>
      <w:r w:rsidR="00192B5B" w:rsidRPr="00541181">
        <w:rPr>
          <w:rFonts w:asciiTheme="majorHAnsi" w:hAnsiTheme="majorHAnsi" w:cstheme="majorHAnsi"/>
        </w:rPr>
        <w:t xml:space="preserve">Client </w:t>
      </w:r>
      <w:r w:rsidR="00F7773D" w:rsidRPr="00541181">
        <w:rPr>
          <w:rFonts w:asciiTheme="majorHAnsi" w:hAnsiTheme="majorHAnsi" w:cstheme="majorHAnsi"/>
        </w:rPr>
        <w:t>fails to provide Counterparty Data</w:t>
      </w:r>
      <w:r w:rsidR="0091330C">
        <w:rPr>
          <w:rFonts w:asciiTheme="majorHAnsi" w:hAnsiTheme="majorHAnsi" w:cstheme="majorHAnsi"/>
        </w:rPr>
        <w:t>,</w:t>
      </w:r>
      <w:r w:rsidR="002C2C16" w:rsidRPr="00541181">
        <w:rPr>
          <w:rFonts w:asciiTheme="majorHAnsi" w:hAnsiTheme="majorHAnsi" w:cstheme="majorHAnsi"/>
        </w:rPr>
        <w:t xml:space="preserve"> it </w:t>
      </w:r>
      <w:r w:rsidR="00FC1D54" w:rsidRPr="00541181">
        <w:rPr>
          <w:rFonts w:asciiTheme="majorHAnsi" w:hAnsiTheme="majorHAnsi" w:cstheme="majorHAnsi"/>
        </w:rPr>
        <w:t>will be in breach of its obligations under the MRRA</w:t>
      </w:r>
      <w:r w:rsidR="002C2C16" w:rsidRPr="00541181">
        <w:rPr>
          <w:rFonts w:asciiTheme="majorHAnsi" w:hAnsiTheme="majorHAnsi" w:cstheme="majorHAnsi"/>
        </w:rPr>
        <w:t>,</w:t>
      </w:r>
      <w:r w:rsidR="00FC1D54" w:rsidRPr="00541181">
        <w:rPr>
          <w:rFonts w:asciiTheme="majorHAnsi" w:hAnsiTheme="majorHAnsi" w:cstheme="majorHAnsi"/>
        </w:rPr>
        <w:t xml:space="preserve"> but </w:t>
      </w:r>
      <w:r w:rsidR="00F7773D" w:rsidRPr="00541181">
        <w:rPr>
          <w:rFonts w:asciiTheme="majorHAnsi" w:hAnsiTheme="majorHAnsi" w:cstheme="majorHAnsi"/>
        </w:rPr>
        <w:t xml:space="preserve">the Reporting Party will </w:t>
      </w:r>
      <w:r w:rsidR="00FC1D54" w:rsidRPr="00541181">
        <w:rPr>
          <w:rFonts w:asciiTheme="majorHAnsi" w:hAnsiTheme="majorHAnsi" w:cstheme="majorHAnsi"/>
        </w:rPr>
        <w:t>remain subject to its regulatory reporting obligation</w:t>
      </w:r>
      <w:r w:rsidR="00F7773D" w:rsidRPr="00541181">
        <w:rPr>
          <w:rFonts w:asciiTheme="majorHAnsi" w:hAnsiTheme="majorHAnsi" w:cstheme="majorHAnsi"/>
        </w:rPr>
        <w:t>.</w:t>
      </w:r>
    </w:p>
    <w:p w14:paraId="002F631C" w14:textId="77777777" w:rsidR="00FC1D54" w:rsidRPr="00A84878" w:rsidRDefault="00FC1D54" w:rsidP="00FC1D54">
      <w:pPr>
        <w:pStyle w:val="Level2"/>
        <w:numPr>
          <w:ilvl w:val="0"/>
          <w:numId w:val="57"/>
        </w:numPr>
        <w:rPr>
          <w:rFonts w:asciiTheme="majorHAnsi" w:hAnsiTheme="majorHAnsi" w:cstheme="majorHAnsi"/>
        </w:rPr>
      </w:pPr>
      <w:r w:rsidRPr="00A84878">
        <w:rPr>
          <w:rFonts w:asciiTheme="majorHAnsi" w:hAnsiTheme="majorHAnsi" w:cstheme="majorHAnsi"/>
        </w:rPr>
        <w:lastRenderedPageBreak/>
        <w:t xml:space="preserve">Optional </w:t>
      </w:r>
      <w:r w:rsidR="00026B4F" w:rsidRPr="00A84878">
        <w:rPr>
          <w:rFonts w:asciiTheme="majorHAnsi" w:hAnsiTheme="majorHAnsi" w:cstheme="majorHAnsi"/>
        </w:rPr>
        <w:t>wording</w:t>
      </w:r>
      <w:r w:rsidRPr="00A84878">
        <w:rPr>
          <w:rFonts w:asciiTheme="majorHAnsi" w:hAnsiTheme="majorHAnsi" w:cstheme="majorHAnsi"/>
        </w:rPr>
        <w:t xml:space="preserve"> is included in respect of when the Client must deliver the Counterparty Data, with the options being either to deliver it “in time” for the Reporting Party to </w:t>
      </w:r>
      <w:r w:rsidR="00977E48" w:rsidRPr="00A84878">
        <w:rPr>
          <w:rFonts w:asciiTheme="majorHAnsi" w:hAnsiTheme="majorHAnsi" w:cstheme="majorHAnsi"/>
        </w:rPr>
        <w:t xml:space="preserve">report by the Reporting Deadline </w:t>
      </w:r>
      <w:r w:rsidRPr="00A84878">
        <w:rPr>
          <w:rFonts w:asciiTheme="majorHAnsi" w:hAnsiTheme="majorHAnsi" w:cstheme="majorHAnsi"/>
        </w:rPr>
        <w:t xml:space="preserve">or within a </w:t>
      </w:r>
      <w:r w:rsidR="004D126D">
        <w:rPr>
          <w:rFonts w:asciiTheme="majorHAnsi" w:hAnsiTheme="majorHAnsi" w:cstheme="majorHAnsi"/>
        </w:rPr>
        <w:t xml:space="preserve">specific </w:t>
      </w:r>
      <w:proofErr w:type="gramStart"/>
      <w:r w:rsidRPr="00A84878">
        <w:rPr>
          <w:rFonts w:asciiTheme="majorHAnsi" w:hAnsiTheme="majorHAnsi" w:cstheme="majorHAnsi"/>
        </w:rPr>
        <w:t>time period</w:t>
      </w:r>
      <w:proofErr w:type="gramEnd"/>
      <w:r w:rsidRPr="00A84878">
        <w:rPr>
          <w:rFonts w:asciiTheme="majorHAnsi" w:hAnsiTheme="majorHAnsi" w:cstheme="majorHAnsi"/>
        </w:rPr>
        <w:t xml:space="preserve"> </w:t>
      </w:r>
      <w:r w:rsidR="004D126D">
        <w:rPr>
          <w:rFonts w:asciiTheme="majorHAnsi" w:hAnsiTheme="majorHAnsi" w:cstheme="majorHAnsi"/>
        </w:rPr>
        <w:t>set out</w:t>
      </w:r>
      <w:r w:rsidRPr="00A84878">
        <w:rPr>
          <w:rFonts w:asciiTheme="majorHAnsi" w:hAnsiTheme="majorHAnsi" w:cstheme="majorHAnsi"/>
        </w:rPr>
        <w:t xml:space="preserve"> in </w:t>
      </w:r>
      <w:r w:rsidR="004D126D">
        <w:rPr>
          <w:rFonts w:asciiTheme="majorHAnsi" w:hAnsiTheme="majorHAnsi" w:cstheme="majorHAnsi"/>
        </w:rPr>
        <w:t>a</w:t>
      </w:r>
      <w:r w:rsidRPr="00A84878">
        <w:rPr>
          <w:rFonts w:asciiTheme="majorHAnsi" w:hAnsiTheme="majorHAnsi" w:cstheme="majorHAnsi"/>
        </w:rPr>
        <w:t xml:space="preserve"> Schedule relating to ‘Operational and Procedural Provisions’. </w:t>
      </w:r>
    </w:p>
    <w:p w14:paraId="34F9EA83" w14:textId="77777777" w:rsidR="002C2C16" w:rsidRPr="00A84878" w:rsidRDefault="00FC1D54" w:rsidP="008E7D95">
      <w:pPr>
        <w:pStyle w:val="Level2"/>
        <w:numPr>
          <w:ilvl w:val="0"/>
          <w:numId w:val="57"/>
        </w:numPr>
        <w:rPr>
          <w:rFonts w:asciiTheme="majorHAnsi" w:hAnsiTheme="majorHAnsi" w:cstheme="majorHAnsi"/>
        </w:rPr>
      </w:pPr>
      <w:r w:rsidRPr="00A84878">
        <w:rPr>
          <w:rFonts w:asciiTheme="majorHAnsi" w:hAnsiTheme="majorHAnsi" w:cstheme="majorHAnsi"/>
        </w:rPr>
        <w:t xml:space="preserve">The Client also agrees to update any Static Data to ensure it remains “true, accurate and complete in every material respect” and notify the Reporting Party of any such change. Unlike the Delegated Reporting Provisions, the parties are not required to agree the point at which any update to Static Data </w:t>
      </w:r>
      <w:r w:rsidR="00021FEA" w:rsidRPr="00A84878">
        <w:rPr>
          <w:rFonts w:asciiTheme="majorHAnsi" w:hAnsiTheme="majorHAnsi" w:cstheme="majorHAnsi"/>
        </w:rPr>
        <w:t>becomes</w:t>
      </w:r>
      <w:r w:rsidRPr="00A84878">
        <w:rPr>
          <w:rFonts w:asciiTheme="majorHAnsi" w:hAnsiTheme="majorHAnsi" w:cstheme="majorHAnsi"/>
        </w:rPr>
        <w:t xml:space="preserve"> effective.</w:t>
      </w:r>
    </w:p>
    <w:p w14:paraId="72A6660D" w14:textId="77777777" w:rsidR="008C39B1" w:rsidRPr="00A84878" w:rsidRDefault="008C39B1" w:rsidP="00CA6A6E">
      <w:pPr>
        <w:pStyle w:val="Level2"/>
        <w:numPr>
          <w:ilvl w:val="0"/>
          <w:numId w:val="50"/>
        </w:numPr>
        <w:rPr>
          <w:rFonts w:asciiTheme="majorHAnsi" w:hAnsiTheme="majorHAnsi" w:cstheme="majorHAnsi"/>
        </w:rPr>
      </w:pPr>
      <w:r w:rsidRPr="00A84878">
        <w:rPr>
          <w:rFonts w:asciiTheme="majorHAnsi" w:hAnsiTheme="majorHAnsi" w:cstheme="majorHAnsi"/>
        </w:rPr>
        <w:t xml:space="preserve">If the Client fails to provide </w:t>
      </w:r>
      <w:r w:rsidR="00CA6A6E" w:rsidRPr="00A84878">
        <w:rPr>
          <w:rFonts w:asciiTheme="majorHAnsi" w:hAnsiTheme="majorHAnsi" w:cstheme="majorHAnsi"/>
        </w:rPr>
        <w:t>Counterparty Data</w:t>
      </w:r>
      <w:r w:rsidRPr="00A84878">
        <w:rPr>
          <w:rFonts w:asciiTheme="majorHAnsi" w:hAnsiTheme="majorHAnsi" w:cstheme="majorHAnsi"/>
        </w:rPr>
        <w:t>,</w:t>
      </w:r>
      <w:r w:rsidR="00CA6A6E" w:rsidRPr="00A84878">
        <w:rPr>
          <w:rFonts w:asciiTheme="majorHAnsi" w:hAnsiTheme="majorHAnsi" w:cstheme="majorHAnsi"/>
        </w:rPr>
        <w:t xml:space="preserve"> Section 2.1.4 of the Mandatory Reporting Provisions indicates that</w:t>
      </w:r>
      <w:r w:rsidRPr="00A84878">
        <w:rPr>
          <w:rFonts w:asciiTheme="majorHAnsi" w:hAnsiTheme="majorHAnsi" w:cstheme="majorHAnsi"/>
        </w:rPr>
        <w:t xml:space="preserve"> the Reporting Party has discretion to determine the values it will submit to</w:t>
      </w:r>
      <w:r w:rsidR="00CA6A6E" w:rsidRPr="00A84878">
        <w:rPr>
          <w:rFonts w:asciiTheme="majorHAnsi" w:hAnsiTheme="majorHAnsi" w:cstheme="majorHAnsi"/>
        </w:rPr>
        <w:t xml:space="preserve"> the Relevant Trade Repository </w:t>
      </w:r>
      <w:proofErr w:type="gramStart"/>
      <w:r w:rsidR="00CA6A6E" w:rsidRPr="00A84878">
        <w:rPr>
          <w:rFonts w:asciiTheme="majorHAnsi" w:hAnsiTheme="majorHAnsi" w:cstheme="majorHAnsi"/>
        </w:rPr>
        <w:t>in order to</w:t>
      </w:r>
      <w:proofErr w:type="gramEnd"/>
      <w:r w:rsidRPr="00A84878">
        <w:rPr>
          <w:rFonts w:asciiTheme="majorHAnsi" w:hAnsiTheme="majorHAnsi" w:cstheme="majorHAnsi"/>
        </w:rPr>
        <w:t xml:space="preserve"> comply with its </w:t>
      </w:r>
      <w:r w:rsidR="00CA6A6E" w:rsidRPr="00A84878">
        <w:rPr>
          <w:rFonts w:asciiTheme="majorHAnsi" w:hAnsiTheme="majorHAnsi" w:cstheme="majorHAnsi"/>
        </w:rPr>
        <w:t xml:space="preserve">regulatory Reporting Obligation. In doing so, the Reporting Party can submit ‘default values’ to the Relevant Trade Repository, which will likely be the most recent data the Reporting Party holds in the absence of current and accurate Relevant Data. Section 2.1.4 indicates that the Reporting Party will not </w:t>
      </w:r>
      <w:r w:rsidR="00021FEA" w:rsidRPr="00A84878">
        <w:rPr>
          <w:rFonts w:asciiTheme="majorHAnsi" w:hAnsiTheme="majorHAnsi" w:cstheme="majorHAnsi"/>
        </w:rPr>
        <w:t xml:space="preserve">be </w:t>
      </w:r>
      <w:r w:rsidR="00CA6A6E" w:rsidRPr="00A84878">
        <w:rPr>
          <w:rFonts w:asciiTheme="majorHAnsi" w:hAnsiTheme="majorHAnsi" w:cstheme="majorHAnsi"/>
        </w:rPr>
        <w:t xml:space="preserve">liable to the Client for the </w:t>
      </w:r>
      <w:r w:rsidR="00695ABB" w:rsidRPr="00A84878">
        <w:rPr>
          <w:rFonts w:asciiTheme="majorHAnsi" w:hAnsiTheme="majorHAnsi" w:cstheme="majorHAnsi"/>
        </w:rPr>
        <w:t>in</w:t>
      </w:r>
      <w:r w:rsidR="00C7115D" w:rsidRPr="00A84878">
        <w:rPr>
          <w:rFonts w:asciiTheme="majorHAnsi" w:hAnsiTheme="majorHAnsi" w:cstheme="majorHAnsi"/>
        </w:rPr>
        <w:t xml:space="preserve">completeness or </w:t>
      </w:r>
      <w:r w:rsidR="00695ABB" w:rsidRPr="00A84878">
        <w:rPr>
          <w:rFonts w:asciiTheme="majorHAnsi" w:hAnsiTheme="majorHAnsi" w:cstheme="majorHAnsi"/>
        </w:rPr>
        <w:t>in</w:t>
      </w:r>
      <w:r w:rsidR="00C7115D" w:rsidRPr="00A84878">
        <w:rPr>
          <w:rFonts w:asciiTheme="majorHAnsi" w:hAnsiTheme="majorHAnsi" w:cstheme="majorHAnsi"/>
        </w:rPr>
        <w:t xml:space="preserve">accuracy of values it submits, </w:t>
      </w:r>
      <w:r w:rsidR="00021FEA" w:rsidRPr="00A84878">
        <w:rPr>
          <w:rFonts w:asciiTheme="majorHAnsi" w:hAnsiTheme="majorHAnsi" w:cstheme="majorHAnsi"/>
        </w:rPr>
        <w:t xml:space="preserve">nor </w:t>
      </w:r>
      <w:r w:rsidR="00C7115D" w:rsidRPr="00A84878">
        <w:rPr>
          <w:rFonts w:asciiTheme="majorHAnsi" w:hAnsiTheme="majorHAnsi" w:cstheme="majorHAnsi"/>
        </w:rPr>
        <w:t xml:space="preserve">will </w:t>
      </w:r>
      <w:r w:rsidR="00021FEA" w:rsidRPr="00A84878">
        <w:rPr>
          <w:rFonts w:asciiTheme="majorHAnsi" w:hAnsiTheme="majorHAnsi" w:cstheme="majorHAnsi"/>
        </w:rPr>
        <w:t xml:space="preserve">it </w:t>
      </w:r>
      <w:r w:rsidR="00C7115D" w:rsidRPr="00A84878">
        <w:rPr>
          <w:rFonts w:asciiTheme="majorHAnsi" w:hAnsiTheme="majorHAnsi" w:cstheme="majorHAnsi"/>
        </w:rPr>
        <w:t xml:space="preserve">be required to subsequently correct any </w:t>
      </w:r>
      <w:r w:rsidR="00CA6A6E" w:rsidRPr="00A84878">
        <w:rPr>
          <w:rFonts w:asciiTheme="majorHAnsi" w:hAnsiTheme="majorHAnsi" w:cstheme="majorHAnsi"/>
        </w:rPr>
        <w:t xml:space="preserve">such </w:t>
      </w:r>
      <w:r w:rsidR="00C7115D" w:rsidRPr="00A84878">
        <w:rPr>
          <w:rFonts w:asciiTheme="majorHAnsi" w:hAnsiTheme="majorHAnsi" w:cstheme="majorHAnsi"/>
        </w:rPr>
        <w:t xml:space="preserve">data submitted </w:t>
      </w:r>
      <w:r w:rsidR="00CA6A6E" w:rsidRPr="00A84878">
        <w:rPr>
          <w:rFonts w:asciiTheme="majorHAnsi" w:hAnsiTheme="majorHAnsi" w:cstheme="majorHAnsi"/>
        </w:rPr>
        <w:t>pursuant to this discretion</w:t>
      </w:r>
      <w:r w:rsidR="00C7115D" w:rsidRPr="00A84878">
        <w:rPr>
          <w:rFonts w:asciiTheme="majorHAnsi" w:hAnsiTheme="majorHAnsi" w:cstheme="majorHAnsi"/>
        </w:rPr>
        <w:t>.</w:t>
      </w:r>
    </w:p>
    <w:p w14:paraId="74A5ED5E" w14:textId="77777777" w:rsidR="00F1527A" w:rsidRPr="00A84878" w:rsidRDefault="00F1527A" w:rsidP="00F1527A">
      <w:pPr>
        <w:pStyle w:val="Level2"/>
        <w:numPr>
          <w:ilvl w:val="0"/>
          <w:numId w:val="0"/>
        </w:numPr>
        <w:rPr>
          <w:rFonts w:asciiTheme="majorHAnsi" w:hAnsiTheme="majorHAnsi" w:cstheme="majorHAnsi"/>
        </w:rPr>
      </w:pPr>
      <w:r w:rsidRPr="00A84878">
        <w:rPr>
          <w:rFonts w:asciiTheme="majorHAnsi" w:hAnsiTheme="majorHAnsi" w:cstheme="majorHAnsi"/>
        </w:rPr>
        <w:t xml:space="preserve">In respect of the </w:t>
      </w:r>
      <w:r w:rsidR="00E25562">
        <w:rPr>
          <w:rFonts w:asciiTheme="majorHAnsi" w:hAnsiTheme="majorHAnsi" w:cstheme="majorHAnsi"/>
        </w:rPr>
        <w:t>UTI</w:t>
      </w:r>
      <w:r w:rsidRPr="00A84878">
        <w:rPr>
          <w:rFonts w:asciiTheme="majorHAnsi" w:hAnsiTheme="majorHAnsi" w:cstheme="majorHAnsi"/>
        </w:rPr>
        <w:t xml:space="preserve">, Section 2.2 provides flexibility in respect of whether the Reporting Party may or shall generate the trade identifier depending on the relationship between </w:t>
      </w:r>
      <w:r w:rsidR="0091330C">
        <w:rPr>
          <w:rFonts w:asciiTheme="majorHAnsi" w:hAnsiTheme="majorHAnsi" w:cstheme="majorHAnsi"/>
        </w:rPr>
        <w:t xml:space="preserve">the </w:t>
      </w:r>
      <w:r w:rsidRPr="00A84878">
        <w:rPr>
          <w:rFonts w:asciiTheme="majorHAnsi" w:hAnsiTheme="majorHAnsi" w:cstheme="majorHAnsi"/>
        </w:rPr>
        <w:t xml:space="preserve">Delegating Party and </w:t>
      </w:r>
      <w:r w:rsidR="0091330C">
        <w:rPr>
          <w:rFonts w:asciiTheme="majorHAnsi" w:hAnsiTheme="majorHAnsi" w:cstheme="majorHAnsi"/>
        </w:rPr>
        <w:t xml:space="preserve">the </w:t>
      </w:r>
      <w:r w:rsidRPr="00A84878">
        <w:rPr>
          <w:rFonts w:asciiTheme="majorHAnsi" w:hAnsiTheme="majorHAnsi" w:cstheme="majorHAnsi"/>
        </w:rPr>
        <w:t xml:space="preserve">Reporting Party and their respective responsibilities. Where the Reporting Party is an agent lender, for example, the UTI may </w:t>
      </w:r>
      <w:r w:rsidR="004D126D">
        <w:rPr>
          <w:rFonts w:asciiTheme="majorHAnsi" w:hAnsiTheme="majorHAnsi" w:cstheme="majorHAnsi"/>
        </w:rPr>
        <w:t xml:space="preserve">in practice </w:t>
      </w:r>
      <w:r w:rsidRPr="00A84878">
        <w:rPr>
          <w:rFonts w:asciiTheme="majorHAnsi" w:hAnsiTheme="majorHAnsi" w:cstheme="majorHAnsi"/>
        </w:rPr>
        <w:t>be generated by the relevant borrower</w:t>
      </w:r>
      <w:r w:rsidR="00977E48" w:rsidRPr="00A84878">
        <w:rPr>
          <w:rFonts w:asciiTheme="majorHAnsi" w:hAnsiTheme="majorHAnsi" w:cstheme="majorHAnsi"/>
        </w:rPr>
        <w:t xml:space="preserve"> rather than the agent lender</w:t>
      </w:r>
      <w:r w:rsidRPr="00A84878">
        <w:rPr>
          <w:rFonts w:asciiTheme="majorHAnsi" w:hAnsiTheme="majorHAnsi" w:cstheme="majorHAnsi"/>
        </w:rPr>
        <w:t>.</w:t>
      </w:r>
    </w:p>
    <w:p w14:paraId="1C9017AD" w14:textId="3A58B9E1" w:rsidR="00F1527A" w:rsidRPr="00A84878" w:rsidRDefault="00F1527A" w:rsidP="00F1527A">
      <w:pPr>
        <w:pStyle w:val="Body1"/>
        <w:ind w:left="0"/>
        <w:rPr>
          <w:rFonts w:asciiTheme="majorHAnsi" w:hAnsiTheme="majorHAnsi" w:cstheme="majorHAnsi"/>
          <w:b/>
          <w:szCs w:val="20"/>
        </w:rPr>
      </w:pPr>
      <w:r w:rsidRPr="00A84878">
        <w:rPr>
          <w:rFonts w:asciiTheme="majorHAnsi" w:hAnsiTheme="majorHAnsi" w:cstheme="majorHAnsi"/>
        </w:rPr>
        <w:t xml:space="preserve">There is also an option for the parties to agree operational and procedural reporting conditions in </w:t>
      </w:r>
      <w:r w:rsidR="004D126D">
        <w:rPr>
          <w:rFonts w:asciiTheme="majorHAnsi" w:hAnsiTheme="majorHAnsi" w:cstheme="majorHAnsi"/>
        </w:rPr>
        <w:t>a</w:t>
      </w:r>
      <w:r w:rsidRPr="00A84878">
        <w:rPr>
          <w:rFonts w:asciiTheme="majorHAnsi" w:hAnsiTheme="majorHAnsi" w:cstheme="majorHAnsi"/>
        </w:rPr>
        <w:t xml:space="preserve"> Schedule relating to ‘Operational and Procedural Provisions’ and to state that they are bound by such conditions. The parties should consider the details they may want to exchange in any such Schedule. </w:t>
      </w:r>
    </w:p>
    <w:p w14:paraId="5EE90A4F" w14:textId="77777777" w:rsidR="00CD4196"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3 (</w:t>
      </w:r>
      <w:r w:rsidR="0097758E" w:rsidRPr="00A84878">
        <w:rPr>
          <w:rFonts w:asciiTheme="majorHAnsi" w:hAnsiTheme="majorHAnsi" w:cstheme="majorHAnsi"/>
          <w:b/>
          <w:i/>
        </w:rPr>
        <w:t>Liability</w:t>
      </w:r>
      <w:r w:rsidRPr="00A84878">
        <w:rPr>
          <w:rFonts w:asciiTheme="majorHAnsi" w:hAnsiTheme="majorHAnsi" w:cstheme="majorHAnsi"/>
          <w:b/>
        </w:rPr>
        <w:t>)</w:t>
      </w:r>
      <w:r w:rsidR="00CD4196" w:rsidRPr="00A84878">
        <w:rPr>
          <w:rFonts w:asciiTheme="majorHAnsi" w:hAnsiTheme="majorHAnsi" w:cstheme="majorHAnsi"/>
          <w:b/>
        </w:rPr>
        <w:t xml:space="preserve"> of the Mandatory Reporting Provisions</w:t>
      </w:r>
    </w:p>
    <w:p w14:paraId="2D3D56F6" w14:textId="77777777" w:rsidR="00A1621B" w:rsidRDefault="00671F67" w:rsidP="00A1621B">
      <w:pPr>
        <w:pStyle w:val="Level2"/>
        <w:numPr>
          <w:ilvl w:val="0"/>
          <w:numId w:val="0"/>
        </w:numPr>
        <w:rPr>
          <w:rFonts w:asciiTheme="majorHAnsi" w:hAnsiTheme="majorHAnsi" w:cstheme="majorHAnsi"/>
        </w:rPr>
      </w:pPr>
      <w:r w:rsidRPr="00A84878">
        <w:rPr>
          <w:rFonts w:asciiTheme="majorHAnsi" w:hAnsiTheme="majorHAnsi" w:cstheme="majorHAnsi"/>
        </w:rPr>
        <w:t>An abbreviated liability provision is included at Section 3 as an optional provision in square brackets.</w:t>
      </w:r>
      <w:r w:rsidR="00A1621B" w:rsidRPr="00A84878">
        <w:rPr>
          <w:rFonts w:asciiTheme="majorHAnsi" w:hAnsiTheme="majorHAnsi" w:cstheme="majorHAnsi"/>
        </w:rPr>
        <w:t xml:space="preserve"> </w:t>
      </w:r>
    </w:p>
    <w:p w14:paraId="253DE22D" w14:textId="77777777" w:rsidR="00D72EBC" w:rsidRDefault="00D72EBC" w:rsidP="00A1621B">
      <w:pPr>
        <w:pStyle w:val="Level2"/>
        <w:numPr>
          <w:ilvl w:val="0"/>
          <w:numId w:val="0"/>
        </w:numPr>
        <w:rPr>
          <w:rFonts w:asciiTheme="majorHAnsi" w:hAnsiTheme="majorHAnsi" w:cstheme="majorHAnsi"/>
        </w:rPr>
      </w:pPr>
      <w:r>
        <w:t xml:space="preserve">Section </w:t>
      </w:r>
      <w:r w:rsidR="00C83913">
        <w:t>3</w:t>
      </w:r>
      <w:r>
        <w:t xml:space="preserve"> is expressed to apply only to the extent permitted by applicable law</w:t>
      </w:r>
      <w:r w:rsidRPr="00D93D78">
        <w:t xml:space="preserve">. This may depend on the specific circumstances in which the MRRA is </w:t>
      </w:r>
      <w:proofErr w:type="gramStart"/>
      <w:r w:rsidRPr="00D93D78">
        <w:t>entered into</w:t>
      </w:r>
      <w:proofErr w:type="gramEnd"/>
      <w:r w:rsidRPr="00D93D78">
        <w:t>, the relationship between the parties and the particular regulator(s) with oversight of the Reporting Party. The Reporting Party should consider consulting its own independent professional advisers in respect of these issues.</w:t>
      </w:r>
    </w:p>
    <w:p w14:paraId="521AA4C6" w14:textId="77777777" w:rsidR="00A1621B"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4 (</w:t>
      </w:r>
      <w:r w:rsidR="00A1621B" w:rsidRPr="00A84878">
        <w:rPr>
          <w:rFonts w:asciiTheme="majorHAnsi" w:hAnsiTheme="majorHAnsi" w:cstheme="majorHAnsi"/>
          <w:b/>
          <w:i/>
        </w:rPr>
        <w:t>Indemnity</w:t>
      </w:r>
      <w:r w:rsidRPr="00A84878">
        <w:rPr>
          <w:rFonts w:asciiTheme="majorHAnsi" w:hAnsiTheme="majorHAnsi" w:cstheme="majorHAnsi"/>
          <w:b/>
        </w:rPr>
        <w:t>)</w:t>
      </w:r>
      <w:r w:rsidR="00A1621B" w:rsidRPr="00A84878">
        <w:rPr>
          <w:rFonts w:asciiTheme="majorHAnsi" w:hAnsiTheme="majorHAnsi" w:cstheme="majorHAnsi"/>
          <w:b/>
        </w:rPr>
        <w:t xml:space="preserve"> of the Mandatory Reporting Provisions</w:t>
      </w:r>
    </w:p>
    <w:p w14:paraId="63302442" w14:textId="77777777" w:rsidR="00176461" w:rsidRDefault="0081014B" w:rsidP="0081014B">
      <w:pPr>
        <w:pStyle w:val="Level2"/>
        <w:numPr>
          <w:ilvl w:val="0"/>
          <w:numId w:val="0"/>
        </w:numPr>
        <w:rPr>
          <w:rFonts w:asciiTheme="majorHAnsi" w:hAnsiTheme="majorHAnsi" w:cstheme="majorHAnsi"/>
        </w:rPr>
      </w:pPr>
      <w:r w:rsidRPr="00A84878">
        <w:rPr>
          <w:rFonts w:asciiTheme="majorHAnsi" w:hAnsiTheme="majorHAnsi" w:cstheme="majorHAnsi"/>
        </w:rPr>
        <w:t xml:space="preserve">An abbreviated indemnity provision is included at Section 4 as an optional provision in square brackets. Pursuant to this </w:t>
      </w:r>
      <w:r w:rsidR="00B50F5A" w:rsidRPr="00A84878">
        <w:rPr>
          <w:rFonts w:asciiTheme="majorHAnsi" w:hAnsiTheme="majorHAnsi" w:cstheme="majorHAnsi"/>
        </w:rPr>
        <w:t>section</w:t>
      </w:r>
      <w:r w:rsidRPr="00A84878">
        <w:rPr>
          <w:rFonts w:asciiTheme="majorHAnsi" w:hAnsiTheme="majorHAnsi" w:cstheme="majorHAnsi"/>
        </w:rPr>
        <w:t xml:space="preserve">, the Client indemnifies the Reporting Party </w:t>
      </w:r>
      <w:r w:rsidR="00176461" w:rsidRPr="00A84878">
        <w:rPr>
          <w:rFonts w:asciiTheme="majorHAnsi" w:hAnsiTheme="majorHAnsi" w:cstheme="majorHAnsi"/>
        </w:rPr>
        <w:t>against any loss caused</w:t>
      </w:r>
      <w:r w:rsidR="0091330C">
        <w:rPr>
          <w:rFonts w:asciiTheme="majorHAnsi" w:hAnsiTheme="majorHAnsi" w:cstheme="majorHAnsi"/>
        </w:rPr>
        <w:t>:</w:t>
      </w:r>
      <w:r w:rsidR="00176461" w:rsidRPr="00A84878">
        <w:rPr>
          <w:rFonts w:asciiTheme="majorHAnsi" w:hAnsiTheme="majorHAnsi" w:cstheme="majorHAnsi"/>
        </w:rPr>
        <w:t xml:space="preserve"> </w:t>
      </w:r>
      <w:r w:rsidRPr="00A84878">
        <w:rPr>
          <w:rFonts w:asciiTheme="majorHAnsi" w:hAnsiTheme="majorHAnsi" w:cstheme="majorHAnsi"/>
        </w:rPr>
        <w:t xml:space="preserve">(i) </w:t>
      </w:r>
      <w:r w:rsidR="00176461" w:rsidRPr="00A84878">
        <w:rPr>
          <w:rFonts w:asciiTheme="majorHAnsi" w:hAnsiTheme="majorHAnsi" w:cstheme="majorHAnsi"/>
        </w:rPr>
        <w:t>by</w:t>
      </w:r>
      <w:r w:rsidRPr="00A84878">
        <w:rPr>
          <w:rFonts w:asciiTheme="majorHAnsi" w:hAnsiTheme="majorHAnsi" w:cstheme="majorHAnsi"/>
        </w:rPr>
        <w:t xml:space="preserve"> </w:t>
      </w:r>
      <w:r w:rsidR="00176461" w:rsidRPr="00A84878">
        <w:rPr>
          <w:rFonts w:asciiTheme="majorHAnsi" w:hAnsiTheme="majorHAnsi" w:cstheme="majorHAnsi"/>
        </w:rPr>
        <w:t xml:space="preserve">any information provided </w:t>
      </w:r>
      <w:r w:rsidRPr="00A84878">
        <w:rPr>
          <w:rFonts w:asciiTheme="majorHAnsi" w:hAnsiTheme="majorHAnsi" w:cstheme="majorHAnsi"/>
        </w:rPr>
        <w:t xml:space="preserve">by the Client to the Reporting Party, or any </w:t>
      </w:r>
      <w:r w:rsidR="00176461" w:rsidRPr="00A84878">
        <w:rPr>
          <w:rFonts w:asciiTheme="majorHAnsi" w:hAnsiTheme="majorHAnsi" w:cstheme="majorHAnsi"/>
        </w:rPr>
        <w:t>failure of the Client to provide information reasonably required by the Reporting Party</w:t>
      </w:r>
      <w:r w:rsidR="0091330C">
        <w:rPr>
          <w:rFonts w:asciiTheme="majorHAnsi" w:hAnsiTheme="majorHAnsi" w:cstheme="majorHAnsi"/>
        </w:rPr>
        <w:t>;</w:t>
      </w:r>
      <w:r w:rsidRPr="00A84878">
        <w:rPr>
          <w:rFonts w:asciiTheme="majorHAnsi" w:hAnsiTheme="majorHAnsi" w:cstheme="majorHAnsi"/>
        </w:rPr>
        <w:t xml:space="preserve"> and (ii) by </w:t>
      </w:r>
      <w:r w:rsidR="005F03AF" w:rsidRPr="00A84878">
        <w:rPr>
          <w:rFonts w:asciiTheme="majorHAnsi" w:hAnsiTheme="majorHAnsi" w:cstheme="majorHAnsi"/>
        </w:rPr>
        <w:t xml:space="preserve">the Reporting Party having to correct </w:t>
      </w:r>
      <w:r w:rsidRPr="00A84878">
        <w:rPr>
          <w:rFonts w:asciiTheme="majorHAnsi" w:hAnsiTheme="majorHAnsi" w:cstheme="majorHAnsi"/>
        </w:rPr>
        <w:t xml:space="preserve">previously submitted </w:t>
      </w:r>
      <w:r w:rsidR="00176461" w:rsidRPr="00A84878">
        <w:rPr>
          <w:rFonts w:asciiTheme="majorHAnsi" w:hAnsiTheme="majorHAnsi" w:cstheme="majorHAnsi"/>
        </w:rPr>
        <w:t>Relevant Data</w:t>
      </w:r>
      <w:r w:rsidRPr="00A84878">
        <w:rPr>
          <w:rFonts w:asciiTheme="majorHAnsi" w:hAnsiTheme="majorHAnsi" w:cstheme="majorHAnsi"/>
        </w:rPr>
        <w:t>.</w:t>
      </w:r>
    </w:p>
    <w:p w14:paraId="48EBDA22" w14:textId="77777777" w:rsidR="00D72EBC" w:rsidRDefault="00D72EBC" w:rsidP="0081014B">
      <w:pPr>
        <w:pStyle w:val="Level2"/>
        <w:numPr>
          <w:ilvl w:val="0"/>
          <w:numId w:val="0"/>
        </w:numPr>
      </w:pPr>
      <w:r>
        <w:t>Section 4 is expressed to apply only to the extent permitted by applicable law.</w:t>
      </w:r>
      <w:r w:rsidRPr="00D93D78">
        <w:t xml:space="preserve"> This may depend on the specific circumstances in which the MRRA is </w:t>
      </w:r>
      <w:proofErr w:type="gramStart"/>
      <w:r w:rsidRPr="00D93D78">
        <w:t>entered into</w:t>
      </w:r>
      <w:proofErr w:type="gramEnd"/>
      <w:r w:rsidRPr="00D93D78">
        <w:t>, the relationship between the parties and the particular regulator(s) with oversight of the Reporting Party. The Reporting Party should consider consulting its own independent professional advisers in respect of these issues.</w:t>
      </w:r>
    </w:p>
    <w:p w14:paraId="47E47F69" w14:textId="77777777" w:rsidR="009231F7" w:rsidRDefault="009231F7" w:rsidP="0081014B">
      <w:pPr>
        <w:pStyle w:val="Level2"/>
        <w:numPr>
          <w:ilvl w:val="0"/>
          <w:numId w:val="0"/>
        </w:numPr>
      </w:pPr>
    </w:p>
    <w:p w14:paraId="215A80D6" w14:textId="77777777" w:rsidR="00403D9F" w:rsidRPr="00FA0467" w:rsidRDefault="00403D9F" w:rsidP="00662DC2">
      <w:pPr>
        <w:rPr>
          <w:rFonts w:asciiTheme="majorHAnsi" w:hAnsiTheme="majorHAnsi" w:cstheme="majorHAnsi"/>
          <w:b/>
          <w:sz w:val="22"/>
          <w:u w:val="single"/>
        </w:rPr>
      </w:pPr>
      <w:r w:rsidRPr="00FA0467">
        <w:rPr>
          <w:rFonts w:asciiTheme="majorHAnsi" w:hAnsiTheme="majorHAnsi" w:cstheme="majorHAnsi"/>
          <w:b/>
          <w:sz w:val="22"/>
          <w:u w:val="single"/>
        </w:rPr>
        <w:lastRenderedPageBreak/>
        <w:t>General Provisions</w:t>
      </w:r>
    </w:p>
    <w:p w14:paraId="280D6331" w14:textId="77777777" w:rsidR="005A44CA"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1 (</w:t>
      </w:r>
      <w:r w:rsidR="00E301DA" w:rsidRPr="00A84878">
        <w:rPr>
          <w:rFonts w:asciiTheme="majorHAnsi" w:hAnsiTheme="majorHAnsi" w:cstheme="majorHAnsi"/>
          <w:b/>
          <w:i/>
        </w:rPr>
        <w:t>Transition between</w:t>
      </w:r>
      <w:r w:rsidR="005A44CA" w:rsidRPr="00A84878">
        <w:rPr>
          <w:rFonts w:asciiTheme="majorHAnsi" w:hAnsiTheme="majorHAnsi" w:cstheme="majorHAnsi"/>
          <w:b/>
          <w:i/>
        </w:rPr>
        <w:t xml:space="preserve"> </w:t>
      </w:r>
      <w:r w:rsidR="00AA0B94">
        <w:rPr>
          <w:rFonts w:asciiTheme="majorHAnsi" w:hAnsiTheme="majorHAnsi" w:cstheme="majorHAnsi"/>
          <w:b/>
          <w:i/>
        </w:rPr>
        <w:t>Reporting Models</w:t>
      </w:r>
      <w:r w:rsidRPr="00A84878">
        <w:rPr>
          <w:rFonts w:asciiTheme="majorHAnsi" w:hAnsiTheme="majorHAnsi" w:cstheme="majorHAnsi"/>
          <w:b/>
        </w:rPr>
        <w:t xml:space="preserve">) </w:t>
      </w:r>
      <w:r w:rsidR="005A44CA" w:rsidRPr="00A84878">
        <w:rPr>
          <w:rFonts w:asciiTheme="majorHAnsi" w:hAnsiTheme="majorHAnsi" w:cstheme="majorHAnsi"/>
          <w:b/>
        </w:rPr>
        <w:t>of the General Provisions</w:t>
      </w:r>
    </w:p>
    <w:p w14:paraId="1F27B21C" w14:textId="2F4798A4" w:rsidR="000B260D" w:rsidRPr="00A84878" w:rsidRDefault="005A44CA" w:rsidP="000B260D">
      <w:pPr>
        <w:pStyle w:val="Level2"/>
        <w:numPr>
          <w:ilvl w:val="0"/>
          <w:numId w:val="0"/>
        </w:numPr>
        <w:rPr>
          <w:rFonts w:asciiTheme="majorHAnsi" w:hAnsiTheme="majorHAnsi" w:cstheme="majorHAnsi"/>
        </w:rPr>
      </w:pPr>
      <w:r w:rsidRPr="00A84878">
        <w:rPr>
          <w:rFonts w:asciiTheme="majorHAnsi" w:hAnsiTheme="majorHAnsi" w:cstheme="majorHAnsi"/>
        </w:rPr>
        <w:t xml:space="preserve">Each of the Derivatives </w:t>
      </w:r>
      <w:r w:rsidR="00541181">
        <w:rPr>
          <w:rFonts w:asciiTheme="majorHAnsi" w:hAnsiTheme="majorHAnsi" w:cstheme="majorHAnsi"/>
        </w:rPr>
        <w:t xml:space="preserve">Annex </w:t>
      </w:r>
      <w:r w:rsidRPr="00A84878">
        <w:rPr>
          <w:rFonts w:asciiTheme="majorHAnsi" w:hAnsiTheme="majorHAnsi" w:cstheme="majorHAnsi"/>
        </w:rPr>
        <w:t>and Securities Financing Transactions Annex include</w:t>
      </w:r>
      <w:r w:rsidR="00541181">
        <w:rPr>
          <w:rFonts w:asciiTheme="majorHAnsi" w:hAnsiTheme="majorHAnsi" w:cstheme="majorHAnsi"/>
        </w:rPr>
        <w:t>s</w:t>
      </w:r>
      <w:r w:rsidRPr="00A84878">
        <w:rPr>
          <w:rFonts w:asciiTheme="majorHAnsi" w:hAnsiTheme="majorHAnsi" w:cstheme="majorHAnsi"/>
        </w:rPr>
        <w:t xml:space="preserve"> an election whereby the </w:t>
      </w:r>
      <w:r w:rsidRPr="004A6623">
        <w:rPr>
          <w:rFonts w:asciiTheme="majorHAnsi" w:hAnsiTheme="majorHAnsi" w:cstheme="majorHAnsi"/>
        </w:rPr>
        <w:t>parties can select that ‘Automatic Transition</w:t>
      </w:r>
      <w:r w:rsidRPr="00A84878">
        <w:rPr>
          <w:rFonts w:asciiTheme="majorHAnsi" w:hAnsiTheme="majorHAnsi" w:cstheme="majorHAnsi"/>
        </w:rPr>
        <w:t xml:space="preserve"> to Delegated Reporting’ and/or ‘Automatic Transition to Mandatory Reporting’ applies and specify to which Relevant Transactions the mechanism will apply</w:t>
      </w:r>
      <w:r w:rsidR="000B260D" w:rsidRPr="00A84878">
        <w:rPr>
          <w:rFonts w:asciiTheme="majorHAnsi" w:hAnsiTheme="majorHAnsi" w:cstheme="majorHAnsi"/>
        </w:rPr>
        <w:t xml:space="preserve">.   </w:t>
      </w:r>
    </w:p>
    <w:p w14:paraId="50E8A6CD" w14:textId="77777777" w:rsidR="005A44CA" w:rsidRPr="00A84878" w:rsidRDefault="005A44CA" w:rsidP="005A44CA">
      <w:pPr>
        <w:pStyle w:val="Level2"/>
        <w:numPr>
          <w:ilvl w:val="0"/>
          <w:numId w:val="0"/>
        </w:numPr>
        <w:rPr>
          <w:rFonts w:asciiTheme="majorHAnsi" w:hAnsiTheme="majorHAnsi" w:cstheme="majorHAnsi"/>
        </w:rPr>
      </w:pPr>
      <w:r w:rsidRPr="00A84878">
        <w:rPr>
          <w:rFonts w:asciiTheme="majorHAnsi" w:hAnsiTheme="majorHAnsi" w:cstheme="majorHAnsi"/>
        </w:rPr>
        <w:t>The parties should include the optional provision in Section 1 if they have selected that one or other of ‘Automatic Transition to Delegated Reporting’ and ‘Automatic Transition to Mandatory Reporting’ shall apply</w:t>
      </w:r>
      <w:r w:rsidR="000B260D">
        <w:rPr>
          <w:rFonts w:asciiTheme="majorHAnsi" w:hAnsiTheme="majorHAnsi" w:cstheme="majorHAnsi"/>
        </w:rPr>
        <w:t xml:space="preserve"> in an applicable Annex</w:t>
      </w:r>
      <w:r w:rsidR="00FD2EA9" w:rsidRPr="00A84878">
        <w:rPr>
          <w:rFonts w:asciiTheme="majorHAnsi" w:hAnsiTheme="majorHAnsi" w:cstheme="majorHAnsi"/>
        </w:rPr>
        <w:t xml:space="preserve">. The parties should also include both the Delegated Reporting Provisions and the </w:t>
      </w:r>
      <w:r w:rsidR="00D93114" w:rsidRPr="00A84878">
        <w:rPr>
          <w:rFonts w:asciiTheme="majorHAnsi" w:hAnsiTheme="majorHAnsi" w:cstheme="majorHAnsi"/>
        </w:rPr>
        <w:t>Mandatory</w:t>
      </w:r>
      <w:r w:rsidR="00FD2EA9" w:rsidRPr="00A84878">
        <w:rPr>
          <w:rFonts w:asciiTheme="majorHAnsi" w:hAnsiTheme="majorHAnsi" w:cstheme="majorHAnsi"/>
        </w:rPr>
        <w:t xml:space="preserve"> Reporting Provisions</w:t>
      </w:r>
      <w:r w:rsidR="00D93114" w:rsidRPr="00A84878">
        <w:rPr>
          <w:rFonts w:asciiTheme="majorHAnsi" w:hAnsiTheme="majorHAnsi" w:cstheme="majorHAnsi"/>
        </w:rPr>
        <w:t xml:space="preserve"> in the MRRA</w:t>
      </w:r>
      <w:r w:rsidR="000B260D">
        <w:rPr>
          <w:rFonts w:asciiTheme="majorHAnsi" w:hAnsiTheme="majorHAnsi" w:cstheme="majorHAnsi"/>
        </w:rPr>
        <w:t xml:space="preserve"> in such circumstances</w:t>
      </w:r>
      <w:r w:rsidR="00FD2EA9" w:rsidRPr="00A84878">
        <w:rPr>
          <w:rFonts w:asciiTheme="majorHAnsi" w:hAnsiTheme="majorHAnsi" w:cstheme="majorHAnsi"/>
        </w:rPr>
        <w:t xml:space="preserve">. </w:t>
      </w:r>
    </w:p>
    <w:p w14:paraId="1452B46D" w14:textId="6B036398" w:rsidR="00857C81" w:rsidRPr="00A84878" w:rsidRDefault="002C74CE" w:rsidP="007E7103">
      <w:pPr>
        <w:pStyle w:val="Level2"/>
        <w:numPr>
          <w:ilvl w:val="0"/>
          <w:numId w:val="0"/>
        </w:numPr>
        <w:rPr>
          <w:rFonts w:asciiTheme="majorHAnsi" w:hAnsiTheme="majorHAnsi" w:cstheme="majorHAnsi"/>
        </w:rPr>
      </w:pPr>
      <w:r w:rsidRPr="00A84878">
        <w:rPr>
          <w:rFonts w:asciiTheme="majorHAnsi" w:hAnsiTheme="majorHAnsi" w:cstheme="majorHAnsi"/>
        </w:rPr>
        <w:t>While the parties will have indicated that a certain type of reporting is applicable to certain or all Relevant Transactions within Paragraph 3 (</w:t>
      </w:r>
      <w:r w:rsidRPr="00A84878">
        <w:rPr>
          <w:rFonts w:asciiTheme="majorHAnsi" w:hAnsiTheme="majorHAnsi" w:cstheme="majorHAnsi"/>
          <w:i/>
        </w:rPr>
        <w:t>Relevant Transactions and Related Elections</w:t>
      </w:r>
      <w:r w:rsidRPr="00A84878">
        <w:rPr>
          <w:rFonts w:asciiTheme="majorHAnsi" w:hAnsiTheme="majorHAnsi" w:cstheme="majorHAnsi"/>
        </w:rPr>
        <w:t>) of each applicable Annex, t</w:t>
      </w:r>
      <w:r w:rsidR="00706A8C" w:rsidRPr="00A84878">
        <w:rPr>
          <w:rFonts w:asciiTheme="majorHAnsi" w:hAnsiTheme="majorHAnsi" w:cstheme="majorHAnsi"/>
        </w:rPr>
        <w:t xml:space="preserve">his provision </w:t>
      </w:r>
      <w:r w:rsidR="00977F15">
        <w:rPr>
          <w:rFonts w:asciiTheme="majorHAnsi" w:hAnsiTheme="majorHAnsi" w:cstheme="majorHAnsi"/>
        </w:rPr>
        <w:t>has the effect</w:t>
      </w:r>
      <w:r w:rsidR="00706A8C" w:rsidRPr="00A84878">
        <w:rPr>
          <w:rFonts w:asciiTheme="majorHAnsi" w:hAnsiTheme="majorHAnsi" w:cstheme="majorHAnsi"/>
        </w:rPr>
        <w:t xml:space="preserve"> that</w:t>
      </w:r>
      <w:r w:rsidR="003E11DA">
        <w:rPr>
          <w:rFonts w:asciiTheme="majorHAnsi" w:hAnsiTheme="majorHAnsi" w:cstheme="majorHAnsi"/>
        </w:rPr>
        <w:t>,</w:t>
      </w:r>
      <w:r w:rsidR="00706A8C" w:rsidRPr="00A84878">
        <w:rPr>
          <w:rFonts w:asciiTheme="majorHAnsi" w:hAnsiTheme="majorHAnsi" w:cstheme="majorHAnsi"/>
        </w:rPr>
        <w:t xml:space="preserve"> on a specific date (the Delegated Reporting Transition Date or the Mandatory Reporting Transition Date, as applicable), the</w:t>
      </w:r>
      <w:r w:rsidRPr="00A84878">
        <w:rPr>
          <w:rFonts w:asciiTheme="majorHAnsi" w:hAnsiTheme="majorHAnsi" w:cstheme="majorHAnsi"/>
        </w:rPr>
        <w:t xml:space="preserve"> relevant reporting regime will move from Mandatory Reporting to Delegated Reporting, where the Reporting Party either receives notice </w:t>
      </w:r>
      <w:r w:rsidR="00977F15">
        <w:rPr>
          <w:rFonts w:asciiTheme="majorHAnsi" w:hAnsiTheme="majorHAnsi" w:cstheme="majorHAnsi"/>
        </w:rPr>
        <w:t xml:space="preserve">or otherwise becomes aware </w:t>
      </w:r>
      <w:r w:rsidR="00D93114" w:rsidRPr="00A84878">
        <w:rPr>
          <w:rFonts w:asciiTheme="majorHAnsi" w:hAnsiTheme="majorHAnsi" w:cstheme="majorHAnsi"/>
        </w:rPr>
        <w:t>(“otherwise becomes aware” is in square brackets) t</w:t>
      </w:r>
      <w:r w:rsidRPr="00A84878">
        <w:rPr>
          <w:rFonts w:asciiTheme="majorHAnsi" w:hAnsiTheme="majorHAnsi" w:cstheme="majorHAnsi"/>
        </w:rPr>
        <w:t xml:space="preserve">hat the Client’s regulatory status has changed such that the Reporting Party “ceases to be required by relevant law or regulation to report Relevant Transactions on behalf of the Client” (i.e. the Client is no longer an NFC- or </w:t>
      </w:r>
      <w:r w:rsidR="00D93114" w:rsidRPr="00A84878">
        <w:rPr>
          <w:rFonts w:asciiTheme="majorHAnsi" w:hAnsiTheme="majorHAnsi" w:cstheme="majorHAnsi"/>
        </w:rPr>
        <w:t xml:space="preserve">NFC- </w:t>
      </w:r>
      <w:r w:rsidRPr="00A84878">
        <w:rPr>
          <w:rFonts w:asciiTheme="majorHAnsi" w:hAnsiTheme="majorHAnsi" w:cstheme="majorHAnsi"/>
        </w:rPr>
        <w:t xml:space="preserve">SME), or from Delegated Reporting to Mandatory Reporting, where the Reporting Party either receives notice </w:t>
      </w:r>
      <w:r w:rsidR="00977F15">
        <w:rPr>
          <w:rFonts w:asciiTheme="majorHAnsi" w:hAnsiTheme="majorHAnsi" w:cstheme="majorHAnsi"/>
        </w:rPr>
        <w:t xml:space="preserve">or otherwise becomes aware </w:t>
      </w:r>
      <w:r w:rsidR="00D93114" w:rsidRPr="00A84878">
        <w:rPr>
          <w:rFonts w:asciiTheme="majorHAnsi" w:hAnsiTheme="majorHAnsi" w:cstheme="majorHAnsi"/>
        </w:rPr>
        <w:t xml:space="preserve">(“otherwise becomes aware” is in square brackets) </w:t>
      </w:r>
      <w:r w:rsidRPr="00A84878">
        <w:rPr>
          <w:rFonts w:asciiTheme="majorHAnsi" w:hAnsiTheme="majorHAnsi" w:cstheme="majorHAnsi"/>
        </w:rPr>
        <w:t xml:space="preserve">that the Client’s regulatory status has changed such that the Reporting Party “is subsequently required by relevant law or regulation to report Relevant Transactions on behalf of the Client” (i.e. the Delegating Party has become an NFC- or </w:t>
      </w:r>
      <w:r w:rsidR="00D93114" w:rsidRPr="00A84878">
        <w:rPr>
          <w:rFonts w:asciiTheme="majorHAnsi" w:hAnsiTheme="majorHAnsi" w:cstheme="majorHAnsi"/>
        </w:rPr>
        <w:t xml:space="preserve">NFC- </w:t>
      </w:r>
      <w:r w:rsidRPr="00A84878">
        <w:rPr>
          <w:rFonts w:asciiTheme="majorHAnsi" w:hAnsiTheme="majorHAnsi" w:cstheme="majorHAnsi"/>
        </w:rPr>
        <w:t>SME)</w:t>
      </w:r>
      <w:r w:rsidR="00B43C80" w:rsidRPr="00A84878">
        <w:rPr>
          <w:rFonts w:asciiTheme="majorHAnsi" w:hAnsiTheme="majorHAnsi" w:cstheme="majorHAnsi"/>
        </w:rPr>
        <w:t xml:space="preserve">. </w:t>
      </w:r>
      <w:r w:rsidR="003A2983" w:rsidRPr="00A84878">
        <w:rPr>
          <w:rFonts w:asciiTheme="majorHAnsi" w:hAnsiTheme="majorHAnsi" w:cstheme="majorHAnsi"/>
        </w:rPr>
        <w:t xml:space="preserve">  </w:t>
      </w:r>
    </w:p>
    <w:p w14:paraId="43E0887F" w14:textId="77777777" w:rsidR="003A2983" w:rsidRPr="00A84878" w:rsidRDefault="00B43C80"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This </w:t>
      </w:r>
      <w:r w:rsidR="00B50F5A" w:rsidRPr="00A84878">
        <w:rPr>
          <w:rFonts w:asciiTheme="majorHAnsi" w:hAnsiTheme="majorHAnsi" w:cstheme="majorHAnsi"/>
        </w:rPr>
        <w:t>section</w:t>
      </w:r>
      <w:r w:rsidRPr="00A84878">
        <w:rPr>
          <w:rFonts w:asciiTheme="majorHAnsi" w:hAnsiTheme="majorHAnsi" w:cstheme="majorHAnsi"/>
        </w:rPr>
        <w:t xml:space="preserve"> does not contemplate transition between the Client reporting on its own behalf in respect of all Relevant Transactions and Mandatory Reporting. Where an NFC- has decided to utilise its right to opt-out of the mandatory reporting regime, and has documented this outside of the MRRA, then, where it revokes </w:t>
      </w:r>
      <w:proofErr w:type="gramStart"/>
      <w:r w:rsidRPr="00A84878">
        <w:rPr>
          <w:rFonts w:asciiTheme="majorHAnsi" w:hAnsiTheme="majorHAnsi" w:cstheme="majorHAnsi"/>
        </w:rPr>
        <w:t>its</w:t>
      </w:r>
      <w:proofErr w:type="gramEnd"/>
      <w:r w:rsidRPr="00A84878">
        <w:rPr>
          <w:rFonts w:asciiTheme="majorHAnsi" w:hAnsiTheme="majorHAnsi" w:cstheme="majorHAnsi"/>
        </w:rPr>
        <w:t xml:space="preserve"> opt-out such that it will fall within the mandatory reporting regime, the FC counterparty should seek to agree to enter into the MRRA with the NFC-. </w:t>
      </w:r>
    </w:p>
    <w:p w14:paraId="17E1543E" w14:textId="77777777" w:rsidR="00D93114" w:rsidRPr="00A84878" w:rsidRDefault="00D93114"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Similarly, if a </w:t>
      </w:r>
      <w:proofErr w:type="gramStart"/>
      <w:r w:rsidRPr="00A84878">
        <w:rPr>
          <w:rFonts w:asciiTheme="majorHAnsi" w:hAnsiTheme="majorHAnsi" w:cstheme="majorHAnsi"/>
        </w:rPr>
        <w:t>Client</w:t>
      </w:r>
      <w:proofErr w:type="gramEnd"/>
      <w:r w:rsidRPr="00A84878">
        <w:rPr>
          <w:rFonts w:asciiTheme="majorHAnsi" w:hAnsiTheme="majorHAnsi" w:cstheme="majorHAnsi"/>
        </w:rPr>
        <w:t xml:space="preserve"> was an NFC+ (or </w:t>
      </w:r>
      <w:r w:rsidR="003E11DA">
        <w:rPr>
          <w:rFonts w:asciiTheme="majorHAnsi" w:hAnsiTheme="majorHAnsi" w:cstheme="majorHAnsi"/>
        </w:rPr>
        <w:t xml:space="preserve">an </w:t>
      </w:r>
      <w:r w:rsidRPr="00A84878">
        <w:rPr>
          <w:rFonts w:asciiTheme="majorHAnsi" w:hAnsiTheme="majorHAnsi" w:cstheme="majorHAnsi"/>
        </w:rPr>
        <w:t>NFC other than an NFC- SME) and did not delegate its reporting responsibility to its FC counterparty, and the Client becomes an NFC- or NFC- SME</w:t>
      </w:r>
      <w:r w:rsidR="00392A27" w:rsidRPr="00A84878">
        <w:rPr>
          <w:rFonts w:asciiTheme="majorHAnsi" w:hAnsiTheme="majorHAnsi" w:cstheme="majorHAnsi"/>
        </w:rPr>
        <w:t>, the FC counterparty should seek to agree to enter into the MRRA with the NFC- or NFC- SME.</w:t>
      </w:r>
    </w:p>
    <w:p w14:paraId="3A699BC6" w14:textId="77777777" w:rsidR="005A44CA" w:rsidRPr="00A84878" w:rsidRDefault="00057379" w:rsidP="00DE54BD">
      <w:pPr>
        <w:pStyle w:val="Level2"/>
        <w:numPr>
          <w:ilvl w:val="0"/>
          <w:numId w:val="0"/>
        </w:numPr>
        <w:spacing w:before="280"/>
        <w:rPr>
          <w:rFonts w:asciiTheme="majorHAnsi" w:hAnsiTheme="majorHAnsi" w:cstheme="majorHAnsi"/>
        </w:rPr>
      </w:pPr>
      <w:r w:rsidRPr="00A84878">
        <w:rPr>
          <w:rFonts w:asciiTheme="majorHAnsi" w:hAnsiTheme="majorHAnsi" w:cstheme="majorHAnsi"/>
          <w:b/>
        </w:rPr>
        <w:t>Section 2 (</w:t>
      </w:r>
      <w:r w:rsidR="0006583B" w:rsidRPr="00A84878">
        <w:rPr>
          <w:rFonts w:asciiTheme="majorHAnsi" w:hAnsiTheme="majorHAnsi" w:cstheme="majorHAnsi"/>
          <w:b/>
          <w:i/>
        </w:rPr>
        <w:t>Confidentiality Waiver</w:t>
      </w:r>
      <w:r w:rsidRPr="00A84878">
        <w:rPr>
          <w:rFonts w:asciiTheme="majorHAnsi" w:hAnsiTheme="majorHAnsi" w:cstheme="majorHAnsi"/>
          <w:b/>
        </w:rPr>
        <w:t>)</w:t>
      </w:r>
      <w:r w:rsidR="0006583B" w:rsidRPr="00A84878">
        <w:rPr>
          <w:rFonts w:asciiTheme="majorHAnsi" w:hAnsiTheme="majorHAnsi" w:cstheme="majorHAnsi"/>
        </w:rPr>
        <w:t xml:space="preserve"> </w:t>
      </w:r>
      <w:r w:rsidR="0006583B" w:rsidRPr="00A84878">
        <w:rPr>
          <w:rFonts w:asciiTheme="majorHAnsi" w:hAnsiTheme="majorHAnsi" w:cstheme="majorHAnsi"/>
          <w:b/>
        </w:rPr>
        <w:t>of the General Provisions</w:t>
      </w:r>
    </w:p>
    <w:p w14:paraId="0089DF30" w14:textId="77777777" w:rsidR="0006583B" w:rsidRPr="00A84878" w:rsidRDefault="008E7D95" w:rsidP="007E7103">
      <w:pPr>
        <w:pStyle w:val="Level2"/>
        <w:numPr>
          <w:ilvl w:val="0"/>
          <w:numId w:val="0"/>
        </w:numPr>
        <w:rPr>
          <w:rFonts w:asciiTheme="majorHAnsi" w:hAnsiTheme="majorHAnsi" w:cstheme="majorHAnsi"/>
        </w:rPr>
      </w:pPr>
      <w:r w:rsidRPr="00A84878">
        <w:rPr>
          <w:rFonts w:asciiTheme="majorHAnsi" w:hAnsiTheme="majorHAnsi" w:cstheme="majorHAnsi"/>
        </w:rPr>
        <w:t>This confidentiality waiver generally reflects the position in the ISDA/FIA DRA, with the addition of wording</w:t>
      </w:r>
      <w:r w:rsidR="00675967" w:rsidRPr="00A84878">
        <w:rPr>
          <w:rFonts w:asciiTheme="majorHAnsi" w:hAnsiTheme="majorHAnsi" w:cstheme="majorHAnsi"/>
        </w:rPr>
        <w:t xml:space="preserve"> providing that disclosure of information to the counterparty to a Relevant Transaction is acceptable in the situation where the Reporting Party or its affiliate is not the counterparty to a Relevant Transaction with a Client or Fund. This language is intended to cover off a situation where an agent lender as Reporting Party may </w:t>
      </w:r>
      <w:r w:rsidR="00FA42EA">
        <w:rPr>
          <w:rFonts w:asciiTheme="majorHAnsi" w:hAnsiTheme="majorHAnsi" w:cstheme="majorHAnsi"/>
        </w:rPr>
        <w:t>need</w:t>
      </w:r>
      <w:r w:rsidR="00675967" w:rsidRPr="00A84878">
        <w:rPr>
          <w:rFonts w:asciiTheme="majorHAnsi" w:hAnsiTheme="majorHAnsi" w:cstheme="majorHAnsi"/>
        </w:rPr>
        <w:t xml:space="preserve"> to </w:t>
      </w:r>
      <w:r w:rsidR="00FA42EA">
        <w:rPr>
          <w:rFonts w:asciiTheme="majorHAnsi" w:hAnsiTheme="majorHAnsi" w:cstheme="majorHAnsi"/>
        </w:rPr>
        <w:t xml:space="preserve">provide </w:t>
      </w:r>
      <w:r w:rsidR="00675967" w:rsidRPr="00A84878">
        <w:rPr>
          <w:rFonts w:asciiTheme="majorHAnsi" w:hAnsiTheme="majorHAnsi" w:cstheme="majorHAnsi"/>
        </w:rPr>
        <w:t xml:space="preserve">information on the Client </w:t>
      </w:r>
      <w:r w:rsidR="00FA42EA">
        <w:rPr>
          <w:rFonts w:asciiTheme="majorHAnsi" w:hAnsiTheme="majorHAnsi" w:cstheme="majorHAnsi"/>
        </w:rPr>
        <w:t xml:space="preserve">to </w:t>
      </w:r>
      <w:r w:rsidR="00675967" w:rsidRPr="00A84878">
        <w:rPr>
          <w:rFonts w:asciiTheme="majorHAnsi" w:hAnsiTheme="majorHAnsi" w:cstheme="majorHAnsi"/>
        </w:rPr>
        <w:t>the borrower.</w:t>
      </w:r>
    </w:p>
    <w:p w14:paraId="4443E943" w14:textId="77777777" w:rsidR="0006583B" w:rsidRDefault="00675967" w:rsidP="007E7103">
      <w:pPr>
        <w:pStyle w:val="Level2"/>
        <w:numPr>
          <w:ilvl w:val="0"/>
          <w:numId w:val="0"/>
        </w:numPr>
        <w:rPr>
          <w:rFonts w:asciiTheme="majorHAnsi" w:hAnsiTheme="majorHAnsi" w:cstheme="majorHAnsi"/>
        </w:rPr>
      </w:pPr>
      <w:r w:rsidRPr="00A84878">
        <w:rPr>
          <w:rFonts w:asciiTheme="majorHAnsi" w:hAnsiTheme="majorHAnsi" w:cstheme="majorHAnsi"/>
        </w:rPr>
        <w:t>The parties have the option in each relevant Annex to select whether Section 2.1.1</w:t>
      </w:r>
      <w:r w:rsidR="006A45E9" w:rsidRPr="00A84878">
        <w:rPr>
          <w:rFonts w:asciiTheme="majorHAnsi" w:hAnsiTheme="majorHAnsi" w:cstheme="majorHAnsi"/>
        </w:rPr>
        <w:t xml:space="preserve"> or</w:t>
      </w:r>
      <w:r w:rsidRPr="00A84878">
        <w:rPr>
          <w:rFonts w:asciiTheme="majorHAnsi" w:hAnsiTheme="majorHAnsi" w:cstheme="majorHAnsi"/>
        </w:rPr>
        <w:t xml:space="preserve"> 2.</w:t>
      </w:r>
      <w:r w:rsidR="001213D1" w:rsidRPr="00A84878">
        <w:rPr>
          <w:rFonts w:asciiTheme="majorHAnsi" w:hAnsiTheme="majorHAnsi" w:cstheme="majorHAnsi"/>
        </w:rPr>
        <w:t xml:space="preserve">1.2 </w:t>
      </w:r>
      <w:r w:rsidR="006D3AEB">
        <w:rPr>
          <w:rFonts w:asciiTheme="majorHAnsi" w:hAnsiTheme="majorHAnsi" w:cstheme="majorHAnsi"/>
        </w:rPr>
        <w:t xml:space="preserve">of the General Provisions </w:t>
      </w:r>
      <w:r w:rsidR="001213D1" w:rsidRPr="00A84878">
        <w:rPr>
          <w:rFonts w:asciiTheme="majorHAnsi" w:hAnsiTheme="majorHAnsi" w:cstheme="majorHAnsi"/>
        </w:rPr>
        <w:t xml:space="preserve">is applicable, or </w:t>
      </w:r>
      <w:r w:rsidR="001C66EB" w:rsidRPr="00A84878">
        <w:rPr>
          <w:rFonts w:asciiTheme="majorHAnsi" w:hAnsiTheme="majorHAnsi" w:cstheme="majorHAnsi"/>
        </w:rPr>
        <w:t xml:space="preserve">whether an alternative confidentiality waiver should be incorporated. </w:t>
      </w:r>
      <w:r w:rsidR="006A45E9" w:rsidRPr="00A84878">
        <w:rPr>
          <w:rFonts w:asciiTheme="majorHAnsi" w:hAnsiTheme="majorHAnsi" w:cstheme="majorHAnsi"/>
        </w:rPr>
        <w:t>Where the parties elect to apply Section 2.1.2</w:t>
      </w:r>
      <w:r w:rsidR="006D3AEB" w:rsidRPr="006D3AEB">
        <w:rPr>
          <w:rFonts w:asciiTheme="majorHAnsi" w:hAnsiTheme="majorHAnsi" w:cstheme="majorHAnsi"/>
        </w:rPr>
        <w:t xml:space="preserve"> </w:t>
      </w:r>
      <w:r w:rsidR="006D3AEB">
        <w:rPr>
          <w:rFonts w:asciiTheme="majorHAnsi" w:hAnsiTheme="majorHAnsi" w:cstheme="majorHAnsi"/>
        </w:rPr>
        <w:t>of the General Provisions</w:t>
      </w:r>
      <w:r w:rsidR="006A45E9" w:rsidRPr="00A84878">
        <w:rPr>
          <w:rFonts w:asciiTheme="majorHAnsi" w:hAnsiTheme="majorHAnsi" w:cstheme="majorHAnsi"/>
        </w:rPr>
        <w:t xml:space="preserve">, they will need to agree whether to include the optional </w:t>
      </w:r>
      <w:r w:rsidR="00026B4F" w:rsidRPr="00A84878">
        <w:rPr>
          <w:rFonts w:asciiTheme="majorHAnsi" w:hAnsiTheme="majorHAnsi" w:cstheme="majorHAnsi"/>
        </w:rPr>
        <w:t>wording</w:t>
      </w:r>
      <w:r w:rsidR="006A45E9" w:rsidRPr="00A84878">
        <w:rPr>
          <w:rFonts w:asciiTheme="majorHAnsi" w:hAnsiTheme="majorHAnsi" w:cstheme="majorHAnsi"/>
        </w:rPr>
        <w:t xml:space="preserve"> in square brackets.</w:t>
      </w:r>
    </w:p>
    <w:p w14:paraId="716695DF" w14:textId="77777777" w:rsidR="00B96643" w:rsidRPr="00A84878" w:rsidRDefault="00B96643" w:rsidP="007E7103">
      <w:pPr>
        <w:pStyle w:val="Level2"/>
        <w:numPr>
          <w:ilvl w:val="0"/>
          <w:numId w:val="0"/>
        </w:numPr>
        <w:rPr>
          <w:rFonts w:asciiTheme="majorHAnsi" w:hAnsiTheme="majorHAnsi" w:cstheme="majorHAnsi"/>
        </w:rPr>
      </w:pPr>
    </w:p>
    <w:p w14:paraId="7C588B59" w14:textId="77777777" w:rsidR="006A45E9"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lastRenderedPageBreak/>
        <w:t>Section 3 (</w:t>
      </w:r>
      <w:r w:rsidR="006A45E9" w:rsidRPr="00A84878">
        <w:rPr>
          <w:rFonts w:asciiTheme="majorHAnsi" w:hAnsiTheme="majorHAnsi" w:cstheme="majorHAnsi"/>
          <w:b/>
          <w:i/>
        </w:rPr>
        <w:t>Representations</w:t>
      </w:r>
      <w:r w:rsidRPr="00A84878">
        <w:rPr>
          <w:rFonts w:asciiTheme="majorHAnsi" w:hAnsiTheme="majorHAnsi" w:cstheme="majorHAnsi"/>
          <w:b/>
        </w:rPr>
        <w:t xml:space="preserve">) </w:t>
      </w:r>
      <w:r w:rsidR="006A45E9" w:rsidRPr="00A84878">
        <w:rPr>
          <w:rFonts w:asciiTheme="majorHAnsi" w:hAnsiTheme="majorHAnsi" w:cstheme="majorHAnsi"/>
          <w:b/>
        </w:rPr>
        <w:t>of the General Provisions</w:t>
      </w:r>
    </w:p>
    <w:p w14:paraId="6BE6E318" w14:textId="77777777" w:rsidR="006A45E9" w:rsidRPr="00A84878" w:rsidRDefault="00801BD3"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Each party </w:t>
      </w:r>
      <w:r w:rsidR="0093779E" w:rsidRPr="00A84878">
        <w:rPr>
          <w:rFonts w:asciiTheme="majorHAnsi" w:hAnsiTheme="majorHAnsi" w:cstheme="majorHAnsi"/>
        </w:rPr>
        <w:t xml:space="preserve">to the MRRA makes </w:t>
      </w:r>
      <w:proofErr w:type="gramStart"/>
      <w:r w:rsidR="0093779E" w:rsidRPr="00A84878">
        <w:rPr>
          <w:rFonts w:asciiTheme="majorHAnsi" w:hAnsiTheme="majorHAnsi" w:cstheme="majorHAnsi"/>
        </w:rPr>
        <w:t>a number of</w:t>
      </w:r>
      <w:proofErr w:type="gramEnd"/>
      <w:r w:rsidR="0093779E" w:rsidRPr="00A84878">
        <w:rPr>
          <w:rFonts w:asciiTheme="majorHAnsi" w:hAnsiTheme="majorHAnsi" w:cstheme="majorHAnsi"/>
        </w:rPr>
        <w:t xml:space="preserve"> representations. There may be some overlap between representations such as ‘Absence of Litigation’ at Section 3.2 and ‘Non</w:t>
      </w:r>
      <w:r w:rsidR="003E11DA">
        <w:rPr>
          <w:rFonts w:asciiTheme="majorHAnsi" w:hAnsiTheme="majorHAnsi" w:cstheme="majorHAnsi"/>
        </w:rPr>
        <w:t>-</w:t>
      </w:r>
      <w:r w:rsidR="0093779E" w:rsidRPr="00A84878">
        <w:rPr>
          <w:rFonts w:asciiTheme="majorHAnsi" w:hAnsiTheme="majorHAnsi" w:cstheme="majorHAnsi"/>
        </w:rPr>
        <w:t>Reliance’ at Section 3.4 and the ISDA Master Agreement or the parties’ core agreement. These provisions were included in the ISDA/FIA DRA and have similarly been included in the MRRA. Parties can delete any representations which they consider irrelevant.</w:t>
      </w:r>
    </w:p>
    <w:p w14:paraId="13A30309" w14:textId="77777777" w:rsidR="006A45E9"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4 (</w:t>
      </w:r>
      <w:r w:rsidR="0093779E" w:rsidRPr="00A84878">
        <w:rPr>
          <w:rFonts w:asciiTheme="majorHAnsi" w:hAnsiTheme="majorHAnsi" w:cstheme="majorHAnsi"/>
          <w:b/>
          <w:i/>
        </w:rPr>
        <w:t>Miscellaneous</w:t>
      </w:r>
      <w:r w:rsidRPr="00A84878">
        <w:rPr>
          <w:rFonts w:asciiTheme="majorHAnsi" w:hAnsiTheme="majorHAnsi" w:cstheme="majorHAnsi"/>
          <w:b/>
        </w:rPr>
        <w:t>)</w:t>
      </w:r>
      <w:r w:rsidR="0093779E" w:rsidRPr="00A84878">
        <w:rPr>
          <w:rFonts w:asciiTheme="majorHAnsi" w:hAnsiTheme="majorHAnsi" w:cstheme="majorHAnsi"/>
          <w:b/>
        </w:rPr>
        <w:t xml:space="preserve"> of the General Provisions</w:t>
      </w:r>
    </w:p>
    <w:p w14:paraId="6FB838B9" w14:textId="77777777" w:rsidR="001528AF" w:rsidRPr="00A84878" w:rsidRDefault="001528AF" w:rsidP="007E7103">
      <w:pPr>
        <w:pStyle w:val="Level2"/>
        <w:numPr>
          <w:ilvl w:val="0"/>
          <w:numId w:val="0"/>
        </w:numPr>
        <w:rPr>
          <w:rFonts w:asciiTheme="majorHAnsi" w:hAnsiTheme="majorHAnsi" w:cstheme="majorHAnsi"/>
        </w:rPr>
      </w:pPr>
      <w:r w:rsidRPr="00A84878">
        <w:rPr>
          <w:rFonts w:asciiTheme="majorHAnsi" w:hAnsiTheme="majorHAnsi" w:cstheme="majorHAnsi"/>
        </w:rPr>
        <w:t>T</w:t>
      </w:r>
      <w:r w:rsidR="00553AFD" w:rsidRPr="00A84878">
        <w:rPr>
          <w:rFonts w:asciiTheme="majorHAnsi" w:hAnsiTheme="majorHAnsi" w:cstheme="majorHAnsi"/>
        </w:rPr>
        <w:t>hese provisions mirror similar provisions included in the ISDA/FIA DRA.</w:t>
      </w:r>
    </w:p>
    <w:p w14:paraId="096503DA" w14:textId="77777777" w:rsidR="001528AF"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5 (</w:t>
      </w:r>
      <w:r w:rsidR="00553AFD" w:rsidRPr="00A84878">
        <w:rPr>
          <w:rFonts w:asciiTheme="majorHAnsi" w:hAnsiTheme="majorHAnsi" w:cstheme="majorHAnsi"/>
          <w:b/>
          <w:i/>
        </w:rPr>
        <w:t>Notices</w:t>
      </w:r>
      <w:r w:rsidRPr="00A84878">
        <w:rPr>
          <w:rFonts w:asciiTheme="majorHAnsi" w:hAnsiTheme="majorHAnsi" w:cstheme="majorHAnsi"/>
          <w:b/>
        </w:rPr>
        <w:t>)</w:t>
      </w:r>
      <w:r w:rsidR="00553AFD" w:rsidRPr="00A84878">
        <w:rPr>
          <w:rFonts w:asciiTheme="majorHAnsi" w:hAnsiTheme="majorHAnsi" w:cstheme="majorHAnsi"/>
          <w:b/>
        </w:rPr>
        <w:t xml:space="preserve"> of the General Provision</w:t>
      </w:r>
      <w:r w:rsidRPr="00A84878">
        <w:rPr>
          <w:rFonts w:asciiTheme="majorHAnsi" w:hAnsiTheme="majorHAnsi" w:cstheme="majorHAnsi"/>
          <w:b/>
        </w:rPr>
        <w:t>s</w:t>
      </w:r>
    </w:p>
    <w:p w14:paraId="03517261" w14:textId="77777777" w:rsidR="00553AFD" w:rsidRPr="00A84878" w:rsidRDefault="00553AFD"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The parties may want to consider whether the manner in which the parties can give notice should be made stricter in the ‘Notices’ provision in Section 5, and equally whether the way in which the parties can </w:t>
      </w:r>
      <w:proofErr w:type="gramStart"/>
      <w:r w:rsidRPr="00A84878">
        <w:rPr>
          <w:rFonts w:asciiTheme="majorHAnsi" w:hAnsiTheme="majorHAnsi" w:cstheme="majorHAnsi"/>
        </w:rPr>
        <w:t>effect</w:t>
      </w:r>
      <w:proofErr w:type="gramEnd"/>
      <w:r w:rsidRPr="00A84878">
        <w:rPr>
          <w:rFonts w:asciiTheme="majorHAnsi" w:hAnsiTheme="majorHAnsi" w:cstheme="majorHAnsi"/>
        </w:rPr>
        <w:t xml:space="preserve"> an amendment to the MRRA pursuant to Section 4.3 </w:t>
      </w:r>
      <w:r w:rsidR="00D3454E">
        <w:rPr>
          <w:rFonts w:asciiTheme="majorHAnsi" w:hAnsiTheme="majorHAnsi" w:cstheme="majorHAnsi"/>
        </w:rPr>
        <w:t>(</w:t>
      </w:r>
      <w:r w:rsidR="00D3454E" w:rsidRPr="00D3454E">
        <w:rPr>
          <w:rFonts w:asciiTheme="majorHAnsi" w:hAnsiTheme="majorHAnsi" w:cstheme="majorHAnsi"/>
          <w:i/>
        </w:rPr>
        <w:t>Amendments</w:t>
      </w:r>
      <w:r w:rsidR="00D3454E">
        <w:rPr>
          <w:rFonts w:asciiTheme="majorHAnsi" w:hAnsiTheme="majorHAnsi" w:cstheme="majorHAnsi"/>
        </w:rPr>
        <w:t xml:space="preserve">) </w:t>
      </w:r>
      <w:r w:rsidRPr="00A84878">
        <w:rPr>
          <w:rFonts w:asciiTheme="majorHAnsi" w:hAnsiTheme="majorHAnsi" w:cstheme="majorHAnsi"/>
        </w:rPr>
        <w:t>of the General Provisions should be made stricter</w:t>
      </w:r>
      <w:r w:rsidR="006D3AEB">
        <w:rPr>
          <w:rFonts w:asciiTheme="majorHAnsi" w:hAnsiTheme="majorHAnsi" w:cstheme="majorHAnsi"/>
        </w:rPr>
        <w:t>.</w:t>
      </w:r>
    </w:p>
    <w:p w14:paraId="669D9ED8" w14:textId="77777777" w:rsidR="002D6C4B" w:rsidRPr="00A84878" w:rsidRDefault="00057379" w:rsidP="00DE54BD">
      <w:pPr>
        <w:pStyle w:val="Level2"/>
        <w:numPr>
          <w:ilvl w:val="0"/>
          <w:numId w:val="0"/>
        </w:numPr>
        <w:spacing w:before="280"/>
        <w:rPr>
          <w:rFonts w:asciiTheme="majorHAnsi" w:hAnsiTheme="majorHAnsi" w:cstheme="majorHAnsi"/>
          <w:b/>
          <w:i/>
        </w:rPr>
      </w:pPr>
      <w:r w:rsidRPr="003E11DA">
        <w:rPr>
          <w:rFonts w:asciiTheme="majorHAnsi" w:hAnsiTheme="majorHAnsi" w:cstheme="majorHAnsi"/>
          <w:b/>
        </w:rPr>
        <w:t>Section 6 (</w:t>
      </w:r>
      <w:r w:rsidR="002D6C4B" w:rsidRPr="00A84878">
        <w:rPr>
          <w:rFonts w:asciiTheme="majorHAnsi" w:hAnsiTheme="majorHAnsi" w:cstheme="majorHAnsi"/>
          <w:b/>
          <w:i/>
        </w:rPr>
        <w:t>Execution as Agent</w:t>
      </w:r>
      <w:r w:rsidRPr="003E11DA">
        <w:rPr>
          <w:rFonts w:asciiTheme="majorHAnsi" w:hAnsiTheme="majorHAnsi" w:cstheme="majorHAnsi"/>
          <w:b/>
        </w:rPr>
        <w:t>)</w:t>
      </w:r>
      <w:r w:rsidR="002D6C4B" w:rsidRPr="003E11DA">
        <w:rPr>
          <w:rFonts w:asciiTheme="majorHAnsi" w:hAnsiTheme="majorHAnsi" w:cstheme="majorHAnsi"/>
          <w:b/>
        </w:rPr>
        <w:t xml:space="preserve"> of the General Provisions</w:t>
      </w:r>
    </w:p>
    <w:p w14:paraId="47E3B9BC" w14:textId="77777777" w:rsidR="002D6C4B" w:rsidRPr="00A84878" w:rsidRDefault="00622FEF" w:rsidP="002D6C4B">
      <w:pPr>
        <w:pStyle w:val="Level2"/>
        <w:numPr>
          <w:ilvl w:val="0"/>
          <w:numId w:val="0"/>
        </w:numPr>
        <w:rPr>
          <w:rFonts w:asciiTheme="majorHAnsi" w:hAnsiTheme="majorHAnsi" w:cstheme="majorHAnsi"/>
          <w:b/>
          <w:i/>
        </w:rPr>
      </w:pPr>
      <w:r w:rsidRPr="00A84878">
        <w:rPr>
          <w:rFonts w:asciiTheme="majorHAnsi" w:hAnsiTheme="majorHAnsi" w:cstheme="majorHAnsi"/>
        </w:rPr>
        <w:t xml:space="preserve">This </w:t>
      </w:r>
      <w:r w:rsidR="00B50F5A" w:rsidRPr="00A84878">
        <w:rPr>
          <w:rFonts w:asciiTheme="majorHAnsi" w:hAnsiTheme="majorHAnsi" w:cstheme="majorHAnsi"/>
        </w:rPr>
        <w:t>section</w:t>
      </w:r>
      <w:r w:rsidRPr="00A84878">
        <w:rPr>
          <w:rFonts w:asciiTheme="majorHAnsi" w:hAnsiTheme="majorHAnsi" w:cstheme="majorHAnsi"/>
        </w:rPr>
        <w:t xml:space="preserve"> mirrors a similar provision included in the ISDA/FIA DRA.</w:t>
      </w:r>
    </w:p>
    <w:p w14:paraId="0659360B" w14:textId="77777777" w:rsidR="002D6C4B"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7 (</w:t>
      </w:r>
      <w:r w:rsidR="002D6C4B" w:rsidRPr="00A84878">
        <w:rPr>
          <w:rFonts w:asciiTheme="majorHAnsi" w:hAnsiTheme="majorHAnsi" w:cstheme="majorHAnsi"/>
          <w:b/>
          <w:i/>
        </w:rPr>
        <w:t>Execution as Fund Manager</w:t>
      </w:r>
      <w:r w:rsidRPr="00A84878">
        <w:rPr>
          <w:rFonts w:asciiTheme="majorHAnsi" w:hAnsiTheme="majorHAnsi" w:cstheme="majorHAnsi"/>
          <w:b/>
        </w:rPr>
        <w:t>)</w:t>
      </w:r>
      <w:r w:rsidR="002D6C4B" w:rsidRPr="00A84878">
        <w:rPr>
          <w:rFonts w:asciiTheme="majorHAnsi" w:hAnsiTheme="majorHAnsi" w:cstheme="majorHAnsi"/>
          <w:b/>
        </w:rPr>
        <w:t xml:space="preserve"> of the General Provisions</w:t>
      </w:r>
    </w:p>
    <w:p w14:paraId="277B082F" w14:textId="77777777" w:rsidR="00622FEF" w:rsidRPr="00A84878" w:rsidRDefault="00622FEF" w:rsidP="00622FEF">
      <w:pPr>
        <w:pStyle w:val="Level2"/>
        <w:numPr>
          <w:ilvl w:val="0"/>
          <w:numId w:val="0"/>
        </w:numPr>
        <w:rPr>
          <w:rFonts w:asciiTheme="majorHAnsi" w:hAnsiTheme="majorHAnsi" w:cstheme="majorHAnsi"/>
          <w:b/>
          <w:i/>
        </w:rPr>
      </w:pPr>
      <w:r w:rsidRPr="00A84878">
        <w:rPr>
          <w:rFonts w:asciiTheme="majorHAnsi" w:hAnsiTheme="majorHAnsi" w:cstheme="majorHAnsi"/>
        </w:rPr>
        <w:t xml:space="preserve">This </w:t>
      </w:r>
      <w:r w:rsidR="00B50F5A" w:rsidRPr="00A84878">
        <w:rPr>
          <w:rFonts w:asciiTheme="majorHAnsi" w:hAnsiTheme="majorHAnsi" w:cstheme="majorHAnsi"/>
        </w:rPr>
        <w:t>section</w:t>
      </w:r>
      <w:r w:rsidRPr="00A84878">
        <w:rPr>
          <w:rFonts w:asciiTheme="majorHAnsi" w:hAnsiTheme="majorHAnsi" w:cstheme="majorHAnsi"/>
        </w:rPr>
        <w:t xml:space="preserve"> mirrors the </w:t>
      </w:r>
      <w:r w:rsidR="00FA42EA">
        <w:rPr>
          <w:rFonts w:asciiTheme="majorHAnsi" w:hAnsiTheme="majorHAnsi" w:cstheme="majorHAnsi"/>
        </w:rPr>
        <w:t xml:space="preserve">wording in </w:t>
      </w:r>
      <w:r w:rsidRPr="00A84878">
        <w:rPr>
          <w:rFonts w:asciiTheme="majorHAnsi" w:hAnsiTheme="majorHAnsi" w:cstheme="majorHAnsi"/>
        </w:rPr>
        <w:t xml:space="preserve">Section 6 </w:t>
      </w:r>
      <w:r w:rsidR="00FA42EA">
        <w:rPr>
          <w:rFonts w:asciiTheme="majorHAnsi" w:hAnsiTheme="majorHAnsi" w:cstheme="majorHAnsi"/>
        </w:rPr>
        <w:t>(</w:t>
      </w:r>
      <w:r w:rsidR="00FA42EA" w:rsidRPr="00FA42EA">
        <w:rPr>
          <w:rFonts w:asciiTheme="majorHAnsi" w:hAnsiTheme="majorHAnsi" w:cstheme="majorHAnsi"/>
          <w:i/>
        </w:rPr>
        <w:t>Execution as Agent</w:t>
      </w:r>
      <w:r w:rsidR="00FA42EA">
        <w:rPr>
          <w:rFonts w:asciiTheme="majorHAnsi" w:hAnsiTheme="majorHAnsi" w:cstheme="majorHAnsi"/>
        </w:rPr>
        <w:t xml:space="preserve">) </w:t>
      </w:r>
      <w:r w:rsidRPr="00A84878">
        <w:rPr>
          <w:rFonts w:asciiTheme="majorHAnsi" w:hAnsiTheme="majorHAnsi" w:cstheme="majorHAnsi"/>
        </w:rPr>
        <w:t xml:space="preserve">of the General Provisions. A Fund Manager </w:t>
      </w:r>
      <w:r w:rsidR="00FA42EA">
        <w:rPr>
          <w:rFonts w:asciiTheme="majorHAnsi" w:hAnsiTheme="majorHAnsi" w:cstheme="majorHAnsi"/>
        </w:rPr>
        <w:t>should</w:t>
      </w:r>
      <w:r w:rsidRPr="00A84878">
        <w:rPr>
          <w:rFonts w:asciiTheme="majorHAnsi" w:hAnsiTheme="majorHAnsi" w:cstheme="majorHAnsi"/>
        </w:rPr>
        <w:t xml:space="preserve"> not, however, require a power of attorney or any other form of authorisation </w:t>
      </w:r>
      <w:r w:rsidR="00FA42EA">
        <w:rPr>
          <w:rFonts w:asciiTheme="majorHAnsi" w:hAnsiTheme="majorHAnsi" w:cstheme="majorHAnsi"/>
        </w:rPr>
        <w:t xml:space="preserve">from </w:t>
      </w:r>
      <w:r w:rsidRPr="00A84878">
        <w:rPr>
          <w:rFonts w:asciiTheme="majorHAnsi" w:hAnsiTheme="majorHAnsi" w:cstheme="majorHAnsi"/>
        </w:rPr>
        <w:t>a Fund</w:t>
      </w:r>
      <w:r w:rsidR="00A123B5">
        <w:rPr>
          <w:rFonts w:asciiTheme="majorHAnsi" w:hAnsiTheme="majorHAnsi" w:cstheme="majorHAnsi"/>
        </w:rPr>
        <w:t>,</w:t>
      </w:r>
      <w:r w:rsidR="00FA42EA">
        <w:rPr>
          <w:rFonts w:asciiTheme="majorHAnsi" w:hAnsiTheme="majorHAnsi" w:cstheme="majorHAnsi"/>
        </w:rPr>
        <w:t xml:space="preserve"> since the Fund Manager is fulfilling its own reporting obligation rather than arranging for the Fund to make reports</w:t>
      </w:r>
      <w:r w:rsidRPr="00A84878">
        <w:rPr>
          <w:rFonts w:asciiTheme="majorHAnsi" w:hAnsiTheme="majorHAnsi" w:cstheme="majorHAnsi"/>
        </w:rPr>
        <w:t>.</w:t>
      </w:r>
    </w:p>
    <w:p w14:paraId="35F5B1CA" w14:textId="77777777" w:rsidR="001528AF"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8 (</w:t>
      </w:r>
      <w:r w:rsidR="002D6C4B" w:rsidRPr="00A84878">
        <w:rPr>
          <w:rFonts w:asciiTheme="majorHAnsi" w:hAnsiTheme="majorHAnsi" w:cstheme="majorHAnsi"/>
          <w:b/>
          <w:i/>
        </w:rPr>
        <w:t>Governing Law and Jurisdiction</w:t>
      </w:r>
      <w:r w:rsidRPr="00A84878">
        <w:rPr>
          <w:rFonts w:asciiTheme="majorHAnsi" w:hAnsiTheme="majorHAnsi" w:cstheme="majorHAnsi"/>
          <w:b/>
        </w:rPr>
        <w:t>)</w:t>
      </w:r>
      <w:r w:rsidR="00553AFD" w:rsidRPr="00A84878">
        <w:rPr>
          <w:rFonts w:asciiTheme="majorHAnsi" w:hAnsiTheme="majorHAnsi" w:cstheme="majorHAnsi"/>
          <w:b/>
        </w:rPr>
        <w:t xml:space="preserve"> of the General Provisions</w:t>
      </w:r>
    </w:p>
    <w:p w14:paraId="2DB26D7F" w14:textId="77777777" w:rsidR="002D6C4B" w:rsidRPr="00A84878" w:rsidRDefault="00622FEF"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The MRRA is </w:t>
      </w:r>
      <w:r w:rsidR="002F12FA" w:rsidRPr="00A84878">
        <w:rPr>
          <w:rFonts w:asciiTheme="majorHAnsi" w:hAnsiTheme="majorHAnsi" w:cstheme="majorHAnsi"/>
        </w:rPr>
        <w:t xml:space="preserve">stated to be </w:t>
      </w:r>
      <w:r w:rsidRPr="00A84878">
        <w:rPr>
          <w:rFonts w:asciiTheme="majorHAnsi" w:hAnsiTheme="majorHAnsi" w:cstheme="majorHAnsi"/>
        </w:rPr>
        <w:t>governed by English law</w:t>
      </w:r>
      <w:r w:rsidR="002F12FA" w:rsidRPr="00A84878">
        <w:rPr>
          <w:rFonts w:asciiTheme="majorHAnsi" w:hAnsiTheme="majorHAnsi" w:cstheme="majorHAnsi"/>
        </w:rPr>
        <w:t xml:space="preserve"> in Section 8.1</w:t>
      </w:r>
      <w:r w:rsidRPr="00A84878">
        <w:rPr>
          <w:rFonts w:asciiTheme="majorHAnsi" w:hAnsiTheme="majorHAnsi" w:cstheme="majorHAnsi"/>
        </w:rPr>
        <w:t xml:space="preserve">. </w:t>
      </w:r>
    </w:p>
    <w:p w14:paraId="311F762E" w14:textId="77777777" w:rsidR="00622FEF" w:rsidRPr="00A84878" w:rsidRDefault="002F12FA"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Section 8.2 </w:t>
      </w:r>
      <w:r w:rsidR="00622FEF" w:rsidRPr="00A84878">
        <w:rPr>
          <w:rFonts w:asciiTheme="majorHAnsi" w:hAnsiTheme="majorHAnsi" w:cstheme="majorHAnsi"/>
        </w:rPr>
        <w:t>is drafted such that the parties will be required to select whether the exclusive jurisdiction of the English courts or the non-exclusive jurisdiction of the English courts will apply. Entities may have different preferences in respect of jurisdictional exclusivity and this flexibility is intended to address this.</w:t>
      </w:r>
    </w:p>
    <w:p w14:paraId="1F05A2C5" w14:textId="77777777" w:rsidR="0009397D" w:rsidRPr="00A84878" w:rsidRDefault="0009397D" w:rsidP="0009397D">
      <w:pPr>
        <w:pStyle w:val="Level2"/>
        <w:numPr>
          <w:ilvl w:val="0"/>
          <w:numId w:val="0"/>
        </w:numPr>
        <w:rPr>
          <w:rFonts w:asciiTheme="majorHAnsi" w:hAnsiTheme="majorHAnsi" w:cstheme="majorHAnsi"/>
        </w:rPr>
      </w:pPr>
      <w:r w:rsidRPr="00A84878">
        <w:rPr>
          <w:rFonts w:asciiTheme="majorHAnsi" w:hAnsiTheme="majorHAnsi" w:cstheme="majorHAnsi"/>
        </w:rPr>
        <w:t>Section 8.3 also allows the parties to appoint a Process Agent. The parties will identify the Process Agent relevant to any of the Reporting Party, the Client and/or the Fund Manager in each applicable Annex.</w:t>
      </w:r>
    </w:p>
    <w:p w14:paraId="36423429" w14:textId="77777777" w:rsidR="002D6C4B" w:rsidRPr="00A84878" w:rsidRDefault="0005737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Section 9 (</w:t>
      </w:r>
      <w:r w:rsidR="009E17EF" w:rsidRPr="00A84878">
        <w:rPr>
          <w:rFonts w:asciiTheme="majorHAnsi" w:hAnsiTheme="majorHAnsi" w:cstheme="majorHAnsi"/>
          <w:b/>
          <w:i/>
        </w:rPr>
        <w:t>Definitions and Construction</w:t>
      </w:r>
      <w:r w:rsidRPr="00A84878">
        <w:rPr>
          <w:rFonts w:asciiTheme="majorHAnsi" w:hAnsiTheme="majorHAnsi" w:cstheme="majorHAnsi"/>
          <w:b/>
        </w:rPr>
        <w:t>)</w:t>
      </w:r>
      <w:r w:rsidR="009E17EF" w:rsidRPr="00A84878">
        <w:rPr>
          <w:rFonts w:asciiTheme="majorHAnsi" w:hAnsiTheme="majorHAnsi" w:cstheme="majorHAnsi"/>
          <w:b/>
        </w:rPr>
        <w:t xml:space="preserve"> of the General Provisions</w:t>
      </w:r>
    </w:p>
    <w:p w14:paraId="24D7E582" w14:textId="77777777" w:rsidR="002D6C4B" w:rsidRPr="00A84878" w:rsidRDefault="00755F4D"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Section 1 </w:t>
      </w:r>
      <w:r w:rsidR="006D3AEB">
        <w:rPr>
          <w:rFonts w:asciiTheme="majorHAnsi" w:hAnsiTheme="majorHAnsi" w:cstheme="majorHAnsi"/>
        </w:rPr>
        <w:t>(</w:t>
      </w:r>
      <w:r w:rsidR="006D3AEB" w:rsidRPr="006D3AEB">
        <w:rPr>
          <w:rFonts w:asciiTheme="majorHAnsi" w:hAnsiTheme="majorHAnsi" w:cstheme="majorHAnsi"/>
          <w:i/>
        </w:rPr>
        <w:t xml:space="preserve">Transition between </w:t>
      </w:r>
      <w:r w:rsidR="00AA0B94">
        <w:rPr>
          <w:rFonts w:asciiTheme="majorHAnsi" w:hAnsiTheme="majorHAnsi" w:cstheme="majorHAnsi"/>
          <w:i/>
        </w:rPr>
        <w:t>Reporting Models</w:t>
      </w:r>
      <w:r w:rsidR="006D3AEB">
        <w:rPr>
          <w:rFonts w:asciiTheme="majorHAnsi" w:hAnsiTheme="majorHAnsi" w:cstheme="majorHAnsi"/>
        </w:rPr>
        <w:t xml:space="preserve">) </w:t>
      </w:r>
      <w:r w:rsidRPr="00A84878">
        <w:rPr>
          <w:rFonts w:asciiTheme="majorHAnsi" w:hAnsiTheme="majorHAnsi" w:cstheme="majorHAnsi"/>
        </w:rPr>
        <w:t xml:space="preserve">of the General Provisions, refers to the defined terms </w:t>
      </w:r>
      <w:r w:rsidR="009E17EF" w:rsidRPr="00A84878">
        <w:rPr>
          <w:rFonts w:asciiTheme="majorHAnsi" w:hAnsiTheme="majorHAnsi" w:cstheme="majorHAnsi"/>
        </w:rPr>
        <w:t>‘Delegated Reporting Transition Date’ and ‘Mandatory Reporting Transition Date’</w:t>
      </w:r>
      <w:r w:rsidRPr="00A84878">
        <w:rPr>
          <w:rFonts w:asciiTheme="majorHAnsi" w:hAnsiTheme="majorHAnsi" w:cstheme="majorHAnsi"/>
        </w:rPr>
        <w:t>.</w:t>
      </w:r>
    </w:p>
    <w:p w14:paraId="098C7330" w14:textId="217B4586" w:rsidR="00341CC0" w:rsidRDefault="00755F4D"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The parties will need to agree on </w:t>
      </w:r>
      <w:r w:rsidR="00747191" w:rsidRPr="00A84878">
        <w:rPr>
          <w:rFonts w:asciiTheme="majorHAnsi" w:hAnsiTheme="majorHAnsi" w:cstheme="majorHAnsi"/>
        </w:rPr>
        <w:t xml:space="preserve">whether, for a transition to Mandatory Reporting or Delegated Reporting to occur, there should be a period between receipt of notice of any regulatory status </w:t>
      </w:r>
      <w:r w:rsidR="00747191" w:rsidRPr="00A84878">
        <w:rPr>
          <w:rFonts w:asciiTheme="majorHAnsi" w:hAnsiTheme="majorHAnsi" w:cstheme="majorHAnsi"/>
        </w:rPr>
        <w:lastRenderedPageBreak/>
        <w:t xml:space="preserve">change and the date of transition itself, </w:t>
      </w:r>
      <w:r w:rsidR="008A31B4" w:rsidRPr="00A84878">
        <w:rPr>
          <w:rFonts w:asciiTheme="majorHAnsi" w:hAnsiTheme="majorHAnsi" w:cstheme="majorHAnsi"/>
        </w:rPr>
        <w:t>as well as</w:t>
      </w:r>
      <w:r w:rsidR="00747191" w:rsidRPr="00A84878">
        <w:rPr>
          <w:rFonts w:asciiTheme="majorHAnsi" w:hAnsiTheme="majorHAnsi" w:cstheme="majorHAnsi"/>
        </w:rPr>
        <w:t xml:space="preserve"> the duration of any such period.</w:t>
      </w:r>
      <w:r w:rsidR="00A94129">
        <w:rPr>
          <w:rStyle w:val="FootnoteReference"/>
          <w:rFonts w:cstheme="majorHAnsi"/>
        </w:rPr>
        <w:footnoteReference w:id="26"/>
      </w:r>
      <w:r w:rsidR="00A94129" w:rsidRPr="00A84878">
        <w:rPr>
          <w:rFonts w:asciiTheme="majorHAnsi" w:hAnsiTheme="majorHAnsi" w:cstheme="majorHAnsi"/>
        </w:rPr>
        <w:t xml:space="preserve"> </w:t>
      </w:r>
      <w:r w:rsidR="00747191" w:rsidRPr="00A84878">
        <w:rPr>
          <w:rFonts w:asciiTheme="majorHAnsi" w:hAnsiTheme="majorHAnsi" w:cstheme="majorHAnsi"/>
        </w:rPr>
        <w:t xml:space="preserve">The parties should also consider whether the Reporting Party’s awareness of a change to the Delegating Party/Client’s regulatory status </w:t>
      </w:r>
      <w:r w:rsidR="00FA42EA">
        <w:rPr>
          <w:rFonts w:asciiTheme="majorHAnsi" w:hAnsiTheme="majorHAnsi" w:cstheme="majorHAnsi"/>
        </w:rPr>
        <w:t>should be</w:t>
      </w:r>
      <w:r w:rsidR="00747191" w:rsidRPr="00A84878">
        <w:rPr>
          <w:rFonts w:asciiTheme="majorHAnsi" w:hAnsiTheme="majorHAnsi" w:cstheme="majorHAnsi"/>
        </w:rPr>
        <w:t xml:space="preserve"> sufficient to effect a transition</w:t>
      </w:r>
      <w:r w:rsidR="00600DD7" w:rsidRPr="00A84878">
        <w:rPr>
          <w:rFonts w:asciiTheme="majorHAnsi" w:hAnsiTheme="majorHAnsi" w:cstheme="majorHAnsi"/>
        </w:rPr>
        <w:t xml:space="preserve"> in the absence of any notification from the Delegating Party/Client.</w:t>
      </w:r>
      <w:r w:rsidR="008A31B4" w:rsidRPr="00A84878">
        <w:rPr>
          <w:rFonts w:asciiTheme="majorHAnsi" w:hAnsiTheme="majorHAnsi" w:cstheme="majorHAnsi"/>
        </w:rPr>
        <w:t xml:space="preserve"> Where the wording “or otherwise becomes aware” is deleted, the Reporting Party must continue</w:t>
      </w:r>
      <w:r w:rsidR="00FA42EA">
        <w:rPr>
          <w:rFonts w:asciiTheme="majorHAnsi" w:hAnsiTheme="majorHAnsi" w:cstheme="majorHAnsi"/>
        </w:rPr>
        <w:t>,</w:t>
      </w:r>
      <w:r w:rsidR="008A31B4" w:rsidRPr="00A84878">
        <w:rPr>
          <w:rFonts w:asciiTheme="majorHAnsi" w:hAnsiTheme="majorHAnsi" w:cstheme="majorHAnsi"/>
        </w:rPr>
        <w:t xml:space="preserve"> as a matter of contract</w:t>
      </w:r>
      <w:r w:rsidR="00FA42EA">
        <w:rPr>
          <w:rFonts w:asciiTheme="majorHAnsi" w:hAnsiTheme="majorHAnsi" w:cstheme="majorHAnsi"/>
        </w:rPr>
        <w:t>,</w:t>
      </w:r>
      <w:r w:rsidR="008A31B4" w:rsidRPr="00A84878">
        <w:rPr>
          <w:rFonts w:asciiTheme="majorHAnsi" w:hAnsiTheme="majorHAnsi" w:cstheme="majorHAnsi"/>
        </w:rPr>
        <w:t xml:space="preserve"> to apply Mandatory Reporting or Delegated Reporting, as applicable, until it is notified of a change in its Delegating Party/Client’s status, at which point it can transition to the other form of reporting, despite knowing of the regulatory change prior to such notification.</w:t>
      </w:r>
    </w:p>
    <w:p w14:paraId="6C2BAC6F" w14:textId="77777777" w:rsidR="00F22295" w:rsidRDefault="00F22295" w:rsidP="007E7103">
      <w:pPr>
        <w:pStyle w:val="Level2"/>
        <w:numPr>
          <w:ilvl w:val="0"/>
          <w:numId w:val="0"/>
        </w:numPr>
        <w:rPr>
          <w:rFonts w:asciiTheme="majorHAnsi" w:hAnsiTheme="majorHAnsi" w:cstheme="majorHAnsi"/>
        </w:rPr>
      </w:pPr>
      <w:r>
        <w:rPr>
          <w:rFonts w:asciiTheme="majorHAnsi" w:hAnsiTheme="majorHAnsi" w:cstheme="majorHAnsi"/>
        </w:rPr>
        <w:t xml:space="preserve">Section 9.2 provides that references in the MRRA to a provision of law will be to a provision as amended from time to time. The parties should consider whether they will need to monitor any regulatory changes or future legislation to ensure the MRRA is compatible with any new or amended </w:t>
      </w:r>
      <w:r w:rsidR="00F350D4">
        <w:rPr>
          <w:rFonts w:asciiTheme="majorHAnsi" w:hAnsiTheme="majorHAnsi" w:cstheme="majorHAnsi"/>
        </w:rPr>
        <w:t xml:space="preserve">laws or regulations. </w:t>
      </w:r>
      <w:r w:rsidRPr="00A84878">
        <w:rPr>
          <w:rFonts w:asciiTheme="majorHAnsi" w:hAnsiTheme="majorHAnsi" w:cstheme="majorHAnsi"/>
        </w:rPr>
        <w:t>The parties should consider consulting their own independent professional advis</w:t>
      </w:r>
      <w:r>
        <w:rPr>
          <w:rFonts w:asciiTheme="majorHAnsi" w:hAnsiTheme="majorHAnsi" w:cstheme="majorHAnsi"/>
        </w:rPr>
        <w:t>e</w:t>
      </w:r>
      <w:r w:rsidRPr="00A84878">
        <w:rPr>
          <w:rFonts w:asciiTheme="majorHAnsi" w:hAnsiTheme="majorHAnsi" w:cstheme="majorHAnsi"/>
        </w:rPr>
        <w:t xml:space="preserve">rs on </w:t>
      </w:r>
      <w:r>
        <w:rPr>
          <w:rFonts w:asciiTheme="majorHAnsi" w:hAnsiTheme="majorHAnsi" w:cstheme="majorHAnsi"/>
        </w:rPr>
        <w:t>these issues</w:t>
      </w:r>
      <w:r w:rsidRPr="00A84878">
        <w:rPr>
          <w:rFonts w:asciiTheme="majorHAnsi" w:hAnsiTheme="majorHAnsi" w:cstheme="majorHAnsi"/>
        </w:rPr>
        <w:t xml:space="preserve">.   </w:t>
      </w:r>
    </w:p>
    <w:p w14:paraId="628320C6" w14:textId="77777777" w:rsidR="007631D5" w:rsidRDefault="007631D5">
      <w:pPr>
        <w:rPr>
          <w:rFonts w:asciiTheme="majorHAnsi" w:hAnsiTheme="majorHAnsi" w:cstheme="majorHAnsi"/>
          <w:b/>
          <w:kern w:val="20"/>
          <w:sz w:val="22"/>
          <w:szCs w:val="28"/>
          <w:u w:val="single"/>
        </w:rPr>
      </w:pPr>
      <w:r>
        <w:rPr>
          <w:rFonts w:asciiTheme="majorHAnsi" w:hAnsiTheme="majorHAnsi" w:cstheme="majorHAnsi"/>
          <w:b/>
          <w:sz w:val="22"/>
          <w:u w:val="single"/>
        </w:rPr>
        <w:br w:type="page"/>
      </w:r>
    </w:p>
    <w:p w14:paraId="5B8D2EE9" w14:textId="77777777" w:rsidR="00600DD7" w:rsidRPr="00BF18EA" w:rsidRDefault="00600DD7" w:rsidP="00DE54BD">
      <w:pPr>
        <w:pStyle w:val="Level2"/>
        <w:numPr>
          <w:ilvl w:val="0"/>
          <w:numId w:val="0"/>
        </w:numPr>
        <w:spacing w:before="280"/>
        <w:rPr>
          <w:rFonts w:asciiTheme="majorHAnsi" w:hAnsiTheme="majorHAnsi" w:cstheme="majorHAnsi"/>
          <w:b/>
          <w:sz w:val="22"/>
          <w:u w:val="single"/>
        </w:rPr>
      </w:pPr>
      <w:r w:rsidRPr="00BF18EA">
        <w:rPr>
          <w:rFonts w:asciiTheme="majorHAnsi" w:hAnsiTheme="majorHAnsi" w:cstheme="majorHAnsi"/>
          <w:b/>
          <w:sz w:val="22"/>
          <w:u w:val="single"/>
        </w:rPr>
        <w:lastRenderedPageBreak/>
        <w:t>Derivatives Annex</w:t>
      </w:r>
    </w:p>
    <w:p w14:paraId="524D7876" w14:textId="7564A2E4" w:rsidR="00D90828" w:rsidRPr="00A84878" w:rsidRDefault="00D90828"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The Derivatives Annex is an optional annex that the parties should include </w:t>
      </w:r>
      <w:r w:rsidR="002A4D3B" w:rsidRPr="00A84878">
        <w:rPr>
          <w:rFonts w:asciiTheme="majorHAnsi" w:hAnsiTheme="majorHAnsi" w:cstheme="majorHAnsi"/>
        </w:rPr>
        <w:t>if they are in-scope of EMIR</w:t>
      </w:r>
      <w:r w:rsidR="003433C5">
        <w:rPr>
          <w:rFonts w:asciiTheme="majorHAnsi" w:hAnsiTheme="majorHAnsi" w:cstheme="majorHAnsi"/>
        </w:rPr>
        <w:t xml:space="preserve"> or UK EMIR</w:t>
      </w:r>
      <w:r w:rsidR="002A4D3B" w:rsidRPr="00A84878">
        <w:rPr>
          <w:rFonts w:asciiTheme="majorHAnsi" w:hAnsiTheme="majorHAnsi" w:cstheme="majorHAnsi"/>
        </w:rPr>
        <w:t xml:space="preserve"> reporting obligations. The Derivatives Annex </w:t>
      </w:r>
      <w:r w:rsidR="00341CC0" w:rsidRPr="00A84878">
        <w:rPr>
          <w:rFonts w:asciiTheme="majorHAnsi" w:hAnsiTheme="majorHAnsi" w:cstheme="majorHAnsi"/>
        </w:rPr>
        <w:t>sets out</w:t>
      </w:r>
      <w:r w:rsidR="002A4D3B" w:rsidRPr="00A84878">
        <w:rPr>
          <w:rFonts w:asciiTheme="majorHAnsi" w:hAnsiTheme="majorHAnsi" w:cstheme="majorHAnsi"/>
        </w:rPr>
        <w:t xml:space="preserve"> </w:t>
      </w:r>
      <w:proofErr w:type="gramStart"/>
      <w:r w:rsidR="002A4D3B" w:rsidRPr="00A84878">
        <w:rPr>
          <w:rFonts w:asciiTheme="majorHAnsi" w:hAnsiTheme="majorHAnsi" w:cstheme="majorHAnsi"/>
        </w:rPr>
        <w:t>a number of</w:t>
      </w:r>
      <w:proofErr w:type="gramEnd"/>
      <w:r w:rsidR="002A4D3B" w:rsidRPr="00A84878">
        <w:rPr>
          <w:rFonts w:asciiTheme="majorHAnsi" w:hAnsiTheme="majorHAnsi" w:cstheme="majorHAnsi"/>
        </w:rPr>
        <w:t xml:space="preserve"> derivatives-specific provisions, which include both checkbox elections and definitions. The parties should consider w</w:t>
      </w:r>
      <w:r w:rsidR="00C83913">
        <w:rPr>
          <w:rFonts w:asciiTheme="majorHAnsi" w:hAnsiTheme="majorHAnsi" w:cstheme="majorHAnsi"/>
        </w:rPr>
        <w:t xml:space="preserve">hether </w:t>
      </w:r>
      <w:r w:rsidR="002A4D3B" w:rsidRPr="00A84878">
        <w:rPr>
          <w:rFonts w:asciiTheme="majorHAnsi" w:hAnsiTheme="majorHAnsi" w:cstheme="majorHAnsi"/>
        </w:rPr>
        <w:t>further provisions are required</w:t>
      </w:r>
      <w:r w:rsidR="00C83913">
        <w:rPr>
          <w:rFonts w:asciiTheme="majorHAnsi" w:hAnsiTheme="majorHAnsi" w:cstheme="majorHAnsi"/>
        </w:rPr>
        <w:t xml:space="preserve"> in the Derivatives Annex, and if they are, </w:t>
      </w:r>
      <w:r w:rsidR="002A4D3B" w:rsidRPr="00A84878">
        <w:rPr>
          <w:rFonts w:asciiTheme="majorHAnsi" w:hAnsiTheme="majorHAnsi" w:cstheme="majorHAnsi"/>
        </w:rPr>
        <w:t>add these in Paragraph 15 (</w:t>
      </w:r>
      <w:r w:rsidR="002A4D3B" w:rsidRPr="00A84878">
        <w:rPr>
          <w:rFonts w:asciiTheme="majorHAnsi" w:hAnsiTheme="majorHAnsi" w:cstheme="majorHAnsi"/>
          <w:i/>
        </w:rPr>
        <w:t>Other Provisions</w:t>
      </w:r>
      <w:r w:rsidR="002A4D3B" w:rsidRPr="00A84878">
        <w:rPr>
          <w:rFonts w:asciiTheme="majorHAnsi" w:hAnsiTheme="majorHAnsi" w:cstheme="majorHAnsi"/>
        </w:rPr>
        <w:t>) of the Derivatives Annex.</w:t>
      </w:r>
      <w:r w:rsidR="00341CC0" w:rsidRPr="00A84878">
        <w:rPr>
          <w:rFonts w:asciiTheme="majorHAnsi" w:hAnsiTheme="majorHAnsi" w:cstheme="majorHAnsi"/>
        </w:rPr>
        <w:t xml:space="preserve"> Where paragraphs in this Annex are not </w:t>
      </w:r>
      <w:r w:rsidR="00FA42EA">
        <w:rPr>
          <w:rFonts w:asciiTheme="majorHAnsi" w:hAnsiTheme="majorHAnsi" w:cstheme="majorHAnsi"/>
        </w:rPr>
        <w:t>relevant</w:t>
      </w:r>
      <w:r w:rsidR="00341CC0" w:rsidRPr="00A84878">
        <w:rPr>
          <w:rFonts w:asciiTheme="majorHAnsi" w:hAnsiTheme="majorHAnsi" w:cstheme="majorHAnsi"/>
        </w:rPr>
        <w:t>, the parties can remove them.</w:t>
      </w:r>
    </w:p>
    <w:p w14:paraId="01131C37" w14:textId="77777777" w:rsidR="008A31B4" w:rsidRPr="00A84878" w:rsidRDefault="00817FA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1 (</w:t>
      </w:r>
      <w:r w:rsidR="008A31B4" w:rsidRPr="00A84878">
        <w:rPr>
          <w:rFonts w:asciiTheme="majorHAnsi" w:hAnsiTheme="majorHAnsi" w:cstheme="majorHAnsi"/>
          <w:b/>
          <w:i/>
        </w:rPr>
        <w:t>Effective Date</w:t>
      </w:r>
      <w:r w:rsidRPr="00A84878">
        <w:rPr>
          <w:rFonts w:asciiTheme="majorHAnsi" w:hAnsiTheme="majorHAnsi" w:cstheme="majorHAnsi"/>
          <w:b/>
        </w:rPr>
        <w:t>)</w:t>
      </w:r>
      <w:r w:rsidR="008A31B4" w:rsidRPr="00A84878">
        <w:rPr>
          <w:rFonts w:asciiTheme="majorHAnsi" w:hAnsiTheme="majorHAnsi" w:cstheme="majorHAnsi"/>
          <w:b/>
        </w:rPr>
        <w:t xml:space="preserve"> of the Derivatives Annex</w:t>
      </w:r>
    </w:p>
    <w:p w14:paraId="552E192F" w14:textId="20300D10" w:rsidR="008A31B4" w:rsidRPr="00FA42EA" w:rsidRDefault="00205CC5" w:rsidP="007E7103">
      <w:pPr>
        <w:pStyle w:val="Level2"/>
        <w:numPr>
          <w:ilvl w:val="0"/>
          <w:numId w:val="0"/>
        </w:numPr>
        <w:rPr>
          <w:rFonts w:asciiTheme="majorHAnsi" w:hAnsiTheme="majorHAnsi" w:cstheme="majorHAnsi"/>
        </w:rPr>
      </w:pPr>
      <w:r w:rsidRPr="00A84878">
        <w:rPr>
          <w:rFonts w:asciiTheme="majorHAnsi" w:hAnsiTheme="majorHAnsi" w:cstheme="majorHAnsi"/>
        </w:rPr>
        <w:t>An ‘effective date’ concept has been included in the Derivatives Annex to ensure</w:t>
      </w:r>
      <w:r w:rsidR="00F757CE" w:rsidRPr="00A84878">
        <w:rPr>
          <w:rFonts w:asciiTheme="majorHAnsi" w:hAnsiTheme="majorHAnsi" w:cstheme="majorHAnsi"/>
        </w:rPr>
        <w:t xml:space="preserve"> maximum</w:t>
      </w:r>
      <w:r w:rsidRPr="00A84878">
        <w:rPr>
          <w:rFonts w:asciiTheme="majorHAnsi" w:hAnsiTheme="majorHAnsi" w:cstheme="majorHAnsi"/>
        </w:rPr>
        <w:t xml:space="preserve"> flexibility. The parties could execute the MRRA </w:t>
      </w:r>
      <w:r w:rsidR="00F757CE" w:rsidRPr="00A84878">
        <w:rPr>
          <w:rFonts w:asciiTheme="majorHAnsi" w:hAnsiTheme="majorHAnsi" w:cstheme="majorHAnsi"/>
        </w:rPr>
        <w:t xml:space="preserve">but provide that the effective date of the Derivatives Annex is </w:t>
      </w:r>
      <w:r w:rsidR="00FA42EA">
        <w:rPr>
          <w:rFonts w:asciiTheme="majorHAnsi" w:hAnsiTheme="majorHAnsi" w:cstheme="majorHAnsi"/>
        </w:rPr>
        <w:t>a later date</w:t>
      </w:r>
      <w:r w:rsidR="002C6F83" w:rsidRPr="00A84878">
        <w:rPr>
          <w:rFonts w:asciiTheme="majorHAnsi" w:hAnsiTheme="majorHAnsi" w:cstheme="majorHAnsi"/>
        </w:rPr>
        <w:t>; the form of reporting described as applicable in Paragraph 3 (</w:t>
      </w:r>
      <w:r w:rsidR="002C6F83" w:rsidRPr="00A84878">
        <w:rPr>
          <w:rFonts w:asciiTheme="majorHAnsi" w:hAnsiTheme="majorHAnsi" w:cstheme="majorHAnsi"/>
          <w:i/>
        </w:rPr>
        <w:t>Relevant Transactions and Related Elections</w:t>
      </w:r>
      <w:r w:rsidR="002C6F83" w:rsidRPr="00A84878">
        <w:rPr>
          <w:rFonts w:asciiTheme="majorHAnsi" w:hAnsiTheme="majorHAnsi" w:cstheme="majorHAnsi"/>
        </w:rPr>
        <w:t xml:space="preserve">) of the Derivatives Annex would only be </w:t>
      </w:r>
      <w:r w:rsidR="002C6F83" w:rsidRPr="00B172E1">
        <w:rPr>
          <w:rFonts w:asciiTheme="majorHAnsi" w:hAnsiTheme="majorHAnsi" w:cstheme="majorHAnsi"/>
        </w:rPr>
        <w:t xml:space="preserve">applicable </w:t>
      </w:r>
      <w:r w:rsidR="00646C57" w:rsidRPr="00B172E1">
        <w:rPr>
          <w:rFonts w:asciiTheme="majorHAnsi" w:hAnsiTheme="majorHAnsi" w:cstheme="majorHAnsi"/>
        </w:rPr>
        <w:t>from</w:t>
      </w:r>
      <w:r w:rsidR="002C6F83" w:rsidRPr="00B172E1">
        <w:rPr>
          <w:rFonts w:asciiTheme="majorHAnsi" w:hAnsiTheme="majorHAnsi" w:cstheme="majorHAnsi"/>
        </w:rPr>
        <w:t xml:space="preserve"> the </w:t>
      </w:r>
      <w:r w:rsidR="00646C57" w:rsidRPr="00B172E1">
        <w:rPr>
          <w:rFonts w:asciiTheme="majorHAnsi" w:hAnsiTheme="majorHAnsi" w:cstheme="majorHAnsi"/>
        </w:rPr>
        <w:t xml:space="preserve">specified </w:t>
      </w:r>
      <w:r w:rsidR="002C6F83" w:rsidRPr="00B172E1">
        <w:rPr>
          <w:rFonts w:asciiTheme="majorHAnsi" w:hAnsiTheme="majorHAnsi" w:cstheme="majorHAnsi"/>
        </w:rPr>
        <w:t>effective date</w:t>
      </w:r>
      <w:r w:rsidR="00F757CE" w:rsidRPr="00B172E1">
        <w:rPr>
          <w:rFonts w:asciiTheme="majorHAnsi" w:hAnsiTheme="majorHAnsi" w:cstheme="majorHAnsi"/>
        </w:rPr>
        <w:t xml:space="preserve">. </w:t>
      </w:r>
      <w:r w:rsidR="00FA42EA" w:rsidRPr="00B172E1">
        <w:rPr>
          <w:rFonts w:asciiTheme="majorHAnsi" w:hAnsiTheme="majorHAnsi" w:cstheme="majorHAnsi"/>
        </w:rPr>
        <w:t>Also</w:t>
      </w:r>
      <w:r w:rsidR="00A45DAF" w:rsidRPr="00B172E1">
        <w:rPr>
          <w:rFonts w:asciiTheme="majorHAnsi" w:hAnsiTheme="majorHAnsi" w:cstheme="majorHAnsi"/>
        </w:rPr>
        <w:t>,</w:t>
      </w:r>
      <w:r w:rsidR="00FA42EA" w:rsidRPr="00B172E1">
        <w:rPr>
          <w:rFonts w:asciiTheme="majorHAnsi" w:hAnsiTheme="majorHAnsi" w:cstheme="majorHAnsi"/>
        </w:rPr>
        <w:t xml:space="preserve"> Paragraph 3 (</w:t>
      </w:r>
      <w:r w:rsidR="00FA42EA" w:rsidRPr="00B172E1">
        <w:rPr>
          <w:rFonts w:asciiTheme="majorHAnsi" w:hAnsiTheme="majorHAnsi" w:cstheme="majorHAnsi"/>
          <w:i/>
        </w:rPr>
        <w:t>Relevant Transactions and Related Elections</w:t>
      </w:r>
      <w:r w:rsidR="00FA42EA" w:rsidRPr="00B172E1">
        <w:rPr>
          <w:rFonts w:asciiTheme="majorHAnsi" w:hAnsiTheme="majorHAnsi" w:cstheme="majorHAnsi"/>
        </w:rPr>
        <w:t>) of the Derivatives Annex can be used to specify that reporting of the Relevant Transactions will only apply to transactions</w:t>
      </w:r>
      <w:r w:rsidR="00A45DAF" w:rsidRPr="00B172E1">
        <w:rPr>
          <w:rFonts w:asciiTheme="majorHAnsi" w:hAnsiTheme="majorHAnsi" w:cstheme="majorHAnsi"/>
        </w:rPr>
        <w:t xml:space="preserve"> concluded on or after a particular date.</w:t>
      </w:r>
      <w:r w:rsidR="008D6FF5">
        <w:rPr>
          <w:rFonts w:asciiTheme="majorHAnsi" w:hAnsiTheme="majorHAnsi" w:cstheme="majorHAnsi"/>
        </w:rPr>
        <w:t xml:space="preserve"> </w:t>
      </w:r>
    </w:p>
    <w:p w14:paraId="7866866E" w14:textId="77777777" w:rsidR="005801E5" w:rsidRPr="00A84878" w:rsidRDefault="00817FA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2 (</w:t>
      </w:r>
      <w:r w:rsidR="00A06418" w:rsidRPr="00A84878">
        <w:rPr>
          <w:rFonts w:asciiTheme="majorHAnsi" w:hAnsiTheme="majorHAnsi" w:cstheme="majorHAnsi"/>
          <w:b/>
          <w:i/>
        </w:rPr>
        <w:t>Applicable Reporting Regime(s) for Client or Fund</w:t>
      </w:r>
      <w:r w:rsidRPr="00A84878">
        <w:rPr>
          <w:rFonts w:asciiTheme="majorHAnsi" w:hAnsiTheme="majorHAnsi" w:cstheme="majorHAnsi"/>
          <w:b/>
        </w:rPr>
        <w:t>)</w:t>
      </w:r>
      <w:r w:rsidR="00A06418" w:rsidRPr="00A84878">
        <w:rPr>
          <w:rFonts w:asciiTheme="majorHAnsi" w:hAnsiTheme="majorHAnsi" w:cstheme="majorHAnsi"/>
          <w:b/>
        </w:rPr>
        <w:t xml:space="preserve"> of the Derivatives Annex</w:t>
      </w:r>
    </w:p>
    <w:p w14:paraId="1040278B" w14:textId="77777777" w:rsidR="00A06418" w:rsidRPr="00A84878" w:rsidRDefault="00802921"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This optional paragraph is included in the MRRA in square brackets. Some entities may prefer not to specify the </w:t>
      </w:r>
      <w:r w:rsidR="0036575A">
        <w:rPr>
          <w:rFonts w:asciiTheme="majorHAnsi" w:hAnsiTheme="majorHAnsi" w:cstheme="majorHAnsi"/>
        </w:rPr>
        <w:t>A</w:t>
      </w:r>
      <w:r w:rsidRPr="00A84878">
        <w:rPr>
          <w:rFonts w:asciiTheme="majorHAnsi" w:hAnsiTheme="majorHAnsi" w:cstheme="majorHAnsi"/>
        </w:rPr>
        <w:t xml:space="preserve">pplicable </w:t>
      </w:r>
      <w:r w:rsidR="0036575A">
        <w:rPr>
          <w:rFonts w:asciiTheme="majorHAnsi" w:hAnsiTheme="majorHAnsi" w:cstheme="majorHAnsi"/>
        </w:rPr>
        <w:t>R</w:t>
      </w:r>
      <w:r w:rsidRPr="00A84878">
        <w:rPr>
          <w:rFonts w:asciiTheme="majorHAnsi" w:hAnsiTheme="majorHAnsi" w:cstheme="majorHAnsi"/>
        </w:rPr>
        <w:t xml:space="preserve">eporting </w:t>
      </w:r>
      <w:r w:rsidR="0036575A">
        <w:rPr>
          <w:rFonts w:asciiTheme="majorHAnsi" w:hAnsiTheme="majorHAnsi" w:cstheme="majorHAnsi"/>
        </w:rPr>
        <w:t>R</w:t>
      </w:r>
      <w:r w:rsidRPr="00A84878">
        <w:rPr>
          <w:rFonts w:asciiTheme="majorHAnsi" w:hAnsiTheme="majorHAnsi" w:cstheme="majorHAnsi"/>
        </w:rPr>
        <w:t>egime</w:t>
      </w:r>
      <w:r w:rsidR="00A45DAF">
        <w:rPr>
          <w:rFonts w:asciiTheme="majorHAnsi" w:hAnsiTheme="majorHAnsi" w:cstheme="majorHAnsi"/>
        </w:rPr>
        <w:t>(s)</w:t>
      </w:r>
      <w:r w:rsidRPr="00A84878">
        <w:rPr>
          <w:rFonts w:asciiTheme="majorHAnsi" w:hAnsiTheme="majorHAnsi" w:cstheme="majorHAnsi"/>
        </w:rPr>
        <w:t xml:space="preserve"> in the MRRA itself and may prefer to delete this paragraph. </w:t>
      </w:r>
    </w:p>
    <w:p w14:paraId="0839C376" w14:textId="77777777" w:rsidR="002A2215" w:rsidRPr="00A84878" w:rsidRDefault="00802921" w:rsidP="007E7103">
      <w:pPr>
        <w:pStyle w:val="Level2"/>
        <w:numPr>
          <w:ilvl w:val="0"/>
          <w:numId w:val="0"/>
        </w:numPr>
        <w:rPr>
          <w:rFonts w:asciiTheme="majorHAnsi" w:hAnsiTheme="majorHAnsi" w:cstheme="majorHAnsi"/>
        </w:rPr>
      </w:pPr>
      <w:r w:rsidRPr="00A84878">
        <w:rPr>
          <w:rFonts w:asciiTheme="majorHAnsi" w:hAnsiTheme="majorHAnsi" w:cstheme="majorHAnsi"/>
        </w:rPr>
        <w:t>As the relevant footnote indicates, where the MRRA relates to multiple Clients and/or Funds, the parties should</w:t>
      </w:r>
      <w:r w:rsidR="00A123B5">
        <w:rPr>
          <w:rFonts w:asciiTheme="majorHAnsi" w:hAnsiTheme="majorHAnsi" w:cstheme="majorHAnsi"/>
        </w:rPr>
        <w:t xml:space="preserve"> consider using</w:t>
      </w:r>
      <w:r w:rsidRPr="00A84878">
        <w:rPr>
          <w:rFonts w:asciiTheme="majorHAnsi" w:hAnsiTheme="majorHAnsi" w:cstheme="majorHAnsi"/>
        </w:rPr>
        <w:t xml:space="preserve"> the relevant Schedule to specify the Applicable Reporting Regime</w:t>
      </w:r>
      <w:r w:rsidR="00A123B5">
        <w:rPr>
          <w:rFonts w:asciiTheme="majorHAnsi" w:hAnsiTheme="majorHAnsi" w:cstheme="majorHAnsi"/>
        </w:rPr>
        <w:t>(s)</w:t>
      </w:r>
      <w:r w:rsidRPr="00A84878">
        <w:rPr>
          <w:rFonts w:asciiTheme="majorHAnsi" w:hAnsiTheme="majorHAnsi" w:cstheme="majorHAnsi"/>
        </w:rPr>
        <w:t xml:space="preserve"> for each Client and/or Fund.</w:t>
      </w:r>
    </w:p>
    <w:p w14:paraId="2B0C2FAE" w14:textId="77777777" w:rsidR="00802921" w:rsidRPr="00A84878" w:rsidRDefault="00817FA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3 (</w:t>
      </w:r>
      <w:r w:rsidR="00802921" w:rsidRPr="00A84878">
        <w:rPr>
          <w:rFonts w:asciiTheme="majorHAnsi" w:hAnsiTheme="majorHAnsi" w:cstheme="majorHAnsi"/>
          <w:b/>
          <w:i/>
        </w:rPr>
        <w:t xml:space="preserve">Relevant </w:t>
      </w:r>
      <w:r w:rsidR="00802921" w:rsidRPr="00E35DB4">
        <w:rPr>
          <w:rFonts w:asciiTheme="majorHAnsi" w:hAnsiTheme="majorHAnsi" w:cstheme="majorHAnsi"/>
          <w:b/>
          <w:i/>
        </w:rPr>
        <w:t>Transactions and Related Elections</w:t>
      </w:r>
      <w:r w:rsidRPr="00E35DB4">
        <w:rPr>
          <w:rFonts w:asciiTheme="majorHAnsi" w:hAnsiTheme="majorHAnsi" w:cstheme="majorHAnsi"/>
          <w:b/>
        </w:rPr>
        <w:t>)</w:t>
      </w:r>
      <w:r w:rsidR="00802921" w:rsidRPr="00E35DB4">
        <w:rPr>
          <w:rFonts w:asciiTheme="majorHAnsi" w:hAnsiTheme="majorHAnsi" w:cstheme="majorHAnsi"/>
          <w:b/>
        </w:rPr>
        <w:t xml:space="preserve"> of</w:t>
      </w:r>
      <w:r w:rsidR="00802921" w:rsidRPr="00A84878">
        <w:rPr>
          <w:rFonts w:asciiTheme="majorHAnsi" w:hAnsiTheme="majorHAnsi" w:cstheme="majorHAnsi"/>
          <w:b/>
        </w:rPr>
        <w:t xml:space="preserve"> the Derivatives Annex</w:t>
      </w:r>
    </w:p>
    <w:p w14:paraId="0D8DE754" w14:textId="77777777" w:rsidR="00802921" w:rsidRPr="00A84878" w:rsidRDefault="00015951"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This paragraph </w:t>
      </w:r>
      <w:r w:rsidR="00396940" w:rsidRPr="00A84878">
        <w:rPr>
          <w:rFonts w:asciiTheme="majorHAnsi" w:hAnsiTheme="majorHAnsi" w:cstheme="majorHAnsi"/>
        </w:rPr>
        <w:t xml:space="preserve">sets out, in template tabular format, the scope of transactions covered by the MRRA. </w:t>
      </w:r>
    </w:p>
    <w:p w14:paraId="17F02F13" w14:textId="77777777" w:rsidR="009F72C1" w:rsidRPr="00A84878" w:rsidRDefault="00396940" w:rsidP="007E7103">
      <w:pPr>
        <w:pStyle w:val="Level2"/>
        <w:numPr>
          <w:ilvl w:val="0"/>
          <w:numId w:val="0"/>
        </w:numPr>
        <w:rPr>
          <w:rFonts w:asciiTheme="majorHAnsi" w:hAnsiTheme="majorHAnsi" w:cstheme="majorHAnsi"/>
        </w:rPr>
      </w:pPr>
      <w:r w:rsidRPr="00A84878">
        <w:rPr>
          <w:rFonts w:asciiTheme="majorHAnsi" w:hAnsiTheme="majorHAnsi" w:cstheme="majorHAnsi"/>
        </w:rPr>
        <w:t>The transactions covered by one or both of Delegated Reporting and Mandatory Reporting will be those Relevant Transactions as set out in column A (Transaction type) of the table</w:t>
      </w:r>
      <w:r w:rsidR="004E4F8F" w:rsidRPr="00A84878">
        <w:rPr>
          <w:rFonts w:asciiTheme="majorHAnsi" w:hAnsiTheme="majorHAnsi" w:cstheme="majorHAnsi"/>
        </w:rPr>
        <w:t>,</w:t>
      </w:r>
      <w:r w:rsidRPr="00A84878">
        <w:rPr>
          <w:rFonts w:asciiTheme="majorHAnsi" w:hAnsiTheme="majorHAnsi" w:cstheme="majorHAnsi"/>
        </w:rPr>
        <w:t xml:space="preserve"> </w:t>
      </w:r>
      <w:r w:rsidR="004E4F8F" w:rsidRPr="00A84878">
        <w:rPr>
          <w:rFonts w:asciiTheme="majorHAnsi" w:hAnsiTheme="majorHAnsi" w:cstheme="majorHAnsi"/>
        </w:rPr>
        <w:t xml:space="preserve">which satisfy the relevant criteria (in </w:t>
      </w:r>
      <w:r w:rsidR="00A256BE" w:rsidRPr="00A84878">
        <w:rPr>
          <w:rFonts w:asciiTheme="majorHAnsi" w:hAnsiTheme="majorHAnsi" w:cstheme="majorHAnsi"/>
        </w:rPr>
        <w:t>c</w:t>
      </w:r>
      <w:r w:rsidR="004E4F8F" w:rsidRPr="00A84878">
        <w:rPr>
          <w:rFonts w:asciiTheme="majorHAnsi" w:hAnsiTheme="majorHAnsi" w:cstheme="majorHAnsi"/>
        </w:rPr>
        <w:t>olumn B and any Additional Criteria specified by the parties) and which are subject to the Reporting Obligation as determined by the Reporting Party.</w:t>
      </w:r>
    </w:p>
    <w:p w14:paraId="744AB029" w14:textId="77777777" w:rsidR="00341CC0" w:rsidRPr="00A84878" w:rsidRDefault="00A256BE" w:rsidP="007E7103">
      <w:pPr>
        <w:pStyle w:val="Level2"/>
        <w:numPr>
          <w:ilvl w:val="0"/>
          <w:numId w:val="0"/>
        </w:numPr>
        <w:rPr>
          <w:rFonts w:asciiTheme="majorHAnsi" w:hAnsiTheme="majorHAnsi" w:cstheme="majorHAnsi"/>
        </w:rPr>
      </w:pPr>
      <w:r w:rsidRPr="00A84878">
        <w:rPr>
          <w:rFonts w:asciiTheme="majorHAnsi" w:hAnsiTheme="majorHAnsi" w:cstheme="majorHAnsi"/>
        </w:rPr>
        <w:t>In column C, the parties will select which form of reporting shall apply to each transaction type. For example, in respect of ‘OTC Derivative other than a Cleared OTC Derivative’ in row 1, the parties may select that Delegated Reporting applies, either with respect to the Client or Fund Manager (as applicable)</w:t>
      </w:r>
      <w:r w:rsidR="00341CC0" w:rsidRPr="00A84878">
        <w:rPr>
          <w:rFonts w:asciiTheme="majorHAnsi" w:hAnsiTheme="majorHAnsi" w:cstheme="majorHAnsi"/>
        </w:rPr>
        <w:t>,</w:t>
      </w:r>
      <w:r w:rsidRPr="00A84878">
        <w:rPr>
          <w:rFonts w:asciiTheme="majorHAnsi" w:hAnsiTheme="majorHAnsi" w:cstheme="majorHAnsi"/>
        </w:rPr>
        <w:t xml:space="preserve"> or that Mandatory Reporting applies.</w:t>
      </w:r>
      <w:r w:rsidR="00341CC0" w:rsidRPr="00A84878">
        <w:rPr>
          <w:rFonts w:asciiTheme="majorHAnsi" w:hAnsiTheme="majorHAnsi" w:cstheme="majorHAnsi"/>
        </w:rPr>
        <w:t xml:space="preserve"> </w:t>
      </w:r>
      <w:r w:rsidR="00A45DAF">
        <w:rPr>
          <w:rFonts w:asciiTheme="majorHAnsi" w:hAnsiTheme="majorHAnsi" w:cstheme="majorHAnsi"/>
        </w:rPr>
        <w:t xml:space="preserve">We expect that only the option that has been selected for the </w:t>
      </w:r>
      <w:proofErr w:type="gramStart"/>
      <w:r w:rsidR="00A45DAF">
        <w:rPr>
          <w:rFonts w:asciiTheme="majorHAnsi" w:hAnsiTheme="majorHAnsi" w:cstheme="majorHAnsi"/>
        </w:rPr>
        <w:t>particular MRRA</w:t>
      </w:r>
      <w:proofErr w:type="gramEnd"/>
      <w:r w:rsidR="00A45DAF">
        <w:rPr>
          <w:rFonts w:asciiTheme="majorHAnsi" w:hAnsiTheme="majorHAnsi" w:cstheme="majorHAnsi"/>
        </w:rPr>
        <w:t xml:space="preserve"> will be included, and the redundant checkboxes simply removed. For example, where the MRRA is entered into between a Reporting Party and a Fund Manager, only ‘Delegated Reporting for Fund Manager’ will be relevant.</w:t>
      </w:r>
    </w:p>
    <w:p w14:paraId="705500F0" w14:textId="0B6EB9E6" w:rsidR="00396940" w:rsidRPr="00A84878" w:rsidRDefault="00341CC0"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Similarly, where it is a party’s preference to include </w:t>
      </w:r>
      <w:r w:rsidR="00D33683">
        <w:rPr>
          <w:rFonts w:asciiTheme="majorHAnsi" w:hAnsiTheme="majorHAnsi" w:cstheme="majorHAnsi"/>
        </w:rPr>
        <w:t xml:space="preserve">qualifying criteria or </w:t>
      </w:r>
      <w:r w:rsidRPr="00A84878">
        <w:rPr>
          <w:rFonts w:asciiTheme="majorHAnsi" w:hAnsiTheme="majorHAnsi" w:cstheme="majorHAnsi"/>
        </w:rPr>
        <w:t xml:space="preserve">additional detail, such as limiting the transaction type by date concluded, or excluding certain trade types </w:t>
      </w:r>
      <w:r w:rsidR="00D33683">
        <w:rPr>
          <w:rFonts w:asciiTheme="majorHAnsi" w:hAnsiTheme="majorHAnsi" w:cstheme="majorHAnsi"/>
        </w:rPr>
        <w:t xml:space="preserve">(e.g. by class) </w:t>
      </w:r>
      <w:r w:rsidRPr="00A84878">
        <w:rPr>
          <w:rFonts w:asciiTheme="majorHAnsi" w:hAnsiTheme="majorHAnsi" w:cstheme="majorHAnsi"/>
        </w:rPr>
        <w:t xml:space="preserve">or sub-categories of trades that are reported through other services or otherwise providing that certain transaction types or trades will only be reported upon the completion of certain conditions, such as </w:t>
      </w:r>
      <w:r w:rsidR="00D33683">
        <w:rPr>
          <w:rFonts w:asciiTheme="majorHAnsi" w:hAnsiTheme="majorHAnsi" w:cstheme="majorHAnsi"/>
        </w:rPr>
        <w:t>onboarding with</w:t>
      </w:r>
      <w:r w:rsidRPr="00A84878">
        <w:rPr>
          <w:rFonts w:asciiTheme="majorHAnsi" w:hAnsiTheme="majorHAnsi" w:cstheme="majorHAnsi"/>
        </w:rPr>
        <w:t xml:space="preserve"> a third party service, this can be included in the table and/or set out in the definition of ‘Additional Criteria’. Otherwise, any additional details can be included in </w:t>
      </w:r>
      <w:r w:rsidR="00A45DAF">
        <w:rPr>
          <w:rFonts w:asciiTheme="majorHAnsi" w:hAnsiTheme="majorHAnsi" w:cstheme="majorHAnsi"/>
        </w:rPr>
        <w:t>Paragraph 15 (</w:t>
      </w:r>
      <w:r w:rsidR="00A45DAF">
        <w:rPr>
          <w:rFonts w:asciiTheme="majorHAnsi" w:hAnsiTheme="majorHAnsi" w:cstheme="majorHAnsi"/>
          <w:i/>
        </w:rPr>
        <w:t xml:space="preserve">Other </w:t>
      </w:r>
      <w:r w:rsidR="00A45DAF" w:rsidRPr="00A45DAF">
        <w:rPr>
          <w:rFonts w:asciiTheme="majorHAnsi" w:hAnsiTheme="majorHAnsi" w:cstheme="majorHAnsi"/>
          <w:i/>
        </w:rPr>
        <w:lastRenderedPageBreak/>
        <w:t>Provisions</w:t>
      </w:r>
      <w:r w:rsidR="00A45DAF">
        <w:rPr>
          <w:rFonts w:asciiTheme="majorHAnsi" w:hAnsiTheme="majorHAnsi" w:cstheme="majorHAnsi"/>
        </w:rPr>
        <w:t xml:space="preserve">) of the Derivatives Annex or in a </w:t>
      </w:r>
      <w:r w:rsidRPr="00A84878">
        <w:rPr>
          <w:rFonts w:asciiTheme="majorHAnsi" w:hAnsiTheme="majorHAnsi" w:cstheme="majorHAnsi"/>
        </w:rPr>
        <w:t>Schedule relati</w:t>
      </w:r>
      <w:r w:rsidR="00A45DAF">
        <w:rPr>
          <w:rFonts w:asciiTheme="majorHAnsi" w:hAnsiTheme="majorHAnsi" w:cstheme="majorHAnsi"/>
        </w:rPr>
        <w:t>ng</w:t>
      </w:r>
      <w:r w:rsidRPr="00A84878">
        <w:rPr>
          <w:rFonts w:asciiTheme="majorHAnsi" w:hAnsiTheme="majorHAnsi" w:cstheme="majorHAnsi"/>
        </w:rPr>
        <w:t xml:space="preserve"> to ‘Operational and Procedural Provisions’.</w:t>
      </w:r>
    </w:p>
    <w:p w14:paraId="0811F4B2" w14:textId="7E53BE39" w:rsidR="00BF18EA" w:rsidRDefault="00341CC0" w:rsidP="00341CC0">
      <w:pPr>
        <w:pStyle w:val="Body"/>
        <w:rPr>
          <w:rFonts w:asciiTheme="majorHAnsi" w:hAnsiTheme="majorHAnsi" w:cstheme="majorHAnsi"/>
        </w:rPr>
      </w:pPr>
      <w:r w:rsidRPr="00A84878">
        <w:rPr>
          <w:rFonts w:asciiTheme="majorHAnsi" w:hAnsiTheme="majorHAnsi" w:cstheme="majorHAnsi"/>
        </w:rPr>
        <w:t>The scope of</w:t>
      </w:r>
      <w:r w:rsidR="00FB0390" w:rsidRPr="00A84878">
        <w:rPr>
          <w:rFonts w:asciiTheme="majorHAnsi" w:hAnsiTheme="majorHAnsi" w:cstheme="majorHAnsi"/>
        </w:rPr>
        <w:t xml:space="preserve"> the definition of an OTC </w:t>
      </w:r>
      <w:r w:rsidR="00A45DAF">
        <w:rPr>
          <w:rFonts w:asciiTheme="majorHAnsi" w:hAnsiTheme="majorHAnsi" w:cstheme="majorHAnsi"/>
        </w:rPr>
        <w:t>D</w:t>
      </w:r>
      <w:r w:rsidR="00FB0390" w:rsidRPr="00A84878">
        <w:rPr>
          <w:rFonts w:asciiTheme="majorHAnsi" w:hAnsiTheme="majorHAnsi" w:cstheme="majorHAnsi"/>
        </w:rPr>
        <w:t xml:space="preserve">erivative under EMIR </w:t>
      </w:r>
      <w:r w:rsidR="00EE685A">
        <w:rPr>
          <w:rFonts w:asciiTheme="majorHAnsi" w:hAnsiTheme="majorHAnsi" w:cstheme="majorHAnsi"/>
        </w:rPr>
        <w:t xml:space="preserve">and UK EMIR </w:t>
      </w:r>
      <w:r w:rsidR="00FB0390" w:rsidRPr="00A84878">
        <w:rPr>
          <w:rFonts w:asciiTheme="majorHAnsi" w:hAnsiTheme="majorHAnsi" w:cstheme="majorHAnsi"/>
        </w:rPr>
        <w:t xml:space="preserve">is </w:t>
      </w:r>
      <w:r w:rsidRPr="00A84878">
        <w:rPr>
          <w:rFonts w:asciiTheme="majorHAnsi" w:hAnsiTheme="majorHAnsi" w:cstheme="majorHAnsi"/>
        </w:rPr>
        <w:t xml:space="preserve">described </w:t>
      </w:r>
      <w:r w:rsidR="00FB0390" w:rsidRPr="00A84878">
        <w:rPr>
          <w:rFonts w:asciiTheme="majorHAnsi" w:hAnsiTheme="majorHAnsi" w:cstheme="majorHAnsi"/>
        </w:rPr>
        <w:t xml:space="preserve">above </w:t>
      </w:r>
      <w:r w:rsidRPr="00A84878">
        <w:rPr>
          <w:rFonts w:asciiTheme="majorHAnsi" w:hAnsiTheme="majorHAnsi" w:cstheme="majorHAnsi"/>
        </w:rPr>
        <w:t xml:space="preserve">in the </w:t>
      </w:r>
      <w:r w:rsidR="00A123B5">
        <w:rPr>
          <w:rFonts w:asciiTheme="majorHAnsi" w:hAnsiTheme="majorHAnsi" w:cstheme="majorHAnsi"/>
        </w:rPr>
        <w:t>‘</w:t>
      </w:r>
      <w:r w:rsidRPr="00A84878">
        <w:rPr>
          <w:rFonts w:asciiTheme="majorHAnsi" w:hAnsiTheme="majorHAnsi" w:cstheme="majorHAnsi"/>
          <w:i/>
        </w:rPr>
        <w:t>Regulatory Background</w:t>
      </w:r>
      <w:r w:rsidR="00A123B5">
        <w:rPr>
          <w:rFonts w:asciiTheme="majorHAnsi" w:hAnsiTheme="majorHAnsi" w:cstheme="majorHAnsi"/>
        </w:rPr>
        <w:t>’</w:t>
      </w:r>
      <w:r w:rsidRPr="00A84878">
        <w:rPr>
          <w:rFonts w:asciiTheme="majorHAnsi" w:hAnsiTheme="majorHAnsi" w:cstheme="majorHAnsi"/>
        </w:rPr>
        <w:t xml:space="preserve"> section of this Explanatory Memorandum.</w:t>
      </w:r>
      <w:r w:rsidR="00FB0390" w:rsidRPr="00A84878">
        <w:rPr>
          <w:rFonts w:asciiTheme="majorHAnsi" w:hAnsiTheme="majorHAnsi" w:cstheme="majorHAnsi"/>
        </w:rPr>
        <w:t xml:space="preserve"> The table includes a final row </w:t>
      </w:r>
      <w:r w:rsidR="00A45DAF">
        <w:rPr>
          <w:rFonts w:asciiTheme="majorHAnsi" w:hAnsiTheme="majorHAnsi" w:cstheme="majorHAnsi"/>
        </w:rPr>
        <w:t>relating to tran</w:t>
      </w:r>
      <w:r w:rsidR="00FB0390" w:rsidRPr="00A84878">
        <w:rPr>
          <w:rFonts w:asciiTheme="majorHAnsi" w:hAnsiTheme="majorHAnsi" w:cstheme="majorHAnsi"/>
        </w:rPr>
        <w:t xml:space="preserve">sactions that are </w:t>
      </w:r>
      <w:r w:rsidR="00A45DAF">
        <w:rPr>
          <w:rFonts w:asciiTheme="majorHAnsi" w:hAnsiTheme="majorHAnsi" w:cstheme="majorHAnsi"/>
        </w:rPr>
        <w:t>e</w:t>
      </w:r>
      <w:r w:rsidR="00FB0390" w:rsidRPr="00A84878">
        <w:rPr>
          <w:rFonts w:asciiTheme="majorHAnsi" w:hAnsiTheme="majorHAnsi" w:cstheme="majorHAnsi"/>
        </w:rPr>
        <w:t>xchange-</w:t>
      </w:r>
      <w:r w:rsidR="00A45DAF">
        <w:rPr>
          <w:rFonts w:asciiTheme="majorHAnsi" w:hAnsiTheme="majorHAnsi" w:cstheme="majorHAnsi"/>
        </w:rPr>
        <w:t>t</w:t>
      </w:r>
      <w:r w:rsidR="00FB0390" w:rsidRPr="00A84878">
        <w:rPr>
          <w:rFonts w:asciiTheme="majorHAnsi" w:hAnsiTheme="majorHAnsi" w:cstheme="majorHAnsi"/>
        </w:rPr>
        <w:t xml:space="preserve">raded </w:t>
      </w:r>
      <w:r w:rsidR="00A45DAF">
        <w:rPr>
          <w:rFonts w:asciiTheme="majorHAnsi" w:hAnsiTheme="majorHAnsi" w:cstheme="majorHAnsi"/>
        </w:rPr>
        <w:t>d</w:t>
      </w:r>
      <w:r w:rsidR="00FB0390" w:rsidRPr="00A84878">
        <w:rPr>
          <w:rFonts w:asciiTheme="majorHAnsi" w:hAnsiTheme="majorHAnsi" w:cstheme="majorHAnsi"/>
        </w:rPr>
        <w:t xml:space="preserve">erivatives categorised as OTC Derivatives. This row is intended to capture </w:t>
      </w:r>
      <w:r w:rsidR="00DE19BB">
        <w:rPr>
          <w:rFonts w:asciiTheme="majorHAnsi" w:hAnsiTheme="majorHAnsi" w:cstheme="majorHAnsi"/>
        </w:rPr>
        <w:t>exchange-traded derivatives</w:t>
      </w:r>
      <w:r w:rsidR="00FB0390" w:rsidRPr="00A84878">
        <w:rPr>
          <w:rFonts w:asciiTheme="majorHAnsi" w:hAnsiTheme="majorHAnsi" w:cstheme="majorHAnsi"/>
        </w:rPr>
        <w:t xml:space="preserve"> executed on non-equivalent non-EU </w:t>
      </w:r>
      <w:r w:rsidR="00741375">
        <w:rPr>
          <w:rFonts w:asciiTheme="majorHAnsi" w:hAnsiTheme="majorHAnsi" w:cstheme="majorHAnsi"/>
        </w:rPr>
        <w:t xml:space="preserve">(or non-UK, as applicable) </w:t>
      </w:r>
      <w:r w:rsidR="00FB0390" w:rsidRPr="00A84878">
        <w:rPr>
          <w:rFonts w:asciiTheme="majorHAnsi" w:hAnsiTheme="majorHAnsi" w:cstheme="majorHAnsi"/>
        </w:rPr>
        <w:t>trading venues, and the row provides that Mandatory Reporting can be selected as applicable</w:t>
      </w:r>
      <w:r w:rsidR="000B7E03">
        <w:rPr>
          <w:rFonts w:asciiTheme="majorHAnsi" w:hAnsiTheme="majorHAnsi" w:cstheme="majorHAnsi"/>
        </w:rPr>
        <w:t xml:space="preserve"> (where the Client is an NFC-)</w:t>
      </w:r>
      <w:r w:rsidR="00FB0390" w:rsidRPr="00A84878">
        <w:rPr>
          <w:rFonts w:asciiTheme="majorHAnsi" w:hAnsiTheme="majorHAnsi" w:cstheme="majorHAnsi"/>
        </w:rPr>
        <w:t>.</w:t>
      </w:r>
      <w:r w:rsidR="00DD0056">
        <w:rPr>
          <w:rFonts w:asciiTheme="majorHAnsi" w:hAnsiTheme="majorHAnsi" w:cstheme="majorHAnsi"/>
        </w:rPr>
        <w:t xml:space="preserve"> This is not an option provided for Exchange-Traded </w:t>
      </w:r>
      <w:proofErr w:type="gramStart"/>
      <w:r w:rsidR="00DD0056">
        <w:rPr>
          <w:rFonts w:asciiTheme="majorHAnsi" w:hAnsiTheme="majorHAnsi" w:cstheme="majorHAnsi"/>
        </w:rPr>
        <w:t>Derivatives, since</w:t>
      </w:r>
      <w:proofErr w:type="gramEnd"/>
      <w:r w:rsidR="00DD0056">
        <w:rPr>
          <w:rFonts w:asciiTheme="majorHAnsi" w:hAnsiTheme="majorHAnsi" w:cstheme="majorHAnsi"/>
        </w:rPr>
        <w:t xml:space="preserve"> Mandatory Reporting is only applicable to OTC Derivatives.</w:t>
      </w:r>
      <w:r w:rsidR="00FB0390" w:rsidRPr="00A84878">
        <w:rPr>
          <w:rFonts w:asciiTheme="majorHAnsi" w:hAnsiTheme="majorHAnsi" w:cstheme="majorHAnsi"/>
        </w:rPr>
        <w:t xml:space="preserve"> </w:t>
      </w:r>
      <w:r w:rsidR="000B7E03">
        <w:rPr>
          <w:rFonts w:asciiTheme="majorHAnsi" w:hAnsiTheme="majorHAnsi" w:cstheme="majorHAnsi"/>
        </w:rPr>
        <w:t>Alternatively, the NFC- Client may elect to opt-out of Mandatory Reporting for exchange-traded derivatives that are OTC Derivatives under Paragraph 4 (</w:t>
      </w:r>
      <w:r w:rsidR="000B7E03" w:rsidRPr="000B7E03">
        <w:rPr>
          <w:rFonts w:asciiTheme="majorHAnsi" w:hAnsiTheme="majorHAnsi" w:cstheme="majorHAnsi"/>
          <w:i/>
        </w:rPr>
        <w:t>Mandatory Reporting Opt-Out</w:t>
      </w:r>
      <w:r w:rsidR="000B7E03">
        <w:rPr>
          <w:rFonts w:asciiTheme="majorHAnsi" w:hAnsiTheme="majorHAnsi" w:cstheme="majorHAnsi"/>
        </w:rPr>
        <w:t xml:space="preserve">) of the Derivatives Annex. </w:t>
      </w:r>
      <w:r w:rsidR="00FB0390" w:rsidRPr="00A84878">
        <w:rPr>
          <w:rFonts w:asciiTheme="majorHAnsi" w:hAnsiTheme="majorHAnsi" w:cstheme="majorHAnsi"/>
        </w:rPr>
        <w:t xml:space="preserve">The parties may want to consider whether any amendments should be made to this row </w:t>
      </w:r>
      <w:proofErr w:type="gramStart"/>
      <w:r w:rsidR="00FB0390" w:rsidRPr="00A84878">
        <w:rPr>
          <w:rFonts w:asciiTheme="majorHAnsi" w:hAnsiTheme="majorHAnsi" w:cstheme="majorHAnsi"/>
        </w:rPr>
        <w:t>in the event that</w:t>
      </w:r>
      <w:proofErr w:type="gramEnd"/>
      <w:r w:rsidR="00FB0390" w:rsidRPr="00A84878">
        <w:rPr>
          <w:rFonts w:asciiTheme="majorHAnsi" w:hAnsiTheme="majorHAnsi" w:cstheme="majorHAnsi"/>
        </w:rPr>
        <w:t xml:space="preserve"> further regulatory guidance is provided on this matter.  </w:t>
      </w:r>
    </w:p>
    <w:p w14:paraId="33E50DBB" w14:textId="621D0F5D" w:rsidR="00341CC0" w:rsidRPr="00A84878" w:rsidRDefault="00BF18EA" w:rsidP="00341CC0">
      <w:pPr>
        <w:pStyle w:val="Body"/>
        <w:rPr>
          <w:rFonts w:asciiTheme="majorHAnsi" w:hAnsiTheme="majorHAnsi" w:cstheme="majorHAnsi"/>
        </w:rPr>
      </w:pPr>
      <w:r>
        <w:rPr>
          <w:rFonts w:asciiTheme="majorHAnsi" w:hAnsiTheme="majorHAnsi" w:cstheme="majorHAnsi"/>
        </w:rPr>
        <w:t xml:space="preserve">Paragraph 3(D) includes wording which is intended to </w:t>
      </w:r>
      <w:r w:rsidR="0041131E">
        <w:rPr>
          <w:rFonts w:asciiTheme="majorHAnsi" w:hAnsiTheme="majorHAnsi" w:cstheme="majorHAnsi"/>
        </w:rPr>
        <w:t>clarify</w:t>
      </w:r>
      <w:r w:rsidR="00D95C32">
        <w:rPr>
          <w:rFonts w:asciiTheme="majorHAnsi" w:hAnsiTheme="majorHAnsi" w:cstheme="majorHAnsi"/>
        </w:rPr>
        <w:t xml:space="preserve"> the extent to which (i) the initial client leg of a transaction given up for clearing and/or (ii) the resulting Cleared OTC Derivative are Relevant Transactions for the purposes of the MRRA where the Reporting Party or Reporting Party Affiliate is the executing broker but not clearing broker (or vice versa). The wording </w:t>
      </w:r>
      <w:r>
        <w:rPr>
          <w:rFonts w:asciiTheme="majorHAnsi" w:hAnsiTheme="majorHAnsi" w:cstheme="majorHAnsi"/>
        </w:rPr>
        <w:t>reflect</w:t>
      </w:r>
      <w:r w:rsidR="00D95C32">
        <w:rPr>
          <w:rFonts w:asciiTheme="majorHAnsi" w:hAnsiTheme="majorHAnsi" w:cstheme="majorHAnsi"/>
        </w:rPr>
        <w:t>s</w:t>
      </w:r>
      <w:r>
        <w:rPr>
          <w:rFonts w:asciiTheme="majorHAnsi" w:hAnsiTheme="majorHAnsi" w:cstheme="majorHAnsi"/>
        </w:rPr>
        <w:t xml:space="preserve"> the position in </w:t>
      </w:r>
      <w:r w:rsidRPr="004275E6">
        <w:t>Commission Delegated Regulation (EU) No 148/2013</w:t>
      </w:r>
      <w:r w:rsidR="00CA786B">
        <w:t xml:space="preserve"> or, from 29 April 2024, Commission Delegated Regulation (EU) 2022/1855,</w:t>
      </w:r>
      <w:r>
        <w:rPr>
          <w:rStyle w:val="FootnoteReference"/>
        </w:rPr>
        <w:footnoteReference w:id="27"/>
      </w:r>
      <w:r>
        <w:t xml:space="preserve"> </w:t>
      </w:r>
      <w:r w:rsidR="002C44B6">
        <w:t xml:space="preserve">which provides that </w:t>
      </w:r>
      <w:r>
        <w:t>where a contract is traded on a trading venue and cleared the same day, only the contracts resulting from clearing shall be reported.</w:t>
      </w:r>
      <w:r w:rsidR="00223FE1">
        <w:t xml:space="preserve"> The position under UK EMIR is the same. </w:t>
      </w:r>
      <w:r w:rsidR="00FB0390" w:rsidRPr="00A84878">
        <w:rPr>
          <w:rFonts w:asciiTheme="majorHAnsi" w:hAnsiTheme="majorHAnsi" w:cstheme="majorHAnsi"/>
        </w:rPr>
        <w:t xml:space="preserve"> </w:t>
      </w:r>
    </w:p>
    <w:p w14:paraId="754C9A31" w14:textId="77777777" w:rsidR="00FB0390" w:rsidRPr="00A84878" w:rsidRDefault="00817FA9"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4 (</w:t>
      </w:r>
      <w:r w:rsidR="00FB0390" w:rsidRPr="00A84878">
        <w:rPr>
          <w:rFonts w:asciiTheme="majorHAnsi" w:hAnsiTheme="majorHAnsi" w:cstheme="majorHAnsi"/>
          <w:b/>
          <w:i/>
        </w:rPr>
        <w:t>Mandatory Reporting Opt-Out</w:t>
      </w:r>
      <w:r w:rsidRPr="00A84878">
        <w:rPr>
          <w:rFonts w:asciiTheme="majorHAnsi" w:hAnsiTheme="majorHAnsi" w:cstheme="majorHAnsi"/>
          <w:b/>
        </w:rPr>
        <w:t>)</w:t>
      </w:r>
      <w:r w:rsidR="00FB0390" w:rsidRPr="00A84878">
        <w:rPr>
          <w:rFonts w:asciiTheme="majorHAnsi" w:hAnsiTheme="majorHAnsi" w:cstheme="majorHAnsi"/>
          <w:b/>
        </w:rPr>
        <w:t xml:space="preserve"> of the Derivatives Annex</w:t>
      </w:r>
    </w:p>
    <w:p w14:paraId="16C45326" w14:textId="336AEBFA" w:rsidR="00641CCD" w:rsidRPr="00A84878" w:rsidRDefault="00A54929" w:rsidP="00DE54BD">
      <w:pPr>
        <w:pStyle w:val="Body"/>
        <w:rPr>
          <w:rFonts w:asciiTheme="majorHAnsi" w:hAnsiTheme="majorHAnsi" w:cstheme="majorHAnsi"/>
          <w:szCs w:val="20"/>
        </w:rPr>
      </w:pPr>
      <w:r w:rsidRPr="00A84878">
        <w:rPr>
          <w:rFonts w:asciiTheme="majorHAnsi" w:hAnsiTheme="majorHAnsi" w:cstheme="majorHAnsi"/>
          <w:szCs w:val="20"/>
        </w:rPr>
        <w:t>Article 9(1a) of EMIR</w:t>
      </w:r>
      <w:r w:rsidR="003B646B">
        <w:rPr>
          <w:rFonts w:asciiTheme="majorHAnsi" w:hAnsiTheme="majorHAnsi" w:cstheme="majorHAnsi"/>
          <w:szCs w:val="20"/>
        </w:rPr>
        <w:t xml:space="preserve"> and </w:t>
      </w:r>
      <w:r w:rsidR="005473B2">
        <w:rPr>
          <w:rFonts w:asciiTheme="majorHAnsi" w:hAnsiTheme="majorHAnsi" w:cstheme="majorHAnsi"/>
          <w:szCs w:val="20"/>
        </w:rPr>
        <w:t>the terms of UK EMIR</w:t>
      </w:r>
      <w:r w:rsidRPr="00A84878">
        <w:rPr>
          <w:rFonts w:asciiTheme="majorHAnsi" w:hAnsiTheme="majorHAnsi" w:cstheme="majorHAnsi"/>
          <w:szCs w:val="20"/>
        </w:rPr>
        <w:t xml:space="preserve"> provide that where an NFC- has already invested in a reporting system prior to </w:t>
      </w:r>
      <w:r w:rsidR="003C51D9">
        <w:rPr>
          <w:rFonts w:asciiTheme="majorHAnsi" w:hAnsiTheme="majorHAnsi" w:cstheme="majorHAnsi"/>
          <w:szCs w:val="20"/>
        </w:rPr>
        <w:t>the</w:t>
      </w:r>
      <w:r w:rsidRPr="00A84878">
        <w:rPr>
          <w:rFonts w:asciiTheme="majorHAnsi" w:hAnsiTheme="majorHAnsi" w:cstheme="majorHAnsi"/>
          <w:szCs w:val="20"/>
        </w:rPr>
        <w:t xml:space="preserve"> Mandatory Reporting obligation becoming applicable, it may opt out of mandatory reporting and continue to report on its own behalf.</w:t>
      </w:r>
      <w:r w:rsidR="003C51D9">
        <w:rPr>
          <w:rFonts w:asciiTheme="majorHAnsi" w:hAnsiTheme="majorHAnsi" w:cstheme="majorHAnsi"/>
          <w:szCs w:val="20"/>
        </w:rPr>
        <w:t xml:space="preserve"> </w:t>
      </w:r>
    </w:p>
    <w:p w14:paraId="04B68A56" w14:textId="77777777" w:rsidR="003C51D9" w:rsidRPr="00A84878" w:rsidRDefault="00A54929" w:rsidP="00DE54BD">
      <w:pPr>
        <w:pStyle w:val="Body"/>
        <w:rPr>
          <w:rFonts w:asciiTheme="majorHAnsi" w:hAnsiTheme="majorHAnsi" w:cstheme="majorHAnsi"/>
          <w:szCs w:val="20"/>
        </w:rPr>
      </w:pPr>
      <w:r w:rsidRPr="00A84878">
        <w:rPr>
          <w:rFonts w:asciiTheme="majorHAnsi" w:hAnsiTheme="majorHAnsi" w:cstheme="majorHAnsi"/>
        </w:rPr>
        <w:t>Paragraph</w:t>
      </w:r>
      <w:r w:rsidRPr="00A84878">
        <w:rPr>
          <w:rFonts w:asciiTheme="majorHAnsi" w:hAnsiTheme="majorHAnsi" w:cstheme="majorHAnsi"/>
          <w:szCs w:val="20"/>
        </w:rPr>
        <w:t xml:space="preserve"> 4 is intended to provide the parties with thi</w:t>
      </w:r>
      <w:r w:rsidR="00E335CF" w:rsidRPr="00A84878">
        <w:rPr>
          <w:rFonts w:asciiTheme="majorHAnsi" w:hAnsiTheme="majorHAnsi" w:cstheme="majorHAnsi"/>
          <w:szCs w:val="20"/>
        </w:rPr>
        <w:t>s</w:t>
      </w:r>
      <w:r w:rsidRPr="00A84878">
        <w:rPr>
          <w:rFonts w:asciiTheme="majorHAnsi" w:hAnsiTheme="majorHAnsi" w:cstheme="majorHAnsi"/>
          <w:szCs w:val="20"/>
        </w:rPr>
        <w:t xml:space="preserve"> opportunity to opt-out of Mandatory Reporting in respect of </w:t>
      </w:r>
      <w:r w:rsidR="0026259D" w:rsidRPr="00A84878">
        <w:rPr>
          <w:rFonts w:asciiTheme="majorHAnsi" w:hAnsiTheme="majorHAnsi" w:cstheme="majorHAnsi"/>
          <w:szCs w:val="20"/>
        </w:rPr>
        <w:t>a particular sub-set</w:t>
      </w:r>
      <w:r w:rsidRPr="00A84878">
        <w:rPr>
          <w:rFonts w:asciiTheme="majorHAnsi" w:hAnsiTheme="majorHAnsi" w:cstheme="majorHAnsi"/>
          <w:szCs w:val="20"/>
        </w:rPr>
        <w:t xml:space="preserve"> of Relevant Transactions</w:t>
      </w:r>
      <w:r w:rsidR="00641CCD" w:rsidRPr="00A84878">
        <w:rPr>
          <w:rFonts w:asciiTheme="majorHAnsi" w:hAnsiTheme="majorHAnsi" w:cstheme="majorHAnsi"/>
          <w:szCs w:val="20"/>
        </w:rPr>
        <w:t xml:space="preserve"> or specific Excluded Data</w:t>
      </w:r>
      <w:r w:rsidRPr="00A84878">
        <w:rPr>
          <w:rFonts w:asciiTheme="majorHAnsi" w:hAnsiTheme="majorHAnsi" w:cstheme="majorHAnsi"/>
          <w:szCs w:val="20"/>
        </w:rPr>
        <w:t xml:space="preserve">. </w:t>
      </w:r>
      <w:r w:rsidR="003C51D9">
        <w:rPr>
          <w:rFonts w:asciiTheme="majorHAnsi" w:hAnsiTheme="majorHAnsi" w:cstheme="majorHAnsi"/>
          <w:szCs w:val="20"/>
        </w:rPr>
        <w:t>If an NFC- wants to opt-out of Mandatory Reporting altogether and make its own reports, it is not envisaged that the MRRA would be used for this purpose.</w:t>
      </w:r>
    </w:p>
    <w:p w14:paraId="69E5BB30" w14:textId="0198CD6A" w:rsidR="00A21FAE" w:rsidRDefault="00A21FAE" w:rsidP="00DE54BD">
      <w:pPr>
        <w:pStyle w:val="Body"/>
        <w:rPr>
          <w:rFonts w:asciiTheme="majorHAnsi" w:hAnsiTheme="majorHAnsi" w:cstheme="majorHAnsi"/>
          <w:szCs w:val="20"/>
        </w:rPr>
      </w:pPr>
      <w:r w:rsidRPr="00A84878">
        <w:rPr>
          <w:rFonts w:asciiTheme="majorHAnsi" w:hAnsiTheme="majorHAnsi" w:cstheme="majorHAnsi"/>
          <w:szCs w:val="20"/>
        </w:rPr>
        <w:t xml:space="preserve">As </w:t>
      </w:r>
      <w:r w:rsidRPr="00A84878">
        <w:rPr>
          <w:rFonts w:asciiTheme="majorHAnsi" w:hAnsiTheme="majorHAnsi" w:cstheme="majorHAnsi"/>
        </w:rPr>
        <w:t>discussed</w:t>
      </w:r>
      <w:r w:rsidRPr="00A84878">
        <w:rPr>
          <w:rFonts w:asciiTheme="majorHAnsi" w:hAnsiTheme="majorHAnsi" w:cstheme="majorHAnsi"/>
          <w:szCs w:val="20"/>
        </w:rPr>
        <w:t xml:space="preserve"> </w:t>
      </w:r>
      <w:r w:rsidRPr="00A84878">
        <w:rPr>
          <w:rFonts w:asciiTheme="majorHAnsi" w:hAnsiTheme="majorHAnsi" w:cstheme="majorHAnsi"/>
        </w:rPr>
        <w:t xml:space="preserve">above in the </w:t>
      </w:r>
      <w:r w:rsidR="00A123B5">
        <w:rPr>
          <w:rFonts w:asciiTheme="majorHAnsi" w:hAnsiTheme="majorHAnsi" w:cstheme="majorHAnsi"/>
        </w:rPr>
        <w:t>‘</w:t>
      </w:r>
      <w:r w:rsidRPr="00A84878">
        <w:rPr>
          <w:rFonts w:asciiTheme="majorHAnsi" w:hAnsiTheme="majorHAnsi" w:cstheme="majorHAnsi"/>
          <w:i/>
        </w:rPr>
        <w:t>Regulatory Background</w:t>
      </w:r>
      <w:r w:rsidR="00A123B5">
        <w:rPr>
          <w:rFonts w:asciiTheme="majorHAnsi" w:hAnsiTheme="majorHAnsi" w:cstheme="majorHAnsi"/>
        </w:rPr>
        <w:t>’</w:t>
      </w:r>
      <w:r w:rsidRPr="00A84878">
        <w:rPr>
          <w:rFonts w:asciiTheme="majorHAnsi" w:hAnsiTheme="majorHAnsi" w:cstheme="majorHAnsi"/>
        </w:rPr>
        <w:t xml:space="preserve"> section of this Explanatory Memorandum, the ‘</w:t>
      </w:r>
      <w:r w:rsidR="00FB0390" w:rsidRPr="00A84878">
        <w:rPr>
          <w:rFonts w:asciiTheme="majorHAnsi" w:hAnsiTheme="majorHAnsi" w:cstheme="majorHAnsi"/>
          <w:szCs w:val="20"/>
        </w:rPr>
        <w:t>Mandatory Reporting Opt-Out</w:t>
      </w:r>
      <w:r w:rsidRPr="00A84878">
        <w:rPr>
          <w:rFonts w:asciiTheme="majorHAnsi" w:hAnsiTheme="majorHAnsi" w:cstheme="majorHAnsi"/>
          <w:szCs w:val="20"/>
        </w:rPr>
        <w:t>’</w:t>
      </w:r>
      <w:r w:rsidR="00FB0390" w:rsidRPr="00A84878">
        <w:rPr>
          <w:rFonts w:asciiTheme="majorHAnsi" w:hAnsiTheme="majorHAnsi" w:cstheme="majorHAnsi"/>
          <w:szCs w:val="20"/>
        </w:rPr>
        <w:t xml:space="preserve"> may be useful in </w:t>
      </w:r>
      <w:r w:rsidRPr="00A84878">
        <w:rPr>
          <w:rFonts w:asciiTheme="majorHAnsi" w:hAnsiTheme="majorHAnsi" w:cstheme="majorHAnsi"/>
          <w:szCs w:val="20"/>
        </w:rPr>
        <w:t xml:space="preserve">relation to </w:t>
      </w:r>
      <w:r w:rsidR="002F4A68" w:rsidRPr="00A84878">
        <w:rPr>
          <w:rFonts w:asciiTheme="majorHAnsi" w:hAnsiTheme="majorHAnsi" w:cstheme="majorHAnsi"/>
          <w:szCs w:val="20"/>
        </w:rPr>
        <w:t xml:space="preserve">the practical difficulties associated with the categorisation of </w:t>
      </w:r>
      <w:r w:rsidR="003C51D9">
        <w:rPr>
          <w:rFonts w:asciiTheme="majorHAnsi" w:hAnsiTheme="majorHAnsi" w:cstheme="majorHAnsi"/>
          <w:szCs w:val="20"/>
        </w:rPr>
        <w:t>some e</w:t>
      </w:r>
      <w:r w:rsidRPr="00A84878">
        <w:rPr>
          <w:rFonts w:asciiTheme="majorHAnsi" w:hAnsiTheme="majorHAnsi" w:cstheme="majorHAnsi"/>
          <w:szCs w:val="20"/>
        </w:rPr>
        <w:t>xchange-</w:t>
      </w:r>
      <w:r w:rsidR="003C51D9">
        <w:rPr>
          <w:rFonts w:asciiTheme="majorHAnsi" w:hAnsiTheme="majorHAnsi" w:cstheme="majorHAnsi"/>
          <w:szCs w:val="20"/>
        </w:rPr>
        <w:t>t</w:t>
      </w:r>
      <w:r w:rsidRPr="00A84878">
        <w:rPr>
          <w:rFonts w:asciiTheme="majorHAnsi" w:hAnsiTheme="majorHAnsi" w:cstheme="majorHAnsi"/>
          <w:szCs w:val="20"/>
        </w:rPr>
        <w:t xml:space="preserve">raded </w:t>
      </w:r>
      <w:r w:rsidR="003C51D9">
        <w:rPr>
          <w:rFonts w:asciiTheme="majorHAnsi" w:hAnsiTheme="majorHAnsi" w:cstheme="majorHAnsi"/>
          <w:szCs w:val="20"/>
        </w:rPr>
        <w:t>d</w:t>
      </w:r>
      <w:r w:rsidRPr="00A84878">
        <w:rPr>
          <w:rFonts w:asciiTheme="majorHAnsi" w:hAnsiTheme="majorHAnsi" w:cstheme="majorHAnsi"/>
          <w:szCs w:val="20"/>
        </w:rPr>
        <w:t>erivatives as OTC Derivatives (</w:t>
      </w:r>
      <w:r w:rsidR="00DE19BB">
        <w:rPr>
          <w:rFonts w:asciiTheme="majorHAnsi" w:hAnsiTheme="majorHAnsi" w:cstheme="majorHAnsi"/>
          <w:szCs w:val="20"/>
        </w:rPr>
        <w:t>exchange-traded derivatives</w:t>
      </w:r>
      <w:r w:rsidRPr="00A84878">
        <w:rPr>
          <w:rFonts w:asciiTheme="majorHAnsi" w:hAnsiTheme="majorHAnsi" w:cstheme="majorHAnsi"/>
        </w:rPr>
        <w:t xml:space="preserve"> executed on non-equivalent non-EU</w:t>
      </w:r>
      <w:r w:rsidR="000A0036">
        <w:rPr>
          <w:rFonts w:asciiTheme="majorHAnsi" w:hAnsiTheme="majorHAnsi" w:cstheme="majorHAnsi"/>
        </w:rPr>
        <w:t>/non-UK</w:t>
      </w:r>
      <w:r w:rsidRPr="00A84878">
        <w:rPr>
          <w:rFonts w:asciiTheme="majorHAnsi" w:hAnsiTheme="majorHAnsi" w:cstheme="majorHAnsi"/>
        </w:rPr>
        <w:t xml:space="preserve"> trading venues).</w:t>
      </w:r>
      <w:r w:rsidRPr="00A84878">
        <w:rPr>
          <w:rFonts w:asciiTheme="majorHAnsi" w:hAnsiTheme="majorHAnsi" w:cstheme="majorHAnsi"/>
          <w:szCs w:val="20"/>
        </w:rPr>
        <w:t xml:space="preserve"> T</w:t>
      </w:r>
      <w:r w:rsidR="00FB0390" w:rsidRPr="00A84878">
        <w:rPr>
          <w:rFonts w:asciiTheme="majorHAnsi" w:hAnsiTheme="majorHAnsi" w:cstheme="majorHAnsi"/>
          <w:szCs w:val="20"/>
        </w:rPr>
        <w:t xml:space="preserve">he NFC- </w:t>
      </w:r>
      <w:r w:rsidRPr="00A84878">
        <w:rPr>
          <w:rFonts w:asciiTheme="majorHAnsi" w:hAnsiTheme="majorHAnsi" w:cstheme="majorHAnsi"/>
          <w:szCs w:val="20"/>
        </w:rPr>
        <w:t>can elect</w:t>
      </w:r>
      <w:r w:rsidR="00FB0390" w:rsidRPr="00A84878">
        <w:rPr>
          <w:rFonts w:asciiTheme="majorHAnsi" w:hAnsiTheme="majorHAnsi" w:cstheme="majorHAnsi"/>
          <w:szCs w:val="20"/>
        </w:rPr>
        <w:t xml:space="preserve"> to </w:t>
      </w:r>
      <w:r w:rsidR="002F4A68" w:rsidRPr="00A84878">
        <w:rPr>
          <w:rFonts w:asciiTheme="majorHAnsi" w:hAnsiTheme="majorHAnsi" w:cstheme="majorHAnsi"/>
          <w:szCs w:val="20"/>
        </w:rPr>
        <w:t xml:space="preserve">apply the </w:t>
      </w:r>
      <w:r w:rsidR="003C51D9">
        <w:rPr>
          <w:rFonts w:asciiTheme="majorHAnsi" w:hAnsiTheme="majorHAnsi" w:cstheme="majorHAnsi"/>
          <w:szCs w:val="20"/>
        </w:rPr>
        <w:t>‘</w:t>
      </w:r>
      <w:r w:rsidR="002F4A68" w:rsidRPr="00A84878">
        <w:rPr>
          <w:rFonts w:asciiTheme="majorHAnsi" w:hAnsiTheme="majorHAnsi" w:cstheme="majorHAnsi"/>
          <w:szCs w:val="20"/>
        </w:rPr>
        <w:t xml:space="preserve">Mandatory Reporting </w:t>
      </w:r>
      <w:r w:rsidR="003C51D9">
        <w:rPr>
          <w:rFonts w:asciiTheme="majorHAnsi" w:hAnsiTheme="majorHAnsi" w:cstheme="majorHAnsi"/>
          <w:szCs w:val="20"/>
        </w:rPr>
        <w:t>O</w:t>
      </w:r>
      <w:r w:rsidR="00FB0390" w:rsidRPr="00A84878">
        <w:rPr>
          <w:rFonts w:asciiTheme="majorHAnsi" w:hAnsiTheme="majorHAnsi" w:cstheme="majorHAnsi"/>
          <w:szCs w:val="20"/>
        </w:rPr>
        <w:t>pt-</w:t>
      </w:r>
      <w:r w:rsidR="003C51D9">
        <w:rPr>
          <w:rFonts w:asciiTheme="majorHAnsi" w:hAnsiTheme="majorHAnsi" w:cstheme="majorHAnsi"/>
          <w:szCs w:val="20"/>
        </w:rPr>
        <w:t>O</w:t>
      </w:r>
      <w:r w:rsidR="00FB0390" w:rsidRPr="00A84878">
        <w:rPr>
          <w:rFonts w:asciiTheme="majorHAnsi" w:hAnsiTheme="majorHAnsi" w:cstheme="majorHAnsi"/>
          <w:szCs w:val="20"/>
        </w:rPr>
        <w:t>ut</w:t>
      </w:r>
      <w:r w:rsidR="003C51D9">
        <w:rPr>
          <w:rFonts w:asciiTheme="majorHAnsi" w:hAnsiTheme="majorHAnsi" w:cstheme="majorHAnsi"/>
          <w:szCs w:val="20"/>
        </w:rPr>
        <w:t>’</w:t>
      </w:r>
      <w:r w:rsidR="00FB0390" w:rsidRPr="00A84878">
        <w:rPr>
          <w:rFonts w:asciiTheme="majorHAnsi" w:hAnsiTheme="majorHAnsi" w:cstheme="majorHAnsi"/>
          <w:szCs w:val="20"/>
        </w:rPr>
        <w:t xml:space="preserve"> </w:t>
      </w:r>
      <w:r w:rsidR="003C51D9">
        <w:rPr>
          <w:rFonts w:asciiTheme="majorHAnsi" w:hAnsiTheme="majorHAnsi" w:cstheme="majorHAnsi"/>
          <w:szCs w:val="20"/>
        </w:rPr>
        <w:t>in respect of</w:t>
      </w:r>
      <w:r w:rsidR="002F4A68" w:rsidRPr="00A84878">
        <w:rPr>
          <w:rFonts w:asciiTheme="majorHAnsi" w:hAnsiTheme="majorHAnsi" w:cstheme="majorHAnsi"/>
          <w:szCs w:val="20"/>
        </w:rPr>
        <w:t xml:space="preserve"> </w:t>
      </w:r>
      <w:r w:rsidR="003C51D9">
        <w:rPr>
          <w:rFonts w:asciiTheme="majorHAnsi" w:hAnsiTheme="majorHAnsi" w:cstheme="majorHAnsi"/>
          <w:szCs w:val="20"/>
        </w:rPr>
        <w:t>e</w:t>
      </w:r>
      <w:r w:rsidR="00FB0390" w:rsidRPr="00A84878">
        <w:rPr>
          <w:rFonts w:asciiTheme="majorHAnsi" w:hAnsiTheme="majorHAnsi" w:cstheme="majorHAnsi"/>
          <w:szCs w:val="20"/>
        </w:rPr>
        <w:t>xchange-</w:t>
      </w:r>
      <w:r w:rsidR="003C51D9">
        <w:rPr>
          <w:rFonts w:asciiTheme="majorHAnsi" w:hAnsiTheme="majorHAnsi" w:cstheme="majorHAnsi"/>
          <w:szCs w:val="20"/>
        </w:rPr>
        <w:t>t</w:t>
      </w:r>
      <w:r w:rsidR="00FB0390" w:rsidRPr="00A84878">
        <w:rPr>
          <w:rFonts w:asciiTheme="majorHAnsi" w:hAnsiTheme="majorHAnsi" w:cstheme="majorHAnsi"/>
          <w:szCs w:val="20"/>
        </w:rPr>
        <w:t xml:space="preserve">raded </w:t>
      </w:r>
      <w:r w:rsidR="003C51D9">
        <w:rPr>
          <w:rFonts w:asciiTheme="majorHAnsi" w:hAnsiTheme="majorHAnsi" w:cstheme="majorHAnsi"/>
          <w:szCs w:val="20"/>
        </w:rPr>
        <w:t>d</w:t>
      </w:r>
      <w:r w:rsidR="00FB0390" w:rsidRPr="00A84878">
        <w:rPr>
          <w:rFonts w:asciiTheme="majorHAnsi" w:hAnsiTheme="majorHAnsi" w:cstheme="majorHAnsi"/>
          <w:szCs w:val="20"/>
        </w:rPr>
        <w:t xml:space="preserve">erivatives categorised as OTC Derivatives. </w:t>
      </w:r>
      <w:r w:rsidR="003C51D9">
        <w:rPr>
          <w:rFonts w:asciiTheme="majorHAnsi" w:hAnsiTheme="majorHAnsi" w:cstheme="majorHAnsi"/>
          <w:szCs w:val="20"/>
        </w:rPr>
        <w:t>T</w:t>
      </w:r>
      <w:r w:rsidR="00FB0390" w:rsidRPr="00A84878">
        <w:rPr>
          <w:rFonts w:asciiTheme="majorHAnsi" w:hAnsiTheme="majorHAnsi" w:cstheme="majorHAnsi"/>
          <w:szCs w:val="20"/>
        </w:rPr>
        <w:t xml:space="preserve">he Delegated Reporting Provisions </w:t>
      </w:r>
      <w:r w:rsidR="003C51D9">
        <w:rPr>
          <w:rFonts w:asciiTheme="majorHAnsi" w:hAnsiTheme="majorHAnsi" w:cstheme="majorHAnsi"/>
          <w:szCs w:val="20"/>
        </w:rPr>
        <w:t>c</w:t>
      </w:r>
      <w:r w:rsidR="00FB0390" w:rsidRPr="00A84878">
        <w:rPr>
          <w:rFonts w:asciiTheme="majorHAnsi" w:hAnsiTheme="majorHAnsi" w:cstheme="majorHAnsi"/>
          <w:szCs w:val="20"/>
        </w:rPr>
        <w:t xml:space="preserve">ould </w:t>
      </w:r>
      <w:r w:rsidR="003C51D9">
        <w:rPr>
          <w:rFonts w:asciiTheme="majorHAnsi" w:hAnsiTheme="majorHAnsi" w:cstheme="majorHAnsi"/>
          <w:szCs w:val="20"/>
        </w:rPr>
        <w:t xml:space="preserve">then </w:t>
      </w:r>
      <w:r w:rsidR="00FB0390" w:rsidRPr="00A84878">
        <w:rPr>
          <w:rFonts w:asciiTheme="majorHAnsi" w:hAnsiTheme="majorHAnsi" w:cstheme="majorHAnsi"/>
          <w:szCs w:val="20"/>
        </w:rPr>
        <w:t xml:space="preserve">apply </w:t>
      </w:r>
      <w:r w:rsidR="003C51D9">
        <w:rPr>
          <w:rFonts w:asciiTheme="majorHAnsi" w:hAnsiTheme="majorHAnsi" w:cstheme="majorHAnsi"/>
          <w:szCs w:val="20"/>
        </w:rPr>
        <w:t xml:space="preserve">both </w:t>
      </w:r>
      <w:r w:rsidR="00FB0390" w:rsidRPr="00A84878">
        <w:rPr>
          <w:rFonts w:asciiTheme="majorHAnsi" w:hAnsiTheme="majorHAnsi" w:cstheme="majorHAnsi"/>
          <w:szCs w:val="20"/>
        </w:rPr>
        <w:t xml:space="preserve">to </w:t>
      </w:r>
      <w:r w:rsidR="007B0FE0">
        <w:rPr>
          <w:rFonts w:asciiTheme="majorHAnsi" w:hAnsiTheme="majorHAnsi" w:cstheme="majorHAnsi"/>
          <w:szCs w:val="20"/>
        </w:rPr>
        <w:t>E</w:t>
      </w:r>
      <w:r w:rsidR="00FB0390" w:rsidRPr="00A84878">
        <w:rPr>
          <w:rFonts w:asciiTheme="majorHAnsi" w:hAnsiTheme="majorHAnsi" w:cstheme="majorHAnsi"/>
          <w:szCs w:val="20"/>
        </w:rPr>
        <w:t>xchange-</w:t>
      </w:r>
      <w:r w:rsidR="007B0FE0">
        <w:rPr>
          <w:rFonts w:asciiTheme="majorHAnsi" w:hAnsiTheme="majorHAnsi" w:cstheme="majorHAnsi"/>
          <w:szCs w:val="20"/>
        </w:rPr>
        <w:t>T</w:t>
      </w:r>
      <w:r w:rsidR="00FB0390" w:rsidRPr="00A84878">
        <w:rPr>
          <w:rFonts w:asciiTheme="majorHAnsi" w:hAnsiTheme="majorHAnsi" w:cstheme="majorHAnsi"/>
          <w:szCs w:val="20"/>
        </w:rPr>
        <w:t xml:space="preserve">raded </w:t>
      </w:r>
      <w:r w:rsidR="007B0FE0">
        <w:rPr>
          <w:rFonts w:asciiTheme="majorHAnsi" w:hAnsiTheme="majorHAnsi" w:cstheme="majorHAnsi"/>
          <w:szCs w:val="20"/>
        </w:rPr>
        <w:t>D</w:t>
      </w:r>
      <w:r w:rsidR="00FB0390" w:rsidRPr="00A84878">
        <w:rPr>
          <w:rFonts w:asciiTheme="majorHAnsi" w:hAnsiTheme="majorHAnsi" w:cstheme="majorHAnsi"/>
          <w:szCs w:val="20"/>
        </w:rPr>
        <w:t xml:space="preserve">erivatives and </w:t>
      </w:r>
      <w:r w:rsidR="003C51D9">
        <w:rPr>
          <w:rFonts w:asciiTheme="majorHAnsi" w:hAnsiTheme="majorHAnsi" w:cstheme="majorHAnsi"/>
          <w:szCs w:val="20"/>
        </w:rPr>
        <w:t>e</w:t>
      </w:r>
      <w:r w:rsidR="00FB0390" w:rsidRPr="00A84878">
        <w:rPr>
          <w:rFonts w:asciiTheme="majorHAnsi" w:hAnsiTheme="majorHAnsi" w:cstheme="majorHAnsi"/>
          <w:szCs w:val="20"/>
        </w:rPr>
        <w:t>xchange-</w:t>
      </w:r>
      <w:r w:rsidR="003C51D9">
        <w:rPr>
          <w:rFonts w:asciiTheme="majorHAnsi" w:hAnsiTheme="majorHAnsi" w:cstheme="majorHAnsi"/>
          <w:szCs w:val="20"/>
        </w:rPr>
        <w:t>t</w:t>
      </w:r>
      <w:r w:rsidR="00FB0390" w:rsidRPr="00A84878">
        <w:rPr>
          <w:rFonts w:asciiTheme="majorHAnsi" w:hAnsiTheme="majorHAnsi" w:cstheme="majorHAnsi"/>
          <w:szCs w:val="20"/>
        </w:rPr>
        <w:t xml:space="preserve">raded </w:t>
      </w:r>
      <w:r w:rsidR="003C51D9">
        <w:rPr>
          <w:rFonts w:asciiTheme="majorHAnsi" w:hAnsiTheme="majorHAnsi" w:cstheme="majorHAnsi"/>
          <w:szCs w:val="20"/>
        </w:rPr>
        <w:t>d</w:t>
      </w:r>
      <w:r w:rsidR="00FB0390" w:rsidRPr="00A84878">
        <w:rPr>
          <w:rFonts w:asciiTheme="majorHAnsi" w:hAnsiTheme="majorHAnsi" w:cstheme="majorHAnsi"/>
          <w:szCs w:val="20"/>
        </w:rPr>
        <w:t>erivatives categorised as OTC Derivatives</w:t>
      </w:r>
      <w:r w:rsidR="003C51D9">
        <w:rPr>
          <w:rFonts w:asciiTheme="majorHAnsi" w:hAnsiTheme="majorHAnsi" w:cstheme="majorHAnsi"/>
          <w:szCs w:val="20"/>
        </w:rPr>
        <w:t>. The</w:t>
      </w:r>
      <w:r w:rsidR="00FB0390" w:rsidRPr="00A84878">
        <w:rPr>
          <w:rFonts w:asciiTheme="majorHAnsi" w:hAnsiTheme="majorHAnsi" w:cstheme="majorHAnsi"/>
          <w:szCs w:val="20"/>
        </w:rPr>
        <w:t xml:space="preserve"> Mandatory Reporting Provisions would apply only to </w:t>
      </w:r>
      <w:r w:rsidR="003C51D9">
        <w:rPr>
          <w:rFonts w:asciiTheme="majorHAnsi" w:hAnsiTheme="majorHAnsi" w:cstheme="majorHAnsi"/>
          <w:szCs w:val="20"/>
        </w:rPr>
        <w:t xml:space="preserve">any </w:t>
      </w:r>
      <w:r w:rsidR="00FB0390" w:rsidRPr="00A84878">
        <w:rPr>
          <w:rFonts w:asciiTheme="majorHAnsi" w:hAnsiTheme="majorHAnsi" w:cstheme="majorHAnsi"/>
          <w:szCs w:val="20"/>
        </w:rPr>
        <w:t>other OTC Derivatives.</w:t>
      </w:r>
      <w:r w:rsidRPr="00A84878">
        <w:rPr>
          <w:rFonts w:asciiTheme="majorHAnsi" w:hAnsiTheme="majorHAnsi" w:cstheme="majorHAnsi"/>
          <w:szCs w:val="20"/>
        </w:rPr>
        <w:t xml:space="preserve"> </w:t>
      </w:r>
    </w:p>
    <w:p w14:paraId="2D4B1840" w14:textId="1D883BED" w:rsidR="005A4686" w:rsidRPr="00A84878" w:rsidRDefault="005A4686" w:rsidP="00B54D94">
      <w:pPr>
        <w:pStyle w:val="Body"/>
        <w:rPr>
          <w:rFonts w:asciiTheme="majorHAnsi" w:hAnsiTheme="majorHAnsi" w:cstheme="majorHAnsi"/>
          <w:szCs w:val="20"/>
        </w:rPr>
      </w:pPr>
      <w:r>
        <w:rPr>
          <w:rFonts w:asciiTheme="majorHAnsi" w:hAnsiTheme="majorHAnsi" w:cstheme="majorHAnsi"/>
          <w:szCs w:val="20"/>
        </w:rPr>
        <w:lastRenderedPageBreak/>
        <w:t>The MRRA does not address the possible scenario of a</w:t>
      </w:r>
      <w:r w:rsidR="00D95C32">
        <w:rPr>
          <w:rFonts w:asciiTheme="majorHAnsi" w:hAnsiTheme="majorHAnsi" w:cstheme="majorHAnsi"/>
          <w:szCs w:val="20"/>
        </w:rPr>
        <w:t xml:space="preserve"> UCITS </w:t>
      </w:r>
      <w:r w:rsidR="004861B0">
        <w:rPr>
          <w:rFonts w:asciiTheme="majorHAnsi" w:hAnsiTheme="majorHAnsi" w:cstheme="majorHAnsi"/>
          <w:szCs w:val="20"/>
        </w:rPr>
        <w:t xml:space="preserve">(or UK UCITS) </w:t>
      </w:r>
      <w:r w:rsidR="00D95C32">
        <w:rPr>
          <w:rFonts w:asciiTheme="majorHAnsi" w:hAnsiTheme="majorHAnsi" w:cstheme="majorHAnsi"/>
          <w:szCs w:val="20"/>
        </w:rPr>
        <w:t xml:space="preserve">or </w:t>
      </w:r>
      <w:r w:rsidR="00A123B5">
        <w:rPr>
          <w:rFonts w:asciiTheme="majorHAnsi" w:hAnsiTheme="majorHAnsi" w:cstheme="majorHAnsi"/>
          <w:szCs w:val="20"/>
        </w:rPr>
        <w:t xml:space="preserve">an </w:t>
      </w:r>
      <w:r w:rsidR="00D95C32">
        <w:rPr>
          <w:rFonts w:asciiTheme="majorHAnsi" w:hAnsiTheme="majorHAnsi" w:cstheme="majorHAnsi"/>
          <w:szCs w:val="20"/>
        </w:rPr>
        <w:t xml:space="preserve">AIF </w:t>
      </w:r>
      <w:r w:rsidR="00D23B40">
        <w:rPr>
          <w:rFonts w:asciiTheme="majorHAnsi" w:hAnsiTheme="majorHAnsi" w:cstheme="majorHAnsi"/>
          <w:szCs w:val="20"/>
        </w:rPr>
        <w:t>(or UK AIF)</w:t>
      </w:r>
      <w:r w:rsidR="00306DAF" w:rsidRPr="00A84878">
        <w:rPr>
          <w:rStyle w:val="FootnoteReference"/>
          <w:rFonts w:asciiTheme="majorHAnsi" w:hAnsiTheme="majorHAnsi" w:cstheme="majorHAnsi"/>
          <w:szCs w:val="20"/>
        </w:rPr>
        <w:footnoteReference w:id="28"/>
      </w:r>
      <w:r w:rsidR="00D23B40">
        <w:rPr>
          <w:rFonts w:asciiTheme="majorHAnsi" w:hAnsiTheme="majorHAnsi" w:cstheme="majorHAnsi"/>
          <w:szCs w:val="20"/>
        </w:rPr>
        <w:t xml:space="preserve"> </w:t>
      </w:r>
      <w:r>
        <w:rPr>
          <w:rFonts w:asciiTheme="majorHAnsi" w:hAnsiTheme="majorHAnsi" w:cstheme="majorHAnsi"/>
          <w:szCs w:val="20"/>
        </w:rPr>
        <w:t>being an NFC- for EMIR</w:t>
      </w:r>
      <w:r w:rsidR="004C4D58">
        <w:rPr>
          <w:rFonts w:asciiTheme="majorHAnsi" w:hAnsiTheme="majorHAnsi" w:cstheme="majorHAnsi"/>
          <w:szCs w:val="20"/>
        </w:rPr>
        <w:t>/UK EMIR</w:t>
      </w:r>
      <w:r>
        <w:rPr>
          <w:rFonts w:asciiTheme="majorHAnsi" w:hAnsiTheme="majorHAnsi" w:cstheme="majorHAnsi"/>
          <w:szCs w:val="20"/>
        </w:rPr>
        <w:t xml:space="preserve"> purposes.</w:t>
      </w:r>
      <w:r w:rsidR="00D95C32">
        <w:rPr>
          <w:rStyle w:val="FootnoteReference"/>
          <w:rFonts w:cstheme="majorHAnsi"/>
          <w:szCs w:val="20"/>
        </w:rPr>
        <w:footnoteReference w:id="29"/>
      </w:r>
      <w:r w:rsidR="00CE4914">
        <w:rPr>
          <w:rFonts w:asciiTheme="majorHAnsi" w:hAnsiTheme="majorHAnsi" w:cstheme="majorHAnsi"/>
          <w:szCs w:val="20"/>
        </w:rPr>
        <w:t xml:space="preserve"> </w:t>
      </w:r>
      <w:r w:rsidR="00D95C32">
        <w:rPr>
          <w:rFonts w:asciiTheme="majorHAnsi" w:hAnsiTheme="majorHAnsi" w:cstheme="majorHAnsi"/>
          <w:szCs w:val="20"/>
        </w:rPr>
        <w:t>Unless</w:t>
      </w:r>
      <w:r w:rsidR="00CE4914">
        <w:rPr>
          <w:rFonts w:asciiTheme="majorHAnsi" w:hAnsiTheme="majorHAnsi" w:cstheme="majorHAnsi"/>
          <w:szCs w:val="20"/>
        </w:rPr>
        <w:t xml:space="preserve"> further guidance is provided by regulators in respect of any apparent </w:t>
      </w:r>
      <w:r w:rsidR="00C83913">
        <w:rPr>
          <w:rFonts w:asciiTheme="majorHAnsi" w:hAnsiTheme="majorHAnsi" w:cstheme="majorHAnsi"/>
          <w:szCs w:val="20"/>
        </w:rPr>
        <w:t>uncertainty</w:t>
      </w:r>
      <w:r w:rsidR="00CE4914">
        <w:rPr>
          <w:rFonts w:asciiTheme="majorHAnsi" w:hAnsiTheme="majorHAnsi" w:cstheme="majorHAnsi"/>
          <w:szCs w:val="20"/>
        </w:rPr>
        <w:t xml:space="preserve"> in EMIR</w:t>
      </w:r>
      <w:r w:rsidR="00260E43">
        <w:rPr>
          <w:rFonts w:asciiTheme="majorHAnsi" w:hAnsiTheme="majorHAnsi" w:cstheme="majorHAnsi"/>
          <w:szCs w:val="20"/>
        </w:rPr>
        <w:t>/UK EMIR</w:t>
      </w:r>
      <w:r w:rsidR="00CE4914">
        <w:rPr>
          <w:rFonts w:asciiTheme="majorHAnsi" w:hAnsiTheme="majorHAnsi" w:cstheme="majorHAnsi"/>
          <w:szCs w:val="20"/>
        </w:rPr>
        <w:t xml:space="preserve"> as to whether the </w:t>
      </w:r>
      <w:r w:rsidR="00D95C32">
        <w:rPr>
          <w:rFonts w:asciiTheme="majorHAnsi" w:hAnsiTheme="majorHAnsi" w:cstheme="majorHAnsi"/>
          <w:szCs w:val="20"/>
        </w:rPr>
        <w:t>Fund Manager and/or FC counterparty is responsible for reporting for a UCITS</w:t>
      </w:r>
      <w:r w:rsidR="0091771D">
        <w:rPr>
          <w:rFonts w:asciiTheme="majorHAnsi" w:hAnsiTheme="majorHAnsi" w:cstheme="majorHAnsi"/>
          <w:szCs w:val="20"/>
        </w:rPr>
        <w:t>/UK UCITS</w:t>
      </w:r>
      <w:r w:rsidR="00D95C32">
        <w:rPr>
          <w:rFonts w:asciiTheme="majorHAnsi" w:hAnsiTheme="majorHAnsi" w:cstheme="majorHAnsi"/>
          <w:szCs w:val="20"/>
        </w:rPr>
        <w:t xml:space="preserve"> or </w:t>
      </w:r>
      <w:r w:rsidR="00A123B5">
        <w:rPr>
          <w:rFonts w:asciiTheme="majorHAnsi" w:hAnsiTheme="majorHAnsi" w:cstheme="majorHAnsi"/>
          <w:szCs w:val="20"/>
        </w:rPr>
        <w:t xml:space="preserve">an </w:t>
      </w:r>
      <w:r w:rsidR="00D95C32">
        <w:rPr>
          <w:rFonts w:asciiTheme="majorHAnsi" w:hAnsiTheme="majorHAnsi" w:cstheme="majorHAnsi"/>
          <w:szCs w:val="20"/>
        </w:rPr>
        <w:t>AIF that is an NFC-, the parties may wish to consider the NFC- opting-out of any Mandatory Reporting by the FC</w:t>
      </w:r>
      <w:r w:rsidR="00CE4914">
        <w:rPr>
          <w:rFonts w:asciiTheme="majorHAnsi" w:hAnsiTheme="majorHAnsi" w:cstheme="majorHAnsi"/>
          <w:szCs w:val="20"/>
        </w:rPr>
        <w:t xml:space="preserve">. </w:t>
      </w:r>
    </w:p>
    <w:p w14:paraId="34EE13BC" w14:textId="77777777" w:rsidR="004C6A3C" w:rsidRPr="00A84878" w:rsidRDefault="00817FA9" w:rsidP="00DE54BD">
      <w:pPr>
        <w:pStyle w:val="Body"/>
        <w:spacing w:before="280"/>
        <w:rPr>
          <w:rFonts w:asciiTheme="majorHAnsi" w:hAnsiTheme="majorHAnsi" w:cstheme="majorHAnsi"/>
          <w:szCs w:val="20"/>
        </w:rPr>
      </w:pPr>
      <w:r w:rsidRPr="00A84878">
        <w:rPr>
          <w:rFonts w:asciiTheme="majorHAnsi" w:hAnsiTheme="majorHAnsi" w:cstheme="majorHAnsi"/>
          <w:b/>
          <w:szCs w:val="20"/>
        </w:rPr>
        <w:t>Paragraph 5 (</w:t>
      </w:r>
      <w:r w:rsidR="004C6A3C" w:rsidRPr="00A84878">
        <w:rPr>
          <w:rFonts w:asciiTheme="majorHAnsi" w:hAnsiTheme="majorHAnsi" w:cstheme="majorHAnsi"/>
          <w:b/>
          <w:i/>
          <w:szCs w:val="20"/>
        </w:rPr>
        <w:t>Disclosure of Client Status</w:t>
      </w:r>
      <w:r w:rsidRPr="00A84878">
        <w:rPr>
          <w:rFonts w:asciiTheme="majorHAnsi" w:hAnsiTheme="majorHAnsi" w:cstheme="majorHAnsi"/>
          <w:b/>
          <w:szCs w:val="20"/>
        </w:rPr>
        <w:t>)</w:t>
      </w:r>
      <w:r w:rsidR="004C6A3C" w:rsidRPr="00A84878">
        <w:rPr>
          <w:rFonts w:asciiTheme="majorHAnsi" w:hAnsiTheme="majorHAnsi" w:cstheme="majorHAnsi"/>
          <w:b/>
        </w:rPr>
        <w:t xml:space="preserve"> of the Derivatives Annex</w:t>
      </w:r>
    </w:p>
    <w:p w14:paraId="2C77EDE3" w14:textId="0E05A158" w:rsidR="00653E88" w:rsidRPr="00A84878" w:rsidRDefault="00550240"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Paragraph </w:t>
      </w:r>
      <w:r w:rsidR="006D3AEB">
        <w:rPr>
          <w:rFonts w:asciiTheme="majorHAnsi" w:hAnsiTheme="majorHAnsi" w:cstheme="majorHAnsi"/>
        </w:rPr>
        <w:t>5</w:t>
      </w:r>
      <w:r w:rsidRPr="00A84878">
        <w:rPr>
          <w:rFonts w:asciiTheme="majorHAnsi" w:hAnsiTheme="majorHAnsi" w:cstheme="majorHAnsi"/>
        </w:rPr>
        <w:t xml:space="preserve"> provides the Client with an opportunity to provide the Reporting Party with </w:t>
      </w:r>
      <w:r w:rsidR="00E63C58">
        <w:rPr>
          <w:rFonts w:asciiTheme="majorHAnsi" w:hAnsiTheme="majorHAnsi" w:cstheme="majorHAnsi"/>
        </w:rPr>
        <w:t xml:space="preserve">certain </w:t>
      </w:r>
      <w:r w:rsidRPr="00A84878">
        <w:rPr>
          <w:rFonts w:asciiTheme="majorHAnsi" w:hAnsiTheme="majorHAnsi" w:cstheme="majorHAnsi"/>
        </w:rPr>
        <w:t xml:space="preserve">regulatory status classification information. </w:t>
      </w:r>
      <w:r w:rsidR="00653E88" w:rsidRPr="00A84878">
        <w:rPr>
          <w:rFonts w:asciiTheme="majorHAnsi" w:hAnsiTheme="majorHAnsi" w:cstheme="majorHAnsi"/>
        </w:rPr>
        <w:t>This is important for the purposes of determining whether Mandatory Reporting is applicable</w:t>
      </w:r>
      <w:r w:rsidR="00E63C58">
        <w:rPr>
          <w:rFonts w:asciiTheme="majorHAnsi" w:hAnsiTheme="majorHAnsi" w:cstheme="majorHAnsi"/>
        </w:rPr>
        <w:t>, since w</w:t>
      </w:r>
      <w:r w:rsidR="00653E88" w:rsidRPr="00A84878">
        <w:rPr>
          <w:rFonts w:asciiTheme="majorHAnsi" w:hAnsiTheme="majorHAnsi" w:cstheme="majorHAnsi"/>
        </w:rPr>
        <w:t>here the Client is an NFC- and its counterparty is an FC, the mandatory reporting requirement under EMIR</w:t>
      </w:r>
      <w:r w:rsidR="0091771D">
        <w:rPr>
          <w:rFonts w:asciiTheme="majorHAnsi" w:hAnsiTheme="majorHAnsi" w:cstheme="majorHAnsi"/>
        </w:rPr>
        <w:t>/UK EMIR</w:t>
      </w:r>
      <w:r w:rsidR="00653E88" w:rsidRPr="00A84878">
        <w:rPr>
          <w:rFonts w:asciiTheme="majorHAnsi" w:hAnsiTheme="majorHAnsi" w:cstheme="majorHAnsi"/>
        </w:rPr>
        <w:t xml:space="preserve"> will be applicable.</w:t>
      </w:r>
    </w:p>
    <w:p w14:paraId="0FEDE819" w14:textId="77777777" w:rsidR="00FB0390" w:rsidRPr="00A84878" w:rsidRDefault="00550240"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This paragraph is in square brackets and the Client can delete it as appropriate if it exchanges status information by some alternative means. The Client may, however, prefer to specify </w:t>
      </w:r>
      <w:proofErr w:type="gramStart"/>
      <w:r w:rsidRPr="00A84878">
        <w:rPr>
          <w:rFonts w:asciiTheme="majorHAnsi" w:hAnsiTheme="majorHAnsi" w:cstheme="majorHAnsi"/>
        </w:rPr>
        <w:t>the means by which</w:t>
      </w:r>
      <w:proofErr w:type="gramEnd"/>
      <w:r w:rsidRPr="00A84878">
        <w:rPr>
          <w:rFonts w:asciiTheme="majorHAnsi" w:hAnsiTheme="majorHAnsi" w:cstheme="majorHAnsi"/>
        </w:rPr>
        <w:t xml:space="preserve"> it provides the relevant status information to the Reporting Party, and it may do so by selecting the first or third checkbox, if, respectively, the ISDA Master Regulatory Disclosure Letter </w:t>
      </w:r>
      <w:r w:rsidR="00C83913">
        <w:rPr>
          <w:rFonts w:asciiTheme="majorHAnsi" w:hAnsiTheme="majorHAnsi" w:cstheme="majorHAnsi"/>
        </w:rPr>
        <w:t xml:space="preserve">(or any electronic platform used to deliver such document) </w:t>
      </w:r>
      <w:r w:rsidRPr="00A84878">
        <w:rPr>
          <w:rFonts w:asciiTheme="majorHAnsi" w:hAnsiTheme="majorHAnsi" w:cstheme="majorHAnsi"/>
        </w:rPr>
        <w:t>is the alternative method of exchange or otherwise a different method of exchange is used.</w:t>
      </w:r>
    </w:p>
    <w:p w14:paraId="34EDB743" w14:textId="77777777" w:rsidR="00550240" w:rsidRPr="00A84878" w:rsidRDefault="00550240"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Paragraph </w:t>
      </w:r>
      <w:r w:rsidR="006D3AEB">
        <w:rPr>
          <w:rFonts w:asciiTheme="majorHAnsi" w:hAnsiTheme="majorHAnsi" w:cstheme="majorHAnsi"/>
        </w:rPr>
        <w:t>5</w:t>
      </w:r>
      <w:r w:rsidRPr="00A84878">
        <w:rPr>
          <w:rFonts w:asciiTheme="majorHAnsi" w:hAnsiTheme="majorHAnsi" w:cstheme="majorHAnsi"/>
        </w:rPr>
        <w:t xml:space="preserve"> is not intended </w:t>
      </w:r>
      <w:r w:rsidR="00653E88" w:rsidRPr="00A84878">
        <w:rPr>
          <w:rFonts w:asciiTheme="majorHAnsi" w:hAnsiTheme="majorHAnsi" w:cstheme="majorHAnsi"/>
        </w:rPr>
        <w:t xml:space="preserve">to set out an exhaustive list of status representations which the parties may want to exchange but is intended to provide the Client with a method by which it can specify </w:t>
      </w:r>
      <w:proofErr w:type="gramStart"/>
      <w:r w:rsidR="00653E88" w:rsidRPr="00A84878">
        <w:rPr>
          <w:rFonts w:asciiTheme="majorHAnsi" w:hAnsiTheme="majorHAnsi" w:cstheme="majorHAnsi"/>
        </w:rPr>
        <w:t>whether or not</w:t>
      </w:r>
      <w:proofErr w:type="gramEnd"/>
      <w:r w:rsidR="00653E88" w:rsidRPr="00A84878">
        <w:rPr>
          <w:rFonts w:asciiTheme="majorHAnsi" w:hAnsiTheme="majorHAnsi" w:cstheme="majorHAnsi"/>
        </w:rPr>
        <w:t xml:space="preserve"> it is an NFC-.</w:t>
      </w:r>
    </w:p>
    <w:p w14:paraId="1E9C5750" w14:textId="77777777" w:rsidR="00653E88" w:rsidRPr="00A84878" w:rsidRDefault="00817FA9" w:rsidP="00DE54BD">
      <w:pPr>
        <w:pStyle w:val="Body"/>
        <w:spacing w:before="280"/>
        <w:rPr>
          <w:rFonts w:asciiTheme="majorHAnsi" w:hAnsiTheme="majorHAnsi" w:cstheme="majorHAnsi"/>
          <w:szCs w:val="20"/>
        </w:rPr>
      </w:pPr>
      <w:r w:rsidRPr="00A84878">
        <w:rPr>
          <w:rFonts w:asciiTheme="majorHAnsi" w:hAnsiTheme="majorHAnsi" w:cstheme="majorHAnsi"/>
          <w:b/>
          <w:szCs w:val="20"/>
        </w:rPr>
        <w:t>Paragraph 6 (</w:t>
      </w:r>
      <w:r w:rsidR="00653E88" w:rsidRPr="00A84878">
        <w:rPr>
          <w:rFonts w:asciiTheme="majorHAnsi" w:hAnsiTheme="majorHAnsi" w:cstheme="majorHAnsi"/>
          <w:b/>
          <w:i/>
          <w:szCs w:val="20"/>
        </w:rPr>
        <w:t xml:space="preserve">Transition </w:t>
      </w:r>
      <w:r w:rsidR="00A123B5">
        <w:rPr>
          <w:rFonts w:asciiTheme="majorHAnsi" w:hAnsiTheme="majorHAnsi" w:cstheme="majorHAnsi"/>
          <w:b/>
          <w:i/>
          <w:szCs w:val="20"/>
        </w:rPr>
        <w:t>b</w:t>
      </w:r>
      <w:r w:rsidR="00653E88" w:rsidRPr="00A84878">
        <w:rPr>
          <w:rFonts w:asciiTheme="majorHAnsi" w:hAnsiTheme="majorHAnsi" w:cstheme="majorHAnsi"/>
          <w:b/>
          <w:i/>
          <w:szCs w:val="20"/>
        </w:rPr>
        <w:t>etween Reporting Models</w:t>
      </w:r>
      <w:r w:rsidRPr="00A84878">
        <w:rPr>
          <w:rFonts w:asciiTheme="majorHAnsi" w:hAnsiTheme="majorHAnsi" w:cstheme="majorHAnsi"/>
          <w:b/>
          <w:szCs w:val="20"/>
        </w:rPr>
        <w:t>) of</w:t>
      </w:r>
      <w:r w:rsidR="00653E88" w:rsidRPr="00A84878">
        <w:rPr>
          <w:rFonts w:asciiTheme="majorHAnsi" w:hAnsiTheme="majorHAnsi" w:cstheme="majorHAnsi"/>
          <w:b/>
        </w:rPr>
        <w:t xml:space="preserve"> the Derivatives Annex</w:t>
      </w:r>
    </w:p>
    <w:p w14:paraId="6ECE66F6" w14:textId="77777777" w:rsidR="00F12640" w:rsidRPr="00C866F7" w:rsidRDefault="00F12640" w:rsidP="00653E88">
      <w:pPr>
        <w:pStyle w:val="Level3"/>
        <w:numPr>
          <w:ilvl w:val="0"/>
          <w:numId w:val="0"/>
        </w:numPr>
        <w:rPr>
          <w:rFonts w:asciiTheme="majorHAnsi" w:hAnsiTheme="majorHAnsi" w:cstheme="majorHAnsi"/>
        </w:rPr>
      </w:pPr>
      <w:r w:rsidRPr="00A84878">
        <w:rPr>
          <w:rFonts w:asciiTheme="majorHAnsi" w:hAnsiTheme="majorHAnsi" w:cstheme="majorHAnsi"/>
        </w:rPr>
        <w:t>Paragraph 6 sets out the election relating to Section 1 (</w:t>
      </w:r>
      <w:r w:rsidRPr="00A84878">
        <w:rPr>
          <w:rFonts w:asciiTheme="majorHAnsi" w:hAnsiTheme="majorHAnsi" w:cstheme="majorHAnsi"/>
          <w:i/>
        </w:rPr>
        <w:t xml:space="preserve">Transition between </w:t>
      </w:r>
      <w:r w:rsidR="00AA0B94">
        <w:rPr>
          <w:rFonts w:asciiTheme="majorHAnsi" w:hAnsiTheme="majorHAnsi" w:cstheme="majorHAnsi"/>
          <w:i/>
        </w:rPr>
        <w:t>Reporting Models</w:t>
      </w:r>
      <w:r w:rsidRPr="00A84878">
        <w:rPr>
          <w:rFonts w:asciiTheme="majorHAnsi" w:hAnsiTheme="majorHAnsi" w:cstheme="majorHAnsi"/>
        </w:rPr>
        <w:t>) of the General Provisions. The parties can specify if one or both of ‘Automatic Transition to Delegated Reporting’ and ‘</w:t>
      </w:r>
      <w:r w:rsidRPr="00C866F7">
        <w:rPr>
          <w:rFonts w:asciiTheme="majorHAnsi" w:hAnsiTheme="majorHAnsi" w:cstheme="majorHAnsi"/>
        </w:rPr>
        <w:t>Automatic Transition to Mandatory Reporting’ will apply.</w:t>
      </w:r>
    </w:p>
    <w:p w14:paraId="5A342235" w14:textId="12005EBD" w:rsidR="00F12640" w:rsidRPr="00A84878" w:rsidRDefault="00653E88" w:rsidP="00653E88">
      <w:pPr>
        <w:pStyle w:val="Level3"/>
        <w:numPr>
          <w:ilvl w:val="0"/>
          <w:numId w:val="0"/>
        </w:numPr>
        <w:rPr>
          <w:rFonts w:asciiTheme="majorHAnsi" w:hAnsiTheme="majorHAnsi" w:cstheme="majorHAnsi"/>
        </w:rPr>
      </w:pPr>
      <w:r w:rsidRPr="00033C51">
        <w:rPr>
          <w:rFonts w:asciiTheme="majorHAnsi" w:hAnsiTheme="majorHAnsi" w:cstheme="majorHAnsi"/>
        </w:rPr>
        <w:t>See page 1</w:t>
      </w:r>
      <w:r w:rsidR="00D22167" w:rsidRPr="00033C51">
        <w:rPr>
          <w:rFonts w:asciiTheme="majorHAnsi" w:hAnsiTheme="majorHAnsi" w:cstheme="majorHAnsi"/>
        </w:rPr>
        <w:t>5</w:t>
      </w:r>
      <w:r w:rsidRPr="00A84878">
        <w:rPr>
          <w:rFonts w:asciiTheme="majorHAnsi" w:hAnsiTheme="majorHAnsi" w:cstheme="majorHAnsi"/>
        </w:rPr>
        <w:t xml:space="preserve"> above in relation to Section 1 (</w:t>
      </w:r>
      <w:r w:rsidRPr="00A84878">
        <w:rPr>
          <w:rFonts w:asciiTheme="majorHAnsi" w:hAnsiTheme="majorHAnsi" w:cstheme="majorHAnsi"/>
          <w:i/>
        </w:rPr>
        <w:t>Transition between Reporting</w:t>
      </w:r>
      <w:r w:rsidR="00AA0B94">
        <w:rPr>
          <w:rFonts w:asciiTheme="majorHAnsi" w:hAnsiTheme="majorHAnsi" w:cstheme="majorHAnsi"/>
          <w:i/>
        </w:rPr>
        <w:t xml:space="preserve"> Models</w:t>
      </w:r>
      <w:r w:rsidRPr="00A84878">
        <w:rPr>
          <w:rFonts w:asciiTheme="majorHAnsi" w:hAnsiTheme="majorHAnsi" w:cstheme="majorHAnsi"/>
        </w:rPr>
        <w:t>) of the General Provisions</w:t>
      </w:r>
      <w:r w:rsidR="00F12640" w:rsidRPr="00A84878">
        <w:rPr>
          <w:rFonts w:asciiTheme="majorHAnsi" w:hAnsiTheme="majorHAnsi" w:cstheme="majorHAnsi"/>
        </w:rPr>
        <w:t xml:space="preserve"> for further guidance</w:t>
      </w:r>
      <w:r w:rsidR="00817FA9" w:rsidRPr="00A84878">
        <w:rPr>
          <w:rFonts w:asciiTheme="majorHAnsi" w:hAnsiTheme="majorHAnsi" w:cstheme="majorHAnsi"/>
        </w:rPr>
        <w:t>.</w:t>
      </w:r>
    </w:p>
    <w:p w14:paraId="1D112F96" w14:textId="77777777" w:rsidR="00817FA9" w:rsidRPr="00A84878" w:rsidRDefault="00B70060"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7 (</w:t>
      </w:r>
      <w:r w:rsidRPr="00A84878">
        <w:rPr>
          <w:rFonts w:asciiTheme="majorHAnsi" w:hAnsiTheme="majorHAnsi" w:cstheme="majorHAnsi"/>
          <w:b/>
          <w:i/>
        </w:rPr>
        <w:t>Relevant Data</w:t>
      </w:r>
      <w:r w:rsidRPr="00A84878">
        <w:rPr>
          <w:rFonts w:asciiTheme="majorHAnsi" w:hAnsiTheme="majorHAnsi" w:cstheme="majorHAnsi"/>
          <w:b/>
        </w:rPr>
        <w:t>) of the Derivatives Annex</w:t>
      </w:r>
    </w:p>
    <w:p w14:paraId="375B4949" w14:textId="77777777" w:rsidR="00F66336" w:rsidRPr="00A84878" w:rsidRDefault="002F753E" w:rsidP="00653E88">
      <w:pPr>
        <w:pStyle w:val="Level3"/>
        <w:numPr>
          <w:ilvl w:val="0"/>
          <w:numId w:val="0"/>
        </w:numPr>
        <w:rPr>
          <w:rFonts w:asciiTheme="majorHAnsi" w:hAnsiTheme="majorHAnsi" w:cstheme="majorHAnsi"/>
        </w:rPr>
      </w:pPr>
      <w:r w:rsidRPr="00A84878">
        <w:rPr>
          <w:rFonts w:asciiTheme="majorHAnsi" w:hAnsiTheme="majorHAnsi" w:cstheme="majorHAnsi"/>
        </w:rPr>
        <w:t xml:space="preserve">For the </w:t>
      </w:r>
      <w:r w:rsidRPr="00D4190C">
        <w:rPr>
          <w:rFonts w:asciiTheme="majorHAnsi" w:hAnsiTheme="majorHAnsi" w:cstheme="majorHAnsi"/>
        </w:rPr>
        <w:t>purposes of both the</w:t>
      </w:r>
      <w:r w:rsidRPr="00A84878">
        <w:rPr>
          <w:rFonts w:asciiTheme="majorHAnsi" w:hAnsiTheme="majorHAnsi" w:cstheme="majorHAnsi"/>
        </w:rPr>
        <w:t xml:space="preserve"> Delegated Reporting Provisions, which require the Reporting Party to submit Relevant Data to a Relevant Trade Repository by the Reporting Deadline, and the Mandatory Reporting Provisions, pursuant to which the Client will provide the Reporting Party with its Counterparty Data</w:t>
      </w:r>
      <w:r w:rsidR="008F4736" w:rsidRPr="00A84878">
        <w:rPr>
          <w:rFonts w:asciiTheme="majorHAnsi" w:hAnsiTheme="majorHAnsi" w:cstheme="majorHAnsi"/>
        </w:rPr>
        <w:t>, a provision is included within the Derivatives Annex at Paragraph 7 (</w:t>
      </w:r>
      <w:r w:rsidR="008F4736" w:rsidRPr="00A84878">
        <w:rPr>
          <w:rFonts w:asciiTheme="majorHAnsi" w:hAnsiTheme="majorHAnsi" w:cstheme="majorHAnsi"/>
          <w:i/>
        </w:rPr>
        <w:t>Relevant Data</w:t>
      </w:r>
      <w:r w:rsidR="008F4736" w:rsidRPr="00A84878">
        <w:rPr>
          <w:rFonts w:asciiTheme="majorHAnsi" w:hAnsiTheme="majorHAnsi" w:cstheme="majorHAnsi"/>
        </w:rPr>
        <w:t xml:space="preserve">) pursuant to which the parties will specify whether ‘Relevant Data’ will comprise of </w:t>
      </w:r>
      <w:r w:rsidR="0006453E" w:rsidRPr="00A84878">
        <w:rPr>
          <w:rFonts w:asciiTheme="majorHAnsi" w:hAnsiTheme="majorHAnsi" w:cstheme="majorHAnsi"/>
        </w:rPr>
        <w:t xml:space="preserve">one of </w:t>
      </w:r>
      <w:r w:rsidR="008F4736" w:rsidRPr="00A84878">
        <w:rPr>
          <w:rFonts w:asciiTheme="majorHAnsi" w:hAnsiTheme="majorHAnsi" w:cstheme="majorHAnsi"/>
        </w:rPr>
        <w:t xml:space="preserve">Counterparty Data </w:t>
      </w:r>
      <w:r w:rsidR="0006453E" w:rsidRPr="00A84878">
        <w:rPr>
          <w:rFonts w:asciiTheme="majorHAnsi" w:hAnsiTheme="majorHAnsi" w:cstheme="majorHAnsi"/>
        </w:rPr>
        <w:t xml:space="preserve">or </w:t>
      </w:r>
      <w:r w:rsidR="008F4736" w:rsidRPr="00A84878">
        <w:rPr>
          <w:rFonts w:asciiTheme="majorHAnsi" w:hAnsiTheme="majorHAnsi" w:cstheme="majorHAnsi"/>
        </w:rPr>
        <w:t>Common Data</w:t>
      </w:r>
      <w:r w:rsidR="0006453E" w:rsidRPr="00A84878">
        <w:rPr>
          <w:rFonts w:asciiTheme="majorHAnsi" w:hAnsiTheme="majorHAnsi" w:cstheme="majorHAnsi"/>
        </w:rPr>
        <w:t>, or both.</w:t>
      </w:r>
    </w:p>
    <w:p w14:paraId="44174D69" w14:textId="1C6B7E44" w:rsidR="00817FA9" w:rsidRPr="00A84878" w:rsidRDefault="0006453E" w:rsidP="00653E88">
      <w:pPr>
        <w:pStyle w:val="Level3"/>
        <w:numPr>
          <w:ilvl w:val="0"/>
          <w:numId w:val="0"/>
        </w:numPr>
        <w:rPr>
          <w:rFonts w:asciiTheme="majorHAnsi" w:hAnsiTheme="majorHAnsi" w:cstheme="majorHAnsi"/>
        </w:rPr>
      </w:pPr>
      <w:r w:rsidRPr="00A84878">
        <w:rPr>
          <w:rFonts w:asciiTheme="majorHAnsi" w:hAnsiTheme="majorHAnsi" w:cstheme="majorHAnsi"/>
        </w:rPr>
        <w:t xml:space="preserve">The parties are also </w:t>
      </w:r>
      <w:r w:rsidR="00F66336" w:rsidRPr="00A84878">
        <w:rPr>
          <w:rFonts w:asciiTheme="majorHAnsi" w:hAnsiTheme="majorHAnsi" w:cstheme="majorHAnsi"/>
        </w:rPr>
        <w:t xml:space="preserve">able to exclude any data points from the scope of ‘Relevant Data’. </w:t>
      </w:r>
      <w:r w:rsidR="00F76CDE" w:rsidRPr="00A84878">
        <w:rPr>
          <w:rFonts w:asciiTheme="majorHAnsi" w:hAnsiTheme="majorHAnsi" w:cstheme="majorHAnsi"/>
        </w:rPr>
        <w:t>The parties</w:t>
      </w:r>
      <w:r w:rsidR="00F66336" w:rsidRPr="00A84878">
        <w:rPr>
          <w:rFonts w:asciiTheme="majorHAnsi" w:hAnsiTheme="majorHAnsi" w:cstheme="majorHAnsi"/>
        </w:rPr>
        <w:t xml:space="preserve"> are also provided with an election whereby ‘Counterparty Data’ can be defined by reference</w:t>
      </w:r>
      <w:r w:rsidR="006D7EC8" w:rsidRPr="00A84878">
        <w:rPr>
          <w:rFonts w:asciiTheme="majorHAnsi" w:hAnsiTheme="majorHAnsi" w:cstheme="majorHAnsi"/>
        </w:rPr>
        <w:t xml:space="preserve"> either to the EMIR</w:t>
      </w:r>
      <w:r w:rsidR="00AF3B40">
        <w:rPr>
          <w:rFonts w:asciiTheme="majorHAnsi" w:hAnsiTheme="majorHAnsi" w:cstheme="majorHAnsi"/>
        </w:rPr>
        <w:t>/UK EMIR</w:t>
      </w:r>
      <w:r w:rsidR="006D7EC8" w:rsidRPr="00A84878">
        <w:rPr>
          <w:rFonts w:asciiTheme="majorHAnsi" w:hAnsiTheme="majorHAnsi" w:cstheme="majorHAnsi"/>
        </w:rPr>
        <w:t xml:space="preserve"> Reporting Annexes</w:t>
      </w:r>
      <w:r w:rsidR="006E6933" w:rsidRPr="00A84878">
        <w:rPr>
          <w:rFonts w:asciiTheme="majorHAnsi" w:hAnsiTheme="majorHAnsi" w:cstheme="majorHAnsi"/>
        </w:rPr>
        <w:t xml:space="preserve"> or to </w:t>
      </w:r>
      <w:r w:rsidR="004D126D">
        <w:rPr>
          <w:rFonts w:asciiTheme="majorHAnsi" w:hAnsiTheme="majorHAnsi" w:cstheme="majorHAnsi"/>
        </w:rPr>
        <w:t>a</w:t>
      </w:r>
      <w:r w:rsidR="006D7EC8" w:rsidRPr="00A84878">
        <w:rPr>
          <w:rFonts w:asciiTheme="majorHAnsi" w:hAnsiTheme="majorHAnsi" w:cstheme="majorHAnsi"/>
        </w:rPr>
        <w:t xml:space="preserve"> </w:t>
      </w:r>
      <w:r w:rsidR="006E6933" w:rsidRPr="00A84878">
        <w:rPr>
          <w:rFonts w:asciiTheme="majorHAnsi" w:hAnsiTheme="majorHAnsi" w:cstheme="majorHAnsi"/>
        </w:rPr>
        <w:t xml:space="preserve">Schedule relating to ‘Operational and Procedural Provisions’. Alternatively, the parties can set out </w:t>
      </w:r>
      <w:r w:rsidR="00E63C58">
        <w:rPr>
          <w:rFonts w:asciiTheme="majorHAnsi" w:hAnsiTheme="majorHAnsi" w:cstheme="majorHAnsi"/>
        </w:rPr>
        <w:t xml:space="preserve">here </w:t>
      </w:r>
      <w:r w:rsidR="00C9410C" w:rsidRPr="00A84878">
        <w:rPr>
          <w:rFonts w:asciiTheme="majorHAnsi" w:hAnsiTheme="majorHAnsi" w:cstheme="majorHAnsi"/>
        </w:rPr>
        <w:t xml:space="preserve">the data which will comprise </w:t>
      </w:r>
      <w:r w:rsidR="006E6933" w:rsidRPr="00A84878">
        <w:rPr>
          <w:rFonts w:asciiTheme="majorHAnsi" w:hAnsiTheme="majorHAnsi" w:cstheme="majorHAnsi"/>
        </w:rPr>
        <w:t>‘Counterparty Data’.</w:t>
      </w:r>
    </w:p>
    <w:p w14:paraId="4D019175" w14:textId="77777777" w:rsidR="00F66336" w:rsidRPr="00A84878" w:rsidRDefault="00C9410C"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lastRenderedPageBreak/>
        <w:t>Paragraph 8 (</w:t>
      </w:r>
      <w:r w:rsidRPr="00A84878">
        <w:rPr>
          <w:rFonts w:asciiTheme="majorHAnsi" w:hAnsiTheme="majorHAnsi" w:cstheme="majorHAnsi"/>
          <w:b/>
          <w:i/>
        </w:rPr>
        <w:t>Reporting Party Affiliate</w:t>
      </w:r>
      <w:r w:rsidRPr="00A84878">
        <w:rPr>
          <w:rFonts w:asciiTheme="majorHAnsi" w:hAnsiTheme="majorHAnsi" w:cstheme="majorHAnsi"/>
          <w:b/>
        </w:rPr>
        <w:t>) of the Derivatives Annex</w:t>
      </w:r>
    </w:p>
    <w:p w14:paraId="503606F3" w14:textId="77777777" w:rsidR="00817FA9" w:rsidRPr="00A84878" w:rsidRDefault="00C9410C" w:rsidP="00653E88">
      <w:pPr>
        <w:pStyle w:val="Level3"/>
        <w:numPr>
          <w:ilvl w:val="0"/>
          <w:numId w:val="0"/>
        </w:numPr>
        <w:rPr>
          <w:rFonts w:asciiTheme="majorHAnsi" w:hAnsiTheme="majorHAnsi" w:cstheme="majorHAnsi"/>
        </w:rPr>
      </w:pPr>
      <w:r w:rsidRPr="00A84878">
        <w:rPr>
          <w:rFonts w:asciiTheme="majorHAnsi" w:hAnsiTheme="majorHAnsi" w:cstheme="majorHAnsi"/>
        </w:rPr>
        <w:t xml:space="preserve">Paragraph 8 provides an election whereby the Reporting Party will specify each affiliate that will be a Reporting Party Affiliate for the purposes of the </w:t>
      </w:r>
      <w:r w:rsidR="00CE4B67">
        <w:rPr>
          <w:rFonts w:asciiTheme="majorHAnsi" w:hAnsiTheme="majorHAnsi" w:cstheme="majorHAnsi"/>
        </w:rPr>
        <w:t xml:space="preserve">MRRA. There is an option to refer to the other (unnamed) affiliates as well, to avoid the need to amend the Annex to include further affiliates in the future. Alternatively, if a Reporting Party does not want to list the Reporting Party Affiliates it could amend Paragraph 8 so as just to refer to such affiliates that </w:t>
      </w:r>
      <w:proofErr w:type="gramStart"/>
      <w:r w:rsidR="00CE4B67">
        <w:rPr>
          <w:rFonts w:asciiTheme="majorHAnsi" w:hAnsiTheme="majorHAnsi" w:cstheme="majorHAnsi"/>
        </w:rPr>
        <w:t>enter into</w:t>
      </w:r>
      <w:proofErr w:type="gramEnd"/>
      <w:r w:rsidR="00CE4B67">
        <w:rPr>
          <w:rFonts w:asciiTheme="majorHAnsi" w:hAnsiTheme="majorHAnsi" w:cstheme="majorHAnsi"/>
        </w:rPr>
        <w:t xml:space="preserve"> Relevant Transactions with the Client or Fund from time to time.</w:t>
      </w:r>
      <w:r w:rsidRPr="00A84878">
        <w:rPr>
          <w:rFonts w:asciiTheme="majorHAnsi" w:hAnsiTheme="majorHAnsi" w:cstheme="majorHAnsi"/>
        </w:rPr>
        <w:t xml:space="preserve"> </w:t>
      </w:r>
    </w:p>
    <w:p w14:paraId="43B58320" w14:textId="77777777" w:rsidR="00C9410C" w:rsidRPr="00A84878" w:rsidRDefault="00C9410C"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9 (</w:t>
      </w:r>
      <w:r w:rsidRPr="00A84878">
        <w:rPr>
          <w:rFonts w:asciiTheme="majorHAnsi" w:hAnsiTheme="majorHAnsi" w:cstheme="majorHAnsi"/>
          <w:b/>
          <w:i/>
        </w:rPr>
        <w:t>Relevant Trade Repository</w:t>
      </w:r>
      <w:r w:rsidRPr="00A84878">
        <w:rPr>
          <w:rFonts w:asciiTheme="majorHAnsi" w:hAnsiTheme="majorHAnsi" w:cstheme="majorHAnsi"/>
          <w:b/>
        </w:rPr>
        <w:t>) of the Derivatives Annex</w:t>
      </w:r>
    </w:p>
    <w:p w14:paraId="25743D37" w14:textId="77777777" w:rsidR="00C9410C" w:rsidRPr="00A84878" w:rsidRDefault="00026B4F" w:rsidP="00653E88">
      <w:pPr>
        <w:pStyle w:val="Level3"/>
        <w:numPr>
          <w:ilvl w:val="0"/>
          <w:numId w:val="0"/>
        </w:numPr>
        <w:rPr>
          <w:rFonts w:asciiTheme="majorHAnsi" w:hAnsiTheme="majorHAnsi" w:cstheme="majorHAnsi"/>
        </w:rPr>
      </w:pPr>
      <w:r w:rsidRPr="00A84878">
        <w:rPr>
          <w:rFonts w:asciiTheme="majorHAnsi" w:hAnsiTheme="majorHAnsi" w:cstheme="majorHAnsi"/>
        </w:rPr>
        <w:t>The parties can specify the details of any Relevant Trade Repository in Paragraph 9 for purposes of submitting data pursuant to the Delegated Reporting Provisions and/or the Mandatory Reporting Provisions.</w:t>
      </w:r>
      <w:r w:rsidR="00D1023C">
        <w:rPr>
          <w:rFonts w:asciiTheme="majorHAnsi" w:hAnsiTheme="majorHAnsi" w:cstheme="majorHAnsi"/>
        </w:rPr>
        <w:t xml:space="preserve"> The parties may want to list multiple Trade Repositories or specify certain Trade Repositories for </w:t>
      </w:r>
      <w:proofErr w:type="gramStart"/>
      <w:r w:rsidR="00D1023C">
        <w:rPr>
          <w:rFonts w:asciiTheme="majorHAnsi" w:hAnsiTheme="majorHAnsi" w:cstheme="majorHAnsi"/>
        </w:rPr>
        <w:t>particular trade</w:t>
      </w:r>
      <w:proofErr w:type="gramEnd"/>
      <w:r w:rsidR="00D1023C">
        <w:rPr>
          <w:rFonts w:asciiTheme="majorHAnsi" w:hAnsiTheme="majorHAnsi" w:cstheme="majorHAnsi"/>
        </w:rPr>
        <w:t xml:space="preserve"> types only. </w:t>
      </w:r>
    </w:p>
    <w:p w14:paraId="4D450437" w14:textId="1D9A01AA" w:rsidR="00026B4F" w:rsidRPr="00A84878" w:rsidRDefault="00026B4F" w:rsidP="00653E88">
      <w:pPr>
        <w:pStyle w:val="Level3"/>
        <w:numPr>
          <w:ilvl w:val="0"/>
          <w:numId w:val="0"/>
        </w:numPr>
        <w:rPr>
          <w:rFonts w:asciiTheme="majorHAnsi" w:hAnsiTheme="majorHAnsi" w:cstheme="majorHAnsi"/>
        </w:rPr>
      </w:pPr>
      <w:r w:rsidRPr="00A84878">
        <w:rPr>
          <w:rFonts w:asciiTheme="majorHAnsi" w:hAnsiTheme="majorHAnsi" w:cstheme="majorHAnsi"/>
        </w:rPr>
        <w:t>Optional wording is included in square brackets in sub-paragraph (B). If this wording is included, the Reporting Party will be required to notify the Client where it uses its discretion to select an alternative Trade Repository pursuant to sub-paragraph</w:t>
      </w:r>
      <w:r w:rsidR="00C0170A">
        <w:rPr>
          <w:rFonts w:asciiTheme="majorHAnsi" w:hAnsiTheme="majorHAnsi" w:cstheme="majorHAnsi"/>
        </w:rPr>
        <w:t>s</w:t>
      </w:r>
      <w:r w:rsidRPr="00A84878">
        <w:rPr>
          <w:rFonts w:asciiTheme="majorHAnsi" w:hAnsiTheme="majorHAnsi" w:cstheme="majorHAnsi"/>
        </w:rPr>
        <w:t xml:space="preserve"> (A)(ii) and (iii).</w:t>
      </w:r>
    </w:p>
    <w:p w14:paraId="6BBF8406" w14:textId="25A95586" w:rsidR="00026B4F" w:rsidRPr="00A84878" w:rsidRDefault="00026B4F"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10 (</w:t>
      </w:r>
      <w:r w:rsidRPr="00A84878">
        <w:rPr>
          <w:rFonts w:asciiTheme="majorHAnsi" w:hAnsiTheme="majorHAnsi" w:cstheme="majorHAnsi"/>
          <w:b/>
          <w:i/>
        </w:rPr>
        <w:t>Amendment and Termination</w:t>
      </w:r>
      <w:r w:rsidRPr="00A84878">
        <w:rPr>
          <w:rFonts w:asciiTheme="majorHAnsi" w:hAnsiTheme="majorHAnsi" w:cstheme="majorHAnsi"/>
          <w:b/>
        </w:rPr>
        <w:t>) of the Derivatives Annex</w:t>
      </w:r>
    </w:p>
    <w:p w14:paraId="2D38D66A" w14:textId="40565844" w:rsidR="00E963E0" w:rsidRPr="00A84878" w:rsidRDefault="00E963E0" w:rsidP="00026B4F">
      <w:pPr>
        <w:pStyle w:val="Level3"/>
        <w:numPr>
          <w:ilvl w:val="0"/>
          <w:numId w:val="0"/>
        </w:numPr>
        <w:rPr>
          <w:rFonts w:asciiTheme="majorHAnsi" w:hAnsiTheme="majorHAnsi" w:cstheme="majorHAnsi"/>
        </w:rPr>
      </w:pPr>
      <w:r w:rsidRPr="00A84878">
        <w:rPr>
          <w:rFonts w:asciiTheme="majorHAnsi" w:hAnsiTheme="majorHAnsi" w:cstheme="majorHAnsi"/>
        </w:rPr>
        <w:t xml:space="preserve">In </w:t>
      </w:r>
      <w:r w:rsidR="00C2367B" w:rsidRPr="00A84878">
        <w:rPr>
          <w:rFonts w:asciiTheme="majorHAnsi" w:hAnsiTheme="majorHAnsi" w:cstheme="majorHAnsi"/>
        </w:rPr>
        <w:t>Paragraph 10</w:t>
      </w:r>
      <w:r w:rsidR="00D3454E">
        <w:rPr>
          <w:rFonts w:asciiTheme="majorHAnsi" w:hAnsiTheme="majorHAnsi" w:cstheme="majorHAnsi"/>
        </w:rPr>
        <w:t xml:space="preserve">, </w:t>
      </w:r>
      <w:r w:rsidR="003051F8" w:rsidRPr="00A84878">
        <w:rPr>
          <w:rFonts w:asciiTheme="majorHAnsi" w:hAnsiTheme="majorHAnsi" w:cstheme="majorHAnsi"/>
        </w:rPr>
        <w:t xml:space="preserve">the parties </w:t>
      </w:r>
      <w:r w:rsidRPr="00A84878">
        <w:rPr>
          <w:rFonts w:asciiTheme="majorHAnsi" w:hAnsiTheme="majorHAnsi" w:cstheme="majorHAnsi"/>
        </w:rPr>
        <w:t xml:space="preserve">can </w:t>
      </w:r>
      <w:r w:rsidR="003051F8" w:rsidRPr="00A84878">
        <w:rPr>
          <w:rFonts w:asciiTheme="majorHAnsi" w:hAnsiTheme="majorHAnsi" w:cstheme="majorHAnsi"/>
        </w:rPr>
        <w:t xml:space="preserve">specify (for the purposes of </w:t>
      </w:r>
      <w:r w:rsidRPr="00A84878">
        <w:rPr>
          <w:rFonts w:asciiTheme="majorHAnsi" w:hAnsiTheme="majorHAnsi" w:cstheme="majorHAnsi"/>
        </w:rPr>
        <w:t>Section 9 (</w:t>
      </w:r>
      <w:r w:rsidRPr="00A84878">
        <w:rPr>
          <w:rFonts w:asciiTheme="majorHAnsi" w:hAnsiTheme="majorHAnsi" w:cstheme="majorHAnsi"/>
          <w:i/>
        </w:rPr>
        <w:t>Amendment and Termination</w:t>
      </w:r>
      <w:r w:rsidRPr="00A84878">
        <w:rPr>
          <w:rFonts w:asciiTheme="majorHAnsi" w:hAnsiTheme="majorHAnsi" w:cstheme="majorHAnsi"/>
        </w:rPr>
        <w:t xml:space="preserve">) of the Delegated Reporting Provisions) the </w:t>
      </w:r>
      <w:r w:rsidR="003051F8" w:rsidRPr="00A84878">
        <w:rPr>
          <w:rFonts w:asciiTheme="majorHAnsi" w:hAnsiTheme="majorHAnsi" w:cstheme="majorHAnsi"/>
        </w:rPr>
        <w:t xml:space="preserve">time periods </w:t>
      </w:r>
      <w:r w:rsidRPr="00A84878">
        <w:rPr>
          <w:rFonts w:asciiTheme="majorHAnsi" w:hAnsiTheme="majorHAnsi" w:cstheme="majorHAnsi"/>
        </w:rPr>
        <w:t xml:space="preserve">relevant to a notice of </w:t>
      </w:r>
      <w:r w:rsidR="003051F8" w:rsidRPr="00A84878">
        <w:rPr>
          <w:rFonts w:asciiTheme="majorHAnsi" w:hAnsiTheme="majorHAnsi" w:cstheme="majorHAnsi"/>
        </w:rPr>
        <w:t>amendment</w:t>
      </w:r>
      <w:r w:rsidRPr="00A84878">
        <w:rPr>
          <w:rFonts w:asciiTheme="majorHAnsi" w:hAnsiTheme="majorHAnsi" w:cstheme="majorHAnsi"/>
        </w:rPr>
        <w:t xml:space="preserve"> and</w:t>
      </w:r>
      <w:r w:rsidR="003051F8" w:rsidRPr="00A84878">
        <w:rPr>
          <w:rFonts w:asciiTheme="majorHAnsi" w:hAnsiTheme="majorHAnsi" w:cstheme="majorHAnsi"/>
        </w:rPr>
        <w:t xml:space="preserve"> </w:t>
      </w:r>
      <w:r w:rsidRPr="00A84878">
        <w:rPr>
          <w:rFonts w:asciiTheme="majorHAnsi" w:hAnsiTheme="majorHAnsi" w:cstheme="majorHAnsi"/>
        </w:rPr>
        <w:t xml:space="preserve">a </w:t>
      </w:r>
      <w:r w:rsidR="003051F8" w:rsidRPr="00A84878">
        <w:rPr>
          <w:rFonts w:asciiTheme="majorHAnsi" w:hAnsiTheme="majorHAnsi" w:cstheme="majorHAnsi"/>
        </w:rPr>
        <w:t xml:space="preserve">notice </w:t>
      </w:r>
      <w:r w:rsidRPr="00A84878">
        <w:rPr>
          <w:rFonts w:asciiTheme="majorHAnsi" w:hAnsiTheme="majorHAnsi" w:cstheme="majorHAnsi"/>
        </w:rPr>
        <w:t>of rejection</w:t>
      </w:r>
      <w:r w:rsidR="003051F8" w:rsidRPr="00A84878">
        <w:rPr>
          <w:rFonts w:asciiTheme="majorHAnsi" w:hAnsiTheme="majorHAnsi" w:cstheme="majorHAnsi"/>
        </w:rPr>
        <w:t>.</w:t>
      </w:r>
    </w:p>
    <w:p w14:paraId="78865A46" w14:textId="781C7566" w:rsidR="00026B4F" w:rsidRPr="00A84878" w:rsidRDefault="00E963E0" w:rsidP="00026B4F">
      <w:pPr>
        <w:pStyle w:val="Level3"/>
        <w:numPr>
          <w:ilvl w:val="0"/>
          <w:numId w:val="0"/>
        </w:numPr>
        <w:rPr>
          <w:rFonts w:asciiTheme="majorHAnsi" w:hAnsiTheme="majorHAnsi" w:cstheme="majorHAnsi"/>
        </w:rPr>
      </w:pPr>
      <w:r w:rsidRPr="00A84878">
        <w:rPr>
          <w:rFonts w:asciiTheme="majorHAnsi" w:hAnsiTheme="majorHAnsi" w:cstheme="majorHAnsi"/>
        </w:rPr>
        <w:t xml:space="preserve">Paragraph 10 </w:t>
      </w:r>
      <w:r w:rsidR="003051F8" w:rsidRPr="00A84878">
        <w:rPr>
          <w:rFonts w:asciiTheme="majorHAnsi" w:hAnsiTheme="majorHAnsi" w:cstheme="majorHAnsi"/>
        </w:rPr>
        <w:t xml:space="preserve">also allows </w:t>
      </w:r>
      <w:r w:rsidRPr="00A84878">
        <w:rPr>
          <w:rFonts w:asciiTheme="majorHAnsi" w:hAnsiTheme="majorHAnsi" w:cstheme="majorHAnsi"/>
        </w:rPr>
        <w:t xml:space="preserve">the parties </w:t>
      </w:r>
      <w:r w:rsidR="003051F8" w:rsidRPr="00A84878">
        <w:rPr>
          <w:rFonts w:asciiTheme="majorHAnsi" w:hAnsiTheme="majorHAnsi" w:cstheme="majorHAnsi"/>
        </w:rPr>
        <w:t xml:space="preserve">to specify </w:t>
      </w:r>
      <w:r w:rsidRPr="00A84878">
        <w:rPr>
          <w:rFonts w:asciiTheme="majorHAnsi" w:hAnsiTheme="majorHAnsi" w:cstheme="majorHAnsi"/>
        </w:rPr>
        <w:t xml:space="preserve">the relevant </w:t>
      </w:r>
      <w:r w:rsidR="003051F8" w:rsidRPr="00A84878">
        <w:rPr>
          <w:rFonts w:asciiTheme="majorHAnsi" w:hAnsiTheme="majorHAnsi" w:cstheme="majorHAnsi"/>
        </w:rPr>
        <w:t xml:space="preserve">notice period for </w:t>
      </w:r>
      <w:r w:rsidRPr="00A84878">
        <w:rPr>
          <w:rFonts w:asciiTheme="majorHAnsi" w:hAnsiTheme="majorHAnsi" w:cstheme="majorHAnsi"/>
        </w:rPr>
        <w:t>a notice of termination of the MRRA</w:t>
      </w:r>
      <w:r w:rsidR="003051F8" w:rsidRPr="00A84878">
        <w:rPr>
          <w:rFonts w:asciiTheme="majorHAnsi" w:hAnsiTheme="majorHAnsi" w:cstheme="majorHAnsi"/>
        </w:rPr>
        <w:t>.</w:t>
      </w:r>
    </w:p>
    <w:p w14:paraId="5542315B" w14:textId="2D3BBC6F" w:rsidR="00315395" w:rsidRPr="00A84878" w:rsidRDefault="00315395"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11 (</w:t>
      </w:r>
      <w:r w:rsidRPr="00A84878">
        <w:rPr>
          <w:rFonts w:asciiTheme="majorHAnsi" w:hAnsiTheme="majorHAnsi" w:cstheme="majorHAnsi"/>
          <w:b/>
          <w:i/>
        </w:rPr>
        <w:t>Contact Information</w:t>
      </w:r>
      <w:r w:rsidRPr="00A84878">
        <w:rPr>
          <w:rFonts w:asciiTheme="majorHAnsi" w:hAnsiTheme="majorHAnsi" w:cstheme="majorHAnsi"/>
          <w:b/>
        </w:rPr>
        <w:t>) of the Derivatives Annex</w:t>
      </w:r>
    </w:p>
    <w:p w14:paraId="676C48B2" w14:textId="14CAF28D" w:rsidR="00315395" w:rsidRPr="00A84878" w:rsidRDefault="00315395" w:rsidP="00315395">
      <w:pPr>
        <w:pStyle w:val="Level3"/>
        <w:numPr>
          <w:ilvl w:val="0"/>
          <w:numId w:val="0"/>
        </w:numPr>
        <w:rPr>
          <w:rFonts w:asciiTheme="majorHAnsi" w:hAnsiTheme="majorHAnsi" w:cstheme="majorHAnsi"/>
        </w:rPr>
      </w:pPr>
      <w:r w:rsidRPr="00A84878">
        <w:rPr>
          <w:rFonts w:asciiTheme="majorHAnsi" w:hAnsiTheme="majorHAnsi" w:cstheme="majorHAnsi"/>
        </w:rPr>
        <w:t xml:space="preserve">Parties can specify their relevant contact details </w:t>
      </w:r>
      <w:r w:rsidR="00057379" w:rsidRPr="00A84878">
        <w:rPr>
          <w:rFonts w:asciiTheme="majorHAnsi" w:hAnsiTheme="majorHAnsi" w:cstheme="majorHAnsi"/>
        </w:rPr>
        <w:t xml:space="preserve">in Paragraph 11. Where </w:t>
      </w:r>
      <w:r w:rsidR="00CD1AC5" w:rsidRPr="00A84878">
        <w:rPr>
          <w:rFonts w:asciiTheme="majorHAnsi" w:hAnsiTheme="majorHAnsi" w:cstheme="majorHAnsi"/>
        </w:rPr>
        <w:t xml:space="preserve">an entity is not entering into the MRRA as Fund Manager, </w:t>
      </w:r>
      <w:r w:rsidR="00057379" w:rsidRPr="00A84878">
        <w:rPr>
          <w:rFonts w:asciiTheme="majorHAnsi" w:hAnsiTheme="majorHAnsi" w:cstheme="majorHAnsi"/>
        </w:rPr>
        <w:t xml:space="preserve">the relevant wording </w:t>
      </w:r>
      <w:r w:rsidR="00CD1AC5" w:rsidRPr="00A84878">
        <w:rPr>
          <w:rFonts w:asciiTheme="majorHAnsi" w:hAnsiTheme="majorHAnsi" w:cstheme="majorHAnsi"/>
        </w:rPr>
        <w:t xml:space="preserve">in (C) </w:t>
      </w:r>
      <w:r w:rsidR="00057379" w:rsidRPr="00A84878">
        <w:rPr>
          <w:rFonts w:asciiTheme="majorHAnsi" w:hAnsiTheme="majorHAnsi" w:cstheme="majorHAnsi"/>
        </w:rPr>
        <w:t>should be deleted.</w:t>
      </w:r>
      <w:r w:rsidR="00CE4B67">
        <w:rPr>
          <w:rFonts w:asciiTheme="majorHAnsi" w:hAnsiTheme="majorHAnsi" w:cstheme="majorHAnsi"/>
        </w:rPr>
        <w:t xml:space="preserve"> Where the MRRA is entered into by an Agent, the Agent’s details can be inserted as the point of contact for the Client.</w:t>
      </w:r>
    </w:p>
    <w:p w14:paraId="402DD04C" w14:textId="64AFC039" w:rsidR="00057379" w:rsidRPr="00A84878" w:rsidRDefault="00057379"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12 (</w:t>
      </w:r>
      <w:r w:rsidRPr="00A84878">
        <w:rPr>
          <w:rFonts w:asciiTheme="majorHAnsi" w:hAnsiTheme="majorHAnsi" w:cstheme="majorHAnsi"/>
          <w:b/>
          <w:i/>
        </w:rPr>
        <w:t>Confidentiality Waiver</w:t>
      </w:r>
      <w:r w:rsidRPr="00A84878">
        <w:rPr>
          <w:rFonts w:asciiTheme="majorHAnsi" w:hAnsiTheme="majorHAnsi" w:cstheme="majorHAnsi"/>
          <w:b/>
        </w:rPr>
        <w:t>) of the Derivatives Annex</w:t>
      </w:r>
    </w:p>
    <w:p w14:paraId="389CC236" w14:textId="3CFF6B07" w:rsidR="00057379" w:rsidRPr="00A84878" w:rsidRDefault="00057379" w:rsidP="00057379">
      <w:pPr>
        <w:pStyle w:val="Level3"/>
        <w:numPr>
          <w:ilvl w:val="0"/>
          <w:numId w:val="0"/>
        </w:numPr>
        <w:rPr>
          <w:rFonts w:asciiTheme="majorHAnsi" w:hAnsiTheme="majorHAnsi" w:cstheme="majorHAnsi"/>
        </w:rPr>
      </w:pPr>
      <w:r w:rsidRPr="00A84878">
        <w:rPr>
          <w:rFonts w:asciiTheme="majorHAnsi" w:hAnsiTheme="majorHAnsi" w:cstheme="majorHAnsi"/>
        </w:rPr>
        <w:t>In Paragraph 12</w:t>
      </w:r>
      <w:r w:rsidR="00CE4B67">
        <w:rPr>
          <w:rFonts w:asciiTheme="majorHAnsi" w:hAnsiTheme="majorHAnsi" w:cstheme="majorHAnsi"/>
        </w:rPr>
        <w:t>,</w:t>
      </w:r>
      <w:r w:rsidRPr="00A84878">
        <w:rPr>
          <w:rFonts w:asciiTheme="majorHAnsi" w:hAnsiTheme="majorHAnsi" w:cstheme="majorHAnsi"/>
        </w:rPr>
        <w:t xml:space="preserve"> the parties can specify whether Section 2.1.1 or 2.1.2</w:t>
      </w:r>
      <w:r w:rsidR="006D3AEB">
        <w:rPr>
          <w:rFonts w:asciiTheme="majorHAnsi" w:hAnsiTheme="majorHAnsi" w:cstheme="majorHAnsi"/>
        </w:rPr>
        <w:t xml:space="preserve"> of the General Provisions</w:t>
      </w:r>
      <w:r w:rsidRPr="00A84878">
        <w:rPr>
          <w:rFonts w:asciiTheme="majorHAnsi" w:hAnsiTheme="majorHAnsi" w:cstheme="majorHAnsi"/>
        </w:rPr>
        <w:t xml:space="preserve"> is applicable, or whether an alternative confidentiality waiver should be incorporated. Where </w:t>
      </w:r>
      <w:r w:rsidR="00C866F7">
        <w:rPr>
          <w:rFonts w:asciiTheme="majorHAnsi" w:hAnsiTheme="majorHAnsi" w:cstheme="majorHAnsi"/>
        </w:rPr>
        <w:t>the parties choose to use an alternative confidentiality waiver</w:t>
      </w:r>
      <w:r w:rsidRPr="00A84878">
        <w:rPr>
          <w:rFonts w:asciiTheme="majorHAnsi" w:hAnsiTheme="majorHAnsi" w:cstheme="majorHAnsi"/>
        </w:rPr>
        <w:t xml:space="preserve">, the parties must insert the text of the desired confidentiality waiver either directly in Paragraph 12 or by cross-reference to an attachment or additional Schedule. </w:t>
      </w:r>
    </w:p>
    <w:p w14:paraId="3CD11882" w14:textId="1055001E" w:rsidR="00057379" w:rsidRPr="00A84878" w:rsidRDefault="00057379"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13 (</w:t>
      </w:r>
      <w:r w:rsidRPr="00A84878">
        <w:rPr>
          <w:rFonts w:asciiTheme="majorHAnsi" w:hAnsiTheme="majorHAnsi" w:cstheme="majorHAnsi"/>
          <w:b/>
          <w:i/>
        </w:rPr>
        <w:t>Process Agent</w:t>
      </w:r>
      <w:r w:rsidRPr="00A84878">
        <w:rPr>
          <w:rFonts w:asciiTheme="majorHAnsi" w:hAnsiTheme="majorHAnsi" w:cstheme="majorHAnsi"/>
          <w:b/>
        </w:rPr>
        <w:t>) of the Derivatives Annex</w:t>
      </w:r>
    </w:p>
    <w:p w14:paraId="3CA5FD2E" w14:textId="0D2AD79D" w:rsidR="00057379" w:rsidRDefault="00057379" w:rsidP="00057379">
      <w:pPr>
        <w:pStyle w:val="Level3"/>
        <w:numPr>
          <w:ilvl w:val="0"/>
          <w:numId w:val="0"/>
        </w:numPr>
        <w:rPr>
          <w:rFonts w:asciiTheme="majorHAnsi" w:hAnsiTheme="majorHAnsi" w:cstheme="majorHAnsi"/>
        </w:rPr>
      </w:pPr>
      <w:r w:rsidRPr="00A84878">
        <w:rPr>
          <w:rFonts w:asciiTheme="majorHAnsi" w:hAnsiTheme="majorHAnsi" w:cstheme="majorHAnsi"/>
        </w:rPr>
        <w:t>In Paragraph 13</w:t>
      </w:r>
      <w:r w:rsidR="00CD1AC5" w:rsidRPr="00A84878">
        <w:rPr>
          <w:rFonts w:asciiTheme="majorHAnsi" w:hAnsiTheme="majorHAnsi" w:cstheme="majorHAnsi"/>
        </w:rPr>
        <w:t>, the parties can specify for the purposes of Section 8.3 of the General Provisions the details of the Process Agent for each of the Reporting Party, Client and/or Fund Manager. Where an entity is not entering into the MRRA as Fund Manager, the relevant wording in (C) should be deleted.</w:t>
      </w:r>
      <w:r w:rsidR="00CE4B67">
        <w:rPr>
          <w:rFonts w:asciiTheme="majorHAnsi" w:hAnsiTheme="majorHAnsi" w:cstheme="majorHAnsi"/>
        </w:rPr>
        <w:t xml:space="preserve"> Where the MRRA is entered into by an Agent, which has an office in England &amp; Wales, it may be appropriate for the Agent to act as the Client’s Process Agent.</w:t>
      </w:r>
    </w:p>
    <w:p w14:paraId="4BB11625" w14:textId="77777777" w:rsidR="00B96643" w:rsidRDefault="00B96643" w:rsidP="00057379">
      <w:pPr>
        <w:pStyle w:val="Level3"/>
        <w:numPr>
          <w:ilvl w:val="0"/>
          <w:numId w:val="0"/>
        </w:numPr>
        <w:rPr>
          <w:rFonts w:asciiTheme="majorHAnsi" w:hAnsiTheme="majorHAnsi" w:cstheme="majorHAnsi"/>
        </w:rPr>
      </w:pPr>
    </w:p>
    <w:p w14:paraId="435F980F" w14:textId="77777777" w:rsidR="00B96643" w:rsidRPr="00A84878" w:rsidRDefault="00B96643" w:rsidP="00057379">
      <w:pPr>
        <w:pStyle w:val="Level3"/>
        <w:numPr>
          <w:ilvl w:val="0"/>
          <w:numId w:val="0"/>
        </w:numPr>
        <w:rPr>
          <w:rFonts w:asciiTheme="majorHAnsi" w:hAnsiTheme="majorHAnsi" w:cstheme="majorHAnsi"/>
        </w:rPr>
      </w:pPr>
    </w:p>
    <w:p w14:paraId="46EEB244" w14:textId="03F81F56" w:rsidR="00CD1AC5" w:rsidRPr="00A84878" w:rsidRDefault="00CD1AC5"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lastRenderedPageBreak/>
        <w:t>Paragraph 14 (</w:t>
      </w:r>
      <w:r w:rsidRPr="00A84878">
        <w:rPr>
          <w:rFonts w:asciiTheme="majorHAnsi" w:hAnsiTheme="majorHAnsi" w:cstheme="majorHAnsi"/>
          <w:b/>
          <w:i/>
        </w:rPr>
        <w:t>Static Data</w:t>
      </w:r>
      <w:r w:rsidRPr="00A84878">
        <w:rPr>
          <w:rFonts w:asciiTheme="majorHAnsi" w:hAnsiTheme="majorHAnsi" w:cstheme="majorHAnsi"/>
          <w:b/>
        </w:rPr>
        <w:t>) of the Derivatives Annex</w:t>
      </w:r>
    </w:p>
    <w:p w14:paraId="4E39AB66" w14:textId="5FDC97B9" w:rsidR="00057379" w:rsidRPr="00A84878" w:rsidRDefault="00CD1AC5" w:rsidP="00CD1AC5">
      <w:pPr>
        <w:pStyle w:val="Level3"/>
        <w:numPr>
          <w:ilvl w:val="0"/>
          <w:numId w:val="0"/>
        </w:numPr>
        <w:rPr>
          <w:rFonts w:asciiTheme="majorHAnsi" w:hAnsiTheme="majorHAnsi" w:cstheme="majorHAnsi"/>
        </w:rPr>
      </w:pPr>
      <w:r w:rsidRPr="00A84878">
        <w:rPr>
          <w:rFonts w:asciiTheme="majorHAnsi" w:hAnsiTheme="majorHAnsi" w:cstheme="majorHAnsi"/>
        </w:rPr>
        <w:t xml:space="preserve">The parties may specify that Counterparty Data will include Static Data for the purposes of the Delegated Reporting Provisions and the Mandatory Reporting Provisions. Where Counterparty Data includes Static Data, the fields making up Static Data </w:t>
      </w:r>
      <w:r w:rsidR="00CE4B67">
        <w:rPr>
          <w:rFonts w:asciiTheme="majorHAnsi" w:hAnsiTheme="majorHAnsi" w:cstheme="majorHAnsi"/>
        </w:rPr>
        <w:t>may</w:t>
      </w:r>
      <w:r w:rsidRPr="00A84878">
        <w:rPr>
          <w:rFonts w:asciiTheme="majorHAnsi" w:hAnsiTheme="majorHAnsi" w:cstheme="majorHAnsi"/>
        </w:rPr>
        <w:t xml:space="preserve"> be set out separately in </w:t>
      </w:r>
      <w:r w:rsidR="00CE4B67">
        <w:rPr>
          <w:rFonts w:asciiTheme="majorHAnsi" w:hAnsiTheme="majorHAnsi" w:cstheme="majorHAnsi"/>
        </w:rPr>
        <w:t xml:space="preserve">a </w:t>
      </w:r>
      <w:r w:rsidRPr="00A84878">
        <w:rPr>
          <w:rFonts w:asciiTheme="majorHAnsi" w:hAnsiTheme="majorHAnsi" w:cstheme="majorHAnsi"/>
        </w:rPr>
        <w:t>Schedule relating to ‘Static Data’. Pursuant to Paragraph 14, where Counterparty Data includes Static Data, the parties will also</w:t>
      </w:r>
      <w:r w:rsidR="001D3F82" w:rsidRPr="00A84878">
        <w:rPr>
          <w:rFonts w:asciiTheme="majorHAnsi" w:hAnsiTheme="majorHAnsi" w:cstheme="majorHAnsi"/>
        </w:rPr>
        <w:t xml:space="preserve"> set out the effective date of any changes to Static Data for the purposes of the Delegated Reporting Provisions only</w:t>
      </w:r>
      <w:r w:rsidRPr="00A84878">
        <w:rPr>
          <w:rFonts w:asciiTheme="majorHAnsi" w:hAnsiTheme="majorHAnsi" w:cstheme="majorHAnsi"/>
        </w:rPr>
        <w:t>.</w:t>
      </w:r>
      <w:r w:rsidR="001D3F82" w:rsidRPr="00A84878">
        <w:rPr>
          <w:rFonts w:asciiTheme="majorHAnsi" w:hAnsiTheme="majorHAnsi" w:cstheme="majorHAnsi"/>
        </w:rPr>
        <w:t xml:space="preserve"> The parties may agree that a grace period will apply prior to the relevant change to Static Data taking effect. Alternatively, the parties may elect that the Reporting Party will be obliged to use the Static Data immediately following any notification of a change to it. The parties also </w:t>
      </w:r>
      <w:proofErr w:type="gramStart"/>
      <w:r w:rsidR="001D3F82" w:rsidRPr="00A84878">
        <w:rPr>
          <w:rFonts w:asciiTheme="majorHAnsi" w:hAnsiTheme="majorHAnsi" w:cstheme="majorHAnsi"/>
        </w:rPr>
        <w:t>have the ability to</w:t>
      </w:r>
      <w:proofErr w:type="gramEnd"/>
      <w:r w:rsidR="001D3F82" w:rsidRPr="00A84878">
        <w:rPr>
          <w:rFonts w:asciiTheme="majorHAnsi" w:hAnsiTheme="majorHAnsi" w:cstheme="majorHAnsi"/>
        </w:rPr>
        <w:t xml:space="preserve"> specify alternative wording setting out how and when Static Data</w:t>
      </w:r>
      <w:r w:rsidR="00CE4B67">
        <w:rPr>
          <w:rFonts w:asciiTheme="majorHAnsi" w:hAnsiTheme="majorHAnsi" w:cstheme="majorHAnsi"/>
        </w:rPr>
        <w:t>, and changes thereto,</w:t>
      </w:r>
      <w:r w:rsidR="001D3F82" w:rsidRPr="00A84878">
        <w:rPr>
          <w:rFonts w:asciiTheme="majorHAnsi" w:hAnsiTheme="majorHAnsi" w:cstheme="majorHAnsi"/>
        </w:rPr>
        <w:t xml:space="preserve"> will be effective. </w:t>
      </w:r>
      <w:r w:rsidRPr="00A84878">
        <w:rPr>
          <w:rFonts w:asciiTheme="majorHAnsi" w:hAnsiTheme="majorHAnsi" w:cstheme="majorHAnsi"/>
        </w:rPr>
        <w:t xml:space="preserve"> </w:t>
      </w:r>
    </w:p>
    <w:p w14:paraId="157159F3" w14:textId="521C1142" w:rsidR="00CD1AC5" w:rsidRPr="00A84878" w:rsidRDefault="00CD1AC5" w:rsidP="00DE54BD">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15 (</w:t>
      </w:r>
      <w:r w:rsidRPr="00A84878">
        <w:rPr>
          <w:rFonts w:asciiTheme="majorHAnsi" w:hAnsiTheme="majorHAnsi" w:cstheme="majorHAnsi"/>
          <w:b/>
          <w:i/>
        </w:rPr>
        <w:t>Other Provisions</w:t>
      </w:r>
      <w:r w:rsidRPr="00A84878">
        <w:rPr>
          <w:rFonts w:asciiTheme="majorHAnsi" w:hAnsiTheme="majorHAnsi" w:cstheme="majorHAnsi"/>
          <w:b/>
        </w:rPr>
        <w:t>) of the Derivatives Annex</w:t>
      </w:r>
    </w:p>
    <w:p w14:paraId="3894765A" w14:textId="0735996C" w:rsidR="00057379" w:rsidRPr="00A84878" w:rsidRDefault="00CD1AC5" w:rsidP="00CD1AC5">
      <w:pPr>
        <w:pStyle w:val="Level3"/>
        <w:numPr>
          <w:ilvl w:val="0"/>
          <w:numId w:val="0"/>
        </w:numPr>
        <w:rPr>
          <w:rFonts w:asciiTheme="majorHAnsi" w:hAnsiTheme="majorHAnsi" w:cstheme="majorHAnsi"/>
        </w:rPr>
      </w:pPr>
      <w:r w:rsidRPr="00A84878">
        <w:rPr>
          <w:rFonts w:asciiTheme="majorHAnsi" w:hAnsiTheme="majorHAnsi" w:cstheme="majorHAnsi"/>
        </w:rPr>
        <w:t xml:space="preserve">The parties may prefer to include further provisions in the Derivatives Annex. They can do so in Paragraph 15. Alternatively, the parties can specify any further details in </w:t>
      </w:r>
      <w:r w:rsidR="004D126D">
        <w:rPr>
          <w:rFonts w:asciiTheme="majorHAnsi" w:hAnsiTheme="majorHAnsi" w:cstheme="majorHAnsi"/>
        </w:rPr>
        <w:t>a</w:t>
      </w:r>
      <w:r w:rsidRPr="00A84878">
        <w:rPr>
          <w:rFonts w:asciiTheme="majorHAnsi" w:hAnsiTheme="majorHAnsi" w:cstheme="majorHAnsi"/>
        </w:rPr>
        <w:t xml:space="preserve"> Schedule relating to ‘Operational and Procedural Provisions’.</w:t>
      </w:r>
    </w:p>
    <w:p w14:paraId="328D2194" w14:textId="77777777" w:rsidR="00C866F7" w:rsidRDefault="00C866F7" w:rsidP="00CD1AC5">
      <w:pPr>
        <w:pStyle w:val="Level3"/>
        <w:numPr>
          <w:ilvl w:val="0"/>
          <w:numId w:val="0"/>
        </w:numPr>
        <w:rPr>
          <w:rFonts w:asciiTheme="majorHAnsi" w:hAnsiTheme="majorHAnsi" w:cstheme="majorHAnsi"/>
          <w:b/>
          <w:sz w:val="22"/>
          <w:u w:val="single"/>
        </w:rPr>
      </w:pPr>
      <w:r>
        <w:rPr>
          <w:rFonts w:asciiTheme="majorHAnsi" w:hAnsiTheme="majorHAnsi" w:cstheme="majorHAnsi"/>
          <w:b/>
          <w:sz w:val="22"/>
          <w:u w:val="single"/>
        </w:rPr>
        <w:br w:type="page"/>
      </w:r>
    </w:p>
    <w:p w14:paraId="6B4DFE29" w14:textId="77777777" w:rsidR="003A3364" w:rsidRPr="00BF18EA" w:rsidRDefault="003A3364" w:rsidP="00DE54BD">
      <w:pPr>
        <w:pStyle w:val="Level3"/>
        <w:numPr>
          <w:ilvl w:val="0"/>
          <w:numId w:val="0"/>
        </w:numPr>
        <w:spacing w:before="280"/>
        <w:rPr>
          <w:rFonts w:asciiTheme="majorHAnsi" w:hAnsiTheme="majorHAnsi" w:cstheme="majorHAnsi"/>
          <w:b/>
          <w:sz w:val="22"/>
          <w:u w:val="single"/>
        </w:rPr>
      </w:pPr>
      <w:r w:rsidRPr="00BF18EA">
        <w:rPr>
          <w:rFonts w:asciiTheme="majorHAnsi" w:hAnsiTheme="majorHAnsi" w:cstheme="majorHAnsi"/>
          <w:b/>
          <w:sz w:val="22"/>
          <w:u w:val="single"/>
        </w:rPr>
        <w:lastRenderedPageBreak/>
        <w:t>Securities Financing Transactions Annex</w:t>
      </w:r>
    </w:p>
    <w:p w14:paraId="2A1C4B1B" w14:textId="12C98AE8"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The </w:t>
      </w:r>
      <w:r w:rsidR="00A4657B" w:rsidRPr="00A84878">
        <w:rPr>
          <w:rFonts w:asciiTheme="majorHAnsi" w:hAnsiTheme="majorHAnsi" w:cstheme="majorHAnsi"/>
        </w:rPr>
        <w:t xml:space="preserve">Securities Financing </w:t>
      </w:r>
      <w:r w:rsidR="00A4657B" w:rsidRPr="00AF557E">
        <w:rPr>
          <w:rFonts w:asciiTheme="majorHAnsi" w:hAnsiTheme="majorHAnsi" w:cstheme="majorHAnsi"/>
        </w:rPr>
        <w:t>Transactions</w:t>
      </w:r>
      <w:r w:rsidRPr="00AF557E">
        <w:rPr>
          <w:rFonts w:asciiTheme="majorHAnsi" w:hAnsiTheme="majorHAnsi" w:cstheme="majorHAnsi"/>
        </w:rPr>
        <w:t xml:space="preserve"> Annex is an</w:t>
      </w:r>
      <w:r w:rsidRPr="00A84878">
        <w:rPr>
          <w:rFonts w:asciiTheme="majorHAnsi" w:hAnsiTheme="majorHAnsi" w:cstheme="majorHAnsi"/>
        </w:rPr>
        <w:t xml:space="preserve"> optional annex that the parties should include if they are in-scope of </w:t>
      </w:r>
      <w:r w:rsidR="001F61C9" w:rsidRPr="00A84878">
        <w:rPr>
          <w:rFonts w:asciiTheme="majorHAnsi" w:hAnsiTheme="majorHAnsi" w:cstheme="majorHAnsi"/>
        </w:rPr>
        <w:t>SFTR</w:t>
      </w:r>
      <w:r w:rsidR="006743F7">
        <w:rPr>
          <w:rFonts w:asciiTheme="majorHAnsi" w:hAnsiTheme="majorHAnsi" w:cstheme="majorHAnsi"/>
        </w:rPr>
        <w:t xml:space="preserve"> or UK SFTR</w:t>
      </w:r>
      <w:r w:rsidRPr="00A84878">
        <w:rPr>
          <w:rFonts w:asciiTheme="majorHAnsi" w:hAnsiTheme="majorHAnsi" w:cstheme="majorHAnsi"/>
        </w:rPr>
        <w:t xml:space="preserve"> reporting obligations. The </w:t>
      </w:r>
      <w:r w:rsidR="001F61C9"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sets out </w:t>
      </w:r>
      <w:proofErr w:type="gramStart"/>
      <w:r w:rsidRPr="00A84878">
        <w:rPr>
          <w:rFonts w:asciiTheme="majorHAnsi" w:hAnsiTheme="majorHAnsi" w:cstheme="majorHAnsi"/>
        </w:rPr>
        <w:t>a number of</w:t>
      </w:r>
      <w:proofErr w:type="gramEnd"/>
      <w:r w:rsidRPr="00A84878">
        <w:rPr>
          <w:rFonts w:asciiTheme="majorHAnsi" w:hAnsiTheme="majorHAnsi" w:cstheme="majorHAnsi"/>
        </w:rPr>
        <w:t xml:space="preserve"> </w:t>
      </w:r>
      <w:r w:rsidR="001F61C9" w:rsidRPr="00A84878">
        <w:rPr>
          <w:rFonts w:asciiTheme="majorHAnsi" w:hAnsiTheme="majorHAnsi" w:cstheme="majorHAnsi"/>
        </w:rPr>
        <w:t>SFT</w:t>
      </w:r>
      <w:r w:rsidRPr="00A84878">
        <w:rPr>
          <w:rFonts w:asciiTheme="majorHAnsi" w:hAnsiTheme="majorHAnsi" w:cstheme="majorHAnsi"/>
        </w:rPr>
        <w:t xml:space="preserve">-specific provisions, which include both checkbox elections and definitions. The parties should consider whether the template </w:t>
      </w:r>
      <w:r w:rsidR="001F61C9" w:rsidRPr="00A84878">
        <w:rPr>
          <w:rFonts w:asciiTheme="majorHAnsi" w:hAnsiTheme="majorHAnsi" w:cstheme="majorHAnsi"/>
        </w:rPr>
        <w:t xml:space="preserve">Securities Financing Transactions </w:t>
      </w:r>
      <w:r w:rsidRPr="00A84878">
        <w:rPr>
          <w:rFonts w:asciiTheme="majorHAnsi" w:hAnsiTheme="majorHAnsi" w:cstheme="majorHAnsi"/>
        </w:rPr>
        <w:t>Annex is sufficiently detailed; where the parties consider that further provisions are required, they can add these in Paragraph 15 (</w:t>
      </w:r>
      <w:r w:rsidRPr="00A84878">
        <w:rPr>
          <w:rFonts w:asciiTheme="majorHAnsi" w:hAnsiTheme="majorHAnsi" w:cstheme="majorHAnsi"/>
          <w:i/>
        </w:rPr>
        <w:t>Other Provisions</w:t>
      </w:r>
      <w:r w:rsidRPr="00A84878">
        <w:rPr>
          <w:rFonts w:asciiTheme="majorHAnsi" w:hAnsiTheme="majorHAnsi" w:cstheme="majorHAnsi"/>
        </w:rPr>
        <w:t xml:space="preserve">) of the </w:t>
      </w:r>
      <w:r w:rsidR="001F61C9"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Where paragraphs in this Annex are not </w:t>
      </w:r>
      <w:r w:rsidR="00FA42EA">
        <w:rPr>
          <w:rFonts w:asciiTheme="majorHAnsi" w:hAnsiTheme="majorHAnsi" w:cstheme="majorHAnsi"/>
        </w:rPr>
        <w:t>relevant</w:t>
      </w:r>
      <w:r w:rsidRPr="00A84878">
        <w:rPr>
          <w:rFonts w:asciiTheme="majorHAnsi" w:hAnsiTheme="majorHAnsi" w:cstheme="majorHAnsi"/>
        </w:rPr>
        <w:t>, the parties can remove them.</w:t>
      </w:r>
    </w:p>
    <w:p w14:paraId="1A7A06FB" w14:textId="77777777" w:rsidR="003A3364" w:rsidRPr="00A84878" w:rsidRDefault="003A3364"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1 (</w:t>
      </w:r>
      <w:r w:rsidRPr="00A84878">
        <w:rPr>
          <w:rFonts w:asciiTheme="majorHAnsi" w:hAnsiTheme="majorHAnsi" w:cstheme="majorHAnsi"/>
          <w:b/>
          <w:i/>
        </w:rPr>
        <w:t>Effective Date</w:t>
      </w:r>
      <w:r w:rsidRPr="00A84878">
        <w:rPr>
          <w:rFonts w:asciiTheme="majorHAnsi" w:hAnsiTheme="majorHAnsi" w:cstheme="majorHAnsi"/>
          <w:b/>
        </w:rPr>
        <w:t xml:space="preserve">) of the </w:t>
      </w:r>
      <w:r w:rsidR="001F61C9"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4DB81482" w14:textId="1E1CF3B8" w:rsidR="003A3364" w:rsidRPr="00A84878" w:rsidRDefault="003A3364" w:rsidP="00934155">
      <w:pPr>
        <w:pStyle w:val="Level2"/>
        <w:numPr>
          <w:ilvl w:val="0"/>
          <w:numId w:val="0"/>
        </w:numPr>
        <w:rPr>
          <w:rFonts w:asciiTheme="majorHAnsi" w:hAnsiTheme="majorHAnsi" w:cstheme="majorHAnsi"/>
        </w:rPr>
      </w:pPr>
      <w:r w:rsidRPr="00A84878">
        <w:rPr>
          <w:rFonts w:asciiTheme="majorHAnsi" w:hAnsiTheme="majorHAnsi" w:cstheme="majorHAnsi"/>
        </w:rPr>
        <w:t xml:space="preserve">An ‘effective date’ concept has been included in the </w:t>
      </w:r>
      <w:r w:rsidR="00646C57"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to ensure maximum flexibility. The parties could execute the MRRA but provide that the effective date of the </w:t>
      </w:r>
      <w:r w:rsidR="00646C57"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is </w:t>
      </w:r>
      <w:r w:rsidR="00FA42EA">
        <w:rPr>
          <w:rFonts w:asciiTheme="majorHAnsi" w:hAnsiTheme="majorHAnsi" w:cstheme="majorHAnsi"/>
        </w:rPr>
        <w:t>a later date</w:t>
      </w:r>
      <w:r w:rsidRPr="00A84878">
        <w:rPr>
          <w:rFonts w:asciiTheme="majorHAnsi" w:hAnsiTheme="majorHAnsi" w:cstheme="majorHAnsi"/>
        </w:rPr>
        <w:t>; the form of reporting described as applicable in Paragraph 3 (</w:t>
      </w:r>
      <w:r w:rsidRPr="00A84878">
        <w:rPr>
          <w:rFonts w:asciiTheme="majorHAnsi" w:hAnsiTheme="majorHAnsi" w:cstheme="majorHAnsi"/>
          <w:i/>
        </w:rPr>
        <w:t>Relevant Transactions and Related Elections</w:t>
      </w:r>
      <w:r w:rsidRPr="00A84878">
        <w:rPr>
          <w:rFonts w:asciiTheme="majorHAnsi" w:hAnsiTheme="majorHAnsi" w:cstheme="majorHAnsi"/>
        </w:rPr>
        <w:t xml:space="preserve">) of the </w:t>
      </w:r>
      <w:r w:rsidR="00646C57"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would only be applicable </w:t>
      </w:r>
      <w:r w:rsidR="00646C57" w:rsidRPr="00A84878">
        <w:rPr>
          <w:rFonts w:asciiTheme="majorHAnsi" w:hAnsiTheme="majorHAnsi" w:cstheme="majorHAnsi"/>
        </w:rPr>
        <w:t>from</w:t>
      </w:r>
      <w:r w:rsidRPr="00A84878">
        <w:rPr>
          <w:rFonts w:asciiTheme="majorHAnsi" w:hAnsiTheme="majorHAnsi" w:cstheme="majorHAnsi"/>
        </w:rPr>
        <w:t xml:space="preserve"> the </w:t>
      </w:r>
      <w:r w:rsidR="00646C57" w:rsidRPr="00A84878">
        <w:rPr>
          <w:rFonts w:asciiTheme="majorHAnsi" w:hAnsiTheme="majorHAnsi" w:cstheme="majorHAnsi"/>
        </w:rPr>
        <w:t xml:space="preserve">specified </w:t>
      </w:r>
      <w:r w:rsidRPr="00A84878">
        <w:rPr>
          <w:rFonts w:asciiTheme="majorHAnsi" w:hAnsiTheme="majorHAnsi" w:cstheme="majorHAnsi"/>
        </w:rPr>
        <w:t>effective date.</w:t>
      </w:r>
    </w:p>
    <w:p w14:paraId="29F7928C" w14:textId="77777777" w:rsidR="003A3364" w:rsidRPr="00A84878" w:rsidRDefault="003A3364"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2 (</w:t>
      </w:r>
      <w:r w:rsidRPr="00A84878">
        <w:rPr>
          <w:rFonts w:asciiTheme="majorHAnsi" w:hAnsiTheme="majorHAnsi" w:cstheme="majorHAnsi"/>
          <w:b/>
          <w:i/>
        </w:rPr>
        <w:t>Applicable Reporting Regime(s) for Client or Fund</w:t>
      </w:r>
      <w:r w:rsidRPr="00A84878">
        <w:rPr>
          <w:rFonts w:asciiTheme="majorHAnsi" w:hAnsiTheme="majorHAnsi" w:cstheme="majorHAnsi"/>
          <w:b/>
        </w:rPr>
        <w:t xml:space="preserve">) of the </w:t>
      </w:r>
      <w:r w:rsidR="002C19F1"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19BDDE1A" w14:textId="77777777"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This optional paragraph is included in the MRRA in square brackets. Some entities may prefer not to specify the </w:t>
      </w:r>
      <w:r w:rsidR="0036575A">
        <w:rPr>
          <w:rFonts w:asciiTheme="majorHAnsi" w:hAnsiTheme="majorHAnsi" w:cstheme="majorHAnsi"/>
        </w:rPr>
        <w:t>A</w:t>
      </w:r>
      <w:r w:rsidRPr="00A84878">
        <w:rPr>
          <w:rFonts w:asciiTheme="majorHAnsi" w:hAnsiTheme="majorHAnsi" w:cstheme="majorHAnsi"/>
        </w:rPr>
        <w:t xml:space="preserve">pplicable </w:t>
      </w:r>
      <w:r w:rsidR="0036575A">
        <w:rPr>
          <w:rFonts w:asciiTheme="majorHAnsi" w:hAnsiTheme="majorHAnsi" w:cstheme="majorHAnsi"/>
        </w:rPr>
        <w:t>R</w:t>
      </w:r>
      <w:r w:rsidRPr="00A84878">
        <w:rPr>
          <w:rFonts w:asciiTheme="majorHAnsi" w:hAnsiTheme="majorHAnsi" w:cstheme="majorHAnsi"/>
        </w:rPr>
        <w:t xml:space="preserve">eporting </w:t>
      </w:r>
      <w:r w:rsidR="0036575A">
        <w:rPr>
          <w:rFonts w:asciiTheme="majorHAnsi" w:hAnsiTheme="majorHAnsi" w:cstheme="majorHAnsi"/>
        </w:rPr>
        <w:t>R</w:t>
      </w:r>
      <w:r w:rsidRPr="00A84878">
        <w:rPr>
          <w:rFonts w:asciiTheme="majorHAnsi" w:hAnsiTheme="majorHAnsi" w:cstheme="majorHAnsi"/>
        </w:rPr>
        <w:t>egime</w:t>
      </w:r>
      <w:r w:rsidR="00A45DAF">
        <w:rPr>
          <w:rFonts w:asciiTheme="majorHAnsi" w:hAnsiTheme="majorHAnsi" w:cstheme="majorHAnsi"/>
        </w:rPr>
        <w:t>(s)</w:t>
      </w:r>
      <w:r w:rsidRPr="00A84878">
        <w:rPr>
          <w:rFonts w:asciiTheme="majorHAnsi" w:hAnsiTheme="majorHAnsi" w:cstheme="majorHAnsi"/>
        </w:rPr>
        <w:t xml:space="preserve"> in the MRRA itself and may prefer to delete this paragraph. </w:t>
      </w:r>
    </w:p>
    <w:p w14:paraId="23FE4BBC" w14:textId="77777777"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As the relevant footnote indicates, where the MRRA relates to multiple Clients and/or Funds, the parties should</w:t>
      </w:r>
      <w:r w:rsidR="00A123B5">
        <w:rPr>
          <w:rFonts w:asciiTheme="majorHAnsi" w:hAnsiTheme="majorHAnsi" w:cstheme="majorHAnsi"/>
        </w:rPr>
        <w:t xml:space="preserve"> consider using</w:t>
      </w:r>
      <w:r w:rsidRPr="00A84878">
        <w:rPr>
          <w:rFonts w:asciiTheme="majorHAnsi" w:hAnsiTheme="majorHAnsi" w:cstheme="majorHAnsi"/>
        </w:rPr>
        <w:t xml:space="preserve"> the relevant Schedule to specify the Applicable Reporting Regime</w:t>
      </w:r>
      <w:r w:rsidR="00A123B5">
        <w:rPr>
          <w:rFonts w:asciiTheme="majorHAnsi" w:hAnsiTheme="majorHAnsi" w:cstheme="majorHAnsi"/>
        </w:rPr>
        <w:t>(s)</w:t>
      </w:r>
      <w:r w:rsidRPr="00A84878">
        <w:rPr>
          <w:rFonts w:asciiTheme="majorHAnsi" w:hAnsiTheme="majorHAnsi" w:cstheme="majorHAnsi"/>
        </w:rPr>
        <w:t xml:space="preserve"> for each Client and/or Fund.</w:t>
      </w:r>
    </w:p>
    <w:p w14:paraId="6DAC3F4A" w14:textId="77777777" w:rsidR="003A3364" w:rsidRPr="00A84878" w:rsidRDefault="003A3364" w:rsidP="00DE54BD">
      <w:pPr>
        <w:pStyle w:val="Level2"/>
        <w:numPr>
          <w:ilvl w:val="0"/>
          <w:numId w:val="0"/>
        </w:numPr>
        <w:spacing w:before="280"/>
        <w:rPr>
          <w:rFonts w:asciiTheme="majorHAnsi" w:hAnsiTheme="majorHAnsi" w:cstheme="majorHAnsi"/>
          <w:b/>
        </w:rPr>
      </w:pPr>
      <w:r w:rsidRPr="00A84878">
        <w:rPr>
          <w:rFonts w:asciiTheme="majorHAnsi" w:hAnsiTheme="majorHAnsi" w:cstheme="majorHAnsi"/>
          <w:b/>
        </w:rPr>
        <w:t>Paragraph 3 (</w:t>
      </w:r>
      <w:r w:rsidRPr="00A84878">
        <w:rPr>
          <w:rFonts w:asciiTheme="majorHAnsi" w:hAnsiTheme="majorHAnsi" w:cstheme="majorHAnsi"/>
          <w:b/>
          <w:i/>
        </w:rPr>
        <w:t>Relevant Transactions and Related Elections</w:t>
      </w:r>
      <w:r w:rsidRPr="00A84878">
        <w:rPr>
          <w:rFonts w:asciiTheme="majorHAnsi" w:hAnsiTheme="majorHAnsi" w:cstheme="majorHAnsi"/>
          <w:b/>
        </w:rPr>
        <w:t xml:space="preserve">) of the </w:t>
      </w:r>
      <w:r w:rsidR="000D4E33"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0404EB7A" w14:textId="77777777"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This paragraph sets out, in template tabular format, the scope of transactions covered by the MRRA. </w:t>
      </w:r>
    </w:p>
    <w:p w14:paraId="3A3F47B5" w14:textId="4A86927F" w:rsidR="00CD6849" w:rsidRPr="00A84878" w:rsidRDefault="003A3364" w:rsidP="00C11ECA">
      <w:pPr>
        <w:pStyle w:val="Level2"/>
        <w:numPr>
          <w:ilvl w:val="0"/>
          <w:numId w:val="0"/>
        </w:numPr>
        <w:rPr>
          <w:rFonts w:asciiTheme="majorHAnsi" w:hAnsiTheme="majorHAnsi" w:cstheme="majorHAnsi"/>
        </w:rPr>
      </w:pPr>
      <w:r w:rsidRPr="00A84878">
        <w:rPr>
          <w:rFonts w:asciiTheme="majorHAnsi" w:hAnsiTheme="majorHAnsi" w:cstheme="majorHAnsi"/>
        </w:rPr>
        <w:t>The transactions covered by one or both of Delegated Reporting and Mandatory Reporting will be those Relevant Transactions as set out in column A (Transaction type) of the table, which satisfy the relevant criteria (in column B and any Additional Criteria specified by the parties) and which are subject to the Reporting Obligation as determined by the Reporting Party</w:t>
      </w:r>
      <w:r w:rsidR="00CD6849">
        <w:rPr>
          <w:rFonts w:asciiTheme="majorHAnsi" w:hAnsiTheme="majorHAnsi" w:cstheme="majorHAnsi"/>
        </w:rPr>
        <w:t>.</w:t>
      </w:r>
    </w:p>
    <w:p w14:paraId="28AEAC9E" w14:textId="3BD02627"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In column </w:t>
      </w:r>
      <w:r w:rsidR="00DF508F">
        <w:rPr>
          <w:rFonts w:asciiTheme="majorHAnsi" w:hAnsiTheme="majorHAnsi" w:cstheme="majorHAnsi"/>
        </w:rPr>
        <w:t>C</w:t>
      </w:r>
      <w:r w:rsidRPr="00A84878">
        <w:rPr>
          <w:rFonts w:asciiTheme="majorHAnsi" w:hAnsiTheme="majorHAnsi" w:cstheme="majorHAnsi"/>
        </w:rPr>
        <w:t>, the parties will select which form of reporting shall apply to each transaction type. For example, in respect of ‘</w:t>
      </w:r>
      <w:r w:rsidR="004C1962" w:rsidRPr="00A84878">
        <w:rPr>
          <w:rFonts w:asciiTheme="majorHAnsi" w:hAnsiTheme="majorHAnsi" w:cstheme="majorHAnsi"/>
        </w:rPr>
        <w:t>Repurchase Transaction</w:t>
      </w:r>
      <w:r w:rsidRPr="00A84878">
        <w:rPr>
          <w:rFonts w:asciiTheme="majorHAnsi" w:hAnsiTheme="majorHAnsi" w:cstheme="majorHAnsi"/>
        </w:rPr>
        <w:t xml:space="preserve">’ in row 1, the parties may select that Delegated Reporting applies, either with respect to the Client or Fund Manager (as applicable), or that Mandatory Reporting applies. </w:t>
      </w:r>
      <w:r w:rsidR="00CD6849">
        <w:rPr>
          <w:rFonts w:asciiTheme="majorHAnsi" w:hAnsiTheme="majorHAnsi" w:cstheme="majorHAnsi"/>
        </w:rPr>
        <w:t xml:space="preserve">We expect that only the option that has been selected for the </w:t>
      </w:r>
      <w:proofErr w:type="gramStart"/>
      <w:r w:rsidR="00CD6849">
        <w:rPr>
          <w:rFonts w:asciiTheme="majorHAnsi" w:hAnsiTheme="majorHAnsi" w:cstheme="majorHAnsi"/>
        </w:rPr>
        <w:t>particular MRRA</w:t>
      </w:r>
      <w:proofErr w:type="gramEnd"/>
      <w:r w:rsidR="00CD6849">
        <w:rPr>
          <w:rFonts w:asciiTheme="majorHAnsi" w:hAnsiTheme="majorHAnsi" w:cstheme="majorHAnsi"/>
        </w:rPr>
        <w:t xml:space="preserve"> will be included, and the redundant checkboxes simply removed. For example, where the MRRA is entered into between a Reporting Party and a Fund Manager, only ‘Delegated Reporting for Fund Manager’ will be relevant.</w:t>
      </w:r>
      <w:r w:rsidR="00C11ECA">
        <w:rPr>
          <w:rFonts w:asciiTheme="majorHAnsi" w:hAnsiTheme="majorHAnsi" w:cstheme="majorHAnsi"/>
        </w:rPr>
        <w:t xml:space="preserve"> As </w:t>
      </w:r>
      <w:r w:rsidR="0042110E">
        <w:rPr>
          <w:rFonts w:asciiTheme="majorHAnsi" w:hAnsiTheme="majorHAnsi" w:cstheme="majorHAnsi"/>
        </w:rPr>
        <w:t xml:space="preserve">discussed above in </w:t>
      </w:r>
      <w:r w:rsidR="0042110E" w:rsidRPr="00A84878">
        <w:rPr>
          <w:rFonts w:asciiTheme="majorHAnsi" w:hAnsiTheme="majorHAnsi" w:cstheme="majorHAnsi"/>
        </w:rPr>
        <w:t xml:space="preserve">the </w:t>
      </w:r>
      <w:r w:rsidR="0042110E">
        <w:rPr>
          <w:rFonts w:asciiTheme="majorHAnsi" w:hAnsiTheme="majorHAnsi" w:cstheme="majorHAnsi"/>
        </w:rPr>
        <w:t>‘</w:t>
      </w:r>
      <w:r w:rsidR="0042110E" w:rsidRPr="00A84878">
        <w:rPr>
          <w:rFonts w:asciiTheme="majorHAnsi" w:hAnsiTheme="majorHAnsi" w:cstheme="majorHAnsi"/>
          <w:i/>
        </w:rPr>
        <w:t>Regulatory Background</w:t>
      </w:r>
      <w:r w:rsidR="0042110E">
        <w:rPr>
          <w:rFonts w:asciiTheme="majorHAnsi" w:hAnsiTheme="majorHAnsi" w:cstheme="majorHAnsi"/>
        </w:rPr>
        <w:t>’</w:t>
      </w:r>
      <w:r w:rsidR="0042110E" w:rsidRPr="00A84878">
        <w:rPr>
          <w:rFonts w:asciiTheme="majorHAnsi" w:hAnsiTheme="majorHAnsi" w:cstheme="majorHAnsi"/>
        </w:rPr>
        <w:t xml:space="preserve"> section of this Explanatory Memorandum</w:t>
      </w:r>
      <w:r w:rsidR="0042110E">
        <w:rPr>
          <w:rFonts w:asciiTheme="majorHAnsi" w:hAnsiTheme="majorHAnsi" w:cstheme="majorHAnsi"/>
        </w:rPr>
        <w:t xml:space="preserve">, </w:t>
      </w:r>
      <w:r w:rsidR="009B28F8">
        <w:rPr>
          <w:rFonts w:asciiTheme="majorHAnsi" w:hAnsiTheme="majorHAnsi" w:cstheme="majorHAnsi"/>
        </w:rPr>
        <w:t>Mandatory Reporting will not be relevant for purposes of UK SFTR.</w:t>
      </w:r>
      <w:r w:rsidR="0042110E">
        <w:rPr>
          <w:rFonts w:asciiTheme="majorHAnsi" w:hAnsiTheme="majorHAnsi" w:cstheme="majorHAnsi"/>
        </w:rPr>
        <w:t xml:space="preserve"> </w:t>
      </w:r>
    </w:p>
    <w:p w14:paraId="5020F646" w14:textId="77777777"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Similarly, where it is a party’s preference to include </w:t>
      </w:r>
      <w:r w:rsidR="00385EDE">
        <w:rPr>
          <w:rFonts w:asciiTheme="majorHAnsi" w:hAnsiTheme="majorHAnsi" w:cstheme="majorHAnsi"/>
        </w:rPr>
        <w:t xml:space="preserve">qualifying criteria or </w:t>
      </w:r>
      <w:r w:rsidRPr="00A84878">
        <w:rPr>
          <w:rFonts w:asciiTheme="majorHAnsi" w:hAnsiTheme="majorHAnsi" w:cstheme="majorHAnsi"/>
        </w:rPr>
        <w:t xml:space="preserve">additional detail, such as limiting the transaction type by date concluded, or excluding certain trade types </w:t>
      </w:r>
      <w:r w:rsidR="00385EDE">
        <w:rPr>
          <w:rFonts w:asciiTheme="majorHAnsi" w:hAnsiTheme="majorHAnsi" w:cstheme="majorHAnsi"/>
        </w:rPr>
        <w:t xml:space="preserve">(e.g. by class) </w:t>
      </w:r>
      <w:r w:rsidRPr="00A84878">
        <w:rPr>
          <w:rFonts w:asciiTheme="majorHAnsi" w:hAnsiTheme="majorHAnsi" w:cstheme="majorHAnsi"/>
        </w:rPr>
        <w:t xml:space="preserve">or sub-categories of trades that are reported through other services or otherwise providing that certain transaction types or trades will only be reported upon the completion of certain conditions, such as </w:t>
      </w:r>
      <w:r w:rsidR="00385EDE">
        <w:rPr>
          <w:rFonts w:asciiTheme="majorHAnsi" w:hAnsiTheme="majorHAnsi" w:cstheme="majorHAnsi"/>
        </w:rPr>
        <w:t>onboarding with</w:t>
      </w:r>
      <w:r w:rsidRPr="00A84878">
        <w:rPr>
          <w:rFonts w:asciiTheme="majorHAnsi" w:hAnsiTheme="majorHAnsi" w:cstheme="majorHAnsi"/>
        </w:rPr>
        <w:t xml:space="preserve"> a third party service, this can be included in the table and/or set out in the definition </w:t>
      </w:r>
      <w:r w:rsidRPr="00A84878">
        <w:rPr>
          <w:rFonts w:asciiTheme="majorHAnsi" w:hAnsiTheme="majorHAnsi" w:cstheme="majorHAnsi"/>
        </w:rPr>
        <w:lastRenderedPageBreak/>
        <w:t xml:space="preserve">of ‘Additional Criteria’. Otherwise, any additional details can be included in </w:t>
      </w:r>
      <w:r w:rsidR="00A45DAF">
        <w:rPr>
          <w:rFonts w:asciiTheme="majorHAnsi" w:hAnsiTheme="majorHAnsi" w:cstheme="majorHAnsi"/>
        </w:rPr>
        <w:t>Paragraph 15 (</w:t>
      </w:r>
      <w:r w:rsidR="00A45DAF">
        <w:rPr>
          <w:rFonts w:asciiTheme="majorHAnsi" w:hAnsiTheme="majorHAnsi" w:cstheme="majorHAnsi"/>
          <w:i/>
        </w:rPr>
        <w:t>Other Provisions</w:t>
      </w:r>
      <w:r w:rsidR="00A45DAF">
        <w:rPr>
          <w:rFonts w:asciiTheme="majorHAnsi" w:hAnsiTheme="majorHAnsi" w:cstheme="majorHAnsi"/>
        </w:rPr>
        <w:t xml:space="preserve">) of the </w:t>
      </w:r>
      <w:r w:rsidR="00A45DAF" w:rsidRPr="00A84878">
        <w:rPr>
          <w:rFonts w:asciiTheme="majorHAnsi" w:hAnsiTheme="majorHAnsi" w:cstheme="majorHAnsi"/>
        </w:rPr>
        <w:t xml:space="preserve">Securities Financing Transactions Annex </w:t>
      </w:r>
      <w:r w:rsidR="00A45DAF">
        <w:rPr>
          <w:rFonts w:asciiTheme="majorHAnsi" w:hAnsiTheme="majorHAnsi" w:cstheme="majorHAnsi"/>
        </w:rPr>
        <w:t xml:space="preserve">or in a </w:t>
      </w:r>
      <w:r w:rsidRPr="00A84878">
        <w:rPr>
          <w:rFonts w:asciiTheme="majorHAnsi" w:hAnsiTheme="majorHAnsi" w:cstheme="majorHAnsi"/>
        </w:rPr>
        <w:t>Schedule relati</w:t>
      </w:r>
      <w:r w:rsidR="00A45DAF">
        <w:rPr>
          <w:rFonts w:asciiTheme="majorHAnsi" w:hAnsiTheme="majorHAnsi" w:cstheme="majorHAnsi"/>
        </w:rPr>
        <w:t>ng</w:t>
      </w:r>
      <w:r w:rsidRPr="00A84878">
        <w:rPr>
          <w:rFonts w:asciiTheme="majorHAnsi" w:hAnsiTheme="majorHAnsi" w:cstheme="majorHAnsi"/>
        </w:rPr>
        <w:t xml:space="preserve"> to ‘Operational and Procedural Provisions’.</w:t>
      </w:r>
    </w:p>
    <w:p w14:paraId="1B94C335" w14:textId="77777777" w:rsidR="003A3364" w:rsidRPr="00A84878" w:rsidRDefault="003A3364" w:rsidP="003442C7">
      <w:pPr>
        <w:pStyle w:val="Body"/>
        <w:spacing w:before="280"/>
        <w:rPr>
          <w:rFonts w:asciiTheme="majorHAnsi" w:hAnsiTheme="majorHAnsi" w:cstheme="majorHAnsi"/>
          <w:szCs w:val="20"/>
        </w:rPr>
      </w:pPr>
      <w:r w:rsidRPr="00A84878">
        <w:rPr>
          <w:rFonts w:asciiTheme="majorHAnsi" w:hAnsiTheme="majorHAnsi" w:cstheme="majorHAnsi"/>
          <w:b/>
          <w:szCs w:val="20"/>
        </w:rPr>
        <w:t xml:space="preserve">Paragraph </w:t>
      </w:r>
      <w:r w:rsidR="000D4E33" w:rsidRPr="00A84878">
        <w:rPr>
          <w:rFonts w:asciiTheme="majorHAnsi" w:hAnsiTheme="majorHAnsi" w:cstheme="majorHAnsi"/>
          <w:b/>
          <w:szCs w:val="20"/>
        </w:rPr>
        <w:t>4</w:t>
      </w:r>
      <w:r w:rsidRPr="00A84878">
        <w:rPr>
          <w:rFonts w:asciiTheme="majorHAnsi" w:hAnsiTheme="majorHAnsi" w:cstheme="majorHAnsi"/>
          <w:b/>
          <w:szCs w:val="20"/>
        </w:rPr>
        <w:t xml:space="preserve"> (</w:t>
      </w:r>
      <w:r w:rsidRPr="00A84878">
        <w:rPr>
          <w:rFonts w:asciiTheme="majorHAnsi" w:hAnsiTheme="majorHAnsi" w:cstheme="majorHAnsi"/>
          <w:b/>
          <w:i/>
          <w:szCs w:val="20"/>
        </w:rPr>
        <w:t>Disclosure of Client Status</w:t>
      </w:r>
      <w:r w:rsidRPr="00A84878">
        <w:rPr>
          <w:rFonts w:asciiTheme="majorHAnsi" w:hAnsiTheme="majorHAnsi" w:cstheme="majorHAnsi"/>
          <w:b/>
          <w:szCs w:val="20"/>
        </w:rPr>
        <w:t>)</w:t>
      </w:r>
      <w:r w:rsidRPr="00A84878">
        <w:rPr>
          <w:rFonts w:asciiTheme="majorHAnsi" w:hAnsiTheme="majorHAnsi" w:cstheme="majorHAnsi"/>
          <w:b/>
        </w:rPr>
        <w:t xml:space="preserve"> of the </w:t>
      </w:r>
      <w:r w:rsidR="000D4E33"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351191AF" w14:textId="5766AE03"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Paragraph 4 provides the Client with an opportunity to provide the Reporting Party with </w:t>
      </w:r>
      <w:r w:rsidR="00E63C58">
        <w:rPr>
          <w:rFonts w:asciiTheme="majorHAnsi" w:hAnsiTheme="majorHAnsi" w:cstheme="majorHAnsi"/>
        </w:rPr>
        <w:t xml:space="preserve">certain </w:t>
      </w:r>
      <w:r w:rsidRPr="00A84878">
        <w:rPr>
          <w:rFonts w:asciiTheme="majorHAnsi" w:hAnsiTheme="majorHAnsi" w:cstheme="majorHAnsi"/>
        </w:rPr>
        <w:t>regulatory status classification information. This is important for the purposes of determining whether</w:t>
      </w:r>
      <w:r w:rsidR="00BA616B">
        <w:rPr>
          <w:rFonts w:asciiTheme="majorHAnsi" w:hAnsiTheme="majorHAnsi" w:cstheme="majorHAnsi"/>
        </w:rPr>
        <w:t xml:space="preserve"> the Client is an NFC</w:t>
      </w:r>
      <w:r w:rsidRPr="00A84878">
        <w:rPr>
          <w:rFonts w:asciiTheme="majorHAnsi" w:hAnsiTheme="majorHAnsi" w:cstheme="majorHAnsi"/>
        </w:rPr>
        <w:t xml:space="preserve"> </w:t>
      </w:r>
      <w:r w:rsidR="0044642E">
        <w:rPr>
          <w:rFonts w:asciiTheme="majorHAnsi" w:hAnsiTheme="majorHAnsi" w:cstheme="majorHAnsi"/>
        </w:rPr>
        <w:t xml:space="preserve">out of scope of UK SFTR reporting altogether, or whether </w:t>
      </w:r>
      <w:r w:rsidRPr="00A84878">
        <w:rPr>
          <w:rFonts w:asciiTheme="majorHAnsi" w:hAnsiTheme="majorHAnsi" w:cstheme="majorHAnsi"/>
        </w:rPr>
        <w:t>Mandatory Reporting is applicable</w:t>
      </w:r>
      <w:r w:rsidR="004808F2">
        <w:rPr>
          <w:rFonts w:asciiTheme="majorHAnsi" w:hAnsiTheme="majorHAnsi" w:cstheme="majorHAnsi"/>
        </w:rPr>
        <w:t xml:space="preserve"> for purposes of SFTR</w:t>
      </w:r>
      <w:r w:rsidR="00E63C58">
        <w:rPr>
          <w:rFonts w:asciiTheme="majorHAnsi" w:hAnsiTheme="majorHAnsi" w:cstheme="majorHAnsi"/>
        </w:rPr>
        <w:t>, since w</w:t>
      </w:r>
      <w:r w:rsidRPr="00A84878">
        <w:rPr>
          <w:rFonts w:asciiTheme="majorHAnsi" w:hAnsiTheme="majorHAnsi" w:cstheme="majorHAnsi"/>
        </w:rPr>
        <w:t>here the Client is an NFC-</w:t>
      </w:r>
      <w:r w:rsidR="0058524E" w:rsidRPr="00A84878">
        <w:rPr>
          <w:rFonts w:asciiTheme="majorHAnsi" w:hAnsiTheme="majorHAnsi" w:cstheme="majorHAnsi"/>
        </w:rPr>
        <w:t xml:space="preserve"> SME</w:t>
      </w:r>
      <w:r w:rsidRPr="00A84878">
        <w:rPr>
          <w:rFonts w:asciiTheme="majorHAnsi" w:hAnsiTheme="majorHAnsi" w:cstheme="majorHAnsi"/>
        </w:rPr>
        <w:t xml:space="preserve"> and its counterparty is an FC, the mandatory reporting requirement under </w:t>
      </w:r>
      <w:r w:rsidR="00C93026" w:rsidRPr="00A84878">
        <w:rPr>
          <w:rFonts w:asciiTheme="majorHAnsi" w:hAnsiTheme="majorHAnsi" w:cstheme="majorHAnsi"/>
        </w:rPr>
        <w:t>SFTR</w:t>
      </w:r>
      <w:r w:rsidRPr="00A84878">
        <w:rPr>
          <w:rFonts w:asciiTheme="majorHAnsi" w:hAnsiTheme="majorHAnsi" w:cstheme="majorHAnsi"/>
        </w:rPr>
        <w:t xml:space="preserve"> will be applicable.</w:t>
      </w:r>
    </w:p>
    <w:p w14:paraId="7E0EC0B6" w14:textId="62DADF8A" w:rsidR="003A3364"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This paragraph is in square brackets and the Client can delete it as appropriate if it exchanges status information by some alternative means. The Client may, however, prefer to specify the means by which it provides the relevant status information to the Reporting Party, and it may do so by selecting the first or third checkbox, if, respectively, the ISDA Master Regulatory Disclosure Letter is the alternative method of exchange </w:t>
      </w:r>
      <w:r w:rsidR="00C93026" w:rsidRPr="00A84878">
        <w:rPr>
          <w:rFonts w:asciiTheme="majorHAnsi" w:hAnsiTheme="majorHAnsi" w:cstheme="majorHAnsi"/>
        </w:rPr>
        <w:t>(were it to be amended to include an SFTR</w:t>
      </w:r>
      <w:r w:rsidR="002F30F0">
        <w:rPr>
          <w:rFonts w:asciiTheme="majorHAnsi" w:hAnsiTheme="majorHAnsi" w:cstheme="majorHAnsi"/>
        </w:rPr>
        <w:t>/UK SFTR</w:t>
      </w:r>
      <w:r w:rsidR="00C93026" w:rsidRPr="00A84878">
        <w:rPr>
          <w:rFonts w:asciiTheme="majorHAnsi" w:hAnsiTheme="majorHAnsi" w:cstheme="majorHAnsi"/>
        </w:rPr>
        <w:t xml:space="preserve"> Annex at a point in the future) </w:t>
      </w:r>
      <w:r w:rsidRPr="00A84878">
        <w:rPr>
          <w:rFonts w:asciiTheme="majorHAnsi" w:hAnsiTheme="majorHAnsi" w:cstheme="majorHAnsi"/>
        </w:rPr>
        <w:t>or otherwise a different method of exchange is used.</w:t>
      </w:r>
      <w:r w:rsidR="00CC6B64">
        <w:rPr>
          <w:rFonts w:asciiTheme="majorHAnsi" w:hAnsiTheme="majorHAnsi" w:cstheme="majorHAnsi"/>
        </w:rPr>
        <w:t xml:space="preserve"> </w:t>
      </w:r>
    </w:p>
    <w:p w14:paraId="1703F3AA" w14:textId="452CF0DF" w:rsidR="00C866F7" w:rsidRPr="00A84878" w:rsidRDefault="003A3364" w:rsidP="003A3364">
      <w:pPr>
        <w:pStyle w:val="Level2"/>
        <w:numPr>
          <w:ilvl w:val="0"/>
          <w:numId w:val="0"/>
        </w:numPr>
        <w:rPr>
          <w:rFonts w:asciiTheme="majorHAnsi" w:hAnsiTheme="majorHAnsi" w:cstheme="majorHAnsi"/>
        </w:rPr>
      </w:pPr>
      <w:r w:rsidRPr="00A84878">
        <w:rPr>
          <w:rFonts w:asciiTheme="majorHAnsi" w:hAnsiTheme="majorHAnsi" w:cstheme="majorHAnsi"/>
        </w:rPr>
        <w:t xml:space="preserve">Paragraph 4 is not intended to set out an exhaustive list of status representations which the parties may want to exchange but is intended to provide the Client with a method by which it can specify </w:t>
      </w:r>
      <w:proofErr w:type="gramStart"/>
      <w:r w:rsidRPr="00A84878">
        <w:rPr>
          <w:rFonts w:asciiTheme="majorHAnsi" w:hAnsiTheme="majorHAnsi" w:cstheme="majorHAnsi"/>
        </w:rPr>
        <w:t>whether or not</w:t>
      </w:r>
      <w:proofErr w:type="gramEnd"/>
      <w:r w:rsidRPr="00A84878">
        <w:rPr>
          <w:rFonts w:asciiTheme="majorHAnsi" w:hAnsiTheme="majorHAnsi" w:cstheme="majorHAnsi"/>
        </w:rPr>
        <w:t xml:space="preserve"> it is an </w:t>
      </w:r>
      <w:r w:rsidR="002137B9">
        <w:rPr>
          <w:rFonts w:asciiTheme="majorHAnsi" w:hAnsiTheme="majorHAnsi" w:cstheme="majorHAnsi"/>
        </w:rPr>
        <w:t>NFC/</w:t>
      </w:r>
      <w:r w:rsidRPr="00A84878">
        <w:rPr>
          <w:rFonts w:asciiTheme="majorHAnsi" w:hAnsiTheme="majorHAnsi" w:cstheme="majorHAnsi"/>
        </w:rPr>
        <w:t>NFC-</w:t>
      </w:r>
      <w:r w:rsidR="00C93026" w:rsidRPr="00A84878">
        <w:rPr>
          <w:rFonts w:asciiTheme="majorHAnsi" w:hAnsiTheme="majorHAnsi" w:cstheme="majorHAnsi"/>
        </w:rPr>
        <w:t xml:space="preserve"> SME</w:t>
      </w:r>
      <w:r w:rsidRPr="00A84878">
        <w:rPr>
          <w:rFonts w:asciiTheme="majorHAnsi" w:hAnsiTheme="majorHAnsi" w:cstheme="majorHAnsi"/>
        </w:rPr>
        <w:t>.</w:t>
      </w:r>
    </w:p>
    <w:p w14:paraId="0DA789D1" w14:textId="77777777" w:rsidR="003A3364" w:rsidRPr="00A84878" w:rsidRDefault="003A3364" w:rsidP="003442C7">
      <w:pPr>
        <w:pStyle w:val="Body"/>
        <w:spacing w:before="280"/>
        <w:rPr>
          <w:rFonts w:asciiTheme="majorHAnsi" w:hAnsiTheme="majorHAnsi" w:cstheme="majorHAnsi"/>
          <w:szCs w:val="20"/>
        </w:rPr>
      </w:pPr>
      <w:r w:rsidRPr="00A84878">
        <w:rPr>
          <w:rFonts w:asciiTheme="majorHAnsi" w:hAnsiTheme="majorHAnsi" w:cstheme="majorHAnsi"/>
          <w:b/>
          <w:szCs w:val="20"/>
        </w:rPr>
        <w:t xml:space="preserve">Paragraph </w:t>
      </w:r>
      <w:r w:rsidR="00C93026" w:rsidRPr="00A84878">
        <w:rPr>
          <w:rFonts w:asciiTheme="majorHAnsi" w:hAnsiTheme="majorHAnsi" w:cstheme="majorHAnsi"/>
          <w:b/>
          <w:szCs w:val="20"/>
        </w:rPr>
        <w:t>5</w:t>
      </w:r>
      <w:r w:rsidRPr="00A84878">
        <w:rPr>
          <w:rFonts w:asciiTheme="majorHAnsi" w:hAnsiTheme="majorHAnsi" w:cstheme="majorHAnsi"/>
          <w:b/>
          <w:szCs w:val="20"/>
        </w:rPr>
        <w:t xml:space="preserve"> (</w:t>
      </w:r>
      <w:r w:rsidRPr="00A84878">
        <w:rPr>
          <w:rFonts w:asciiTheme="majorHAnsi" w:hAnsiTheme="majorHAnsi" w:cstheme="majorHAnsi"/>
          <w:b/>
          <w:i/>
          <w:szCs w:val="20"/>
        </w:rPr>
        <w:t xml:space="preserve">Transition </w:t>
      </w:r>
      <w:r w:rsidR="00A123B5">
        <w:rPr>
          <w:rFonts w:asciiTheme="majorHAnsi" w:hAnsiTheme="majorHAnsi" w:cstheme="majorHAnsi"/>
          <w:b/>
          <w:i/>
          <w:szCs w:val="20"/>
        </w:rPr>
        <w:t>b</w:t>
      </w:r>
      <w:r w:rsidRPr="00A84878">
        <w:rPr>
          <w:rFonts w:asciiTheme="majorHAnsi" w:hAnsiTheme="majorHAnsi" w:cstheme="majorHAnsi"/>
          <w:b/>
          <w:i/>
          <w:szCs w:val="20"/>
        </w:rPr>
        <w:t>etween Reporting Models</w:t>
      </w:r>
      <w:r w:rsidRPr="00A84878">
        <w:rPr>
          <w:rFonts w:asciiTheme="majorHAnsi" w:hAnsiTheme="majorHAnsi" w:cstheme="majorHAnsi"/>
          <w:b/>
          <w:szCs w:val="20"/>
        </w:rPr>
        <w:t>) of</w:t>
      </w:r>
      <w:r w:rsidRPr="00A84878">
        <w:rPr>
          <w:rFonts w:asciiTheme="majorHAnsi" w:hAnsiTheme="majorHAnsi" w:cstheme="majorHAnsi"/>
          <w:b/>
        </w:rPr>
        <w:t xml:space="preserve"> the </w:t>
      </w:r>
      <w:r w:rsidR="00C93026"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6F5ECE38"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 xml:space="preserve">Paragraph </w:t>
      </w:r>
      <w:r w:rsidR="00F76CDE" w:rsidRPr="00A84878">
        <w:rPr>
          <w:rFonts w:asciiTheme="majorHAnsi" w:hAnsiTheme="majorHAnsi" w:cstheme="majorHAnsi"/>
        </w:rPr>
        <w:t>5</w:t>
      </w:r>
      <w:r w:rsidRPr="00A84878">
        <w:rPr>
          <w:rFonts w:asciiTheme="majorHAnsi" w:hAnsiTheme="majorHAnsi" w:cstheme="majorHAnsi"/>
        </w:rPr>
        <w:t xml:space="preserve"> sets out the election relating to Section 1 (</w:t>
      </w:r>
      <w:r w:rsidRPr="00A84878">
        <w:rPr>
          <w:rFonts w:asciiTheme="majorHAnsi" w:hAnsiTheme="majorHAnsi" w:cstheme="majorHAnsi"/>
          <w:i/>
        </w:rPr>
        <w:t xml:space="preserve">Transition between </w:t>
      </w:r>
      <w:r w:rsidR="00AA0B94">
        <w:rPr>
          <w:rFonts w:asciiTheme="majorHAnsi" w:hAnsiTheme="majorHAnsi" w:cstheme="majorHAnsi"/>
          <w:i/>
        </w:rPr>
        <w:t>Reporting Models</w:t>
      </w:r>
      <w:r w:rsidRPr="00A84878">
        <w:rPr>
          <w:rFonts w:asciiTheme="majorHAnsi" w:hAnsiTheme="majorHAnsi" w:cstheme="majorHAnsi"/>
        </w:rPr>
        <w:t>) of the General Provisions. The parties can specify if one or both of ‘Automatic Transition to Delegated Reporting’ and ‘Automatic Transition to Mandatory Reporting’ will apply.</w:t>
      </w:r>
    </w:p>
    <w:p w14:paraId="408F9B3E" w14:textId="0FA756E9" w:rsidR="00E63C58" w:rsidRPr="00A84878" w:rsidRDefault="003A3364" w:rsidP="003C0155">
      <w:pPr>
        <w:pStyle w:val="Level3"/>
        <w:numPr>
          <w:ilvl w:val="0"/>
          <w:numId w:val="0"/>
        </w:numPr>
        <w:rPr>
          <w:rFonts w:asciiTheme="majorHAnsi" w:hAnsiTheme="majorHAnsi" w:cstheme="majorHAnsi"/>
        </w:rPr>
      </w:pPr>
      <w:r w:rsidRPr="00A84878">
        <w:rPr>
          <w:rFonts w:asciiTheme="majorHAnsi" w:hAnsiTheme="majorHAnsi" w:cstheme="majorHAnsi"/>
        </w:rPr>
        <w:t xml:space="preserve">See </w:t>
      </w:r>
      <w:r w:rsidRPr="00033C51">
        <w:rPr>
          <w:rFonts w:asciiTheme="majorHAnsi" w:hAnsiTheme="majorHAnsi" w:cstheme="majorHAnsi"/>
        </w:rPr>
        <w:t>page 1</w:t>
      </w:r>
      <w:r w:rsidR="00656C35" w:rsidRPr="00033C51">
        <w:rPr>
          <w:rFonts w:asciiTheme="majorHAnsi" w:hAnsiTheme="majorHAnsi" w:cstheme="majorHAnsi"/>
        </w:rPr>
        <w:t>5</w:t>
      </w:r>
      <w:r w:rsidRPr="00A84878">
        <w:rPr>
          <w:rFonts w:asciiTheme="majorHAnsi" w:hAnsiTheme="majorHAnsi" w:cstheme="majorHAnsi"/>
        </w:rPr>
        <w:t xml:space="preserve"> above in relation to Section 1 (</w:t>
      </w:r>
      <w:r w:rsidRPr="00A84878">
        <w:rPr>
          <w:rFonts w:asciiTheme="majorHAnsi" w:hAnsiTheme="majorHAnsi" w:cstheme="majorHAnsi"/>
          <w:i/>
        </w:rPr>
        <w:t xml:space="preserve">Transition between </w:t>
      </w:r>
      <w:r w:rsidR="00AA0B94">
        <w:rPr>
          <w:rFonts w:asciiTheme="majorHAnsi" w:hAnsiTheme="majorHAnsi" w:cstheme="majorHAnsi"/>
          <w:i/>
        </w:rPr>
        <w:t>Reporting Models</w:t>
      </w:r>
      <w:r w:rsidRPr="00A84878">
        <w:rPr>
          <w:rFonts w:asciiTheme="majorHAnsi" w:hAnsiTheme="majorHAnsi" w:cstheme="majorHAnsi"/>
        </w:rPr>
        <w:t>) of the General Provisions for further guidance</w:t>
      </w:r>
      <w:r w:rsidR="00E63C58" w:rsidRPr="00A84878">
        <w:rPr>
          <w:rFonts w:asciiTheme="majorHAnsi" w:hAnsiTheme="majorHAnsi" w:cstheme="majorHAnsi"/>
        </w:rPr>
        <w:t xml:space="preserve">.   </w:t>
      </w:r>
    </w:p>
    <w:p w14:paraId="604381D2"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 xml:space="preserve">Paragraph </w:t>
      </w:r>
      <w:r w:rsidR="00F76CDE" w:rsidRPr="00A84878">
        <w:rPr>
          <w:rFonts w:asciiTheme="majorHAnsi" w:hAnsiTheme="majorHAnsi" w:cstheme="majorHAnsi"/>
          <w:b/>
        </w:rPr>
        <w:t>6</w:t>
      </w:r>
      <w:r w:rsidRPr="00A84878">
        <w:rPr>
          <w:rFonts w:asciiTheme="majorHAnsi" w:hAnsiTheme="majorHAnsi" w:cstheme="majorHAnsi"/>
          <w:b/>
        </w:rPr>
        <w:t xml:space="preserve"> (</w:t>
      </w:r>
      <w:r w:rsidRPr="00A84878">
        <w:rPr>
          <w:rFonts w:asciiTheme="majorHAnsi" w:hAnsiTheme="majorHAnsi" w:cstheme="majorHAnsi"/>
          <w:b/>
          <w:i/>
        </w:rPr>
        <w:t>Relevant Data</w:t>
      </w:r>
      <w:r w:rsidRPr="00A84878">
        <w:rPr>
          <w:rFonts w:asciiTheme="majorHAnsi" w:hAnsiTheme="majorHAnsi" w:cstheme="majorHAnsi"/>
          <w:b/>
        </w:rPr>
        <w:t xml:space="preserve">) of the </w:t>
      </w:r>
      <w:r w:rsidR="00F76CD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18D84F80"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 xml:space="preserve">For the purposes of both the Delegated Reporting Provisions, which require the Reporting Party to submit Relevant Data to a Relevant Trade Repository by the Reporting Deadline, and the Mandatory Reporting Provisions, pursuant to which the Client will provide the Reporting Party with its Counterparty Data, a provision is included within the </w:t>
      </w:r>
      <w:r w:rsidR="00F76CDE"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at Paragraph </w:t>
      </w:r>
      <w:r w:rsidR="00F76CDE" w:rsidRPr="00A84878">
        <w:rPr>
          <w:rFonts w:asciiTheme="majorHAnsi" w:hAnsiTheme="majorHAnsi" w:cstheme="majorHAnsi"/>
        </w:rPr>
        <w:t>6</w:t>
      </w:r>
      <w:r w:rsidRPr="00A84878">
        <w:rPr>
          <w:rFonts w:asciiTheme="majorHAnsi" w:hAnsiTheme="majorHAnsi" w:cstheme="majorHAnsi"/>
        </w:rPr>
        <w:t xml:space="preserve"> (</w:t>
      </w:r>
      <w:r w:rsidRPr="00A84878">
        <w:rPr>
          <w:rFonts w:asciiTheme="majorHAnsi" w:hAnsiTheme="majorHAnsi" w:cstheme="majorHAnsi"/>
          <w:i/>
        </w:rPr>
        <w:t>Relevant Data</w:t>
      </w:r>
      <w:r w:rsidRPr="00A84878">
        <w:rPr>
          <w:rFonts w:asciiTheme="majorHAnsi" w:hAnsiTheme="majorHAnsi" w:cstheme="majorHAnsi"/>
        </w:rPr>
        <w:t>) pursuant to which the parties will specify whether ‘Relevant Data’ will comprise of one of Counterparty Data or Common Data, or both.</w:t>
      </w:r>
    </w:p>
    <w:p w14:paraId="3D6E9ECB" w14:textId="390CD25C" w:rsidR="00F76CDE"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The parties are also able to exclude any data points from the scope of ‘Relevant Data’.</w:t>
      </w:r>
      <w:r w:rsidR="00F76CDE" w:rsidRPr="00A84878">
        <w:rPr>
          <w:rFonts w:asciiTheme="majorHAnsi" w:hAnsiTheme="majorHAnsi" w:cstheme="majorHAnsi"/>
        </w:rPr>
        <w:t xml:space="preserve"> The parties can use ‘Excluded Data’ to specifically exclude each data point in Table 4 of the SFTR</w:t>
      </w:r>
      <w:r w:rsidR="00B457A9">
        <w:rPr>
          <w:rFonts w:asciiTheme="majorHAnsi" w:hAnsiTheme="majorHAnsi" w:cstheme="majorHAnsi"/>
        </w:rPr>
        <w:t>/UK SFTR</w:t>
      </w:r>
      <w:r w:rsidR="00F76CDE" w:rsidRPr="00A84878">
        <w:rPr>
          <w:rFonts w:asciiTheme="majorHAnsi" w:hAnsiTheme="majorHAnsi" w:cstheme="majorHAnsi"/>
        </w:rPr>
        <w:t xml:space="preserve"> Reporting Annexes (i.e. all re-use data). The parties may utilise one of the options in Paragraph 7 (</w:t>
      </w:r>
      <w:r w:rsidR="00F76CDE" w:rsidRPr="00A84878">
        <w:rPr>
          <w:rFonts w:asciiTheme="majorHAnsi" w:hAnsiTheme="majorHAnsi" w:cstheme="majorHAnsi"/>
          <w:i/>
        </w:rPr>
        <w:t>Collateral</w:t>
      </w:r>
      <w:r w:rsidR="00F76CDE" w:rsidRPr="00A84878">
        <w:rPr>
          <w:rFonts w:asciiTheme="majorHAnsi" w:hAnsiTheme="majorHAnsi" w:cstheme="majorHAnsi"/>
        </w:rPr>
        <w:t xml:space="preserve">) of the Securities Financing Transactions Annex and accomplish the same result, or otherwise set out limits or conditions in respect of the Relevant Data in </w:t>
      </w:r>
      <w:r w:rsidR="00B86FAA">
        <w:rPr>
          <w:rFonts w:asciiTheme="majorHAnsi" w:hAnsiTheme="majorHAnsi" w:cstheme="majorHAnsi"/>
        </w:rPr>
        <w:t xml:space="preserve">a </w:t>
      </w:r>
      <w:r w:rsidR="00F76CDE" w:rsidRPr="00A84878">
        <w:rPr>
          <w:rFonts w:asciiTheme="majorHAnsi" w:hAnsiTheme="majorHAnsi" w:cstheme="majorHAnsi"/>
        </w:rPr>
        <w:t>Schedule relati</w:t>
      </w:r>
      <w:r w:rsidR="00B86FAA">
        <w:rPr>
          <w:rFonts w:asciiTheme="majorHAnsi" w:hAnsiTheme="majorHAnsi" w:cstheme="majorHAnsi"/>
        </w:rPr>
        <w:t>ng t</w:t>
      </w:r>
      <w:r w:rsidR="00F76CDE" w:rsidRPr="00A84878">
        <w:rPr>
          <w:rFonts w:asciiTheme="majorHAnsi" w:hAnsiTheme="majorHAnsi" w:cstheme="majorHAnsi"/>
        </w:rPr>
        <w:t>o ‘Operational and Procedural Provisions’.</w:t>
      </w:r>
      <w:r w:rsidR="00B86FAA">
        <w:rPr>
          <w:rFonts w:asciiTheme="majorHAnsi" w:hAnsiTheme="majorHAnsi" w:cstheme="majorHAnsi"/>
        </w:rPr>
        <w:t xml:space="preserve"> In relation to Mandatory Reporting, the Reporting Party should consult its own independent professional advis</w:t>
      </w:r>
      <w:r w:rsidR="005A4686">
        <w:rPr>
          <w:rFonts w:asciiTheme="majorHAnsi" w:hAnsiTheme="majorHAnsi" w:cstheme="majorHAnsi"/>
        </w:rPr>
        <w:t>e</w:t>
      </w:r>
      <w:r w:rsidR="00B86FAA">
        <w:rPr>
          <w:rFonts w:asciiTheme="majorHAnsi" w:hAnsiTheme="majorHAnsi" w:cstheme="majorHAnsi"/>
        </w:rPr>
        <w:t>rs on the extent to which any exclusion of data is permissible. In relation to securities collateral re-use, if the Client can confirm (under Paragraph 7 (</w:t>
      </w:r>
      <w:r w:rsidR="00B86FAA" w:rsidRPr="00B86FAA">
        <w:rPr>
          <w:rFonts w:asciiTheme="majorHAnsi" w:hAnsiTheme="majorHAnsi" w:cstheme="majorHAnsi"/>
          <w:i/>
        </w:rPr>
        <w:t>Collateral</w:t>
      </w:r>
      <w:r w:rsidR="00B86FAA">
        <w:rPr>
          <w:rFonts w:asciiTheme="majorHAnsi" w:hAnsiTheme="majorHAnsi" w:cstheme="majorHAnsi"/>
        </w:rPr>
        <w:t xml:space="preserve">) of the Securities Financing Transactions Annex) that it does not re-use securities collateral, this will avoid the need to report such re-use or to carve-out the relevant data fields in Table 4 from being Relevant Data. </w:t>
      </w:r>
    </w:p>
    <w:p w14:paraId="57CE9B8D" w14:textId="1701B54A" w:rsidR="007631D5" w:rsidRPr="003442C7" w:rsidRDefault="00F76CDE" w:rsidP="00862E6E">
      <w:pPr>
        <w:pStyle w:val="Level3"/>
        <w:numPr>
          <w:ilvl w:val="0"/>
          <w:numId w:val="0"/>
        </w:numPr>
        <w:rPr>
          <w:rFonts w:asciiTheme="majorHAnsi" w:hAnsiTheme="majorHAnsi" w:cstheme="majorHAnsi"/>
        </w:rPr>
      </w:pPr>
      <w:r w:rsidRPr="00A84878">
        <w:rPr>
          <w:rFonts w:asciiTheme="majorHAnsi" w:hAnsiTheme="majorHAnsi" w:cstheme="majorHAnsi"/>
        </w:rPr>
        <w:lastRenderedPageBreak/>
        <w:t>The parties</w:t>
      </w:r>
      <w:r w:rsidR="003A3364" w:rsidRPr="00A84878">
        <w:rPr>
          <w:rFonts w:asciiTheme="majorHAnsi" w:hAnsiTheme="majorHAnsi" w:cstheme="majorHAnsi"/>
        </w:rPr>
        <w:t xml:space="preserve"> are also provided with an election whereby ‘Counterparty Data’ can be defined by reference either to the </w:t>
      </w:r>
      <w:r w:rsidRPr="00A84878">
        <w:rPr>
          <w:rFonts w:asciiTheme="majorHAnsi" w:hAnsiTheme="majorHAnsi" w:cstheme="majorHAnsi"/>
        </w:rPr>
        <w:t>SFTR</w:t>
      </w:r>
      <w:r w:rsidR="004211C9">
        <w:rPr>
          <w:rFonts w:asciiTheme="majorHAnsi" w:hAnsiTheme="majorHAnsi" w:cstheme="majorHAnsi"/>
        </w:rPr>
        <w:t>/UK SFTR</w:t>
      </w:r>
      <w:r w:rsidR="003A3364" w:rsidRPr="00A84878">
        <w:rPr>
          <w:rFonts w:asciiTheme="majorHAnsi" w:hAnsiTheme="majorHAnsi" w:cstheme="majorHAnsi"/>
        </w:rPr>
        <w:t xml:space="preserve"> Reporting Annexes or to </w:t>
      </w:r>
      <w:r w:rsidR="004D126D">
        <w:rPr>
          <w:rFonts w:asciiTheme="majorHAnsi" w:hAnsiTheme="majorHAnsi" w:cstheme="majorHAnsi"/>
        </w:rPr>
        <w:t>a</w:t>
      </w:r>
      <w:r w:rsidR="003A3364" w:rsidRPr="00A84878">
        <w:rPr>
          <w:rFonts w:asciiTheme="majorHAnsi" w:hAnsiTheme="majorHAnsi" w:cstheme="majorHAnsi"/>
        </w:rPr>
        <w:t xml:space="preserve"> Schedule relating to ‘Operational and Procedural Provisions’. Alternatively, the parties can set out </w:t>
      </w:r>
      <w:r w:rsidR="00E63C58">
        <w:rPr>
          <w:rFonts w:asciiTheme="majorHAnsi" w:hAnsiTheme="majorHAnsi" w:cstheme="majorHAnsi"/>
        </w:rPr>
        <w:t xml:space="preserve">here </w:t>
      </w:r>
      <w:r w:rsidR="003A3364" w:rsidRPr="00A84878">
        <w:rPr>
          <w:rFonts w:asciiTheme="majorHAnsi" w:hAnsiTheme="majorHAnsi" w:cstheme="majorHAnsi"/>
        </w:rPr>
        <w:t>the data which will comprise ‘Counterparty Data’.</w:t>
      </w:r>
      <w:r w:rsidR="00862E6E" w:rsidRPr="00A84878">
        <w:rPr>
          <w:rFonts w:asciiTheme="majorHAnsi" w:hAnsiTheme="majorHAnsi" w:cstheme="majorHAnsi"/>
        </w:rPr>
        <w:t xml:space="preserve"> Similarly, a provision is included in respect of ‘Common Data’, whereby the parties can specify which data within Tables 2, 3 and/or 4 of the SFTR</w:t>
      </w:r>
      <w:r w:rsidR="004211C9">
        <w:rPr>
          <w:rFonts w:asciiTheme="majorHAnsi" w:hAnsiTheme="majorHAnsi" w:cstheme="majorHAnsi"/>
        </w:rPr>
        <w:t>/UK SFTR</w:t>
      </w:r>
      <w:r w:rsidR="00862E6E" w:rsidRPr="00A84878">
        <w:rPr>
          <w:rFonts w:asciiTheme="majorHAnsi" w:hAnsiTheme="majorHAnsi" w:cstheme="majorHAnsi"/>
        </w:rPr>
        <w:t xml:space="preserve"> Reporting Annexes will constitute Common Data.</w:t>
      </w:r>
    </w:p>
    <w:p w14:paraId="2C3246D7" w14:textId="77777777" w:rsidR="00862E6E" w:rsidRPr="00A84878" w:rsidRDefault="00862E6E"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7 (</w:t>
      </w:r>
      <w:r w:rsidRPr="00A84878">
        <w:rPr>
          <w:rFonts w:asciiTheme="majorHAnsi" w:hAnsiTheme="majorHAnsi" w:cstheme="majorHAnsi"/>
          <w:b/>
          <w:i/>
        </w:rPr>
        <w:t>Collateral</w:t>
      </w:r>
      <w:r w:rsidRPr="00A84878">
        <w:rPr>
          <w:rFonts w:asciiTheme="majorHAnsi" w:hAnsiTheme="majorHAnsi" w:cstheme="majorHAnsi"/>
          <w:b/>
        </w:rPr>
        <w:t>) of the Securities Financing Transactions Annex</w:t>
      </w:r>
    </w:p>
    <w:p w14:paraId="1FD47F0C" w14:textId="77777777" w:rsidR="00B831D1" w:rsidRPr="00A84878" w:rsidRDefault="00B831D1" w:rsidP="00862E6E">
      <w:pPr>
        <w:pStyle w:val="Level3"/>
        <w:numPr>
          <w:ilvl w:val="0"/>
          <w:numId w:val="0"/>
        </w:numPr>
        <w:rPr>
          <w:rFonts w:asciiTheme="majorHAnsi" w:hAnsiTheme="majorHAnsi" w:cstheme="majorHAnsi"/>
        </w:rPr>
      </w:pPr>
      <w:r w:rsidRPr="00A84878">
        <w:rPr>
          <w:rFonts w:asciiTheme="majorHAnsi" w:hAnsiTheme="majorHAnsi" w:cstheme="majorHAnsi"/>
        </w:rPr>
        <w:t>Market participants have identified difficulties with reporting of securities collateral re-use, not least that securities collateral re-use may need to be estimated across the whole business of the Client or Fund. The scope of reporting of reinvestment of cash collateral, however, is narrow</w:t>
      </w:r>
      <w:r w:rsidR="00B86FAA">
        <w:rPr>
          <w:rFonts w:asciiTheme="majorHAnsi" w:hAnsiTheme="majorHAnsi" w:cstheme="majorHAnsi"/>
        </w:rPr>
        <w:t>er</w:t>
      </w:r>
      <w:r w:rsidRPr="00A84878">
        <w:rPr>
          <w:rFonts w:asciiTheme="majorHAnsi" w:hAnsiTheme="majorHAnsi" w:cstheme="majorHAnsi"/>
        </w:rPr>
        <w:t xml:space="preserve"> and should be easier to address.</w:t>
      </w:r>
    </w:p>
    <w:p w14:paraId="361ABA24" w14:textId="77777777" w:rsidR="005320D2" w:rsidRDefault="005320D2" w:rsidP="00862E6E">
      <w:pPr>
        <w:pStyle w:val="Level3"/>
        <w:numPr>
          <w:ilvl w:val="0"/>
          <w:numId w:val="0"/>
        </w:numPr>
        <w:rPr>
          <w:rFonts w:asciiTheme="majorHAnsi" w:hAnsiTheme="majorHAnsi" w:cstheme="majorHAnsi"/>
        </w:rPr>
      </w:pPr>
      <w:r w:rsidRPr="00A84878">
        <w:rPr>
          <w:rFonts w:asciiTheme="majorHAnsi" w:hAnsiTheme="majorHAnsi" w:cstheme="majorHAnsi"/>
        </w:rPr>
        <w:t>The purpose of Paragraph 7 is to provide the parties with alternative elections</w:t>
      </w:r>
      <w:r w:rsidR="00B831D1" w:rsidRPr="00A84878">
        <w:rPr>
          <w:rFonts w:asciiTheme="majorHAnsi" w:hAnsiTheme="majorHAnsi" w:cstheme="majorHAnsi"/>
        </w:rPr>
        <w:t xml:space="preserve"> in circumstances where </w:t>
      </w:r>
      <w:r w:rsidRPr="00A84878">
        <w:rPr>
          <w:rFonts w:asciiTheme="majorHAnsi" w:hAnsiTheme="majorHAnsi" w:cstheme="majorHAnsi"/>
        </w:rPr>
        <w:t xml:space="preserve">they </w:t>
      </w:r>
      <w:r w:rsidR="00B831D1" w:rsidRPr="00A84878">
        <w:rPr>
          <w:rFonts w:asciiTheme="majorHAnsi" w:hAnsiTheme="majorHAnsi" w:cstheme="majorHAnsi"/>
        </w:rPr>
        <w:t>choose</w:t>
      </w:r>
      <w:r w:rsidRPr="00A84878">
        <w:rPr>
          <w:rFonts w:asciiTheme="majorHAnsi" w:hAnsiTheme="majorHAnsi" w:cstheme="majorHAnsi"/>
        </w:rPr>
        <w:t xml:space="preserve"> not </w:t>
      </w:r>
      <w:r w:rsidR="00C0170A">
        <w:rPr>
          <w:rFonts w:asciiTheme="majorHAnsi" w:hAnsiTheme="majorHAnsi" w:cstheme="majorHAnsi"/>
        </w:rPr>
        <w:t xml:space="preserve">to </w:t>
      </w:r>
      <w:r w:rsidRPr="00A84878">
        <w:rPr>
          <w:rFonts w:asciiTheme="majorHAnsi" w:hAnsiTheme="majorHAnsi" w:cstheme="majorHAnsi"/>
        </w:rPr>
        <w:t>use Paragraph 6 (</w:t>
      </w:r>
      <w:r w:rsidRPr="00A84878">
        <w:rPr>
          <w:rFonts w:asciiTheme="majorHAnsi" w:hAnsiTheme="majorHAnsi" w:cstheme="majorHAnsi"/>
          <w:i/>
        </w:rPr>
        <w:t>Relevant Data</w:t>
      </w:r>
      <w:r w:rsidRPr="00A84878">
        <w:rPr>
          <w:rFonts w:asciiTheme="majorHAnsi" w:hAnsiTheme="majorHAnsi" w:cstheme="majorHAnsi"/>
        </w:rPr>
        <w:t xml:space="preserve">) of the Securities Financing Transactions Annex to </w:t>
      </w:r>
      <w:r w:rsidR="00B831D1" w:rsidRPr="00A84878">
        <w:rPr>
          <w:rFonts w:asciiTheme="majorHAnsi" w:hAnsiTheme="majorHAnsi" w:cstheme="majorHAnsi"/>
        </w:rPr>
        <w:t xml:space="preserve">classify </w:t>
      </w:r>
      <w:r w:rsidRPr="00A84878">
        <w:rPr>
          <w:rFonts w:asciiTheme="majorHAnsi" w:hAnsiTheme="majorHAnsi" w:cstheme="majorHAnsi"/>
        </w:rPr>
        <w:t xml:space="preserve">Table 4 </w:t>
      </w:r>
      <w:r w:rsidR="00B831D1" w:rsidRPr="00A84878">
        <w:rPr>
          <w:rFonts w:asciiTheme="majorHAnsi" w:hAnsiTheme="majorHAnsi" w:cstheme="majorHAnsi"/>
        </w:rPr>
        <w:t xml:space="preserve">collateral </w:t>
      </w:r>
      <w:r w:rsidRPr="00A84878">
        <w:rPr>
          <w:rFonts w:asciiTheme="majorHAnsi" w:hAnsiTheme="majorHAnsi" w:cstheme="majorHAnsi"/>
        </w:rPr>
        <w:t>re-use data in its entire</w:t>
      </w:r>
      <w:r w:rsidR="00B831D1" w:rsidRPr="00A84878">
        <w:rPr>
          <w:rFonts w:asciiTheme="majorHAnsi" w:hAnsiTheme="majorHAnsi" w:cstheme="majorHAnsi"/>
        </w:rPr>
        <w:t>t</w:t>
      </w:r>
      <w:r w:rsidRPr="00A84878">
        <w:rPr>
          <w:rFonts w:asciiTheme="majorHAnsi" w:hAnsiTheme="majorHAnsi" w:cstheme="majorHAnsi"/>
        </w:rPr>
        <w:t>y</w:t>
      </w:r>
      <w:r w:rsidR="00B831D1" w:rsidRPr="00A84878">
        <w:rPr>
          <w:rFonts w:asciiTheme="majorHAnsi" w:hAnsiTheme="majorHAnsi" w:cstheme="majorHAnsi"/>
        </w:rPr>
        <w:t xml:space="preserve"> as ‘Excluded Data’ or to carve it out of scope of ‘Common Data’. These options aim to provide parties with maximum flexibility for dealing with securities collateral re-use.</w:t>
      </w:r>
      <w:r w:rsidR="00B86FAA" w:rsidRPr="00B86FAA">
        <w:rPr>
          <w:rFonts w:asciiTheme="majorHAnsi" w:hAnsiTheme="majorHAnsi" w:cstheme="majorHAnsi"/>
        </w:rPr>
        <w:t xml:space="preserve"> </w:t>
      </w:r>
      <w:proofErr w:type="gramStart"/>
      <w:r w:rsidR="00B86FAA">
        <w:rPr>
          <w:rFonts w:asciiTheme="majorHAnsi" w:hAnsiTheme="majorHAnsi" w:cstheme="majorHAnsi"/>
        </w:rPr>
        <w:t>In particular, if</w:t>
      </w:r>
      <w:proofErr w:type="gramEnd"/>
      <w:r w:rsidR="00B86FAA">
        <w:rPr>
          <w:rFonts w:asciiTheme="majorHAnsi" w:hAnsiTheme="majorHAnsi" w:cstheme="majorHAnsi"/>
        </w:rPr>
        <w:t xml:space="preserve"> the Client can confirm that it does not re-use securities collateral, this will avoid the need to report such re-use or to carve-out the relevant data fields in Table 4 from being Relevant Data.</w:t>
      </w:r>
      <w:r w:rsidR="007631D5">
        <w:rPr>
          <w:rFonts w:asciiTheme="majorHAnsi" w:hAnsiTheme="majorHAnsi" w:cstheme="majorHAnsi"/>
        </w:rPr>
        <w:t xml:space="preserve"> One of the options provided is to allow the Reporting Party to delegate the reporting of securities collateral re-use to the Client. Pursuant to this option, and only in respect of the specific data associated with securities collateral re-use, the Reporting Party will be considered the Delegating Party and the Client will be the Reporting Party.</w:t>
      </w:r>
    </w:p>
    <w:p w14:paraId="3A63B532" w14:textId="77777777" w:rsidR="009C11FB" w:rsidRPr="00A84878" w:rsidRDefault="009C11FB" w:rsidP="00862E6E">
      <w:pPr>
        <w:pStyle w:val="Level3"/>
        <w:numPr>
          <w:ilvl w:val="0"/>
          <w:numId w:val="0"/>
        </w:numPr>
        <w:rPr>
          <w:rFonts w:asciiTheme="majorHAnsi" w:hAnsiTheme="majorHAnsi" w:cstheme="majorHAnsi"/>
        </w:rPr>
      </w:pPr>
      <w:r>
        <w:rPr>
          <w:rFonts w:asciiTheme="majorHAnsi" w:hAnsiTheme="majorHAnsi" w:cstheme="majorHAnsi"/>
        </w:rPr>
        <w:t xml:space="preserve">The Reporting Party should consult its own independent professional advisers on the extent to which </w:t>
      </w:r>
      <w:r w:rsidR="007631D5">
        <w:rPr>
          <w:rFonts w:asciiTheme="majorHAnsi" w:hAnsiTheme="majorHAnsi" w:cstheme="majorHAnsi"/>
        </w:rPr>
        <w:t>it can carve out reporting of securities collateral re-use</w:t>
      </w:r>
      <w:r>
        <w:rPr>
          <w:rFonts w:asciiTheme="majorHAnsi" w:hAnsiTheme="majorHAnsi" w:cstheme="majorHAnsi"/>
        </w:rPr>
        <w:t>.</w:t>
      </w:r>
    </w:p>
    <w:p w14:paraId="1E2B08E5"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8 (</w:t>
      </w:r>
      <w:r w:rsidRPr="00A84878">
        <w:rPr>
          <w:rFonts w:asciiTheme="majorHAnsi" w:hAnsiTheme="majorHAnsi" w:cstheme="majorHAnsi"/>
          <w:b/>
          <w:i/>
        </w:rPr>
        <w:t>Reporting Party Affiliate</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740108D6"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 xml:space="preserve">Paragraph 8 provides an election whereby the Reporting Party will specify each affiliate that will be a Reporting Party Affiliate for the purposes of the </w:t>
      </w:r>
      <w:r w:rsidR="00CE4B67">
        <w:rPr>
          <w:rFonts w:asciiTheme="majorHAnsi" w:hAnsiTheme="majorHAnsi" w:cstheme="majorHAnsi"/>
        </w:rPr>
        <w:t xml:space="preserve">MRRA. There is an option to refer to the other (unnamed) affiliates as well, to avoid the need to amend the Annex to include further affiliates in the future. Alternatively, if a Reporting Party does not want to list the Reporting Party Affiliates it could amend Paragraph 8 so as just to refer to such affiliates that </w:t>
      </w:r>
      <w:proofErr w:type="gramStart"/>
      <w:r w:rsidR="00CE4B67">
        <w:rPr>
          <w:rFonts w:asciiTheme="majorHAnsi" w:hAnsiTheme="majorHAnsi" w:cstheme="majorHAnsi"/>
        </w:rPr>
        <w:t>enter into</w:t>
      </w:r>
      <w:proofErr w:type="gramEnd"/>
      <w:r w:rsidR="00CE4B67">
        <w:rPr>
          <w:rFonts w:asciiTheme="majorHAnsi" w:hAnsiTheme="majorHAnsi" w:cstheme="majorHAnsi"/>
        </w:rPr>
        <w:t xml:space="preserve"> Relevant Transactions with the Client or Fund from time to time.</w:t>
      </w:r>
    </w:p>
    <w:p w14:paraId="66BCFD2A"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9 (</w:t>
      </w:r>
      <w:r w:rsidRPr="00A84878">
        <w:rPr>
          <w:rFonts w:asciiTheme="majorHAnsi" w:hAnsiTheme="majorHAnsi" w:cstheme="majorHAnsi"/>
          <w:b/>
          <w:i/>
        </w:rPr>
        <w:t>Relevant Trade Repository</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7B49252C"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The parties can specify the details of any Relevant Trade Repository in Paragraph 9 for purposes of submitting data pursuant to the Delegated Reporting Provisions and/or the Mandatory Reporting Provisions.</w:t>
      </w:r>
      <w:r w:rsidR="00385EDE">
        <w:rPr>
          <w:rFonts w:asciiTheme="majorHAnsi" w:hAnsiTheme="majorHAnsi" w:cstheme="majorHAnsi"/>
        </w:rPr>
        <w:t xml:space="preserve"> The parties may want to list multiple Trade Repositories or specify certain Trade Repositories for </w:t>
      </w:r>
      <w:proofErr w:type="gramStart"/>
      <w:r w:rsidR="00385EDE">
        <w:rPr>
          <w:rFonts w:asciiTheme="majorHAnsi" w:hAnsiTheme="majorHAnsi" w:cstheme="majorHAnsi"/>
        </w:rPr>
        <w:t>particular trade</w:t>
      </w:r>
      <w:proofErr w:type="gramEnd"/>
      <w:r w:rsidR="00385EDE">
        <w:rPr>
          <w:rFonts w:asciiTheme="majorHAnsi" w:hAnsiTheme="majorHAnsi" w:cstheme="majorHAnsi"/>
        </w:rPr>
        <w:t xml:space="preserve"> types only.</w:t>
      </w:r>
    </w:p>
    <w:p w14:paraId="3FF779FA" w14:textId="08FC1440" w:rsidR="003A3364" w:rsidRPr="00A84878" w:rsidRDefault="003A3364" w:rsidP="00C577E2">
      <w:pPr>
        <w:pStyle w:val="Level3"/>
        <w:numPr>
          <w:ilvl w:val="0"/>
          <w:numId w:val="0"/>
        </w:numPr>
        <w:rPr>
          <w:rFonts w:asciiTheme="majorHAnsi" w:hAnsiTheme="majorHAnsi" w:cstheme="majorHAnsi"/>
        </w:rPr>
      </w:pPr>
      <w:r w:rsidRPr="00A84878">
        <w:rPr>
          <w:rFonts w:asciiTheme="majorHAnsi" w:hAnsiTheme="majorHAnsi" w:cstheme="majorHAnsi"/>
        </w:rPr>
        <w:t>Optional wording is included in square brackets in sub-paragraph (B). If this wording is included, the Reporting Party will be required to notify the Client where it uses its discretion to select an alternative Trade Repository pursuant to sub-paragraph</w:t>
      </w:r>
      <w:r w:rsidR="00C0170A">
        <w:rPr>
          <w:rFonts w:asciiTheme="majorHAnsi" w:hAnsiTheme="majorHAnsi" w:cstheme="majorHAnsi"/>
        </w:rPr>
        <w:t>s</w:t>
      </w:r>
      <w:r w:rsidRPr="00A84878">
        <w:rPr>
          <w:rFonts w:asciiTheme="majorHAnsi" w:hAnsiTheme="majorHAnsi" w:cstheme="majorHAnsi"/>
        </w:rPr>
        <w:t xml:space="preserve"> (A)(ii) and (iii).</w:t>
      </w:r>
    </w:p>
    <w:p w14:paraId="140F4849"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10 (</w:t>
      </w:r>
      <w:r w:rsidRPr="00A84878">
        <w:rPr>
          <w:rFonts w:asciiTheme="majorHAnsi" w:hAnsiTheme="majorHAnsi" w:cstheme="majorHAnsi"/>
          <w:b/>
          <w:i/>
        </w:rPr>
        <w:t>Amendment and Termination</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2954D18B"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In Paragraph 10</w:t>
      </w:r>
      <w:r w:rsidR="004D3CA3">
        <w:rPr>
          <w:rFonts w:asciiTheme="majorHAnsi" w:hAnsiTheme="majorHAnsi" w:cstheme="majorHAnsi"/>
        </w:rPr>
        <w:t xml:space="preserve">, </w:t>
      </w:r>
      <w:r w:rsidRPr="00A84878">
        <w:rPr>
          <w:rFonts w:asciiTheme="majorHAnsi" w:hAnsiTheme="majorHAnsi" w:cstheme="majorHAnsi"/>
        </w:rPr>
        <w:t>the parties can specify (for the purposes of Section 9 (</w:t>
      </w:r>
      <w:r w:rsidRPr="00A84878">
        <w:rPr>
          <w:rFonts w:asciiTheme="majorHAnsi" w:hAnsiTheme="majorHAnsi" w:cstheme="majorHAnsi"/>
          <w:i/>
        </w:rPr>
        <w:t>Amendment and Termination</w:t>
      </w:r>
      <w:r w:rsidRPr="00A84878">
        <w:rPr>
          <w:rFonts w:asciiTheme="majorHAnsi" w:hAnsiTheme="majorHAnsi" w:cstheme="majorHAnsi"/>
        </w:rPr>
        <w:t>) of the Delegated Reporting Provisions) the time periods relevant to a notice of amendment and a notice of rejection.</w:t>
      </w:r>
    </w:p>
    <w:p w14:paraId="35F77DBD" w14:textId="77777777" w:rsidR="007631D5" w:rsidRPr="003442C7"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lastRenderedPageBreak/>
        <w:t>Paragraph 10 also allows the parties to specify the relevant notice period for a notice of termination of the MRRA.</w:t>
      </w:r>
    </w:p>
    <w:p w14:paraId="729F96FF"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11 (</w:t>
      </w:r>
      <w:r w:rsidRPr="00A84878">
        <w:rPr>
          <w:rFonts w:asciiTheme="majorHAnsi" w:hAnsiTheme="majorHAnsi" w:cstheme="majorHAnsi"/>
          <w:b/>
          <w:i/>
        </w:rPr>
        <w:t>Contact Information</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6F709E95"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Parties can specify their relevant contact details in Paragraph 11. Where an entity is not entering into the MRRA as Fund Manager, the relevant wording in (C) should be deleted.</w:t>
      </w:r>
      <w:r w:rsidR="00CE4B67" w:rsidRPr="00CE4B67">
        <w:rPr>
          <w:rFonts w:asciiTheme="majorHAnsi" w:hAnsiTheme="majorHAnsi" w:cstheme="majorHAnsi"/>
        </w:rPr>
        <w:t xml:space="preserve"> </w:t>
      </w:r>
      <w:r w:rsidR="00CE4B67">
        <w:rPr>
          <w:rFonts w:asciiTheme="majorHAnsi" w:hAnsiTheme="majorHAnsi" w:cstheme="majorHAnsi"/>
        </w:rPr>
        <w:t>Where the MRRA is entered into by an Agent, the Agent’s details can be inserted as the point of contact for the Client.</w:t>
      </w:r>
    </w:p>
    <w:p w14:paraId="4E80B456"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12 (</w:t>
      </w:r>
      <w:r w:rsidRPr="00A84878">
        <w:rPr>
          <w:rFonts w:asciiTheme="majorHAnsi" w:hAnsiTheme="majorHAnsi" w:cstheme="majorHAnsi"/>
          <w:b/>
          <w:i/>
        </w:rPr>
        <w:t>Confidentiality Waiver</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3A932AF9" w14:textId="77777777" w:rsidR="00C866F7" w:rsidRPr="00A84878" w:rsidRDefault="00C866F7" w:rsidP="00C866F7">
      <w:pPr>
        <w:pStyle w:val="Level3"/>
        <w:numPr>
          <w:ilvl w:val="0"/>
          <w:numId w:val="0"/>
        </w:numPr>
        <w:rPr>
          <w:rFonts w:asciiTheme="majorHAnsi" w:hAnsiTheme="majorHAnsi" w:cstheme="majorHAnsi"/>
        </w:rPr>
      </w:pPr>
      <w:r w:rsidRPr="00A84878">
        <w:rPr>
          <w:rFonts w:asciiTheme="majorHAnsi" w:hAnsiTheme="majorHAnsi" w:cstheme="majorHAnsi"/>
        </w:rPr>
        <w:t>In Paragraph 12</w:t>
      </w:r>
      <w:r>
        <w:rPr>
          <w:rFonts w:asciiTheme="majorHAnsi" w:hAnsiTheme="majorHAnsi" w:cstheme="majorHAnsi"/>
        </w:rPr>
        <w:t>,</w:t>
      </w:r>
      <w:r w:rsidRPr="00A84878">
        <w:rPr>
          <w:rFonts w:asciiTheme="majorHAnsi" w:hAnsiTheme="majorHAnsi" w:cstheme="majorHAnsi"/>
        </w:rPr>
        <w:t xml:space="preserve"> the parties can specify whether Section 2.1.1 or 2.1.2</w:t>
      </w:r>
      <w:r>
        <w:rPr>
          <w:rFonts w:asciiTheme="majorHAnsi" w:hAnsiTheme="majorHAnsi" w:cstheme="majorHAnsi"/>
        </w:rPr>
        <w:t xml:space="preserve"> of the General Provisions</w:t>
      </w:r>
      <w:r w:rsidRPr="00A84878">
        <w:rPr>
          <w:rFonts w:asciiTheme="majorHAnsi" w:hAnsiTheme="majorHAnsi" w:cstheme="majorHAnsi"/>
        </w:rPr>
        <w:t xml:space="preserve"> is applicable, or whether an alternative confidentiality waiver should be incorporated. Where </w:t>
      </w:r>
      <w:r>
        <w:rPr>
          <w:rFonts w:asciiTheme="majorHAnsi" w:hAnsiTheme="majorHAnsi" w:cstheme="majorHAnsi"/>
        </w:rPr>
        <w:t>the parties choose to use an alternative confidentiality waiver</w:t>
      </w:r>
      <w:r w:rsidRPr="00A84878">
        <w:rPr>
          <w:rFonts w:asciiTheme="majorHAnsi" w:hAnsiTheme="majorHAnsi" w:cstheme="majorHAnsi"/>
        </w:rPr>
        <w:t xml:space="preserve">, the parties must insert the text of the desired confidentiality waiver either directly in Paragraph 12 or by cross-reference to an attachment or additional Schedule. </w:t>
      </w:r>
    </w:p>
    <w:p w14:paraId="3AE4633B"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13 (</w:t>
      </w:r>
      <w:r w:rsidRPr="00A84878">
        <w:rPr>
          <w:rFonts w:asciiTheme="majorHAnsi" w:hAnsiTheme="majorHAnsi" w:cstheme="majorHAnsi"/>
          <w:b/>
          <w:i/>
        </w:rPr>
        <w:t>Process Agent</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66BFA0ED"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In Paragraph 13, the parties can specify for the purposes of Section 8.3 of the General Provisions the details of the Process Agent for each of the Reporting Party, Client and/or Fund Manager. Where an entity is not entering into the MRRA as Fund Manager, the relevant wording in (C) should be deleted.</w:t>
      </w:r>
      <w:r w:rsidR="00CE4B67" w:rsidRPr="00CE4B67">
        <w:rPr>
          <w:rFonts w:asciiTheme="majorHAnsi" w:hAnsiTheme="majorHAnsi" w:cstheme="majorHAnsi"/>
        </w:rPr>
        <w:t xml:space="preserve"> </w:t>
      </w:r>
      <w:r w:rsidR="00CE4B67">
        <w:rPr>
          <w:rFonts w:asciiTheme="majorHAnsi" w:hAnsiTheme="majorHAnsi" w:cstheme="majorHAnsi"/>
        </w:rPr>
        <w:t>Where the MRRA is entered into by an Agent, which has an office in England &amp; Wales, it may be appropriate for the Agent to act as the Client’s Process Agent.</w:t>
      </w:r>
    </w:p>
    <w:p w14:paraId="608DA3C6"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14 (</w:t>
      </w:r>
      <w:r w:rsidRPr="00A84878">
        <w:rPr>
          <w:rFonts w:asciiTheme="majorHAnsi" w:hAnsiTheme="majorHAnsi" w:cstheme="majorHAnsi"/>
          <w:b/>
          <w:i/>
        </w:rPr>
        <w:t>Static Data</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34D0D08D"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 xml:space="preserve">The parties may specify that Counterparty Data will include Static Data for the purposes of the Delegated Reporting Provisions and the Mandatory Reporting Provisions. Where Counterparty Data includes Static Data, the fields making up Static Data </w:t>
      </w:r>
      <w:r w:rsidR="00CE4B67">
        <w:rPr>
          <w:rFonts w:asciiTheme="majorHAnsi" w:hAnsiTheme="majorHAnsi" w:cstheme="majorHAnsi"/>
        </w:rPr>
        <w:t>may</w:t>
      </w:r>
      <w:r w:rsidRPr="00A84878">
        <w:rPr>
          <w:rFonts w:asciiTheme="majorHAnsi" w:hAnsiTheme="majorHAnsi" w:cstheme="majorHAnsi"/>
        </w:rPr>
        <w:t xml:space="preserve"> be set out separately in </w:t>
      </w:r>
      <w:r w:rsidR="00CE4B67">
        <w:rPr>
          <w:rFonts w:asciiTheme="majorHAnsi" w:hAnsiTheme="majorHAnsi" w:cstheme="majorHAnsi"/>
        </w:rPr>
        <w:t xml:space="preserve">a </w:t>
      </w:r>
      <w:r w:rsidRPr="00A84878">
        <w:rPr>
          <w:rFonts w:asciiTheme="majorHAnsi" w:hAnsiTheme="majorHAnsi" w:cstheme="majorHAnsi"/>
        </w:rPr>
        <w:t xml:space="preserve">Schedule relating to ‘Static Data’. Pursuant to Paragraph 14, where Counterparty Data includes Static Data, the parties will also set out the effective date of any changes to Static Data for the purposes of the Delegated Reporting Provisions only. The parties may agree that a grace period will apply prior to the relevant change to Static Data taking effect. Alternatively, the parties may elect that the Reporting Party will be obliged to use the Static Data immediately following any notification of a change to it. The parties also </w:t>
      </w:r>
      <w:proofErr w:type="gramStart"/>
      <w:r w:rsidRPr="00A84878">
        <w:rPr>
          <w:rFonts w:asciiTheme="majorHAnsi" w:hAnsiTheme="majorHAnsi" w:cstheme="majorHAnsi"/>
        </w:rPr>
        <w:t>have the ability to</w:t>
      </w:r>
      <w:proofErr w:type="gramEnd"/>
      <w:r w:rsidRPr="00A84878">
        <w:rPr>
          <w:rFonts w:asciiTheme="majorHAnsi" w:hAnsiTheme="majorHAnsi" w:cstheme="majorHAnsi"/>
        </w:rPr>
        <w:t xml:space="preserve"> specify alternative wording setting out how and when Static Data</w:t>
      </w:r>
      <w:r w:rsidR="00CE4B67">
        <w:rPr>
          <w:rFonts w:asciiTheme="majorHAnsi" w:hAnsiTheme="majorHAnsi" w:cstheme="majorHAnsi"/>
        </w:rPr>
        <w:t>, and changes thereto,</w:t>
      </w:r>
      <w:r w:rsidRPr="00A84878">
        <w:rPr>
          <w:rFonts w:asciiTheme="majorHAnsi" w:hAnsiTheme="majorHAnsi" w:cstheme="majorHAnsi"/>
        </w:rPr>
        <w:t xml:space="preserve"> will be effective.  </w:t>
      </w:r>
    </w:p>
    <w:p w14:paraId="49DD8119" w14:textId="77777777" w:rsidR="003A3364" w:rsidRPr="00A84878" w:rsidRDefault="003A3364" w:rsidP="003442C7">
      <w:pPr>
        <w:pStyle w:val="Level3"/>
        <w:numPr>
          <w:ilvl w:val="0"/>
          <w:numId w:val="0"/>
        </w:numPr>
        <w:spacing w:before="280"/>
        <w:rPr>
          <w:rFonts w:asciiTheme="majorHAnsi" w:hAnsiTheme="majorHAnsi" w:cstheme="majorHAnsi"/>
          <w:b/>
        </w:rPr>
      </w:pPr>
      <w:r w:rsidRPr="00A84878">
        <w:rPr>
          <w:rFonts w:asciiTheme="majorHAnsi" w:hAnsiTheme="majorHAnsi" w:cstheme="majorHAnsi"/>
          <w:b/>
        </w:rPr>
        <w:t>Paragraph 15 (</w:t>
      </w:r>
      <w:r w:rsidRPr="00A84878">
        <w:rPr>
          <w:rFonts w:asciiTheme="majorHAnsi" w:hAnsiTheme="majorHAnsi" w:cstheme="majorHAnsi"/>
          <w:b/>
          <w:i/>
        </w:rPr>
        <w:t>Other Provisions</w:t>
      </w:r>
      <w:r w:rsidRPr="00A84878">
        <w:rPr>
          <w:rFonts w:asciiTheme="majorHAnsi" w:hAnsiTheme="majorHAnsi" w:cstheme="majorHAnsi"/>
          <w:b/>
        </w:rPr>
        <w:t xml:space="preserve">) of the </w:t>
      </w:r>
      <w:r w:rsidR="00862E6E" w:rsidRPr="00A84878">
        <w:rPr>
          <w:rFonts w:asciiTheme="majorHAnsi" w:hAnsiTheme="majorHAnsi" w:cstheme="majorHAnsi"/>
          <w:b/>
        </w:rPr>
        <w:t xml:space="preserve">Securities Financing Transactions </w:t>
      </w:r>
      <w:r w:rsidRPr="00A84878">
        <w:rPr>
          <w:rFonts w:asciiTheme="majorHAnsi" w:hAnsiTheme="majorHAnsi" w:cstheme="majorHAnsi"/>
          <w:b/>
        </w:rPr>
        <w:t>Annex</w:t>
      </w:r>
    </w:p>
    <w:p w14:paraId="51AE67AF" w14:textId="77777777" w:rsidR="003A3364" w:rsidRPr="00A84878" w:rsidRDefault="003A3364" w:rsidP="003A3364">
      <w:pPr>
        <w:pStyle w:val="Level3"/>
        <w:numPr>
          <w:ilvl w:val="0"/>
          <w:numId w:val="0"/>
        </w:numPr>
        <w:rPr>
          <w:rFonts w:asciiTheme="majorHAnsi" w:hAnsiTheme="majorHAnsi" w:cstheme="majorHAnsi"/>
        </w:rPr>
      </w:pPr>
      <w:r w:rsidRPr="00A84878">
        <w:rPr>
          <w:rFonts w:asciiTheme="majorHAnsi" w:hAnsiTheme="majorHAnsi" w:cstheme="majorHAnsi"/>
        </w:rPr>
        <w:t xml:space="preserve">The parties may prefer to include further provisions in the </w:t>
      </w:r>
      <w:r w:rsidR="00862E6E" w:rsidRPr="00A84878">
        <w:rPr>
          <w:rFonts w:asciiTheme="majorHAnsi" w:hAnsiTheme="majorHAnsi" w:cstheme="majorHAnsi"/>
        </w:rPr>
        <w:t xml:space="preserve">Securities Financing Transactions </w:t>
      </w:r>
      <w:r w:rsidRPr="00A84878">
        <w:rPr>
          <w:rFonts w:asciiTheme="majorHAnsi" w:hAnsiTheme="majorHAnsi" w:cstheme="majorHAnsi"/>
        </w:rPr>
        <w:t xml:space="preserve">Annex. They can do so in Paragraph 15. Alternatively, the parties can specify any further details in </w:t>
      </w:r>
      <w:r w:rsidR="004D126D">
        <w:rPr>
          <w:rFonts w:asciiTheme="majorHAnsi" w:hAnsiTheme="majorHAnsi" w:cstheme="majorHAnsi"/>
        </w:rPr>
        <w:t>a</w:t>
      </w:r>
      <w:r w:rsidRPr="00A84878">
        <w:rPr>
          <w:rFonts w:asciiTheme="majorHAnsi" w:hAnsiTheme="majorHAnsi" w:cstheme="majorHAnsi"/>
        </w:rPr>
        <w:t xml:space="preserve"> Schedule relating to ‘Operational and Procedural Provisions’.</w:t>
      </w:r>
    </w:p>
    <w:p w14:paraId="2ACC88FB" w14:textId="77777777" w:rsidR="00C866F7" w:rsidRDefault="00C866F7" w:rsidP="00057379">
      <w:pPr>
        <w:pStyle w:val="Level3"/>
        <w:numPr>
          <w:ilvl w:val="0"/>
          <w:numId w:val="0"/>
        </w:numPr>
        <w:rPr>
          <w:rFonts w:asciiTheme="majorHAnsi" w:hAnsiTheme="majorHAnsi" w:cstheme="majorHAnsi"/>
          <w:b/>
          <w:sz w:val="22"/>
          <w:u w:val="single"/>
        </w:rPr>
      </w:pPr>
      <w:r>
        <w:rPr>
          <w:rFonts w:asciiTheme="majorHAnsi" w:hAnsiTheme="majorHAnsi" w:cstheme="majorHAnsi"/>
          <w:b/>
          <w:sz w:val="22"/>
          <w:u w:val="single"/>
        </w:rPr>
        <w:br w:type="page"/>
      </w:r>
    </w:p>
    <w:p w14:paraId="03AFC7F3" w14:textId="77777777" w:rsidR="00057379" w:rsidRPr="00A84878" w:rsidRDefault="005F14F1" w:rsidP="003442C7">
      <w:pPr>
        <w:pStyle w:val="Level3"/>
        <w:numPr>
          <w:ilvl w:val="0"/>
          <w:numId w:val="0"/>
        </w:numPr>
        <w:spacing w:before="280"/>
        <w:rPr>
          <w:rFonts w:asciiTheme="majorHAnsi" w:hAnsiTheme="majorHAnsi" w:cstheme="majorHAnsi"/>
          <w:b/>
          <w:u w:val="single"/>
        </w:rPr>
      </w:pPr>
      <w:r w:rsidRPr="00BF18EA">
        <w:rPr>
          <w:rFonts w:asciiTheme="majorHAnsi" w:hAnsiTheme="majorHAnsi" w:cstheme="majorHAnsi"/>
          <w:b/>
          <w:sz w:val="22"/>
          <w:u w:val="single"/>
        </w:rPr>
        <w:lastRenderedPageBreak/>
        <w:t>Schedules</w:t>
      </w:r>
    </w:p>
    <w:p w14:paraId="099662B0" w14:textId="77777777" w:rsidR="00550240" w:rsidRPr="00A84878" w:rsidRDefault="005F14F1" w:rsidP="003442C7">
      <w:pPr>
        <w:pStyle w:val="Level2"/>
        <w:numPr>
          <w:ilvl w:val="0"/>
          <w:numId w:val="0"/>
        </w:numPr>
        <w:spacing w:before="280"/>
        <w:rPr>
          <w:rFonts w:asciiTheme="majorHAnsi" w:hAnsiTheme="majorHAnsi" w:cstheme="majorHAnsi"/>
          <w:b/>
        </w:rPr>
      </w:pPr>
      <w:r w:rsidRPr="00A84878">
        <w:rPr>
          <w:rFonts w:asciiTheme="majorHAnsi" w:hAnsiTheme="majorHAnsi" w:cstheme="majorHAnsi"/>
          <w:b/>
        </w:rPr>
        <w:t xml:space="preserve">Schedule relating to </w:t>
      </w:r>
      <w:r w:rsidR="0030071D" w:rsidRPr="00A84878">
        <w:rPr>
          <w:rFonts w:asciiTheme="majorHAnsi" w:hAnsiTheme="majorHAnsi" w:cstheme="majorHAnsi"/>
          <w:b/>
        </w:rPr>
        <w:t>‘</w:t>
      </w:r>
      <w:r w:rsidRPr="00A84878">
        <w:rPr>
          <w:rFonts w:asciiTheme="majorHAnsi" w:hAnsiTheme="majorHAnsi" w:cstheme="majorHAnsi"/>
          <w:b/>
          <w:i/>
        </w:rPr>
        <w:t xml:space="preserve">Static </w:t>
      </w:r>
      <w:proofErr w:type="gramStart"/>
      <w:r w:rsidRPr="00A84878">
        <w:rPr>
          <w:rFonts w:asciiTheme="majorHAnsi" w:hAnsiTheme="majorHAnsi" w:cstheme="majorHAnsi"/>
          <w:b/>
          <w:i/>
        </w:rPr>
        <w:t>Data</w:t>
      </w:r>
      <w:r w:rsidR="0030071D" w:rsidRPr="00C0170A">
        <w:rPr>
          <w:rFonts w:asciiTheme="majorHAnsi" w:hAnsiTheme="majorHAnsi" w:cstheme="majorHAnsi"/>
          <w:b/>
        </w:rPr>
        <w:t>’</w:t>
      </w:r>
      <w:proofErr w:type="gramEnd"/>
    </w:p>
    <w:p w14:paraId="6954B042" w14:textId="77777777" w:rsidR="005F14F1" w:rsidRPr="00A84878" w:rsidRDefault="0030071D"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To the extent that Counterparty Data is provided by the Delegating Party or Client to the Reporting Party in the form of Static Data, the details of that Static Data </w:t>
      </w:r>
      <w:r w:rsidR="00B86FAA">
        <w:rPr>
          <w:rFonts w:asciiTheme="majorHAnsi" w:hAnsiTheme="majorHAnsi" w:cstheme="majorHAnsi"/>
        </w:rPr>
        <w:t>may</w:t>
      </w:r>
      <w:r w:rsidRPr="00A84878">
        <w:rPr>
          <w:rFonts w:asciiTheme="majorHAnsi" w:hAnsiTheme="majorHAnsi" w:cstheme="majorHAnsi"/>
        </w:rPr>
        <w:t xml:space="preserve"> be set out in a Schedule relating to ‘Static Data’.</w:t>
      </w:r>
    </w:p>
    <w:p w14:paraId="70FAC843" w14:textId="77777777" w:rsidR="0030071D" w:rsidRPr="00A84878" w:rsidRDefault="0030071D" w:rsidP="003442C7">
      <w:pPr>
        <w:pStyle w:val="Level2"/>
        <w:numPr>
          <w:ilvl w:val="0"/>
          <w:numId w:val="0"/>
        </w:numPr>
        <w:spacing w:before="280"/>
        <w:rPr>
          <w:rFonts w:asciiTheme="majorHAnsi" w:hAnsiTheme="majorHAnsi" w:cstheme="majorHAnsi"/>
          <w:b/>
          <w:i/>
        </w:rPr>
      </w:pPr>
      <w:r w:rsidRPr="00A84878">
        <w:rPr>
          <w:rFonts w:asciiTheme="majorHAnsi" w:hAnsiTheme="majorHAnsi" w:cstheme="majorHAnsi"/>
          <w:b/>
        </w:rPr>
        <w:t>Schedule relating to</w:t>
      </w:r>
      <w:r w:rsidRPr="00A84878">
        <w:rPr>
          <w:rFonts w:asciiTheme="majorHAnsi" w:hAnsiTheme="majorHAnsi" w:cstheme="majorHAnsi"/>
          <w:b/>
          <w:i/>
        </w:rPr>
        <w:t xml:space="preserve"> </w:t>
      </w:r>
      <w:r w:rsidRPr="00C0170A">
        <w:rPr>
          <w:rFonts w:asciiTheme="majorHAnsi" w:hAnsiTheme="majorHAnsi" w:cstheme="majorHAnsi"/>
          <w:b/>
        </w:rPr>
        <w:t>‘</w:t>
      </w:r>
      <w:r w:rsidRPr="00A84878">
        <w:rPr>
          <w:rFonts w:asciiTheme="majorHAnsi" w:hAnsiTheme="majorHAnsi" w:cstheme="majorHAnsi"/>
          <w:b/>
          <w:i/>
        </w:rPr>
        <w:t>Operational and Procedural Provisions</w:t>
      </w:r>
      <w:r w:rsidRPr="00C0170A">
        <w:rPr>
          <w:rFonts w:asciiTheme="majorHAnsi" w:hAnsiTheme="majorHAnsi" w:cstheme="majorHAnsi"/>
          <w:b/>
        </w:rPr>
        <w:t>’</w:t>
      </w:r>
    </w:p>
    <w:p w14:paraId="5FE1AEF2" w14:textId="77777777" w:rsidR="005F14F1" w:rsidRPr="00A84878" w:rsidRDefault="0030071D" w:rsidP="007E7103">
      <w:pPr>
        <w:pStyle w:val="Level2"/>
        <w:numPr>
          <w:ilvl w:val="0"/>
          <w:numId w:val="0"/>
        </w:numPr>
        <w:rPr>
          <w:rFonts w:asciiTheme="majorHAnsi" w:hAnsiTheme="majorHAnsi" w:cstheme="majorHAnsi"/>
        </w:rPr>
      </w:pPr>
      <w:r w:rsidRPr="00A84878">
        <w:rPr>
          <w:rFonts w:asciiTheme="majorHAnsi" w:hAnsiTheme="majorHAnsi" w:cstheme="majorHAnsi"/>
        </w:rPr>
        <w:t>If specified as applicable in either the Delegated Reporting Provisions or the Mandatory Reporting Provisions, the parties should include a Schedule relating to ‘Operational and Procedural Provisions’.</w:t>
      </w:r>
    </w:p>
    <w:p w14:paraId="70015673" w14:textId="77777777" w:rsidR="00821231" w:rsidRPr="00A84878" w:rsidRDefault="00821231" w:rsidP="007E7103">
      <w:pPr>
        <w:pStyle w:val="Level2"/>
        <w:numPr>
          <w:ilvl w:val="0"/>
          <w:numId w:val="0"/>
        </w:numPr>
        <w:rPr>
          <w:rFonts w:asciiTheme="majorHAnsi" w:hAnsiTheme="majorHAnsi" w:cstheme="majorHAnsi"/>
          <w:szCs w:val="20"/>
        </w:rPr>
      </w:pPr>
      <w:r w:rsidRPr="00A84878">
        <w:rPr>
          <w:rFonts w:asciiTheme="majorHAnsi" w:hAnsiTheme="majorHAnsi" w:cstheme="majorHAnsi"/>
          <w:szCs w:val="20"/>
        </w:rPr>
        <w:t>This is intended to allow parties to specify any details specific to a counterparty pairing or to include details of any processes relating to Delegated Reporting and/or Mandatory Reporting.</w:t>
      </w:r>
    </w:p>
    <w:p w14:paraId="7E5E6020" w14:textId="0E62E817" w:rsidR="0030071D" w:rsidRPr="00A84878" w:rsidRDefault="00821231" w:rsidP="007E7103">
      <w:pPr>
        <w:pStyle w:val="Level2"/>
        <w:numPr>
          <w:ilvl w:val="0"/>
          <w:numId w:val="0"/>
        </w:numPr>
        <w:rPr>
          <w:rFonts w:asciiTheme="majorHAnsi" w:hAnsiTheme="majorHAnsi" w:cstheme="majorHAnsi"/>
          <w:szCs w:val="20"/>
        </w:rPr>
      </w:pPr>
      <w:r w:rsidRPr="00A84878">
        <w:rPr>
          <w:rFonts w:asciiTheme="majorHAnsi" w:hAnsiTheme="majorHAnsi" w:cstheme="majorHAnsi"/>
          <w:szCs w:val="20"/>
        </w:rPr>
        <w:t>By way of example, the Delegating Party may wish to have regard to the EBA Guidelines</w:t>
      </w:r>
      <w:r w:rsidR="00BE1A49">
        <w:rPr>
          <w:rStyle w:val="FootnoteReference"/>
          <w:rFonts w:cstheme="majorHAnsi"/>
          <w:szCs w:val="20"/>
        </w:rPr>
        <w:footnoteReference w:id="30"/>
      </w:r>
      <w:r w:rsidRPr="00A84878">
        <w:rPr>
          <w:rFonts w:asciiTheme="majorHAnsi" w:hAnsiTheme="majorHAnsi" w:cstheme="majorHAnsi"/>
          <w:szCs w:val="20"/>
        </w:rPr>
        <w:t xml:space="preserve">, </w:t>
      </w:r>
      <w:r w:rsidR="00F7479D">
        <w:rPr>
          <w:rFonts w:asciiTheme="majorHAnsi" w:hAnsiTheme="majorHAnsi" w:cstheme="majorHAnsi"/>
          <w:szCs w:val="20"/>
        </w:rPr>
        <w:t xml:space="preserve">the current version of </w:t>
      </w:r>
      <w:r w:rsidRPr="00A84878">
        <w:rPr>
          <w:rFonts w:asciiTheme="majorHAnsi" w:hAnsiTheme="majorHAnsi" w:cstheme="majorHAnsi"/>
          <w:szCs w:val="20"/>
        </w:rPr>
        <w:t>which entered into force on 30 September 201</w:t>
      </w:r>
      <w:r w:rsidR="00F7479D">
        <w:rPr>
          <w:rFonts w:asciiTheme="majorHAnsi" w:hAnsiTheme="majorHAnsi" w:cstheme="majorHAnsi"/>
          <w:szCs w:val="20"/>
        </w:rPr>
        <w:t>9</w:t>
      </w:r>
      <w:r w:rsidRPr="00A84878">
        <w:rPr>
          <w:rFonts w:asciiTheme="majorHAnsi" w:hAnsiTheme="majorHAnsi" w:cstheme="majorHAnsi"/>
          <w:szCs w:val="20"/>
        </w:rPr>
        <w:t xml:space="preserve">. The guidelines set out rules </w:t>
      </w:r>
      <w:r w:rsidR="00030DD6" w:rsidRPr="00A84878">
        <w:rPr>
          <w:rFonts w:asciiTheme="majorHAnsi" w:hAnsiTheme="majorHAnsi" w:cstheme="majorHAnsi"/>
          <w:szCs w:val="20"/>
        </w:rPr>
        <w:t xml:space="preserve">that </w:t>
      </w:r>
      <w:r w:rsidRPr="00A84878">
        <w:rPr>
          <w:rFonts w:asciiTheme="majorHAnsi" w:hAnsiTheme="majorHAnsi" w:cstheme="majorHAnsi"/>
          <w:szCs w:val="20"/>
        </w:rPr>
        <w:t xml:space="preserve">financial institutions should follow when outsourcing business activities. </w:t>
      </w:r>
      <w:r w:rsidR="00030DD6" w:rsidRPr="00A84878">
        <w:rPr>
          <w:rFonts w:asciiTheme="majorHAnsi" w:hAnsiTheme="majorHAnsi" w:cstheme="majorHAnsi"/>
          <w:szCs w:val="20"/>
        </w:rPr>
        <w:t xml:space="preserve">Any additional reporting processes that the parties seek to document </w:t>
      </w:r>
      <w:proofErr w:type="gramStart"/>
      <w:r w:rsidR="00030DD6" w:rsidRPr="00A84878">
        <w:rPr>
          <w:rFonts w:asciiTheme="majorHAnsi" w:hAnsiTheme="majorHAnsi" w:cstheme="majorHAnsi"/>
          <w:szCs w:val="20"/>
        </w:rPr>
        <w:t>on the basis of</w:t>
      </w:r>
      <w:proofErr w:type="gramEnd"/>
      <w:r w:rsidR="00030DD6" w:rsidRPr="00A84878">
        <w:rPr>
          <w:rFonts w:asciiTheme="majorHAnsi" w:hAnsiTheme="majorHAnsi" w:cstheme="majorHAnsi"/>
          <w:szCs w:val="20"/>
        </w:rPr>
        <w:t xml:space="preserve"> the EBA Guidelines may be included in this Schedule.</w:t>
      </w:r>
    </w:p>
    <w:p w14:paraId="059AB0A0" w14:textId="77777777" w:rsidR="00030DD6" w:rsidRPr="00A84878" w:rsidRDefault="00030DD6" w:rsidP="003442C7">
      <w:pPr>
        <w:pStyle w:val="Level2"/>
        <w:numPr>
          <w:ilvl w:val="0"/>
          <w:numId w:val="0"/>
        </w:numPr>
        <w:spacing w:before="280"/>
        <w:rPr>
          <w:rFonts w:asciiTheme="majorHAnsi" w:hAnsiTheme="majorHAnsi" w:cstheme="majorHAnsi"/>
          <w:b/>
          <w:i/>
        </w:rPr>
      </w:pPr>
      <w:r w:rsidRPr="00A84878">
        <w:rPr>
          <w:rFonts w:asciiTheme="majorHAnsi" w:hAnsiTheme="majorHAnsi" w:cstheme="majorHAnsi"/>
          <w:b/>
        </w:rPr>
        <w:t>Schedule relating to</w:t>
      </w:r>
      <w:r w:rsidRPr="00A84878">
        <w:rPr>
          <w:rFonts w:asciiTheme="majorHAnsi" w:hAnsiTheme="majorHAnsi" w:cstheme="majorHAnsi"/>
          <w:b/>
          <w:i/>
        </w:rPr>
        <w:t xml:space="preserve"> </w:t>
      </w:r>
      <w:r w:rsidRPr="00C0170A">
        <w:rPr>
          <w:rFonts w:asciiTheme="majorHAnsi" w:hAnsiTheme="majorHAnsi" w:cstheme="majorHAnsi"/>
          <w:b/>
        </w:rPr>
        <w:t>‘</w:t>
      </w:r>
      <w:r w:rsidRPr="00A84878">
        <w:rPr>
          <w:rFonts w:asciiTheme="majorHAnsi" w:hAnsiTheme="majorHAnsi" w:cstheme="majorHAnsi"/>
          <w:b/>
          <w:i/>
        </w:rPr>
        <w:t>List of Clients</w:t>
      </w:r>
      <w:r w:rsidRPr="00C0170A">
        <w:rPr>
          <w:rFonts w:asciiTheme="majorHAnsi" w:hAnsiTheme="majorHAnsi" w:cstheme="majorHAnsi"/>
          <w:b/>
        </w:rPr>
        <w:t>’</w:t>
      </w:r>
    </w:p>
    <w:p w14:paraId="1A76AD7D" w14:textId="77777777" w:rsidR="00030DD6" w:rsidRPr="00A84878" w:rsidRDefault="00030DD6" w:rsidP="007E7103">
      <w:pPr>
        <w:pStyle w:val="Level2"/>
        <w:numPr>
          <w:ilvl w:val="0"/>
          <w:numId w:val="0"/>
        </w:numPr>
        <w:rPr>
          <w:rFonts w:asciiTheme="majorHAnsi" w:hAnsiTheme="majorHAnsi" w:cstheme="majorHAnsi"/>
        </w:rPr>
      </w:pPr>
      <w:r w:rsidRPr="00A84878">
        <w:rPr>
          <w:rFonts w:asciiTheme="majorHAnsi" w:hAnsiTheme="majorHAnsi" w:cstheme="majorHAnsi"/>
        </w:rPr>
        <w:t>This Schedule can be included in the MRRA if an Agent is signing on behalf of multiple Clients.</w:t>
      </w:r>
    </w:p>
    <w:p w14:paraId="55EA5333" w14:textId="77777777" w:rsidR="00030DD6" w:rsidRPr="00A84878" w:rsidRDefault="00030DD6" w:rsidP="007E7103">
      <w:pPr>
        <w:pStyle w:val="Level2"/>
        <w:numPr>
          <w:ilvl w:val="0"/>
          <w:numId w:val="0"/>
        </w:numPr>
        <w:rPr>
          <w:rFonts w:asciiTheme="majorHAnsi" w:hAnsiTheme="majorHAnsi" w:cstheme="majorHAnsi"/>
        </w:rPr>
      </w:pPr>
      <w:r w:rsidRPr="00A84878">
        <w:rPr>
          <w:rFonts w:asciiTheme="majorHAnsi" w:hAnsiTheme="majorHAnsi" w:cstheme="majorHAnsi"/>
        </w:rPr>
        <w:t xml:space="preserve">If a Fund is included as a Client in this Schedule because certain transactions of the Fund (Exchange-Traded Derivatives) are not the direct responsibility of the Fund Manager to report, this Schedule could also indicate the Relevant Transactions for which the Fund is treated as a </w:t>
      </w:r>
      <w:proofErr w:type="gramStart"/>
      <w:r w:rsidRPr="00A84878">
        <w:rPr>
          <w:rFonts w:asciiTheme="majorHAnsi" w:hAnsiTheme="majorHAnsi" w:cstheme="majorHAnsi"/>
        </w:rPr>
        <w:t>Client</w:t>
      </w:r>
      <w:proofErr w:type="gramEnd"/>
      <w:r w:rsidRPr="00A84878">
        <w:rPr>
          <w:rFonts w:asciiTheme="majorHAnsi" w:hAnsiTheme="majorHAnsi" w:cstheme="majorHAnsi"/>
        </w:rPr>
        <w:t>.</w:t>
      </w:r>
    </w:p>
    <w:p w14:paraId="1986AD9C" w14:textId="77777777" w:rsidR="00030DD6" w:rsidRPr="00A84878" w:rsidRDefault="00030DD6" w:rsidP="003442C7">
      <w:pPr>
        <w:pStyle w:val="Level2"/>
        <w:numPr>
          <w:ilvl w:val="0"/>
          <w:numId w:val="0"/>
        </w:numPr>
        <w:spacing w:before="280"/>
        <w:rPr>
          <w:rFonts w:asciiTheme="majorHAnsi" w:hAnsiTheme="majorHAnsi" w:cstheme="majorHAnsi"/>
          <w:b/>
          <w:i/>
        </w:rPr>
      </w:pPr>
      <w:r w:rsidRPr="00A84878">
        <w:rPr>
          <w:rFonts w:asciiTheme="majorHAnsi" w:hAnsiTheme="majorHAnsi" w:cstheme="majorHAnsi"/>
          <w:b/>
        </w:rPr>
        <w:t>Schedule relating to</w:t>
      </w:r>
      <w:r w:rsidRPr="00C0170A">
        <w:rPr>
          <w:rFonts w:asciiTheme="majorHAnsi" w:hAnsiTheme="majorHAnsi" w:cstheme="majorHAnsi"/>
          <w:b/>
        </w:rPr>
        <w:t xml:space="preserve"> ‘</w:t>
      </w:r>
      <w:r w:rsidRPr="00A84878">
        <w:rPr>
          <w:rFonts w:asciiTheme="majorHAnsi" w:hAnsiTheme="majorHAnsi" w:cstheme="majorHAnsi"/>
          <w:b/>
          <w:i/>
        </w:rPr>
        <w:t>List of Funds</w:t>
      </w:r>
      <w:r w:rsidRPr="00C0170A">
        <w:rPr>
          <w:rFonts w:asciiTheme="majorHAnsi" w:hAnsiTheme="majorHAnsi" w:cstheme="majorHAnsi"/>
          <w:b/>
        </w:rPr>
        <w:t>’</w:t>
      </w:r>
    </w:p>
    <w:p w14:paraId="5EBF0A98" w14:textId="77777777" w:rsidR="007511CF" w:rsidRPr="00A84878" w:rsidRDefault="007511CF" w:rsidP="007511CF">
      <w:pPr>
        <w:pStyle w:val="Level2"/>
        <w:numPr>
          <w:ilvl w:val="0"/>
          <w:numId w:val="0"/>
        </w:numPr>
        <w:rPr>
          <w:rFonts w:asciiTheme="majorHAnsi" w:hAnsiTheme="majorHAnsi" w:cstheme="majorHAnsi"/>
        </w:rPr>
      </w:pPr>
      <w:r w:rsidRPr="00A84878">
        <w:rPr>
          <w:rFonts w:asciiTheme="majorHAnsi" w:hAnsiTheme="majorHAnsi" w:cstheme="majorHAnsi"/>
        </w:rPr>
        <w:t>This Schedule can be included in the MRRA if an Agent is signing on behalf of multiple Clients.</w:t>
      </w:r>
    </w:p>
    <w:p w14:paraId="620649A6" w14:textId="77777777" w:rsidR="005F14F1" w:rsidRPr="00A84878" w:rsidRDefault="007511CF" w:rsidP="007511CF">
      <w:pPr>
        <w:pStyle w:val="Level2"/>
        <w:numPr>
          <w:ilvl w:val="0"/>
          <w:numId w:val="0"/>
        </w:numPr>
        <w:rPr>
          <w:rFonts w:asciiTheme="majorHAnsi" w:hAnsiTheme="majorHAnsi" w:cstheme="majorHAnsi"/>
        </w:rPr>
      </w:pPr>
      <w:r w:rsidRPr="00A84878">
        <w:rPr>
          <w:rFonts w:asciiTheme="majorHAnsi" w:hAnsiTheme="majorHAnsi" w:cstheme="majorHAnsi"/>
        </w:rPr>
        <w:t>If, for certain types of transactions (Exchange-Traded Derivatives) the Fund Manager is not directly responsible for reporting and the Fund is therefore also listed as a Client, this Schedule could also indicate the Relevant Transactions that are not covered under this Schedule.</w:t>
      </w:r>
    </w:p>
    <w:p w14:paraId="26445CBE" w14:textId="77777777" w:rsidR="005F14F1" w:rsidRPr="00A84878" w:rsidRDefault="005F14F1" w:rsidP="005F14F1">
      <w:pPr>
        <w:pStyle w:val="Level1"/>
        <w:widowControl w:val="0"/>
        <w:numPr>
          <w:ilvl w:val="0"/>
          <w:numId w:val="0"/>
        </w:numPr>
        <w:rPr>
          <w:rFonts w:asciiTheme="majorHAnsi" w:hAnsiTheme="majorHAnsi" w:cstheme="majorHAnsi"/>
          <w:b w:val="0"/>
          <w:sz w:val="20"/>
          <w:szCs w:val="20"/>
        </w:rPr>
      </w:pPr>
      <w:r w:rsidRPr="00A84878">
        <w:rPr>
          <w:rFonts w:asciiTheme="majorHAnsi" w:hAnsiTheme="majorHAnsi" w:cstheme="majorHAnsi"/>
          <w:b w:val="0"/>
          <w:sz w:val="20"/>
          <w:szCs w:val="20"/>
        </w:rPr>
        <w:t xml:space="preserve">   </w:t>
      </w:r>
    </w:p>
    <w:p w14:paraId="27A6AD08" w14:textId="77777777" w:rsidR="005F14F1" w:rsidRPr="00A84878" w:rsidRDefault="005F14F1" w:rsidP="007E7103">
      <w:pPr>
        <w:pStyle w:val="Level2"/>
        <w:numPr>
          <w:ilvl w:val="0"/>
          <w:numId w:val="0"/>
        </w:numPr>
        <w:rPr>
          <w:rFonts w:asciiTheme="majorHAnsi" w:hAnsiTheme="majorHAnsi" w:cstheme="majorHAnsi"/>
        </w:rPr>
      </w:pPr>
    </w:p>
    <w:sectPr w:rsidR="005F14F1" w:rsidRPr="00A84878" w:rsidSect="00F0514A">
      <w:footerReference w:type="default" r:id="rId13"/>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78CD" w14:textId="77777777" w:rsidR="00EF4D65" w:rsidRDefault="00EF4D65">
      <w:r>
        <w:separator/>
      </w:r>
    </w:p>
  </w:endnote>
  <w:endnote w:type="continuationSeparator" w:id="0">
    <w:p w14:paraId="50F9436E" w14:textId="77777777" w:rsidR="00EF4D65" w:rsidRDefault="00EF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025" w14:textId="77777777" w:rsidR="009C11FB" w:rsidRPr="00E333F2" w:rsidRDefault="009C11FB">
    <w:pPr>
      <w:pStyle w:val="DocExCode"/>
      <w:jc w:val="center"/>
      <w:rPr>
        <w:rStyle w:val="PageNumber"/>
        <w:kern w:val="17"/>
        <w:sz w:val="16"/>
      </w:rPr>
    </w:pPr>
    <w:r w:rsidRPr="00E333F2">
      <w:rPr>
        <w:rStyle w:val="PageNumber"/>
        <w:kern w:val="17"/>
        <w:sz w:val="16"/>
      </w:rPr>
      <w:fldChar w:fldCharType="begin"/>
    </w:r>
    <w:r w:rsidRPr="00E333F2">
      <w:rPr>
        <w:rStyle w:val="PageNumber"/>
        <w:kern w:val="17"/>
        <w:sz w:val="16"/>
      </w:rPr>
      <w:instrText xml:space="preserve"> PAGE </w:instrText>
    </w:r>
    <w:r w:rsidRPr="00E333F2">
      <w:rPr>
        <w:rStyle w:val="PageNumber"/>
        <w:kern w:val="17"/>
        <w:sz w:val="16"/>
      </w:rPr>
      <w:fldChar w:fldCharType="separate"/>
    </w:r>
    <w:r w:rsidRPr="00E333F2">
      <w:rPr>
        <w:rStyle w:val="PageNumber"/>
        <w:noProof/>
        <w:kern w:val="17"/>
        <w:sz w:val="16"/>
      </w:rPr>
      <w:t>1</w:t>
    </w:r>
    <w:r w:rsidRPr="00E333F2">
      <w:rPr>
        <w:rStyle w:val="PageNumber"/>
        <w:kern w:val="17"/>
        <w:sz w:val="16"/>
      </w:rPr>
      <w:fldChar w:fldCharType="end"/>
    </w:r>
  </w:p>
  <w:p w14:paraId="39CD2AFA" w14:textId="77777777" w:rsidR="009C11FB" w:rsidRPr="000D66EE" w:rsidRDefault="009C11FB">
    <w:pPr>
      <w:pStyle w:val="DocExCode"/>
      <w:jc w:val="center"/>
      <w:rPr>
        <w:sz w:val="20"/>
      </w:rPr>
    </w:pPr>
  </w:p>
  <w:p w14:paraId="0EF68301" w14:textId="701A3242" w:rsidR="009C11FB" w:rsidRDefault="009C11FB" w:rsidP="003051F8">
    <w:pPr>
      <w:pStyle w:val="DocExCode"/>
      <w:jc w:val="center"/>
    </w:pPr>
    <w:r w:rsidRPr="00AE056D">
      <w:t>Copyright © 20</w:t>
    </w:r>
    <w:r w:rsidR="00113476">
      <w:t>23</w:t>
    </w:r>
    <w:r w:rsidRPr="00E145F7">
      <w:t xml:space="preserve"> by F</w:t>
    </w:r>
    <w:r>
      <w:t xml:space="preserve">utures Industry </w:t>
    </w:r>
    <w:r w:rsidRPr="00E145F7">
      <w:t>A</w:t>
    </w:r>
    <w:r>
      <w:t>ssociation,</w:t>
    </w:r>
    <w:r w:rsidRPr="00E145F7">
      <w:t xml:space="preserve"> Inc., International Capital Market Association</w:t>
    </w:r>
    <w:r w:rsidR="00FF2B8C">
      <w:t>, Zurich</w:t>
    </w:r>
    <w:r w:rsidRPr="00E145F7">
      <w:t>, International Securities Lending Association,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71A6" w14:textId="77777777" w:rsidR="00EF4D65" w:rsidRDefault="00EF4D65">
      <w:r>
        <w:separator/>
      </w:r>
    </w:p>
  </w:footnote>
  <w:footnote w:type="continuationSeparator" w:id="0">
    <w:p w14:paraId="342A088F" w14:textId="77777777" w:rsidR="00EF4D65" w:rsidRDefault="00EF4D65">
      <w:r>
        <w:continuationSeparator/>
      </w:r>
    </w:p>
  </w:footnote>
  <w:footnote w:id="1">
    <w:p w14:paraId="49202F57"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Regulation (EU) No 648/2012 of the European Parliament and of the Council on OTC derivatives, central counterparties and trade repositories dated 4 July 2012</w:t>
      </w:r>
      <w:r>
        <w:rPr>
          <w:rFonts w:asciiTheme="majorHAnsi" w:hAnsiTheme="majorHAnsi" w:cstheme="majorHAnsi"/>
        </w:rPr>
        <w:t xml:space="preserve">, as </w:t>
      </w:r>
      <w:proofErr w:type="gramStart"/>
      <w:r>
        <w:rPr>
          <w:rFonts w:asciiTheme="majorHAnsi" w:hAnsiTheme="majorHAnsi" w:cstheme="majorHAnsi"/>
        </w:rPr>
        <w:t>amended</w:t>
      </w:r>
      <w:proofErr w:type="gramEnd"/>
      <w:r>
        <w:rPr>
          <w:rFonts w:asciiTheme="majorHAnsi" w:hAnsiTheme="majorHAnsi" w:cstheme="majorHAnsi"/>
        </w:rPr>
        <w:t xml:space="preserve"> or replaced from time to time</w:t>
      </w:r>
      <w:r w:rsidRPr="00FA0467">
        <w:rPr>
          <w:rFonts w:asciiTheme="majorHAnsi" w:hAnsiTheme="majorHAnsi" w:cstheme="majorHAnsi"/>
        </w:rPr>
        <w:t>.</w:t>
      </w:r>
    </w:p>
  </w:footnote>
  <w:footnote w:id="2">
    <w:p w14:paraId="72C4FCF6"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Regulation (EU) 2019/834 of the European Parliament and of the Council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 dated 20 May 2019.</w:t>
      </w:r>
    </w:p>
  </w:footnote>
  <w:footnote w:id="3">
    <w:p w14:paraId="1D19D4E3" w14:textId="06BC1A51" w:rsidR="007C58E8" w:rsidRPr="00FA0467" w:rsidRDefault="007C58E8" w:rsidP="007C58E8">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407F91" w:rsidRPr="00992887">
        <w:t xml:space="preserve">EMIR as it forms part of UK domestic legislation or regulation from time to time.  </w:t>
      </w:r>
    </w:p>
  </w:footnote>
  <w:footnote w:id="4">
    <w:p w14:paraId="0A2959D7"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Regulation (EU) 2015/2365 of the European Parliament and of the council on transparency of securities financing transactions and of re</w:t>
      </w:r>
      <w:r>
        <w:rPr>
          <w:rFonts w:asciiTheme="majorHAnsi" w:hAnsiTheme="majorHAnsi" w:cstheme="majorHAnsi"/>
        </w:rPr>
        <w:t>-</w:t>
      </w:r>
      <w:r w:rsidRPr="00FA0467">
        <w:rPr>
          <w:rFonts w:asciiTheme="majorHAnsi" w:hAnsiTheme="majorHAnsi" w:cstheme="majorHAnsi"/>
        </w:rPr>
        <w:t>use and amending Regulation (EU) No 648/2012 dated 25 November 2015</w:t>
      </w:r>
      <w:r>
        <w:rPr>
          <w:rFonts w:asciiTheme="majorHAnsi" w:hAnsiTheme="majorHAnsi" w:cstheme="majorHAnsi"/>
        </w:rPr>
        <w:t xml:space="preserve">, as </w:t>
      </w:r>
      <w:proofErr w:type="gramStart"/>
      <w:r>
        <w:rPr>
          <w:rFonts w:asciiTheme="majorHAnsi" w:hAnsiTheme="majorHAnsi" w:cstheme="majorHAnsi"/>
        </w:rPr>
        <w:t>amended</w:t>
      </w:r>
      <w:proofErr w:type="gramEnd"/>
      <w:r>
        <w:rPr>
          <w:rFonts w:asciiTheme="majorHAnsi" w:hAnsiTheme="majorHAnsi" w:cstheme="majorHAnsi"/>
        </w:rPr>
        <w:t xml:space="preserve"> or replaced from time to time</w:t>
      </w:r>
      <w:r w:rsidRPr="00FA0467">
        <w:rPr>
          <w:rFonts w:asciiTheme="majorHAnsi" w:hAnsiTheme="majorHAnsi" w:cstheme="majorHAnsi"/>
        </w:rPr>
        <w:t>.</w:t>
      </w:r>
    </w:p>
  </w:footnote>
  <w:footnote w:id="5">
    <w:p w14:paraId="4B0CEFAC" w14:textId="37CEDE8F" w:rsidR="007C58E8" w:rsidRPr="00FA0467" w:rsidRDefault="007C58E8" w:rsidP="007C58E8">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407F91">
        <w:t>SFTR</w:t>
      </w:r>
      <w:r w:rsidR="00407F91" w:rsidRPr="00992887">
        <w:t xml:space="preserve"> as it forms part of UK domestic legislation or regulation from time to time.  </w:t>
      </w:r>
    </w:p>
  </w:footnote>
  <w:footnote w:id="6">
    <w:p w14:paraId="6F6832F1" w14:textId="525F7005"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The list of ESMA-registered trade repositories, including the derivatives asset classes which can be reported to such a trade repository can be found at:</w:t>
      </w:r>
      <w:r w:rsidR="00172DBF">
        <w:rPr>
          <w:rFonts w:asciiTheme="majorHAnsi" w:hAnsiTheme="majorHAnsi" w:cstheme="majorHAnsi"/>
        </w:rPr>
        <w:t xml:space="preserve"> </w:t>
      </w:r>
      <w:hyperlink r:id="rId1" w:history="1">
        <w:r w:rsidR="00172DBF" w:rsidRPr="00EF764F">
          <w:rPr>
            <w:rStyle w:val="Hyperlink"/>
            <w:rFonts w:asciiTheme="majorHAnsi" w:hAnsiTheme="majorHAnsi" w:cstheme="majorHAnsi"/>
          </w:rPr>
          <w:t>https://www.esma.europa.eu/document/list-registered-trade-repositories</w:t>
        </w:r>
      </w:hyperlink>
      <w:r w:rsidRPr="00FA0467">
        <w:rPr>
          <w:rFonts w:asciiTheme="majorHAnsi" w:hAnsiTheme="majorHAnsi" w:cstheme="majorHAnsi"/>
        </w:rPr>
        <w:t xml:space="preserve">.  </w:t>
      </w:r>
    </w:p>
  </w:footnote>
  <w:footnote w:id="7">
    <w:p w14:paraId="0B773D57"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“AIFs” are defined in point (a) of Article 4(1) of the AIFMD (Directive 2011/61/EU of the European Parliament and of the Council of 8 June 2011 on Alternative Investment Fund Managers) as non-UCITS collective investment undertakings which raise capital from investors with a view to investing it according to a defined policy for the benefit of those investors. Entities should consult their legal advisers if the status of a fund is uncertain.</w:t>
      </w:r>
    </w:p>
  </w:footnote>
  <w:footnote w:id="8">
    <w:p w14:paraId="7878FAC2" w14:textId="77777777" w:rsidR="009C11FB" w:rsidRPr="00FA0467" w:rsidRDefault="009C11FB" w:rsidP="00B05A1F">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Whether an NFC will be below the clearing threshold, and therefore an NFC-, is determined by reference to the entity’s aggregate month-end average position at group level in OTC derivative contracts (excluding any transactions that are for hedging purposes) pursuant to a calculation made at least annually by reference to month-end data for the previous 12 months. Where the result of that calculation exceeds any one or more of the clearing thresholds set out in Article 11 of Commission Delegated Regulation (EU) No 149/2013, the NFC will be an NFC+. If no threshold is exceeded, the relevant entity will be an NFC-.</w:t>
      </w:r>
    </w:p>
  </w:footnote>
  <w:footnote w:id="9">
    <w:p w14:paraId="6F539245" w14:textId="5D7EED20" w:rsidR="000B00CC" w:rsidRPr="00FA0467" w:rsidRDefault="000B00CC" w:rsidP="000B00CC">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Pr>
          <w:rFonts w:asciiTheme="majorHAnsi" w:hAnsiTheme="majorHAnsi" w:cstheme="majorHAnsi"/>
        </w:rPr>
        <w:t xml:space="preserve">ESMA is clear in its Final </w:t>
      </w:r>
      <w:r w:rsidR="00AE2567">
        <w:rPr>
          <w:rFonts w:asciiTheme="majorHAnsi" w:hAnsiTheme="majorHAnsi" w:cstheme="majorHAnsi"/>
        </w:rPr>
        <w:t>r</w:t>
      </w:r>
      <w:r>
        <w:rPr>
          <w:rFonts w:asciiTheme="majorHAnsi" w:hAnsiTheme="majorHAnsi" w:cstheme="majorHAnsi"/>
        </w:rPr>
        <w:t xml:space="preserve">eport on </w:t>
      </w:r>
      <w:r w:rsidR="00AE2567">
        <w:rPr>
          <w:rFonts w:asciiTheme="majorHAnsi" w:hAnsiTheme="majorHAnsi" w:cstheme="majorHAnsi"/>
        </w:rPr>
        <w:t xml:space="preserve">the </w:t>
      </w:r>
      <w:r>
        <w:rPr>
          <w:rFonts w:asciiTheme="majorHAnsi" w:hAnsiTheme="majorHAnsi" w:cstheme="majorHAnsi"/>
        </w:rPr>
        <w:t>Guidelines for reporting under EMIR</w:t>
      </w:r>
      <w:r w:rsidR="005B46A2">
        <w:rPr>
          <w:rFonts w:asciiTheme="majorHAnsi" w:hAnsiTheme="majorHAnsi" w:cstheme="majorHAnsi"/>
        </w:rPr>
        <w:t xml:space="preserve"> (ESMA74-362-2281)</w:t>
      </w:r>
      <w:r w:rsidR="00A44011">
        <w:rPr>
          <w:rFonts w:asciiTheme="majorHAnsi" w:hAnsiTheme="majorHAnsi" w:cstheme="majorHAnsi"/>
        </w:rPr>
        <w:t xml:space="preserve"> that derivative contracts traded outside EU regulated markets or “equivalent” third country venues should be considered OTC</w:t>
      </w:r>
      <w:r w:rsidR="00226AE2">
        <w:rPr>
          <w:rFonts w:asciiTheme="majorHAnsi" w:hAnsiTheme="majorHAnsi" w:cstheme="majorHAnsi"/>
        </w:rPr>
        <w:t xml:space="preserve"> rather than exchange-traded, and their reporting should be performed according to such qualification</w:t>
      </w:r>
      <w:r w:rsidRPr="00FA0467">
        <w:rPr>
          <w:rFonts w:asciiTheme="majorHAnsi" w:hAnsiTheme="majorHAnsi" w:cstheme="majorHAnsi"/>
        </w:rPr>
        <w:t>.</w:t>
      </w:r>
    </w:p>
  </w:footnote>
  <w:footnote w:id="10">
    <w:p w14:paraId="2533DE56" w14:textId="5EDCC07B" w:rsidR="009C11FB" w:rsidRPr="00FA0467" w:rsidRDefault="009C11FB" w:rsidP="0055510F">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32446C">
        <w:rPr>
          <w:rFonts w:asciiTheme="majorHAnsi" w:hAnsiTheme="majorHAnsi" w:cstheme="majorHAnsi"/>
        </w:rPr>
        <w:t>Until 29 April 2024, t</w:t>
      </w:r>
      <w:r w:rsidRPr="00FA0467">
        <w:rPr>
          <w:rFonts w:asciiTheme="majorHAnsi" w:hAnsiTheme="majorHAnsi" w:cstheme="majorHAnsi"/>
        </w:rPr>
        <w:t>he annexes to (i) Commission Delegated Regulation (EU) No 148/2013 of 19 December 2012 and published 23 February 2013 in the Official Journal of the European Union and (ii) Commission Implementing Regulation (EU) No 1247/2012 of 19 December 2012 and published 21 December 2012 in the Official Journal of the European Union, as amended or replaced from time to time.</w:t>
      </w:r>
    </w:p>
  </w:footnote>
  <w:footnote w:id="11">
    <w:p w14:paraId="2467B1CB" w14:textId="31072B2E" w:rsidR="0032446C" w:rsidRPr="00FA0467" w:rsidRDefault="0032446C" w:rsidP="0032446C">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3C7213">
        <w:rPr>
          <w:rFonts w:asciiTheme="majorHAnsi" w:hAnsiTheme="majorHAnsi" w:cstheme="majorHAnsi"/>
        </w:rPr>
        <w:t xml:space="preserve">From 29 April 2024, </w:t>
      </w:r>
      <w:r w:rsidR="002761B9">
        <w:rPr>
          <w:rFonts w:asciiTheme="majorHAnsi" w:hAnsiTheme="majorHAnsi" w:cstheme="majorHAnsi"/>
        </w:rPr>
        <w:t>t</w:t>
      </w:r>
      <w:r w:rsidRPr="00FA0467">
        <w:rPr>
          <w:rFonts w:asciiTheme="majorHAnsi" w:hAnsiTheme="majorHAnsi" w:cstheme="majorHAnsi"/>
        </w:rPr>
        <w:t xml:space="preserve">he annexes to (i) </w:t>
      </w:r>
      <w:r w:rsidR="00FA02BC" w:rsidRPr="00F65602">
        <w:t xml:space="preserve">Commission Delegated Regulation (EU) 2022/1855 </w:t>
      </w:r>
      <w:r w:rsidR="00FA02BC">
        <w:t>of</w:t>
      </w:r>
      <w:r w:rsidR="00FA02BC" w:rsidRPr="00F65602">
        <w:t xml:space="preserve"> 10 June 2022</w:t>
      </w:r>
      <w:r w:rsidR="00FA02BC">
        <w:t xml:space="preserve"> and published 7 October 2022 in the Official Journal of the European Union</w:t>
      </w:r>
      <w:r w:rsidRPr="00FA0467">
        <w:rPr>
          <w:rFonts w:asciiTheme="majorHAnsi" w:hAnsiTheme="majorHAnsi" w:cstheme="majorHAnsi"/>
        </w:rPr>
        <w:t xml:space="preserve"> and (ii) </w:t>
      </w:r>
      <w:r w:rsidR="00006856" w:rsidRPr="00E23791">
        <w:rPr>
          <w:iCs/>
        </w:rPr>
        <w:t xml:space="preserve">Commission Implementing Regulation (EU) 2022/1860 </w:t>
      </w:r>
      <w:r w:rsidR="00006856">
        <w:rPr>
          <w:iCs/>
        </w:rPr>
        <w:t xml:space="preserve">of </w:t>
      </w:r>
      <w:r w:rsidR="00006856" w:rsidRPr="00E23791">
        <w:rPr>
          <w:iCs/>
        </w:rPr>
        <w:t>10 June 2022</w:t>
      </w:r>
      <w:r w:rsidR="00006856">
        <w:rPr>
          <w:iCs/>
        </w:rPr>
        <w:t xml:space="preserve"> and published 7 October 2022 in the Official Journal of the European Union</w:t>
      </w:r>
      <w:r w:rsidRPr="00FA0467">
        <w:rPr>
          <w:rFonts w:asciiTheme="majorHAnsi" w:hAnsiTheme="majorHAnsi" w:cstheme="majorHAnsi"/>
        </w:rPr>
        <w:t>, as amended or replaced from time to time.</w:t>
      </w:r>
    </w:p>
  </w:footnote>
  <w:footnote w:id="12">
    <w:p w14:paraId="160857CD" w14:textId="21D5A9F9" w:rsidR="00AB0F71" w:rsidRPr="00FA0467" w:rsidRDefault="00AB0F71" w:rsidP="00AB0F71">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Pr>
          <w:rFonts w:asciiTheme="majorHAnsi" w:hAnsiTheme="majorHAnsi" w:cstheme="majorHAnsi"/>
        </w:rPr>
        <w:t xml:space="preserve">Until 30 September 2024, </w:t>
      </w:r>
      <w:r w:rsidR="00A65435">
        <w:rPr>
          <w:rFonts w:asciiTheme="majorHAnsi" w:hAnsiTheme="majorHAnsi" w:cstheme="majorHAnsi"/>
        </w:rPr>
        <w:t xml:space="preserve">the </w:t>
      </w:r>
      <w:r w:rsidR="00A65435" w:rsidRPr="00FA0467">
        <w:rPr>
          <w:rFonts w:asciiTheme="majorHAnsi" w:hAnsiTheme="majorHAnsi" w:cstheme="majorHAnsi"/>
        </w:rPr>
        <w:t>annexes to (i) Commission Delegated Regulation (EU) No 148/2013 of 19 December 2012 and published 23 February 2013 in the Official Journal of the European Union and (ii) Commission Implementing Regulation (EU) No 1247/2012 of 19 December 2012 and published 21 December 2012 in the Official Journal of the European Union, as amended or replaced from time to time</w:t>
      </w:r>
      <w:r w:rsidR="00A65435">
        <w:rPr>
          <w:rFonts w:asciiTheme="majorHAnsi" w:hAnsiTheme="majorHAnsi" w:cstheme="majorHAnsi"/>
        </w:rPr>
        <w:t>, in each case as it forms part of UK domestic legislation or regulation</w:t>
      </w:r>
      <w:r w:rsidRPr="00FA0467">
        <w:rPr>
          <w:rFonts w:asciiTheme="majorHAnsi" w:hAnsiTheme="majorHAnsi" w:cstheme="majorHAnsi"/>
        </w:rPr>
        <w:t>.</w:t>
      </w:r>
    </w:p>
  </w:footnote>
  <w:footnote w:id="13">
    <w:p w14:paraId="11DA9044" w14:textId="4D6CDA83" w:rsidR="005D6BEF" w:rsidRPr="00FA0467" w:rsidRDefault="005D6BEF" w:rsidP="005D6BEF">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Pr>
          <w:rFonts w:asciiTheme="majorHAnsi" w:hAnsiTheme="majorHAnsi" w:cstheme="majorHAnsi"/>
        </w:rPr>
        <w:t xml:space="preserve">From </w:t>
      </w:r>
      <w:r w:rsidR="00A65435">
        <w:rPr>
          <w:rFonts w:asciiTheme="majorHAnsi" w:hAnsiTheme="majorHAnsi" w:cstheme="majorHAnsi"/>
        </w:rPr>
        <w:t xml:space="preserve">30 September </w:t>
      </w:r>
      <w:r>
        <w:rPr>
          <w:rFonts w:asciiTheme="majorHAnsi" w:hAnsiTheme="majorHAnsi" w:cstheme="majorHAnsi"/>
        </w:rPr>
        <w:t xml:space="preserve">2024, </w:t>
      </w:r>
      <w:r w:rsidR="008D6800" w:rsidRPr="008D6800">
        <w:rPr>
          <w:rFonts w:asciiTheme="majorHAnsi" w:hAnsiTheme="majorHAnsi" w:cstheme="majorHAnsi"/>
        </w:rPr>
        <w:t>the Technical Standards on the Minimum Details of the Data to be Reported to Trade Repositories and the Technical Standards on the Standards, Formats, Frequency and Methods and Arrangements for Reporting, in each case as made by the FCA and the Bank of England pursuant to the FCA and Bank of England’s respective Technical Standards (EMIR Reporting and Data Quality and Miscellaneous Amendments) Instrument 2023 and in each case as amended or replaced from time to time</w:t>
      </w:r>
      <w:r w:rsidRPr="00FA0467">
        <w:rPr>
          <w:rFonts w:asciiTheme="majorHAnsi" w:hAnsiTheme="majorHAnsi" w:cstheme="majorHAnsi"/>
        </w:rPr>
        <w:t>.</w:t>
      </w:r>
    </w:p>
  </w:footnote>
  <w:footnote w:id="14">
    <w:p w14:paraId="51E559B7"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 xml:space="preserve">Article 2(1)(a) of SFTR. </w:t>
      </w:r>
    </w:p>
  </w:footnote>
  <w:footnote w:id="15">
    <w:p w14:paraId="66AF9E77"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Being 12 months after the date of entry into force of the Commission Delegated Regulation (EU) 2019/356 of 13 December 2018, adopted pursuant to Article 4(9) of SFTR.</w:t>
      </w:r>
    </w:p>
  </w:footnote>
  <w:footnote w:id="16">
    <w:p w14:paraId="16C85C08" w14:textId="52538B1C" w:rsidR="009C11FB" w:rsidRPr="00FA0467" w:rsidRDefault="009C11FB" w:rsidP="00163947">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 xml:space="preserve">Under Article 3 of SFTR, this concept includes investment firms, credit institutions, </w:t>
      </w:r>
      <w:proofErr w:type="gramStart"/>
      <w:r w:rsidRPr="00FA0467">
        <w:rPr>
          <w:rFonts w:asciiTheme="majorHAnsi" w:hAnsiTheme="majorHAnsi" w:cstheme="majorHAnsi"/>
        </w:rPr>
        <w:t>insurance</w:t>
      </w:r>
      <w:proofErr w:type="gramEnd"/>
      <w:r w:rsidRPr="00FA0467">
        <w:rPr>
          <w:rFonts w:asciiTheme="majorHAnsi" w:hAnsiTheme="majorHAnsi" w:cstheme="majorHAnsi"/>
        </w:rPr>
        <w:t xml:space="preserve"> or reinsurance undertakings, UCITS, AIFs managed by AIFMs, IORPs, central counterparties, and central securities depositories, as well as third</w:t>
      </w:r>
      <w:r>
        <w:rPr>
          <w:rFonts w:asciiTheme="majorHAnsi" w:hAnsiTheme="majorHAnsi" w:cstheme="majorHAnsi"/>
        </w:rPr>
        <w:t xml:space="preserve"> </w:t>
      </w:r>
      <w:r w:rsidRPr="00FA0467">
        <w:rPr>
          <w:rFonts w:asciiTheme="majorHAnsi" w:hAnsiTheme="majorHAnsi" w:cstheme="majorHAnsi"/>
        </w:rPr>
        <w:t xml:space="preserve">country entities which would require authorisation or registration in the same way as any of the entities listed above if they were established in the EU. However, paragraph </w:t>
      </w:r>
      <w:r w:rsidR="00725FE1">
        <w:rPr>
          <w:rFonts w:asciiTheme="majorHAnsi" w:hAnsiTheme="majorHAnsi" w:cstheme="majorHAnsi"/>
        </w:rPr>
        <w:t>60</w:t>
      </w:r>
      <w:r w:rsidRPr="00FA0467">
        <w:rPr>
          <w:rFonts w:asciiTheme="majorHAnsi" w:hAnsiTheme="majorHAnsi" w:cstheme="majorHAnsi"/>
        </w:rPr>
        <w:t xml:space="preserve"> of the ESMA Guidelines for reporting under Articles 4 and 12 of SFTR (</w:t>
      </w:r>
      <w:hyperlink r:id="rId2" w:history="1">
        <w:r w:rsidR="008B2BE0" w:rsidRPr="006555E1">
          <w:rPr>
            <w:rStyle w:val="Hyperlink"/>
            <w:rFonts w:asciiTheme="majorHAnsi" w:hAnsiTheme="majorHAnsi" w:cstheme="majorHAnsi"/>
          </w:rPr>
          <w:t>https://www.esma.europa.eu/sites/default/files/library/esma70-151-2838_guidelines_on_reporting_under_sftr.pdf</w:t>
        </w:r>
      </w:hyperlink>
      <w:r w:rsidRPr="00FA0467">
        <w:rPr>
          <w:rFonts w:asciiTheme="majorHAnsi" w:hAnsiTheme="majorHAnsi" w:cstheme="majorHAnsi"/>
        </w:rPr>
        <w:t>) indicate</w:t>
      </w:r>
      <w:r w:rsidR="00885B4F">
        <w:rPr>
          <w:rFonts w:asciiTheme="majorHAnsi" w:hAnsiTheme="majorHAnsi" w:cstheme="majorHAnsi"/>
        </w:rPr>
        <w:t>s</w:t>
      </w:r>
      <w:r w:rsidRPr="00FA0467">
        <w:rPr>
          <w:rFonts w:asciiTheme="majorHAnsi" w:hAnsiTheme="majorHAnsi" w:cstheme="majorHAnsi"/>
        </w:rPr>
        <w:t xml:space="preserve"> that reporting cannot be mandatorily allocated to a third</w:t>
      </w:r>
      <w:r>
        <w:rPr>
          <w:rFonts w:asciiTheme="majorHAnsi" w:hAnsiTheme="majorHAnsi" w:cstheme="majorHAnsi"/>
        </w:rPr>
        <w:t xml:space="preserve"> </w:t>
      </w:r>
      <w:r w:rsidRPr="00FA0467">
        <w:rPr>
          <w:rFonts w:asciiTheme="majorHAnsi" w:hAnsiTheme="majorHAnsi" w:cstheme="majorHAnsi"/>
        </w:rPr>
        <w:t>country entity</w:t>
      </w:r>
      <w:r w:rsidR="00EA791F">
        <w:rPr>
          <w:rFonts w:asciiTheme="majorHAnsi" w:hAnsiTheme="majorHAnsi" w:cstheme="majorHAnsi"/>
        </w:rPr>
        <w:t>, unless the third country entity is itself in-scope for reporting under SFTR</w:t>
      </w:r>
      <w:r w:rsidR="00062B54">
        <w:rPr>
          <w:rFonts w:asciiTheme="majorHAnsi" w:hAnsiTheme="majorHAnsi" w:cstheme="majorHAnsi"/>
        </w:rPr>
        <w:t xml:space="preserve"> because it is concluding SFTs in the course of the operations of a branch in the EU</w:t>
      </w:r>
      <w:r w:rsidRPr="00FA0467">
        <w:rPr>
          <w:rFonts w:asciiTheme="majorHAnsi" w:hAnsiTheme="majorHAnsi" w:cstheme="majorHAnsi"/>
        </w:rPr>
        <w:t>.</w:t>
      </w:r>
    </w:p>
  </w:footnote>
  <w:footnote w:id="17">
    <w:p w14:paraId="1F7F69C3" w14:textId="0636DD4F" w:rsidR="009C11FB" w:rsidRPr="00FA0467" w:rsidRDefault="009C11FB" w:rsidP="00163947">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Article 4(3) sets out the definition of an NFC- SME</w:t>
      </w:r>
      <w:r>
        <w:rPr>
          <w:rFonts w:asciiTheme="majorHAnsi" w:hAnsiTheme="majorHAnsi" w:cstheme="majorHAnsi"/>
        </w:rPr>
        <w:t>,</w:t>
      </w:r>
      <w:r w:rsidRPr="00FA0467">
        <w:rPr>
          <w:rFonts w:asciiTheme="majorHAnsi" w:hAnsiTheme="majorHAnsi" w:cstheme="majorHAnsi"/>
        </w:rPr>
        <w:t xml:space="preserve"> which means a non-financial counterparty which on its balance sheet date does not exceed at least two of the following three thresholds: balance sheet total of €20,000,000; net turnover of €40,000,000; average number of employees during the financial year, 250, each as set out in Article 3(3) of Directive 2013/34/EU of the European Parliament and of the Council.</w:t>
      </w:r>
      <w:r w:rsidR="00B119B3">
        <w:rPr>
          <w:rFonts w:asciiTheme="majorHAnsi" w:hAnsiTheme="majorHAnsi" w:cstheme="majorHAnsi"/>
        </w:rPr>
        <w:t xml:space="preserve"> </w:t>
      </w:r>
      <w:r w:rsidR="00731E7A">
        <w:rPr>
          <w:rFonts w:asciiTheme="majorHAnsi" w:hAnsiTheme="majorHAnsi" w:cstheme="majorHAnsi"/>
        </w:rPr>
        <w:t xml:space="preserve">Pursuant to a </w:t>
      </w:r>
      <w:r w:rsidR="00EC3691">
        <w:rPr>
          <w:rFonts w:asciiTheme="majorHAnsi" w:hAnsiTheme="majorHAnsi" w:cstheme="majorHAnsi"/>
        </w:rPr>
        <w:t>Commission Delegated Directive amending Directive 2013/34/EU</w:t>
      </w:r>
      <w:r w:rsidR="008E446A">
        <w:rPr>
          <w:rFonts w:asciiTheme="majorHAnsi" w:hAnsiTheme="majorHAnsi" w:cstheme="majorHAnsi"/>
        </w:rPr>
        <w:t>, which was adopted on 17 October 2023</w:t>
      </w:r>
      <w:r w:rsidR="00EC3691">
        <w:rPr>
          <w:rFonts w:asciiTheme="majorHAnsi" w:hAnsiTheme="majorHAnsi" w:cstheme="majorHAnsi"/>
        </w:rPr>
        <w:t>, t</w:t>
      </w:r>
      <w:r w:rsidR="00B119B3">
        <w:rPr>
          <w:rFonts w:asciiTheme="majorHAnsi" w:hAnsiTheme="majorHAnsi" w:cstheme="majorHAnsi"/>
        </w:rPr>
        <w:t>he</w:t>
      </w:r>
      <w:r w:rsidR="00681A33">
        <w:rPr>
          <w:rFonts w:asciiTheme="majorHAnsi" w:hAnsiTheme="majorHAnsi" w:cstheme="majorHAnsi"/>
        </w:rPr>
        <w:t>se</w:t>
      </w:r>
      <w:r w:rsidR="00B119B3">
        <w:rPr>
          <w:rFonts w:asciiTheme="majorHAnsi" w:hAnsiTheme="majorHAnsi" w:cstheme="majorHAnsi"/>
        </w:rPr>
        <w:t xml:space="preserve"> </w:t>
      </w:r>
      <w:r w:rsidR="00555842">
        <w:rPr>
          <w:rFonts w:asciiTheme="majorHAnsi" w:hAnsiTheme="majorHAnsi" w:cstheme="majorHAnsi"/>
        </w:rPr>
        <w:t xml:space="preserve">balance sheet </w:t>
      </w:r>
      <w:r w:rsidR="00681A33">
        <w:rPr>
          <w:rFonts w:asciiTheme="majorHAnsi" w:hAnsiTheme="majorHAnsi" w:cstheme="majorHAnsi"/>
        </w:rPr>
        <w:t xml:space="preserve">and net turnover </w:t>
      </w:r>
      <w:r w:rsidR="00B119B3">
        <w:rPr>
          <w:rFonts w:asciiTheme="majorHAnsi" w:hAnsiTheme="majorHAnsi" w:cstheme="majorHAnsi"/>
        </w:rPr>
        <w:t>threshold</w:t>
      </w:r>
      <w:r w:rsidR="00555842">
        <w:rPr>
          <w:rFonts w:asciiTheme="majorHAnsi" w:hAnsiTheme="majorHAnsi" w:cstheme="majorHAnsi"/>
        </w:rPr>
        <w:t>s</w:t>
      </w:r>
      <w:r w:rsidR="00B119B3">
        <w:rPr>
          <w:rFonts w:asciiTheme="majorHAnsi" w:hAnsiTheme="majorHAnsi" w:cstheme="majorHAnsi"/>
        </w:rPr>
        <w:t xml:space="preserve"> </w:t>
      </w:r>
      <w:r w:rsidR="008E446A">
        <w:rPr>
          <w:rFonts w:asciiTheme="majorHAnsi" w:hAnsiTheme="majorHAnsi" w:cstheme="majorHAnsi"/>
        </w:rPr>
        <w:t xml:space="preserve">are expected to </w:t>
      </w:r>
      <w:r w:rsidR="00B119B3">
        <w:rPr>
          <w:rFonts w:asciiTheme="majorHAnsi" w:hAnsiTheme="majorHAnsi" w:cstheme="majorHAnsi"/>
        </w:rPr>
        <w:t>change to €25,000,000 and €50,000,000</w:t>
      </w:r>
      <w:r w:rsidR="00681A33">
        <w:rPr>
          <w:rFonts w:asciiTheme="majorHAnsi" w:hAnsiTheme="majorHAnsi" w:cstheme="majorHAnsi"/>
        </w:rPr>
        <w:t xml:space="preserve"> respectively</w:t>
      </w:r>
      <w:r w:rsidR="00731E7A">
        <w:rPr>
          <w:rFonts w:asciiTheme="majorHAnsi" w:hAnsiTheme="majorHAnsi" w:cstheme="majorHAnsi"/>
        </w:rPr>
        <w:t>.</w:t>
      </w:r>
      <w:r w:rsidR="00CB7898">
        <w:rPr>
          <w:rFonts w:asciiTheme="majorHAnsi" w:hAnsiTheme="majorHAnsi" w:cstheme="majorHAnsi"/>
        </w:rPr>
        <w:t xml:space="preserve"> It is expected that </w:t>
      </w:r>
      <w:r w:rsidR="00E848FE">
        <w:rPr>
          <w:rFonts w:asciiTheme="majorHAnsi" w:hAnsiTheme="majorHAnsi" w:cstheme="majorHAnsi"/>
        </w:rPr>
        <w:t xml:space="preserve">EU member states will be required to apply these threshold changes </w:t>
      </w:r>
      <w:r w:rsidR="00555842">
        <w:rPr>
          <w:rFonts w:asciiTheme="majorHAnsi" w:hAnsiTheme="majorHAnsi" w:cstheme="majorHAnsi"/>
        </w:rPr>
        <w:t>for financial years commencing on or after 1 January 2024.</w:t>
      </w:r>
    </w:p>
  </w:footnote>
  <w:footnote w:id="18">
    <w:p w14:paraId="760922EC"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 xml:space="preserve">Article 4(3) of SFTR. This is generally accepted as applying to an AIFM only </w:t>
      </w:r>
      <w:proofErr w:type="gramStart"/>
      <w:r w:rsidRPr="00FA0467">
        <w:rPr>
          <w:rFonts w:asciiTheme="majorHAnsi" w:hAnsiTheme="majorHAnsi" w:cstheme="majorHAnsi"/>
        </w:rPr>
        <w:t>where</w:t>
      </w:r>
      <w:proofErr w:type="gramEnd"/>
      <w:r w:rsidRPr="00FA0467">
        <w:rPr>
          <w:rFonts w:asciiTheme="majorHAnsi" w:hAnsiTheme="majorHAnsi" w:cstheme="majorHAnsi"/>
        </w:rPr>
        <w:t xml:space="preserve"> authorised in accordance with AIFMD (Directive 2011/61/EU of the European Parliament and of the Council of 8 June 2011 on Alternative Investment Fund Managers).    </w:t>
      </w:r>
    </w:p>
  </w:footnote>
  <w:footnote w:id="19">
    <w:p w14:paraId="6FCE26DA"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The annexes to Commission Delegated Regulation (EU) No 2019/356 of 13 December 2018 and published 22 March 2019 in the Official Journal of the European Union and Annex I to Commission Implementing Regulation (EU) 2019/363 of 13 December 2018 and published 22 March 2019 in the Official Journal of the European Union, as amended or replaced from time to time.</w:t>
      </w:r>
    </w:p>
  </w:footnote>
  <w:footnote w:id="20">
    <w:p w14:paraId="080D6AC4" w14:textId="5C7494A2" w:rsidR="00DE3418" w:rsidRPr="00FA0467" w:rsidRDefault="00DE3418" w:rsidP="00DE3418">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9D4B32" w:rsidRPr="00FA0467">
        <w:rPr>
          <w:rFonts w:asciiTheme="majorHAnsi" w:hAnsiTheme="majorHAnsi" w:cstheme="majorHAnsi"/>
        </w:rPr>
        <w:t>The annexes to Commission Delegated Regulation (EU) No 2019/356 of 13 December 2018 and published 22 March 2019 in the Official Journal of the European Union and Annex I to Commission Implementing Regulation (EU) 2019/363 of 13 December 2018 and published 22 March 2019 in the Official Journal of the European Union, as amended or replaced from time to time</w:t>
      </w:r>
      <w:r w:rsidR="003029F2">
        <w:rPr>
          <w:rFonts w:asciiTheme="majorHAnsi" w:hAnsiTheme="majorHAnsi" w:cstheme="majorHAnsi"/>
        </w:rPr>
        <w:t>, in each case as it forms part of UK domestic legislation or regulation from time to time</w:t>
      </w:r>
      <w:r w:rsidR="009D4B32" w:rsidRPr="00FA0467">
        <w:rPr>
          <w:rFonts w:asciiTheme="majorHAnsi" w:hAnsiTheme="majorHAnsi" w:cstheme="majorHAnsi"/>
        </w:rPr>
        <w:t>.</w:t>
      </w:r>
    </w:p>
  </w:footnote>
  <w:footnote w:id="21">
    <w:p w14:paraId="6F33FA7E" w14:textId="5647E354" w:rsidR="006B2049" w:rsidRPr="00FA0467" w:rsidRDefault="006B2049" w:rsidP="006B2049">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hyperlink r:id="rId3" w:history="1">
        <w:r w:rsidRPr="008779E4">
          <w:rPr>
            <w:rStyle w:val="Hyperlink"/>
            <w:rFonts w:asciiTheme="majorHAnsi" w:hAnsiTheme="majorHAnsi" w:cstheme="majorHAnsi"/>
          </w:rPr>
          <w:t>https://www.fca.org.uk/markets/sftr/sftr-reporting-obligation</w:t>
        </w:r>
      </w:hyperlink>
      <w:r w:rsidRPr="00FA0467">
        <w:rPr>
          <w:rFonts w:asciiTheme="majorHAnsi" w:hAnsiTheme="majorHAnsi" w:cstheme="majorHAnsi"/>
        </w:rPr>
        <w:t>.</w:t>
      </w:r>
    </w:p>
  </w:footnote>
  <w:footnote w:id="22">
    <w:p w14:paraId="52B559B4" w14:textId="1FD74E4C"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Regulation (EU) No 600/2014 of the European Parliament and of the Council of 15 May 2014 on markets in financial instruments and amending Regulation (EU) No 648/2012</w:t>
      </w:r>
      <w:r w:rsidR="00810C8D">
        <w:rPr>
          <w:rFonts w:asciiTheme="majorHAnsi" w:hAnsiTheme="majorHAnsi" w:cstheme="majorHAnsi"/>
        </w:rPr>
        <w:t xml:space="preserve"> (“</w:t>
      </w:r>
      <w:r w:rsidR="00810C8D" w:rsidRPr="00810C8D">
        <w:rPr>
          <w:rFonts w:asciiTheme="majorHAnsi" w:hAnsiTheme="majorHAnsi" w:cstheme="majorHAnsi"/>
          <w:b/>
          <w:bCs/>
        </w:rPr>
        <w:t>MiFIR”</w:t>
      </w:r>
      <w:r w:rsidR="00810C8D">
        <w:rPr>
          <w:rFonts w:asciiTheme="majorHAnsi" w:hAnsiTheme="majorHAnsi" w:cstheme="majorHAnsi"/>
        </w:rPr>
        <w:t xml:space="preserve">) and MiFIR </w:t>
      </w:r>
      <w:r w:rsidR="00810C8D" w:rsidRPr="00992887">
        <w:t>as it forms part of UK domestic legislation or regulation from time to time</w:t>
      </w:r>
      <w:r w:rsidRPr="00FA0467">
        <w:rPr>
          <w:rFonts w:asciiTheme="majorHAnsi" w:hAnsiTheme="majorHAnsi" w:cstheme="majorHAnsi"/>
        </w:rPr>
        <w:t xml:space="preserve">. </w:t>
      </w:r>
    </w:p>
  </w:footnote>
  <w:footnote w:id="23">
    <w:p w14:paraId="123F266F"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t xml:space="preserve">Both of these issues were described in the letter from the Central Bank of Ireland published on 20 February 2019, which can be found at: </w:t>
      </w:r>
      <w:hyperlink r:id="rId4" w:history="1">
        <w:r w:rsidRPr="00FA0467">
          <w:rPr>
            <w:rStyle w:val="Hyperlink"/>
            <w:rFonts w:asciiTheme="majorHAnsi" w:hAnsiTheme="majorHAnsi" w:cstheme="majorHAnsi"/>
          </w:rPr>
          <w:t>https://www.centralbank.ie/docs/default-source/regulation/industry-market-sectors/securities-markets/emir-regulation/guidance/for-the-attention-of-the-board---emir-reporting---central-bank-of-ireland.pdf</w:t>
        </w:r>
      </w:hyperlink>
      <w:r w:rsidRPr="00FA0467">
        <w:rPr>
          <w:rFonts w:asciiTheme="majorHAnsi" w:hAnsiTheme="majorHAnsi" w:cstheme="majorHAnsi"/>
        </w:rPr>
        <w:t>.</w:t>
      </w:r>
    </w:p>
  </w:footnote>
  <w:footnote w:id="24">
    <w:p w14:paraId="5727B42D" w14:textId="39789C49" w:rsidR="003A6AA2" w:rsidRPr="00FA0467" w:rsidRDefault="003A6AA2" w:rsidP="003A6AA2">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Pr>
          <w:rFonts w:asciiTheme="majorHAnsi" w:hAnsiTheme="majorHAnsi" w:cstheme="majorHAnsi"/>
        </w:rPr>
        <w:t xml:space="preserve">See </w:t>
      </w:r>
      <w:r w:rsidRPr="00FA0467">
        <w:rPr>
          <w:rFonts w:asciiTheme="majorHAnsi" w:hAnsiTheme="majorHAnsi" w:cstheme="majorHAnsi"/>
        </w:rPr>
        <w:t xml:space="preserve">the ESMA Guidelines for reporting under </w:t>
      </w:r>
      <w:r>
        <w:rPr>
          <w:rFonts w:asciiTheme="majorHAnsi" w:hAnsiTheme="majorHAnsi" w:cstheme="majorHAnsi"/>
        </w:rPr>
        <w:t xml:space="preserve">EMIR </w:t>
      </w:r>
      <w:r w:rsidRPr="00FA0467">
        <w:rPr>
          <w:rFonts w:asciiTheme="majorHAnsi" w:hAnsiTheme="majorHAnsi" w:cstheme="majorHAnsi"/>
        </w:rPr>
        <w:t>(</w:t>
      </w:r>
      <w:hyperlink r:id="rId5" w:history="1">
        <w:r w:rsidR="00E36641" w:rsidRPr="00D57435">
          <w:rPr>
            <w:rStyle w:val="Hyperlink"/>
            <w:rFonts w:asciiTheme="majorHAnsi" w:hAnsiTheme="majorHAnsi" w:cstheme="majorHAnsi"/>
          </w:rPr>
          <w:t>https://www.esma.europa.eu/sites/default/files/2023-10/ESMA74-362-2281_Guidelines_EMIR_REFIT.pdf</w:t>
        </w:r>
      </w:hyperlink>
      <w:r w:rsidRPr="00FA0467">
        <w:rPr>
          <w:rFonts w:asciiTheme="majorHAnsi" w:hAnsiTheme="majorHAnsi" w:cstheme="majorHAnsi"/>
        </w:rPr>
        <w:t>).</w:t>
      </w:r>
    </w:p>
  </w:footnote>
  <w:footnote w:id="25">
    <w:p w14:paraId="2C2CDF99" w14:textId="69175458" w:rsidR="001E2CDD" w:rsidRPr="00FA0467" w:rsidRDefault="001E2CDD" w:rsidP="001E2CDD">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3F5669">
        <w:rPr>
          <w:rFonts w:asciiTheme="majorHAnsi" w:hAnsiTheme="majorHAnsi" w:cstheme="majorHAnsi"/>
        </w:rPr>
        <w:t>Article</w:t>
      </w:r>
      <w:r w:rsidR="00894F38">
        <w:rPr>
          <w:rFonts w:asciiTheme="majorHAnsi" w:hAnsiTheme="majorHAnsi" w:cstheme="majorHAnsi"/>
        </w:rPr>
        <w:t xml:space="preserve"> 9(2)(a)</w:t>
      </w:r>
      <w:r w:rsidR="003E3BC0">
        <w:rPr>
          <w:rFonts w:asciiTheme="majorHAnsi" w:hAnsiTheme="majorHAnsi" w:cstheme="majorHAnsi"/>
        </w:rPr>
        <w:t xml:space="preserve"> of</w:t>
      </w:r>
      <w:r w:rsidR="00E64DF9">
        <w:rPr>
          <w:rFonts w:asciiTheme="majorHAnsi" w:hAnsiTheme="majorHAnsi" w:cstheme="majorHAnsi"/>
        </w:rPr>
        <w:t xml:space="preserve"> </w:t>
      </w:r>
      <w:r w:rsidR="00E64DF9" w:rsidRPr="00E64DF9">
        <w:rPr>
          <w:rFonts w:asciiTheme="majorHAnsi" w:hAnsiTheme="majorHAnsi" w:cstheme="majorHAnsi"/>
        </w:rPr>
        <w:t xml:space="preserve">Commission Implementing Regulation (EU) 2022/1860 </w:t>
      </w:r>
      <w:r w:rsidR="001D7348">
        <w:rPr>
          <w:rFonts w:asciiTheme="majorHAnsi" w:hAnsiTheme="majorHAnsi" w:cstheme="majorHAnsi"/>
        </w:rPr>
        <w:t>(</w:t>
      </w:r>
      <w:r w:rsidR="00E64DF9">
        <w:rPr>
          <w:rFonts w:asciiTheme="majorHAnsi" w:hAnsiTheme="majorHAnsi" w:cstheme="majorHAnsi"/>
        </w:rPr>
        <w:t>and</w:t>
      </w:r>
      <w:r w:rsidR="00CD038C">
        <w:rPr>
          <w:rFonts w:asciiTheme="majorHAnsi" w:hAnsiTheme="majorHAnsi" w:cstheme="majorHAnsi"/>
        </w:rPr>
        <w:t xml:space="preserve"> Article</w:t>
      </w:r>
      <w:r w:rsidR="00717102">
        <w:rPr>
          <w:rFonts w:asciiTheme="majorHAnsi" w:hAnsiTheme="majorHAnsi" w:cstheme="majorHAnsi"/>
        </w:rPr>
        <w:t xml:space="preserve"> 10(2)(a) of the UK Technical Standards on the Standards, Formats, Frequency and Methods and Arrangement</w:t>
      </w:r>
      <w:r w:rsidR="00F900D0">
        <w:rPr>
          <w:rFonts w:asciiTheme="majorHAnsi" w:hAnsiTheme="majorHAnsi" w:cstheme="majorHAnsi"/>
        </w:rPr>
        <w:t>s for Reporting)</w:t>
      </w:r>
      <w:r w:rsidR="00FA4DCB">
        <w:rPr>
          <w:rFonts w:asciiTheme="majorHAnsi" w:hAnsiTheme="majorHAnsi" w:cstheme="majorHAnsi"/>
        </w:rPr>
        <w:t xml:space="preserve"> </w:t>
      </w:r>
      <w:r w:rsidR="00E86F37">
        <w:rPr>
          <w:rFonts w:asciiTheme="majorHAnsi" w:hAnsiTheme="majorHAnsi" w:cstheme="majorHAnsi"/>
        </w:rPr>
        <w:t>spells out certain types of information concerned. Article 9(2)(c) (and Article 10(2)(c)</w:t>
      </w:r>
      <w:r w:rsidR="0039074F">
        <w:rPr>
          <w:rFonts w:asciiTheme="majorHAnsi" w:hAnsiTheme="majorHAnsi" w:cstheme="majorHAnsi"/>
        </w:rPr>
        <w:t xml:space="preserve"> of the UK Technical Standards) also requires arrangements</w:t>
      </w:r>
      <w:r w:rsidR="00080726">
        <w:rPr>
          <w:rFonts w:asciiTheme="majorHAnsi" w:hAnsiTheme="majorHAnsi" w:cstheme="majorHAnsi"/>
        </w:rPr>
        <w:t xml:space="preserve"> to be in place for due renewal by an NFC of its LEI</w:t>
      </w:r>
      <w:r w:rsidRPr="00FA0467">
        <w:rPr>
          <w:rFonts w:asciiTheme="majorHAnsi" w:hAnsiTheme="majorHAnsi" w:cstheme="majorHAnsi"/>
        </w:rPr>
        <w:t>.</w:t>
      </w:r>
    </w:p>
  </w:footnote>
  <w:footnote w:id="26">
    <w:p w14:paraId="69FEA33E" w14:textId="6ACFA429" w:rsidR="00A94129" w:rsidRPr="00FA0467" w:rsidRDefault="00A94129" w:rsidP="00A94129">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Pr>
          <w:rFonts w:asciiTheme="majorHAnsi" w:hAnsiTheme="majorHAnsi" w:cstheme="majorHAnsi"/>
        </w:rPr>
        <w:t>Article 9(</w:t>
      </w:r>
      <w:r w:rsidR="00275AD1">
        <w:rPr>
          <w:rFonts w:asciiTheme="majorHAnsi" w:hAnsiTheme="majorHAnsi" w:cstheme="majorHAnsi"/>
        </w:rPr>
        <w:t>2</w:t>
      </w:r>
      <w:r>
        <w:rPr>
          <w:rFonts w:asciiTheme="majorHAnsi" w:hAnsiTheme="majorHAnsi" w:cstheme="majorHAnsi"/>
        </w:rPr>
        <w:t xml:space="preserve">) of </w:t>
      </w:r>
      <w:r w:rsidRPr="00E64DF9">
        <w:rPr>
          <w:rFonts w:asciiTheme="majorHAnsi" w:hAnsiTheme="majorHAnsi" w:cstheme="majorHAnsi"/>
        </w:rPr>
        <w:t>Commission Implementing Regulation (EU) 2022/1860</w:t>
      </w:r>
      <w:r w:rsidR="00763FCB">
        <w:rPr>
          <w:rFonts w:asciiTheme="majorHAnsi" w:hAnsiTheme="majorHAnsi" w:cstheme="majorHAnsi"/>
        </w:rPr>
        <w:t xml:space="preserve"> and </w:t>
      </w:r>
      <w:r>
        <w:rPr>
          <w:rFonts w:asciiTheme="majorHAnsi" w:hAnsiTheme="majorHAnsi" w:cstheme="majorHAnsi"/>
        </w:rPr>
        <w:t>Article 10(</w:t>
      </w:r>
      <w:r w:rsidR="00763FCB">
        <w:rPr>
          <w:rFonts w:asciiTheme="majorHAnsi" w:hAnsiTheme="majorHAnsi" w:cstheme="majorHAnsi"/>
        </w:rPr>
        <w:t>2</w:t>
      </w:r>
      <w:r>
        <w:rPr>
          <w:rFonts w:asciiTheme="majorHAnsi" w:hAnsiTheme="majorHAnsi" w:cstheme="majorHAnsi"/>
        </w:rPr>
        <w:t>) of the UK Technical Standards on the Standards, Formats, Frequency and Methods and Arrangements for Reporting</w:t>
      </w:r>
      <w:r w:rsidR="00763FCB">
        <w:rPr>
          <w:rFonts w:asciiTheme="majorHAnsi" w:hAnsiTheme="majorHAnsi" w:cstheme="majorHAnsi"/>
        </w:rPr>
        <w:t xml:space="preserve"> provide for </w:t>
      </w:r>
      <w:r w:rsidR="00F832FF">
        <w:rPr>
          <w:rFonts w:asciiTheme="majorHAnsi" w:hAnsiTheme="majorHAnsi" w:cstheme="majorHAnsi"/>
        </w:rPr>
        <w:t xml:space="preserve">arrangements for “timely </w:t>
      </w:r>
      <w:r w:rsidR="001D0EAD">
        <w:rPr>
          <w:rFonts w:asciiTheme="majorHAnsi" w:hAnsiTheme="majorHAnsi" w:cstheme="majorHAnsi"/>
        </w:rPr>
        <w:t>notification</w:t>
      </w:r>
      <w:r w:rsidR="00F832FF">
        <w:rPr>
          <w:rFonts w:asciiTheme="majorHAnsi" w:hAnsiTheme="majorHAnsi" w:cstheme="majorHAnsi"/>
        </w:rPr>
        <w:t>”</w:t>
      </w:r>
      <w:r>
        <w:rPr>
          <w:rFonts w:asciiTheme="majorHAnsi" w:hAnsiTheme="majorHAnsi" w:cstheme="majorHAnsi"/>
        </w:rPr>
        <w:t xml:space="preserve"> </w:t>
      </w:r>
      <w:r w:rsidR="001D0EAD">
        <w:rPr>
          <w:rFonts w:asciiTheme="majorHAnsi" w:hAnsiTheme="majorHAnsi" w:cstheme="majorHAnsi"/>
        </w:rPr>
        <w:t xml:space="preserve">by a non-financial counterparty of any change in its legal status (from NFC+ or NFC-) and for any decision to opt-out of Mandatory Reporting, or to revoke such an opt-out, to be notified at least </w:t>
      </w:r>
      <w:r w:rsidR="00C35924">
        <w:rPr>
          <w:rFonts w:asciiTheme="majorHAnsi" w:hAnsiTheme="majorHAnsi" w:cstheme="majorHAnsi"/>
        </w:rPr>
        <w:t>10</w:t>
      </w:r>
      <w:r w:rsidR="001D0EAD">
        <w:rPr>
          <w:rFonts w:asciiTheme="majorHAnsi" w:hAnsiTheme="majorHAnsi" w:cstheme="majorHAnsi"/>
        </w:rPr>
        <w:t xml:space="preserve"> </w:t>
      </w:r>
      <w:r w:rsidR="00C35924">
        <w:rPr>
          <w:rFonts w:asciiTheme="majorHAnsi" w:hAnsiTheme="majorHAnsi" w:cstheme="majorHAnsi"/>
        </w:rPr>
        <w:t>working days before the change takes effect</w:t>
      </w:r>
      <w:r w:rsidRPr="00FA0467">
        <w:rPr>
          <w:rFonts w:asciiTheme="majorHAnsi" w:hAnsiTheme="majorHAnsi" w:cstheme="majorHAnsi"/>
        </w:rPr>
        <w:t>.</w:t>
      </w:r>
    </w:p>
  </w:footnote>
  <w:footnote w:id="27">
    <w:p w14:paraId="1E89C4D3" w14:textId="2F6E3B04" w:rsidR="009C11FB" w:rsidRDefault="009C11FB">
      <w:pPr>
        <w:pStyle w:val="FootnoteText"/>
      </w:pPr>
      <w:r>
        <w:rPr>
          <w:rStyle w:val="FootnoteReference"/>
        </w:rPr>
        <w:footnoteRef/>
      </w:r>
      <w:r>
        <w:tab/>
      </w:r>
      <w:r w:rsidRPr="00BF18EA">
        <w:t>Commission Delegated Regulation (EU) No 148/2013 of 19 December 2012 and published 23 February 2013 in the Official Journal of the European Union</w:t>
      </w:r>
      <w:r>
        <w:t>, as amended or replaced from time to time</w:t>
      </w:r>
      <w:r w:rsidR="00CA786B">
        <w:t>,</w:t>
      </w:r>
      <w:r w:rsidR="00E24BBA">
        <w:t xml:space="preserve"> </w:t>
      </w:r>
      <w:r w:rsidR="00CA786B">
        <w:t xml:space="preserve">and </w:t>
      </w:r>
      <w:r w:rsidR="00CA786B" w:rsidRPr="00F65602">
        <w:t xml:space="preserve">Commission Delegated Regulation (EU) 2022/1855 </w:t>
      </w:r>
      <w:r w:rsidR="00CA786B">
        <w:t>of</w:t>
      </w:r>
      <w:r w:rsidR="00CA786B" w:rsidRPr="00F65602">
        <w:t xml:space="preserve"> 10 June 2022</w:t>
      </w:r>
      <w:r w:rsidR="00CA786B">
        <w:t xml:space="preserve"> and published 7 October 2022 in the Official Journal of the European Union</w:t>
      </w:r>
      <w:r w:rsidRPr="00BF18EA">
        <w:t>.</w:t>
      </w:r>
    </w:p>
  </w:footnote>
  <w:footnote w:id="28">
    <w:p w14:paraId="16069491" w14:textId="382FD0BC" w:rsidR="00306DAF" w:rsidRPr="00FA0467" w:rsidRDefault="00306DAF" w:rsidP="00BA55A0">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r w:rsidR="009E620F">
        <w:rPr>
          <w:rFonts w:asciiTheme="majorHAnsi" w:hAnsiTheme="majorHAnsi" w:cstheme="majorHAnsi"/>
        </w:rPr>
        <w:t xml:space="preserve">For purposes of </w:t>
      </w:r>
      <w:r w:rsidR="00441DAA">
        <w:rPr>
          <w:rFonts w:asciiTheme="majorHAnsi" w:hAnsiTheme="majorHAnsi" w:cstheme="majorHAnsi"/>
        </w:rPr>
        <w:t>this Explanatory Memorandum</w:t>
      </w:r>
      <w:r w:rsidR="00DA165B">
        <w:rPr>
          <w:rFonts w:asciiTheme="majorHAnsi" w:hAnsiTheme="majorHAnsi" w:cstheme="majorHAnsi"/>
        </w:rPr>
        <w:t xml:space="preserve">, a “UK AIF” </w:t>
      </w:r>
      <w:r w:rsidR="00441DAA">
        <w:rPr>
          <w:rFonts w:asciiTheme="majorHAnsi" w:hAnsiTheme="majorHAnsi" w:cstheme="majorHAnsi"/>
        </w:rPr>
        <w:t xml:space="preserve">shall be </w:t>
      </w:r>
      <w:r w:rsidR="00DA165B">
        <w:rPr>
          <w:rFonts w:asciiTheme="majorHAnsi" w:hAnsiTheme="majorHAnsi" w:cstheme="majorHAnsi"/>
        </w:rPr>
        <w:t xml:space="preserve">an </w:t>
      </w:r>
      <w:r w:rsidRPr="00FA0467">
        <w:rPr>
          <w:rFonts w:asciiTheme="majorHAnsi" w:hAnsiTheme="majorHAnsi" w:cstheme="majorHAnsi"/>
        </w:rPr>
        <w:t xml:space="preserve">“AIF” defined in </w:t>
      </w:r>
      <w:r w:rsidR="004D545C" w:rsidRPr="004D545C">
        <w:rPr>
          <w:rFonts w:asciiTheme="majorHAnsi" w:hAnsiTheme="majorHAnsi" w:cstheme="majorHAnsi"/>
        </w:rPr>
        <w:t>regulation 3 of the Alternative Investment Fund Managers Regulations 2013</w:t>
      </w:r>
      <w:r w:rsidR="00BA55A0">
        <w:rPr>
          <w:rFonts w:asciiTheme="majorHAnsi" w:hAnsiTheme="majorHAnsi" w:cstheme="majorHAnsi"/>
        </w:rPr>
        <w:t xml:space="preserve"> </w:t>
      </w:r>
      <w:r w:rsidRPr="00FA0467">
        <w:rPr>
          <w:rFonts w:asciiTheme="majorHAnsi" w:hAnsiTheme="majorHAnsi" w:cstheme="majorHAnsi"/>
        </w:rPr>
        <w:t xml:space="preserve">as </w:t>
      </w:r>
      <w:r w:rsidR="00441DAA">
        <w:rPr>
          <w:rFonts w:asciiTheme="majorHAnsi" w:hAnsiTheme="majorHAnsi" w:cstheme="majorHAnsi"/>
        </w:rPr>
        <w:t xml:space="preserve">a </w:t>
      </w:r>
      <w:r w:rsidRPr="00FA0467">
        <w:rPr>
          <w:rFonts w:asciiTheme="majorHAnsi" w:hAnsiTheme="majorHAnsi" w:cstheme="majorHAnsi"/>
        </w:rPr>
        <w:t>non-UCITS collective investment undertaking which raise</w:t>
      </w:r>
      <w:r w:rsidR="00441DAA">
        <w:rPr>
          <w:rFonts w:asciiTheme="majorHAnsi" w:hAnsiTheme="majorHAnsi" w:cstheme="majorHAnsi"/>
        </w:rPr>
        <w:t>s</w:t>
      </w:r>
      <w:r w:rsidRPr="00FA0467">
        <w:rPr>
          <w:rFonts w:asciiTheme="majorHAnsi" w:hAnsiTheme="majorHAnsi" w:cstheme="majorHAnsi"/>
        </w:rPr>
        <w:t xml:space="preserve"> capital from investors with a view to investing it according to a defined policy for the benefit of those investors. Entities should consult their legal advisers if the status of a fund is uncertain.</w:t>
      </w:r>
    </w:p>
  </w:footnote>
  <w:footnote w:id="29">
    <w:p w14:paraId="265097E3" w14:textId="61AFEB8B" w:rsidR="009C11FB" w:rsidRDefault="009C11FB">
      <w:pPr>
        <w:pStyle w:val="FootnoteText"/>
      </w:pPr>
      <w:r>
        <w:rPr>
          <w:rStyle w:val="FootnoteReference"/>
        </w:rPr>
        <w:footnoteRef/>
      </w:r>
      <w:r>
        <w:tab/>
        <w:t xml:space="preserve">Because the UCITS </w:t>
      </w:r>
      <w:r w:rsidR="00D647F8">
        <w:t>(or UK UCITS)</w:t>
      </w:r>
      <w:r w:rsidR="00404BBE">
        <w:t xml:space="preserve"> </w:t>
      </w:r>
      <w:r>
        <w:t xml:space="preserve">or AIF </w:t>
      </w:r>
      <w:r w:rsidR="00404BBE">
        <w:t xml:space="preserve">(or UK AIF) </w:t>
      </w:r>
      <w:r>
        <w:t xml:space="preserve">is established exclusively for the purposes of one or more employee share purchase plans. </w:t>
      </w:r>
    </w:p>
  </w:footnote>
  <w:footnote w:id="30">
    <w:p w14:paraId="2CE341DF" w14:textId="77777777" w:rsidR="009C11FB" w:rsidRPr="00FA0467" w:rsidRDefault="009C11FB">
      <w:pPr>
        <w:pStyle w:val="FootnoteText"/>
        <w:rPr>
          <w:rFonts w:asciiTheme="majorHAnsi" w:hAnsiTheme="majorHAnsi" w:cstheme="majorHAnsi"/>
        </w:rPr>
      </w:pPr>
      <w:r w:rsidRPr="00FA0467">
        <w:rPr>
          <w:rStyle w:val="FootnoteReference"/>
          <w:rFonts w:asciiTheme="majorHAnsi" w:hAnsiTheme="majorHAnsi" w:cstheme="majorHAnsi"/>
        </w:rPr>
        <w:footnoteRef/>
      </w:r>
      <w:r w:rsidRPr="00FA0467">
        <w:rPr>
          <w:rFonts w:asciiTheme="majorHAnsi" w:hAnsiTheme="majorHAnsi" w:cstheme="majorHAnsi"/>
        </w:rPr>
        <w:tab/>
      </w:r>
      <w:hyperlink r:id="rId6" w:history="1">
        <w:r w:rsidRPr="00FA0467">
          <w:rPr>
            <w:rStyle w:val="Hyperlink"/>
            <w:rFonts w:asciiTheme="majorHAnsi" w:hAnsiTheme="majorHAnsi" w:cstheme="majorHAnsi"/>
          </w:rPr>
          <w:t>https://eba.europa.eu/sites/default/documents/files/documents/10180/2551996/38c80601-f5d7-4855-8ba3-702423665479/EBA%20revised%20Guidelines%20on%20outsourcing%20arrangements.pdf?retry=1</w:t>
        </w:r>
      </w:hyperlink>
      <w:r w:rsidRPr="00FA0467">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5326E"/>
    <w:multiLevelType w:val="hybridMultilevel"/>
    <w:tmpl w:val="1518BFBA"/>
    <w:lvl w:ilvl="0" w:tplc="C8365C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A2E9A"/>
    <w:multiLevelType w:val="hybridMultilevel"/>
    <w:tmpl w:val="001A61A6"/>
    <w:lvl w:ilvl="0" w:tplc="937C83E0">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362D5"/>
    <w:multiLevelType w:val="hybridMultilevel"/>
    <w:tmpl w:val="EB220D9C"/>
    <w:lvl w:ilvl="0" w:tplc="08090001">
      <w:start w:val="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85EBB"/>
    <w:multiLevelType w:val="multilevel"/>
    <w:tmpl w:val="227EBBF0"/>
    <w:numStyleLink w:val="BodyStyle"/>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80590"/>
    <w:multiLevelType w:val="hybridMultilevel"/>
    <w:tmpl w:val="F5FA3EA0"/>
    <w:lvl w:ilvl="0" w:tplc="937C83E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6602FB"/>
    <w:multiLevelType w:val="hybridMultilevel"/>
    <w:tmpl w:val="1A18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47763"/>
    <w:multiLevelType w:val="multilevel"/>
    <w:tmpl w:val="50483CFA"/>
    <w:numStyleLink w:val="engage"/>
  </w:abstractNum>
  <w:abstractNum w:abstractNumId="29"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8"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0137F66"/>
    <w:multiLevelType w:val="hybridMultilevel"/>
    <w:tmpl w:val="7BA85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61F7874"/>
    <w:multiLevelType w:val="hybridMultilevel"/>
    <w:tmpl w:val="8C786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B80C6D"/>
    <w:multiLevelType w:val="hybridMultilevel"/>
    <w:tmpl w:val="EC08AE86"/>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3D21DC0"/>
    <w:multiLevelType w:val="hybridMultilevel"/>
    <w:tmpl w:val="D66C9184"/>
    <w:lvl w:ilvl="0" w:tplc="08090001">
      <w:start w:val="9"/>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5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5" w15:restartNumberingAfterBreak="0">
    <w:nsid w:val="78FA52F8"/>
    <w:multiLevelType w:val="hybridMultilevel"/>
    <w:tmpl w:val="7A326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62425981">
    <w:abstractNumId w:val="30"/>
  </w:num>
  <w:num w:numId="2" w16cid:durableId="2129426860">
    <w:abstractNumId w:val="50"/>
  </w:num>
  <w:num w:numId="3" w16cid:durableId="555045049">
    <w:abstractNumId w:val="18"/>
  </w:num>
  <w:num w:numId="4" w16cid:durableId="1556968086">
    <w:abstractNumId w:val="5"/>
  </w:num>
  <w:num w:numId="5" w16cid:durableId="182868887">
    <w:abstractNumId w:val="29"/>
  </w:num>
  <w:num w:numId="6" w16cid:durableId="1573470439">
    <w:abstractNumId w:val="21"/>
  </w:num>
  <w:num w:numId="7" w16cid:durableId="1147012656">
    <w:abstractNumId w:val="6"/>
  </w:num>
  <w:num w:numId="8" w16cid:durableId="1965112827">
    <w:abstractNumId w:val="17"/>
  </w:num>
  <w:num w:numId="9" w16cid:durableId="543909968">
    <w:abstractNumId w:val="13"/>
  </w:num>
  <w:num w:numId="10" w16cid:durableId="1357462073">
    <w:abstractNumId w:val="36"/>
  </w:num>
  <w:num w:numId="11" w16cid:durableId="1664773310">
    <w:abstractNumId w:val="56"/>
  </w:num>
  <w:num w:numId="12" w16cid:durableId="454324972">
    <w:abstractNumId w:val="7"/>
  </w:num>
  <w:num w:numId="13" w16cid:durableId="777994087">
    <w:abstractNumId w:val="23"/>
  </w:num>
  <w:num w:numId="14" w16cid:durableId="625308574">
    <w:abstractNumId w:val="33"/>
  </w:num>
  <w:num w:numId="15" w16cid:durableId="797145262">
    <w:abstractNumId w:val="25"/>
  </w:num>
  <w:num w:numId="16" w16cid:durableId="442311422">
    <w:abstractNumId w:val="32"/>
  </w:num>
  <w:num w:numId="17" w16cid:durableId="1488789570">
    <w:abstractNumId w:val="31"/>
  </w:num>
  <w:num w:numId="18" w16cid:durableId="405341556">
    <w:abstractNumId w:val="8"/>
  </w:num>
  <w:num w:numId="19" w16cid:durableId="885676891">
    <w:abstractNumId w:val="47"/>
  </w:num>
  <w:num w:numId="20" w16cid:durableId="1543247955">
    <w:abstractNumId w:val="46"/>
  </w:num>
  <w:num w:numId="21" w16cid:durableId="1538078292">
    <w:abstractNumId w:val="57"/>
  </w:num>
  <w:num w:numId="22" w16cid:durableId="1411998825">
    <w:abstractNumId w:val="1"/>
  </w:num>
  <w:num w:numId="23" w16cid:durableId="4554125">
    <w:abstractNumId w:val="39"/>
  </w:num>
  <w:num w:numId="24" w16cid:durableId="1999920084">
    <w:abstractNumId w:val="37"/>
  </w:num>
  <w:num w:numId="25" w16cid:durableId="1657878359">
    <w:abstractNumId w:val="54"/>
  </w:num>
  <w:num w:numId="26" w16cid:durableId="1969359484">
    <w:abstractNumId w:val="41"/>
  </w:num>
  <w:num w:numId="27" w16cid:durableId="324091496">
    <w:abstractNumId w:val="35"/>
  </w:num>
  <w:num w:numId="28" w16cid:durableId="908419842">
    <w:abstractNumId w:val="51"/>
  </w:num>
  <w:num w:numId="29" w16cid:durableId="1784491460">
    <w:abstractNumId w:val="49"/>
  </w:num>
  <w:num w:numId="30" w16cid:durableId="818156743">
    <w:abstractNumId w:val="20"/>
  </w:num>
  <w:num w:numId="31" w16cid:durableId="1081294827">
    <w:abstractNumId w:val="4"/>
  </w:num>
  <w:num w:numId="32" w16cid:durableId="1450660874">
    <w:abstractNumId w:val="16"/>
  </w:num>
  <w:num w:numId="33" w16cid:durableId="1049692716">
    <w:abstractNumId w:val="2"/>
  </w:num>
  <w:num w:numId="34" w16cid:durableId="372996781">
    <w:abstractNumId w:val="42"/>
  </w:num>
  <w:num w:numId="35" w16cid:durableId="1446120258">
    <w:abstractNumId w:val="0"/>
  </w:num>
  <w:num w:numId="36" w16cid:durableId="652685212">
    <w:abstractNumId w:val="19"/>
  </w:num>
  <w:num w:numId="37" w16cid:durableId="1039404317">
    <w:abstractNumId w:val="45"/>
  </w:num>
  <w:num w:numId="38" w16cid:durableId="1875583037">
    <w:abstractNumId w:val="12"/>
  </w:num>
  <w:num w:numId="39" w16cid:durableId="682975977">
    <w:abstractNumId w:val="24"/>
  </w:num>
  <w:num w:numId="40" w16cid:durableId="2076851751">
    <w:abstractNumId w:val="48"/>
  </w:num>
  <w:num w:numId="41" w16cid:durableId="640502401">
    <w:abstractNumId w:val="11"/>
  </w:num>
  <w:num w:numId="42" w16cid:durableId="966666245">
    <w:abstractNumId w:val="34"/>
  </w:num>
  <w:num w:numId="43" w16cid:durableId="629167080">
    <w:abstractNumId w:val="38"/>
  </w:num>
  <w:num w:numId="44" w16cid:durableId="794103697">
    <w:abstractNumId w:val="3"/>
  </w:num>
  <w:num w:numId="45" w16cid:durableId="1293632966">
    <w:abstractNumId w:val="15"/>
  </w:num>
  <w:num w:numId="46" w16cid:durableId="122164657">
    <w:abstractNumId w:val="28"/>
  </w:num>
  <w:num w:numId="47" w16cid:durableId="1423836072">
    <w:abstractNumId w:val="53"/>
  </w:num>
  <w:num w:numId="48" w16cid:durableId="1972712421">
    <w:abstractNumId w:val="22"/>
  </w:num>
  <w:num w:numId="49" w16cid:durableId="922492055">
    <w:abstractNumId w:val="9"/>
  </w:num>
  <w:num w:numId="50" w16cid:durableId="679545436">
    <w:abstractNumId w:val="14"/>
  </w:num>
  <w:num w:numId="51" w16cid:durableId="1383479055">
    <w:abstractNumId w:val="55"/>
  </w:num>
  <w:num w:numId="52" w16cid:durableId="705301376">
    <w:abstractNumId w:val="26"/>
  </w:num>
  <w:num w:numId="53" w16cid:durableId="332030518">
    <w:abstractNumId w:val="10"/>
  </w:num>
  <w:num w:numId="54" w16cid:durableId="1004091739">
    <w:abstractNumId w:val="52"/>
  </w:num>
  <w:num w:numId="55" w16cid:durableId="747461185">
    <w:abstractNumId w:val="27"/>
  </w:num>
  <w:num w:numId="56" w16cid:durableId="1479884286">
    <w:abstractNumId w:val="44"/>
  </w:num>
  <w:num w:numId="57" w16cid:durableId="288054709">
    <w:abstractNumId w:val="43"/>
  </w:num>
  <w:num w:numId="58" w16cid:durableId="1765879499">
    <w:abstractNumId w:val="46"/>
  </w:num>
  <w:num w:numId="59" w16cid:durableId="140657525">
    <w:abstractNumId w:val="46"/>
  </w:num>
  <w:num w:numId="60" w16cid:durableId="41712977">
    <w:abstractNumId w:val="46"/>
  </w:num>
  <w:num w:numId="61" w16cid:durableId="746222039">
    <w:abstractNumId w:val="46"/>
  </w:num>
  <w:num w:numId="62" w16cid:durableId="2068063403">
    <w:abstractNumId w:val="46"/>
  </w:num>
  <w:num w:numId="63" w16cid:durableId="172185119">
    <w:abstractNumId w:val="46"/>
  </w:num>
  <w:num w:numId="64" w16cid:durableId="8240104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9801768">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s>
  <w:rsids>
    <w:rsidRoot w:val="00F0514A"/>
    <w:rsid w:val="0000144C"/>
    <w:rsid w:val="00003A07"/>
    <w:rsid w:val="00003DA9"/>
    <w:rsid w:val="00006062"/>
    <w:rsid w:val="00006856"/>
    <w:rsid w:val="000079AF"/>
    <w:rsid w:val="00010544"/>
    <w:rsid w:val="00011DBF"/>
    <w:rsid w:val="00014A69"/>
    <w:rsid w:val="00015951"/>
    <w:rsid w:val="00015D3B"/>
    <w:rsid w:val="00021FEA"/>
    <w:rsid w:val="00022235"/>
    <w:rsid w:val="00022D98"/>
    <w:rsid w:val="000235EF"/>
    <w:rsid w:val="00026B4F"/>
    <w:rsid w:val="00030DD6"/>
    <w:rsid w:val="0003210B"/>
    <w:rsid w:val="00033C51"/>
    <w:rsid w:val="00034D76"/>
    <w:rsid w:val="00036641"/>
    <w:rsid w:val="000377B5"/>
    <w:rsid w:val="00043B15"/>
    <w:rsid w:val="00043E7E"/>
    <w:rsid w:val="00050E42"/>
    <w:rsid w:val="000529EF"/>
    <w:rsid w:val="00053619"/>
    <w:rsid w:val="00057379"/>
    <w:rsid w:val="00057483"/>
    <w:rsid w:val="000607A0"/>
    <w:rsid w:val="0006282A"/>
    <w:rsid w:val="00062B54"/>
    <w:rsid w:val="00064036"/>
    <w:rsid w:val="0006430F"/>
    <w:rsid w:val="0006453E"/>
    <w:rsid w:val="0006583B"/>
    <w:rsid w:val="00065A6B"/>
    <w:rsid w:val="00066522"/>
    <w:rsid w:val="00067D7A"/>
    <w:rsid w:val="000714E6"/>
    <w:rsid w:val="000737B6"/>
    <w:rsid w:val="00074212"/>
    <w:rsid w:val="00080126"/>
    <w:rsid w:val="00080726"/>
    <w:rsid w:val="00082339"/>
    <w:rsid w:val="00086C06"/>
    <w:rsid w:val="00087DA3"/>
    <w:rsid w:val="000904A9"/>
    <w:rsid w:val="00090B7E"/>
    <w:rsid w:val="0009105A"/>
    <w:rsid w:val="000931B2"/>
    <w:rsid w:val="00093256"/>
    <w:rsid w:val="0009397D"/>
    <w:rsid w:val="00094DC4"/>
    <w:rsid w:val="0009597B"/>
    <w:rsid w:val="00097071"/>
    <w:rsid w:val="000A0036"/>
    <w:rsid w:val="000A2846"/>
    <w:rsid w:val="000A28AB"/>
    <w:rsid w:val="000A59DA"/>
    <w:rsid w:val="000A773B"/>
    <w:rsid w:val="000B00CC"/>
    <w:rsid w:val="000B260D"/>
    <w:rsid w:val="000B73BC"/>
    <w:rsid w:val="000B7E03"/>
    <w:rsid w:val="000C17D7"/>
    <w:rsid w:val="000C7CE9"/>
    <w:rsid w:val="000D00CE"/>
    <w:rsid w:val="000D2647"/>
    <w:rsid w:val="000D3E44"/>
    <w:rsid w:val="000D4E33"/>
    <w:rsid w:val="000D5311"/>
    <w:rsid w:val="000D66EE"/>
    <w:rsid w:val="000D6CC1"/>
    <w:rsid w:val="000E0D0F"/>
    <w:rsid w:val="000E21F1"/>
    <w:rsid w:val="000E3BC6"/>
    <w:rsid w:val="000E4803"/>
    <w:rsid w:val="000E654E"/>
    <w:rsid w:val="000E65F3"/>
    <w:rsid w:val="000E6686"/>
    <w:rsid w:val="000E6852"/>
    <w:rsid w:val="000E6C28"/>
    <w:rsid w:val="000E6F20"/>
    <w:rsid w:val="000E7572"/>
    <w:rsid w:val="000F0DDC"/>
    <w:rsid w:val="000F1A48"/>
    <w:rsid w:val="000F2B70"/>
    <w:rsid w:val="000F45BB"/>
    <w:rsid w:val="000F48BA"/>
    <w:rsid w:val="000F5800"/>
    <w:rsid w:val="000F6B2E"/>
    <w:rsid w:val="000F7489"/>
    <w:rsid w:val="000F7D98"/>
    <w:rsid w:val="001001C7"/>
    <w:rsid w:val="00104497"/>
    <w:rsid w:val="00107A15"/>
    <w:rsid w:val="00111285"/>
    <w:rsid w:val="00111F71"/>
    <w:rsid w:val="0011205A"/>
    <w:rsid w:val="00113476"/>
    <w:rsid w:val="00113EF1"/>
    <w:rsid w:val="00113FB8"/>
    <w:rsid w:val="00114DC7"/>
    <w:rsid w:val="00115418"/>
    <w:rsid w:val="001177C3"/>
    <w:rsid w:val="001202DD"/>
    <w:rsid w:val="001213D1"/>
    <w:rsid w:val="001235C7"/>
    <w:rsid w:val="00123A8D"/>
    <w:rsid w:val="0012405D"/>
    <w:rsid w:val="001249EB"/>
    <w:rsid w:val="001258AC"/>
    <w:rsid w:val="00125D32"/>
    <w:rsid w:val="001278AF"/>
    <w:rsid w:val="0013178E"/>
    <w:rsid w:val="00133276"/>
    <w:rsid w:val="0013680C"/>
    <w:rsid w:val="001375A5"/>
    <w:rsid w:val="001417F4"/>
    <w:rsid w:val="0014232F"/>
    <w:rsid w:val="00142B62"/>
    <w:rsid w:val="00143302"/>
    <w:rsid w:val="00151B8C"/>
    <w:rsid w:val="001528AF"/>
    <w:rsid w:val="00152BE7"/>
    <w:rsid w:val="0016255C"/>
    <w:rsid w:val="00163947"/>
    <w:rsid w:val="001653CB"/>
    <w:rsid w:val="00171F1F"/>
    <w:rsid w:val="00172DBF"/>
    <w:rsid w:val="001731C9"/>
    <w:rsid w:val="001736BE"/>
    <w:rsid w:val="00176461"/>
    <w:rsid w:val="00176EB3"/>
    <w:rsid w:val="00187B30"/>
    <w:rsid w:val="001923C1"/>
    <w:rsid w:val="00192B5B"/>
    <w:rsid w:val="0019321E"/>
    <w:rsid w:val="00193373"/>
    <w:rsid w:val="00193718"/>
    <w:rsid w:val="001944D1"/>
    <w:rsid w:val="001951FA"/>
    <w:rsid w:val="00195EFD"/>
    <w:rsid w:val="001965A1"/>
    <w:rsid w:val="001A2884"/>
    <w:rsid w:val="001A34A0"/>
    <w:rsid w:val="001A73B2"/>
    <w:rsid w:val="001A760B"/>
    <w:rsid w:val="001B08F1"/>
    <w:rsid w:val="001B0AC3"/>
    <w:rsid w:val="001B0FD0"/>
    <w:rsid w:val="001B1A8D"/>
    <w:rsid w:val="001B200B"/>
    <w:rsid w:val="001B255B"/>
    <w:rsid w:val="001B2790"/>
    <w:rsid w:val="001B33C4"/>
    <w:rsid w:val="001B46CA"/>
    <w:rsid w:val="001B524C"/>
    <w:rsid w:val="001C39E1"/>
    <w:rsid w:val="001C5737"/>
    <w:rsid w:val="001C66EB"/>
    <w:rsid w:val="001C7CE1"/>
    <w:rsid w:val="001C7D3D"/>
    <w:rsid w:val="001D064B"/>
    <w:rsid w:val="001D0EAD"/>
    <w:rsid w:val="001D1E35"/>
    <w:rsid w:val="001D3620"/>
    <w:rsid w:val="001D3F82"/>
    <w:rsid w:val="001D5141"/>
    <w:rsid w:val="001D51E4"/>
    <w:rsid w:val="001D7348"/>
    <w:rsid w:val="001E0639"/>
    <w:rsid w:val="001E2CDD"/>
    <w:rsid w:val="001E53DD"/>
    <w:rsid w:val="001E6836"/>
    <w:rsid w:val="001E7D24"/>
    <w:rsid w:val="001F18DE"/>
    <w:rsid w:val="001F5082"/>
    <w:rsid w:val="001F61C9"/>
    <w:rsid w:val="001F6C01"/>
    <w:rsid w:val="00202D81"/>
    <w:rsid w:val="00205CC5"/>
    <w:rsid w:val="0021129F"/>
    <w:rsid w:val="002137B9"/>
    <w:rsid w:val="002165DA"/>
    <w:rsid w:val="00216A2A"/>
    <w:rsid w:val="00223FE1"/>
    <w:rsid w:val="0022411E"/>
    <w:rsid w:val="0022497C"/>
    <w:rsid w:val="00226AE2"/>
    <w:rsid w:val="00231719"/>
    <w:rsid w:val="0023206F"/>
    <w:rsid w:val="002325EF"/>
    <w:rsid w:val="00234185"/>
    <w:rsid w:val="00236E7B"/>
    <w:rsid w:val="00240DCC"/>
    <w:rsid w:val="002426F4"/>
    <w:rsid w:val="00247F62"/>
    <w:rsid w:val="00250444"/>
    <w:rsid w:val="002544E3"/>
    <w:rsid w:val="00255BA6"/>
    <w:rsid w:val="00260E43"/>
    <w:rsid w:val="00261DD7"/>
    <w:rsid w:val="00262114"/>
    <w:rsid w:val="0026259D"/>
    <w:rsid w:val="00266FBB"/>
    <w:rsid w:val="00270E62"/>
    <w:rsid w:val="002710F3"/>
    <w:rsid w:val="0027189B"/>
    <w:rsid w:val="002722BF"/>
    <w:rsid w:val="002732DB"/>
    <w:rsid w:val="00273704"/>
    <w:rsid w:val="00274096"/>
    <w:rsid w:val="002752D3"/>
    <w:rsid w:val="00275AD1"/>
    <w:rsid w:val="002761B9"/>
    <w:rsid w:val="002766B2"/>
    <w:rsid w:val="00276E06"/>
    <w:rsid w:val="00280BBB"/>
    <w:rsid w:val="00280D52"/>
    <w:rsid w:val="002813EC"/>
    <w:rsid w:val="00281A17"/>
    <w:rsid w:val="00294BD4"/>
    <w:rsid w:val="00295B55"/>
    <w:rsid w:val="00295D95"/>
    <w:rsid w:val="00296248"/>
    <w:rsid w:val="00297356"/>
    <w:rsid w:val="002A2215"/>
    <w:rsid w:val="002A4A4B"/>
    <w:rsid w:val="002A4D3B"/>
    <w:rsid w:val="002B45B9"/>
    <w:rsid w:val="002B4B92"/>
    <w:rsid w:val="002B5A8E"/>
    <w:rsid w:val="002B65CF"/>
    <w:rsid w:val="002C05FD"/>
    <w:rsid w:val="002C0B79"/>
    <w:rsid w:val="002C19F1"/>
    <w:rsid w:val="002C278C"/>
    <w:rsid w:val="002C2C16"/>
    <w:rsid w:val="002C417F"/>
    <w:rsid w:val="002C44B6"/>
    <w:rsid w:val="002C685B"/>
    <w:rsid w:val="002C6EC3"/>
    <w:rsid w:val="002C6F83"/>
    <w:rsid w:val="002C74CE"/>
    <w:rsid w:val="002D1DAD"/>
    <w:rsid w:val="002D3276"/>
    <w:rsid w:val="002D3BE7"/>
    <w:rsid w:val="002D58A3"/>
    <w:rsid w:val="002D6C4B"/>
    <w:rsid w:val="002E1DA0"/>
    <w:rsid w:val="002E4DD9"/>
    <w:rsid w:val="002E6164"/>
    <w:rsid w:val="002E6BCE"/>
    <w:rsid w:val="002F12FA"/>
    <w:rsid w:val="002F1D8B"/>
    <w:rsid w:val="002F30F0"/>
    <w:rsid w:val="002F3546"/>
    <w:rsid w:val="002F4A68"/>
    <w:rsid w:val="002F4AB8"/>
    <w:rsid w:val="002F5FBA"/>
    <w:rsid w:val="002F753E"/>
    <w:rsid w:val="0030071D"/>
    <w:rsid w:val="003011CF"/>
    <w:rsid w:val="003029F2"/>
    <w:rsid w:val="003051F8"/>
    <w:rsid w:val="00306591"/>
    <w:rsid w:val="00306DAF"/>
    <w:rsid w:val="0031059C"/>
    <w:rsid w:val="00313126"/>
    <w:rsid w:val="003138B0"/>
    <w:rsid w:val="00314410"/>
    <w:rsid w:val="00314A8B"/>
    <w:rsid w:val="00315395"/>
    <w:rsid w:val="00315816"/>
    <w:rsid w:val="00315F1C"/>
    <w:rsid w:val="00323B82"/>
    <w:rsid w:val="0032446C"/>
    <w:rsid w:val="00336DB5"/>
    <w:rsid w:val="00341CC0"/>
    <w:rsid w:val="00341D04"/>
    <w:rsid w:val="003421C6"/>
    <w:rsid w:val="00342688"/>
    <w:rsid w:val="003433C5"/>
    <w:rsid w:val="00343667"/>
    <w:rsid w:val="003442C7"/>
    <w:rsid w:val="00352381"/>
    <w:rsid w:val="0035776C"/>
    <w:rsid w:val="00362B05"/>
    <w:rsid w:val="0036575A"/>
    <w:rsid w:val="00370C79"/>
    <w:rsid w:val="00372174"/>
    <w:rsid w:val="003731B7"/>
    <w:rsid w:val="00373F68"/>
    <w:rsid w:val="00374587"/>
    <w:rsid w:val="0037569D"/>
    <w:rsid w:val="00380393"/>
    <w:rsid w:val="003817F1"/>
    <w:rsid w:val="00381D56"/>
    <w:rsid w:val="00383285"/>
    <w:rsid w:val="00383B0D"/>
    <w:rsid w:val="003855C0"/>
    <w:rsid w:val="00385EDE"/>
    <w:rsid w:val="00386168"/>
    <w:rsid w:val="0038658A"/>
    <w:rsid w:val="003905CA"/>
    <w:rsid w:val="0039074F"/>
    <w:rsid w:val="00392A27"/>
    <w:rsid w:val="00394A6F"/>
    <w:rsid w:val="00396940"/>
    <w:rsid w:val="003973A9"/>
    <w:rsid w:val="003A047C"/>
    <w:rsid w:val="003A1D3A"/>
    <w:rsid w:val="003A2983"/>
    <w:rsid w:val="003A3364"/>
    <w:rsid w:val="003A3A33"/>
    <w:rsid w:val="003A4133"/>
    <w:rsid w:val="003A60E8"/>
    <w:rsid w:val="003A6AA2"/>
    <w:rsid w:val="003B098D"/>
    <w:rsid w:val="003B1EE0"/>
    <w:rsid w:val="003B4743"/>
    <w:rsid w:val="003B646B"/>
    <w:rsid w:val="003B73F7"/>
    <w:rsid w:val="003C0155"/>
    <w:rsid w:val="003C0C88"/>
    <w:rsid w:val="003C231C"/>
    <w:rsid w:val="003C3614"/>
    <w:rsid w:val="003C5173"/>
    <w:rsid w:val="003C51D9"/>
    <w:rsid w:val="003C5624"/>
    <w:rsid w:val="003C5AC7"/>
    <w:rsid w:val="003C60A8"/>
    <w:rsid w:val="003C7213"/>
    <w:rsid w:val="003C73D0"/>
    <w:rsid w:val="003D0802"/>
    <w:rsid w:val="003D13B3"/>
    <w:rsid w:val="003D166D"/>
    <w:rsid w:val="003D27B1"/>
    <w:rsid w:val="003D44A2"/>
    <w:rsid w:val="003D4FD7"/>
    <w:rsid w:val="003D699C"/>
    <w:rsid w:val="003D6A51"/>
    <w:rsid w:val="003E11DA"/>
    <w:rsid w:val="003E3BC0"/>
    <w:rsid w:val="003E5D66"/>
    <w:rsid w:val="003E67D0"/>
    <w:rsid w:val="003E7466"/>
    <w:rsid w:val="003E7E2E"/>
    <w:rsid w:val="003F2EE7"/>
    <w:rsid w:val="003F3759"/>
    <w:rsid w:val="003F5078"/>
    <w:rsid w:val="003F5669"/>
    <w:rsid w:val="003F6E85"/>
    <w:rsid w:val="003F7D19"/>
    <w:rsid w:val="00400A93"/>
    <w:rsid w:val="004033C6"/>
    <w:rsid w:val="00403D9F"/>
    <w:rsid w:val="00404BBE"/>
    <w:rsid w:val="00405378"/>
    <w:rsid w:val="004066E3"/>
    <w:rsid w:val="00407F91"/>
    <w:rsid w:val="0041131E"/>
    <w:rsid w:val="00411838"/>
    <w:rsid w:val="00414888"/>
    <w:rsid w:val="004158C2"/>
    <w:rsid w:val="00417735"/>
    <w:rsid w:val="00420058"/>
    <w:rsid w:val="004204CD"/>
    <w:rsid w:val="0042110E"/>
    <w:rsid w:val="004211C9"/>
    <w:rsid w:val="00421223"/>
    <w:rsid w:val="004226CE"/>
    <w:rsid w:val="004229C2"/>
    <w:rsid w:val="00424196"/>
    <w:rsid w:val="00425C92"/>
    <w:rsid w:val="004276CC"/>
    <w:rsid w:val="0043025E"/>
    <w:rsid w:val="00431450"/>
    <w:rsid w:val="004318FE"/>
    <w:rsid w:val="00434624"/>
    <w:rsid w:val="00434F8E"/>
    <w:rsid w:val="00440282"/>
    <w:rsid w:val="004415B9"/>
    <w:rsid w:val="00441DAA"/>
    <w:rsid w:val="004435BD"/>
    <w:rsid w:val="0044642E"/>
    <w:rsid w:val="00446774"/>
    <w:rsid w:val="00450862"/>
    <w:rsid w:val="00454E9F"/>
    <w:rsid w:val="004562D4"/>
    <w:rsid w:val="00460655"/>
    <w:rsid w:val="00460E12"/>
    <w:rsid w:val="00461B44"/>
    <w:rsid w:val="004622DC"/>
    <w:rsid w:val="0046391B"/>
    <w:rsid w:val="00467DC9"/>
    <w:rsid w:val="00470774"/>
    <w:rsid w:val="00471363"/>
    <w:rsid w:val="0047194F"/>
    <w:rsid w:val="00472225"/>
    <w:rsid w:val="0047350E"/>
    <w:rsid w:val="004759AC"/>
    <w:rsid w:val="00475EBF"/>
    <w:rsid w:val="0047656F"/>
    <w:rsid w:val="00480771"/>
    <w:rsid w:val="004808F2"/>
    <w:rsid w:val="00482CE3"/>
    <w:rsid w:val="00484FD2"/>
    <w:rsid w:val="004861B0"/>
    <w:rsid w:val="004905B0"/>
    <w:rsid w:val="00493206"/>
    <w:rsid w:val="0049328F"/>
    <w:rsid w:val="00494320"/>
    <w:rsid w:val="00496C62"/>
    <w:rsid w:val="0049712C"/>
    <w:rsid w:val="00497687"/>
    <w:rsid w:val="004A11C4"/>
    <w:rsid w:val="004A1351"/>
    <w:rsid w:val="004A1FE5"/>
    <w:rsid w:val="004A2C2F"/>
    <w:rsid w:val="004A4C9B"/>
    <w:rsid w:val="004A6623"/>
    <w:rsid w:val="004A6E62"/>
    <w:rsid w:val="004A6F53"/>
    <w:rsid w:val="004B01CD"/>
    <w:rsid w:val="004B068D"/>
    <w:rsid w:val="004B20DB"/>
    <w:rsid w:val="004B2DD7"/>
    <w:rsid w:val="004B46C4"/>
    <w:rsid w:val="004B6D8F"/>
    <w:rsid w:val="004C07E3"/>
    <w:rsid w:val="004C0C3A"/>
    <w:rsid w:val="004C15A3"/>
    <w:rsid w:val="004C1962"/>
    <w:rsid w:val="004C1F5B"/>
    <w:rsid w:val="004C3569"/>
    <w:rsid w:val="004C3D1D"/>
    <w:rsid w:val="004C4D58"/>
    <w:rsid w:val="004C6A3C"/>
    <w:rsid w:val="004C6EE2"/>
    <w:rsid w:val="004D126D"/>
    <w:rsid w:val="004D26E6"/>
    <w:rsid w:val="004D3CA3"/>
    <w:rsid w:val="004D41C5"/>
    <w:rsid w:val="004D4C5E"/>
    <w:rsid w:val="004D4E05"/>
    <w:rsid w:val="004D545C"/>
    <w:rsid w:val="004D610A"/>
    <w:rsid w:val="004D732D"/>
    <w:rsid w:val="004E2330"/>
    <w:rsid w:val="004E3B7F"/>
    <w:rsid w:val="004E4DD1"/>
    <w:rsid w:val="004E4F8F"/>
    <w:rsid w:val="004E538C"/>
    <w:rsid w:val="004E6F58"/>
    <w:rsid w:val="004F1D3F"/>
    <w:rsid w:val="004F4BB1"/>
    <w:rsid w:val="004F528B"/>
    <w:rsid w:val="004F666C"/>
    <w:rsid w:val="00500150"/>
    <w:rsid w:val="005015E9"/>
    <w:rsid w:val="005019D8"/>
    <w:rsid w:val="005026C2"/>
    <w:rsid w:val="0050468F"/>
    <w:rsid w:val="00511EC0"/>
    <w:rsid w:val="00514445"/>
    <w:rsid w:val="0051530E"/>
    <w:rsid w:val="00520109"/>
    <w:rsid w:val="00522FB2"/>
    <w:rsid w:val="005233E7"/>
    <w:rsid w:val="00524A7D"/>
    <w:rsid w:val="00525564"/>
    <w:rsid w:val="0052574C"/>
    <w:rsid w:val="00526679"/>
    <w:rsid w:val="005274DE"/>
    <w:rsid w:val="005278B5"/>
    <w:rsid w:val="00531504"/>
    <w:rsid w:val="005320D2"/>
    <w:rsid w:val="005339CD"/>
    <w:rsid w:val="00540DD3"/>
    <w:rsid w:val="00541181"/>
    <w:rsid w:val="00543720"/>
    <w:rsid w:val="005439F7"/>
    <w:rsid w:val="005473B2"/>
    <w:rsid w:val="00547424"/>
    <w:rsid w:val="00550240"/>
    <w:rsid w:val="00553AFD"/>
    <w:rsid w:val="0055510F"/>
    <w:rsid w:val="00555842"/>
    <w:rsid w:val="00555A88"/>
    <w:rsid w:val="005570F5"/>
    <w:rsid w:val="005646F3"/>
    <w:rsid w:val="00565856"/>
    <w:rsid w:val="00565E79"/>
    <w:rsid w:val="00566302"/>
    <w:rsid w:val="0056630C"/>
    <w:rsid w:val="00566585"/>
    <w:rsid w:val="00567FE0"/>
    <w:rsid w:val="00574131"/>
    <w:rsid w:val="005801E5"/>
    <w:rsid w:val="0058152F"/>
    <w:rsid w:val="00581584"/>
    <w:rsid w:val="00584215"/>
    <w:rsid w:val="0058524E"/>
    <w:rsid w:val="00590D96"/>
    <w:rsid w:val="00597252"/>
    <w:rsid w:val="005A07F6"/>
    <w:rsid w:val="005A2262"/>
    <w:rsid w:val="005A44CA"/>
    <w:rsid w:val="005A4686"/>
    <w:rsid w:val="005A4CCB"/>
    <w:rsid w:val="005A4ECE"/>
    <w:rsid w:val="005A52EF"/>
    <w:rsid w:val="005A6F28"/>
    <w:rsid w:val="005B136E"/>
    <w:rsid w:val="005B393D"/>
    <w:rsid w:val="005B3D48"/>
    <w:rsid w:val="005B4294"/>
    <w:rsid w:val="005B46A2"/>
    <w:rsid w:val="005B49CF"/>
    <w:rsid w:val="005B7049"/>
    <w:rsid w:val="005B78BF"/>
    <w:rsid w:val="005C0117"/>
    <w:rsid w:val="005C5AF5"/>
    <w:rsid w:val="005C5E22"/>
    <w:rsid w:val="005D1BF1"/>
    <w:rsid w:val="005D4B8A"/>
    <w:rsid w:val="005D6A31"/>
    <w:rsid w:val="005D6BEF"/>
    <w:rsid w:val="005D7121"/>
    <w:rsid w:val="005D77E3"/>
    <w:rsid w:val="005E0338"/>
    <w:rsid w:val="005E1237"/>
    <w:rsid w:val="005E2072"/>
    <w:rsid w:val="005E2A82"/>
    <w:rsid w:val="005E335D"/>
    <w:rsid w:val="005E49EF"/>
    <w:rsid w:val="005F03AF"/>
    <w:rsid w:val="005F14F1"/>
    <w:rsid w:val="005F16F6"/>
    <w:rsid w:val="00600ADF"/>
    <w:rsid w:val="00600BE5"/>
    <w:rsid w:val="00600DD7"/>
    <w:rsid w:val="0060145E"/>
    <w:rsid w:val="00601954"/>
    <w:rsid w:val="006030EA"/>
    <w:rsid w:val="00603344"/>
    <w:rsid w:val="00613776"/>
    <w:rsid w:val="006147C7"/>
    <w:rsid w:val="00615A4C"/>
    <w:rsid w:val="00615E9B"/>
    <w:rsid w:val="00615FF8"/>
    <w:rsid w:val="00616459"/>
    <w:rsid w:val="00616D18"/>
    <w:rsid w:val="006172D0"/>
    <w:rsid w:val="00620AC6"/>
    <w:rsid w:val="00621844"/>
    <w:rsid w:val="00622FEF"/>
    <w:rsid w:val="00623ED5"/>
    <w:rsid w:val="00625B04"/>
    <w:rsid w:val="0063069E"/>
    <w:rsid w:val="006315B8"/>
    <w:rsid w:val="00631634"/>
    <w:rsid w:val="00632EA7"/>
    <w:rsid w:val="00633E0F"/>
    <w:rsid w:val="00637DFF"/>
    <w:rsid w:val="00640A58"/>
    <w:rsid w:val="00641CCD"/>
    <w:rsid w:val="006426A5"/>
    <w:rsid w:val="00642B39"/>
    <w:rsid w:val="00643271"/>
    <w:rsid w:val="006449D8"/>
    <w:rsid w:val="00646C57"/>
    <w:rsid w:val="00650477"/>
    <w:rsid w:val="00650485"/>
    <w:rsid w:val="006506AD"/>
    <w:rsid w:val="006519F7"/>
    <w:rsid w:val="00651C9D"/>
    <w:rsid w:val="00653E88"/>
    <w:rsid w:val="00655657"/>
    <w:rsid w:val="00656C35"/>
    <w:rsid w:val="00662DC2"/>
    <w:rsid w:val="00666309"/>
    <w:rsid w:val="00671F67"/>
    <w:rsid w:val="00672DA7"/>
    <w:rsid w:val="00672F15"/>
    <w:rsid w:val="006733F1"/>
    <w:rsid w:val="006743F7"/>
    <w:rsid w:val="00674B5F"/>
    <w:rsid w:val="006751F0"/>
    <w:rsid w:val="00675967"/>
    <w:rsid w:val="00681A33"/>
    <w:rsid w:val="00682A1F"/>
    <w:rsid w:val="00683C8B"/>
    <w:rsid w:val="00684F4D"/>
    <w:rsid w:val="006853A0"/>
    <w:rsid w:val="00686E1D"/>
    <w:rsid w:val="00686F4C"/>
    <w:rsid w:val="00687603"/>
    <w:rsid w:val="00687CC1"/>
    <w:rsid w:val="00687D21"/>
    <w:rsid w:val="0069317F"/>
    <w:rsid w:val="00693DA5"/>
    <w:rsid w:val="00694DB1"/>
    <w:rsid w:val="00694E69"/>
    <w:rsid w:val="00695ABB"/>
    <w:rsid w:val="006976F0"/>
    <w:rsid w:val="006979E2"/>
    <w:rsid w:val="006A1800"/>
    <w:rsid w:val="006A191B"/>
    <w:rsid w:val="006A1CEF"/>
    <w:rsid w:val="006A305B"/>
    <w:rsid w:val="006A45E9"/>
    <w:rsid w:val="006A5B1D"/>
    <w:rsid w:val="006A647C"/>
    <w:rsid w:val="006B2049"/>
    <w:rsid w:val="006B25D8"/>
    <w:rsid w:val="006B2666"/>
    <w:rsid w:val="006B45BB"/>
    <w:rsid w:val="006B4F59"/>
    <w:rsid w:val="006B6D58"/>
    <w:rsid w:val="006B7A00"/>
    <w:rsid w:val="006C202C"/>
    <w:rsid w:val="006C26F8"/>
    <w:rsid w:val="006C412F"/>
    <w:rsid w:val="006C7ECF"/>
    <w:rsid w:val="006D3AEB"/>
    <w:rsid w:val="006D4107"/>
    <w:rsid w:val="006D49FD"/>
    <w:rsid w:val="006D69B4"/>
    <w:rsid w:val="006D77F6"/>
    <w:rsid w:val="006D7EC8"/>
    <w:rsid w:val="006E1B56"/>
    <w:rsid w:val="006E6933"/>
    <w:rsid w:val="006E7685"/>
    <w:rsid w:val="006F0635"/>
    <w:rsid w:val="006F1478"/>
    <w:rsid w:val="006F3A4F"/>
    <w:rsid w:val="006F605B"/>
    <w:rsid w:val="006F6E7B"/>
    <w:rsid w:val="006F78D1"/>
    <w:rsid w:val="006F7B7E"/>
    <w:rsid w:val="00700AE0"/>
    <w:rsid w:val="00700BB2"/>
    <w:rsid w:val="007014C3"/>
    <w:rsid w:val="00705541"/>
    <w:rsid w:val="007058B2"/>
    <w:rsid w:val="00705A18"/>
    <w:rsid w:val="007063EE"/>
    <w:rsid w:val="00706A8C"/>
    <w:rsid w:val="007075CB"/>
    <w:rsid w:val="007106F9"/>
    <w:rsid w:val="0071231A"/>
    <w:rsid w:val="00713A13"/>
    <w:rsid w:val="00716394"/>
    <w:rsid w:val="00717102"/>
    <w:rsid w:val="00720E87"/>
    <w:rsid w:val="00724241"/>
    <w:rsid w:val="00725398"/>
    <w:rsid w:val="00725A4F"/>
    <w:rsid w:val="00725FE1"/>
    <w:rsid w:val="00727EDD"/>
    <w:rsid w:val="007311C7"/>
    <w:rsid w:val="00731E7A"/>
    <w:rsid w:val="00734256"/>
    <w:rsid w:val="00734BFF"/>
    <w:rsid w:val="00734F03"/>
    <w:rsid w:val="00734F8F"/>
    <w:rsid w:val="00740CF4"/>
    <w:rsid w:val="00741375"/>
    <w:rsid w:val="00741CD6"/>
    <w:rsid w:val="00744EFB"/>
    <w:rsid w:val="007457AA"/>
    <w:rsid w:val="00747191"/>
    <w:rsid w:val="00750BE5"/>
    <w:rsid w:val="007511CF"/>
    <w:rsid w:val="007513DF"/>
    <w:rsid w:val="007526AE"/>
    <w:rsid w:val="007548E8"/>
    <w:rsid w:val="00755F4D"/>
    <w:rsid w:val="0075622C"/>
    <w:rsid w:val="00760AB2"/>
    <w:rsid w:val="00761407"/>
    <w:rsid w:val="00762D23"/>
    <w:rsid w:val="007631D5"/>
    <w:rsid w:val="00763FCB"/>
    <w:rsid w:val="00766187"/>
    <w:rsid w:val="00766FA7"/>
    <w:rsid w:val="0077061C"/>
    <w:rsid w:val="0077519F"/>
    <w:rsid w:val="00775B1E"/>
    <w:rsid w:val="00776461"/>
    <w:rsid w:val="00782D83"/>
    <w:rsid w:val="00782DD9"/>
    <w:rsid w:val="00783006"/>
    <w:rsid w:val="00783E79"/>
    <w:rsid w:val="00786E64"/>
    <w:rsid w:val="007873A1"/>
    <w:rsid w:val="007876E1"/>
    <w:rsid w:val="007908C6"/>
    <w:rsid w:val="0079303A"/>
    <w:rsid w:val="00796003"/>
    <w:rsid w:val="00796846"/>
    <w:rsid w:val="0079751E"/>
    <w:rsid w:val="007A2284"/>
    <w:rsid w:val="007A25EF"/>
    <w:rsid w:val="007A3C7C"/>
    <w:rsid w:val="007A3F96"/>
    <w:rsid w:val="007A55B6"/>
    <w:rsid w:val="007A58D1"/>
    <w:rsid w:val="007A74F2"/>
    <w:rsid w:val="007B0FE0"/>
    <w:rsid w:val="007B20C5"/>
    <w:rsid w:val="007B2298"/>
    <w:rsid w:val="007B3C48"/>
    <w:rsid w:val="007B56AF"/>
    <w:rsid w:val="007B5EF5"/>
    <w:rsid w:val="007B5F23"/>
    <w:rsid w:val="007C007B"/>
    <w:rsid w:val="007C034D"/>
    <w:rsid w:val="007C2245"/>
    <w:rsid w:val="007C2A67"/>
    <w:rsid w:val="007C58E8"/>
    <w:rsid w:val="007C6B42"/>
    <w:rsid w:val="007D0056"/>
    <w:rsid w:val="007D267D"/>
    <w:rsid w:val="007D35F2"/>
    <w:rsid w:val="007D6EB2"/>
    <w:rsid w:val="007D72A9"/>
    <w:rsid w:val="007E0661"/>
    <w:rsid w:val="007E1C10"/>
    <w:rsid w:val="007E1DF3"/>
    <w:rsid w:val="007E1FDC"/>
    <w:rsid w:val="007E38AE"/>
    <w:rsid w:val="007E42A2"/>
    <w:rsid w:val="007E6B7A"/>
    <w:rsid w:val="007E7103"/>
    <w:rsid w:val="007F33E7"/>
    <w:rsid w:val="007F4624"/>
    <w:rsid w:val="008003EA"/>
    <w:rsid w:val="008019A6"/>
    <w:rsid w:val="00801BD3"/>
    <w:rsid w:val="00802921"/>
    <w:rsid w:val="0080293B"/>
    <w:rsid w:val="00805294"/>
    <w:rsid w:val="00806A5C"/>
    <w:rsid w:val="0081014B"/>
    <w:rsid w:val="00810C8D"/>
    <w:rsid w:val="00810CDB"/>
    <w:rsid w:val="0081398B"/>
    <w:rsid w:val="008147A5"/>
    <w:rsid w:val="008156F1"/>
    <w:rsid w:val="00816383"/>
    <w:rsid w:val="00817FA9"/>
    <w:rsid w:val="0082009B"/>
    <w:rsid w:val="00821231"/>
    <w:rsid w:val="0082205B"/>
    <w:rsid w:val="00822B4E"/>
    <w:rsid w:val="008243A6"/>
    <w:rsid w:val="00825E9A"/>
    <w:rsid w:val="008301A4"/>
    <w:rsid w:val="008324C4"/>
    <w:rsid w:val="008324CD"/>
    <w:rsid w:val="00833DA0"/>
    <w:rsid w:val="0083429C"/>
    <w:rsid w:val="00834DAB"/>
    <w:rsid w:val="0083640F"/>
    <w:rsid w:val="00837A85"/>
    <w:rsid w:val="00837AAB"/>
    <w:rsid w:val="00843527"/>
    <w:rsid w:val="00847204"/>
    <w:rsid w:val="008476E0"/>
    <w:rsid w:val="00850F02"/>
    <w:rsid w:val="0085187D"/>
    <w:rsid w:val="008572BD"/>
    <w:rsid w:val="00857C81"/>
    <w:rsid w:val="008623A2"/>
    <w:rsid w:val="00862E6E"/>
    <w:rsid w:val="00863758"/>
    <w:rsid w:val="008637B5"/>
    <w:rsid w:val="00864465"/>
    <w:rsid w:val="00864C46"/>
    <w:rsid w:val="00873846"/>
    <w:rsid w:val="00876FCA"/>
    <w:rsid w:val="008803AA"/>
    <w:rsid w:val="008808C1"/>
    <w:rsid w:val="0088467E"/>
    <w:rsid w:val="00885B4F"/>
    <w:rsid w:val="00887FCD"/>
    <w:rsid w:val="00892018"/>
    <w:rsid w:val="00893825"/>
    <w:rsid w:val="00894F38"/>
    <w:rsid w:val="008A1078"/>
    <w:rsid w:val="008A1E93"/>
    <w:rsid w:val="008A31B4"/>
    <w:rsid w:val="008A40EE"/>
    <w:rsid w:val="008A427A"/>
    <w:rsid w:val="008A659C"/>
    <w:rsid w:val="008A7C42"/>
    <w:rsid w:val="008B03C3"/>
    <w:rsid w:val="008B1169"/>
    <w:rsid w:val="008B2BE0"/>
    <w:rsid w:val="008B2D5D"/>
    <w:rsid w:val="008B35B8"/>
    <w:rsid w:val="008B3A0E"/>
    <w:rsid w:val="008B4863"/>
    <w:rsid w:val="008C1206"/>
    <w:rsid w:val="008C39B1"/>
    <w:rsid w:val="008C4B78"/>
    <w:rsid w:val="008C5D13"/>
    <w:rsid w:val="008C75EB"/>
    <w:rsid w:val="008D12D8"/>
    <w:rsid w:val="008D281E"/>
    <w:rsid w:val="008D5F09"/>
    <w:rsid w:val="008D6800"/>
    <w:rsid w:val="008D6FF5"/>
    <w:rsid w:val="008E0EAB"/>
    <w:rsid w:val="008E2C91"/>
    <w:rsid w:val="008E446A"/>
    <w:rsid w:val="008E67A6"/>
    <w:rsid w:val="008E7D95"/>
    <w:rsid w:val="008F0218"/>
    <w:rsid w:val="008F363E"/>
    <w:rsid w:val="008F3C81"/>
    <w:rsid w:val="008F41AF"/>
    <w:rsid w:val="008F4736"/>
    <w:rsid w:val="00902E44"/>
    <w:rsid w:val="00903299"/>
    <w:rsid w:val="00903EBF"/>
    <w:rsid w:val="00911792"/>
    <w:rsid w:val="009120F4"/>
    <w:rsid w:val="0091330C"/>
    <w:rsid w:val="009146AA"/>
    <w:rsid w:val="0091771D"/>
    <w:rsid w:val="009231F7"/>
    <w:rsid w:val="009242C0"/>
    <w:rsid w:val="00924CFE"/>
    <w:rsid w:val="009260EE"/>
    <w:rsid w:val="009308C9"/>
    <w:rsid w:val="00930A5C"/>
    <w:rsid w:val="00930B74"/>
    <w:rsid w:val="00932DA7"/>
    <w:rsid w:val="00932F0B"/>
    <w:rsid w:val="00933080"/>
    <w:rsid w:val="00934155"/>
    <w:rsid w:val="00936D9B"/>
    <w:rsid w:val="00936DD6"/>
    <w:rsid w:val="00937004"/>
    <w:rsid w:val="0093779E"/>
    <w:rsid w:val="00940423"/>
    <w:rsid w:val="00944D0F"/>
    <w:rsid w:val="00946567"/>
    <w:rsid w:val="0095173F"/>
    <w:rsid w:val="00952C38"/>
    <w:rsid w:val="00962FFC"/>
    <w:rsid w:val="0096566C"/>
    <w:rsid w:val="00971289"/>
    <w:rsid w:val="00971545"/>
    <w:rsid w:val="009752E9"/>
    <w:rsid w:val="00977498"/>
    <w:rsid w:val="0097758E"/>
    <w:rsid w:val="00977E48"/>
    <w:rsid w:val="00977F15"/>
    <w:rsid w:val="0098104D"/>
    <w:rsid w:val="00982120"/>
    <w:rsid w:val="00982D89"/>
    <w:rsid w:val="00986891"/>
    <w:rsid w:val="00987696"/>
    <w:rsid w:val="00990EAB"/>
    <w:rsid w:val="009974E3"/>
    <w:rsid w:val="009976D5"/>
    <w:rsid w:val="009A4647"/>
    <w:rsid w:val="009A4CEF"/>
    <w:rsid w:val="009B04E1"/>
    <w:rsid w:val="009B0F6B"/>
    <w:rsid w:val="009B28F8"/>
    <w:rsid w:val="009B3346"/>
    <w:rsid w:val="009B5342"/>
    <w:rsid w:val="009B6644"/>
    <w:rsid w:val="009C0E86"/>
    <w:rsid w:val="009C11FB"/>
    <w:rsid w:val="009C14D6"/>
    <w:rsid w:val="009C62B0"/>
    <w:rsid w:val="009D14D7"/>
    <w:rsid w:val="009D2CF9"/>
    <w:rsid w:val="009D3554"/>
    <w:rsid w:val="009D4B32"/>
    <w:rsid w:val="009D6108"/>
    <w:rsid w:val="009D7F2F"/>
    <w:rsid w:val="009E13E4"/>
    <w:rsid w:val="009E17EF"/>
    <w:rsid w:val="009E1FFD"/>
    <w:rsid w:val="009E2AFF"/>
    <w:rsid w:val="009E620F"/>
    <w:rsid w:val="009E6630"/>
    <w:rsid w:val="009E6EFD"/>
    <w:rsid w:val="009F01F5"/>
    <w:rsid w:val="009F4D84"/>
    <w:rsid w:val="009F4DF5"/>
    <w:rsid w:val="009F52C8"/>
    <w:rsid w:val="009F72C1"/>
    <w:rsid w:val="009F797F"/>
    <w:rsid w:val="00A031D1"/>
    <w:rsid w:val="00A045C6"/>
    <w:rsid w:val="00A06418"/>
    <w:rsid w:val="00A0641B"/>
    <w:rsid w:val="00A07BFF"/>
    <w:rsid w:val="00A121B3"/>
    <w:rsid w:val="00A123B5"/>
    <w:rsid w:val="00A141AE"/>
    <w:rsid w:val="00A1621B"/>
    <w:rsid w:val="00A21FAE"/>
    <w:rsid w:val="00A22B83"/>
    <w:rsid w:val="00A24861"/>
    <w:rsid w:val="00A256BE"/>
    <w:rsid w:val="00A25B08"/>
    <w:rsid w:val="00A27AB3"/>
    <w:rsid w:val="00A303F7"/>
    <w:rsid w:val="00A3099B"/>
    <w:rsid w:val="00A31368"/>
    <w:rsid w:val="00A32275"/>
    <w:rsid w:val="00A3343C"/>
    <w:rsid w:val="00A34299"/>
    <w:rsid w:val="00A34DB7"/>
    <w:rsid w:val="00A35285"/>
    <w:rsid w:val="00A36AC1"/>
    <w:rsid w:val="00A40DCF"/>
    <w:rsid w:val="00A41987"/>
    <w:rsid w:val="00A44011"/>
    <w:rsid w:val="00A44C3D"/>
    <w:rsid w:val="00A45DAF"/>
    <w:rsid w:val="00A4657B"/>
    <w:rsid w:val="00A47B5E"/>
    <w:rsid w:val="00A51E41"/>
    <w:rsid w:val="00A54929"/>
    <w:rsid w:val="00A562CF"/>
    <w:rsid w:val="00A600EC"/>
    <w:rsid w:val="00A60E4F"/>
    <w:rsid w:val="00A64571"/>
    <w:rsid w:val="00A65435"/>
    <w:rsid w:val="00A70F78"/>
    <w:rsid w:val="00A779A1"/>
    <w:rsid w:val="00A828DD"/>
    <w:rsid w:val="00A82967"/>
    <w:rsid w:val="00A83996"/>
    <w:rsid w:val="00A84878"/>
    <w:rsid w:val="00A86541"/>
    <w:rsid w:val="00A875B4"/>
    <w:rsid w:val="00A90307"/>
    <w:rsid w:val="00A90AC8"/>
    <w:rsid w:val="00A94129"/>
    <w:rsid w:val="00AA0B94"/>
    <w:rsid w:val="00AA1B40"/>
    <w:rsid w:val="00AA1E94"/>
    <w:rsid w:val="00AA37EC"/>
    <w:rsid w:val="00AA3E1E"/>
    <w:rsid w:val="00AA4AD4"/>
    <w:rsid w:val="00AA4E1F"/>
    <w:rsid w:val="00AA61A8"/>
    <w:rsid w:val="00AB0F71"/>
    <w:rsid w:val="00AB0F79"/>
    <w:rsid w:val="00AB5030"/>
    <w:rsid w:val="00AB6CCD"/>
    <w:rsid w:val="00AB7276"/>
    <w:rsid w:val="00AC00BD"/>
    <w:rsid w:val="00AC34E3"/>
    <w:rsid w:val="00AC37F8"/>
    <w:rsid w:val="00AC4550"/>
    <w:rsid w:val="00AD0F98"/>
    <w:rsid w:val="00AD2135"/>
    <w:rsid w:val="00AD2B0F"/>
    <w:rsid w:val="00AD5326"/>
    <w:rsid w:val="00AE06D5"/>
    <w:rsid w:val="00AE1682"/>
    <w:rsid w:val="00AE2567"/>
    <w:rsid w:val="00AE3769"/>
    <w:rsid w:val="00AE487F"/>
    <w:rsid w:val="00AE6069"/>
    <w:rsid w:val="00AE65C7"/>
    <w:rsid w:val="00AE6F43"/>
    <w:rsid w:val="00AE6FB5"/>
    <w:rsid w:val="00AE7D2F"/>
    <w:rsid w:val="00AF0292"/>
    <w:rsid w:val="00AF0AFE"/>
    <w:rsid w:val="00AF299A"/>
    <w:rsid w:val="00AF3B40"/>
    <w:rsid w:val="00AF557E"/>
    <w:rsid w:val="00AF64CE"/>
    <w:rsid w:val="00B040C8"/>
    <w:rsid w:val="00B045C9"/>
    <w:rsid w:val="00B04953"/>
    <w:rsid w:val="00B05A1F"/>
    <w:rsid w:val="00B06369"/>
    <w:rsid w:val="00B10764"/>
    <w:rsid w:val="00B112E1"/>
    <w:rsid w:val="00B119B3"/>
    <w:rsid w:val="00B140E7"/>
    <w:rsid w:val="00B163D1"/>
    <w:rsid w:val="00B172E1"/>
    <w:rsid w:val="00B17461"/>
    <w:rsid w:val="00B22385"/>
    <w:rsid w:val="00B22856"/>
    <w:rsid w:val="00B24127"/>
    <w:rsid w:val="00B24477"/>
    <w:rsid w:val="00B32449"/>
    <w:rsid w:val="00B3340F"/>
    <w:rsid w:val="00B336AC"/>
    <w:rsid w:val="00B33848"/>
    <w:rsid w:val="00B3387E"/>
    <w:rsid w:val="00B33B60"/>
    <w:rsid w:val="00B33C6F"/>
    <w:rsid w:val="00B34FD3"/>
    <w:rsid w:val="00B35C02"/>
    <w:rsid w:val="00B37736"/>
    <w:rsid w:val="00B43C80"/>
    <w:rsid w:val="00B454AC"/>
    <w:rsid w:val="00B457A9"/>
    <w:rsid w:val="00B4661A"/>
    <w:rsid w:val="00B46A1F"/>
    <w:rsid w:val="00B47C4D"/>
    <w:rsid w:val="00B50F5A"/>
    <w:rsid w:val="00B514DD"/>
    <w:rsid w:val="00B51C8D"/>
    <w:rsid w:val="00B51CDF"/>
    <w:rsid w:val="00B52ADB"/>
    <w:rsid w:val="00B53107"/>
    <w:rsid w:val="00B54D94"/>
    <w:rsid w:val="00B563B8"/>
    <w:rsid w:val="00B632A5"/>
    <w:rsid w:val="00B63F42"/>
    <w:rsid w:val="00B70060"/>
    <w:rsid w:val="00B74F09"/>
    <w:rsid w:val="00B76C4B"/>
    <w:rsid w:val="00B831D1"/>
    <w:rsid w:val="00B84494"/>
    <w:rsid w:val="00B84C8D"/>
    <w:rsid w:val="00B84C8F"/>
    <w:rsid w:val="00B8610D"/>
    <w:rsid w:val="00B86FAA"/>
    <w:rsid w:val="00B87C40"/>
    <w:rsid w:val="00B87EA1"/>
    <w:rsid w:val="00B90F06"/>
    <w:rsid w:val="00B93718"/>
    <w:rsid w:val="00B96643"/>
    <w:rsid w:val="00B9702F"/>
    <w:rsid w:val="00BA2407"/>
    <w:rsid w:val="00BA44F0"/>
    <w:rsid w:val="00BA55A0"/>
    <w:rsid w:val="00BA593A"/>
    <w:rsid w:val="00BA5CBF"/>
    <w:rsid w:val="00BA5F29"/>
    <w:rsid w:val="00BA616B"/>
    <w:rsid w:val="00BA773B"/>
    <w:rsid w:val="00BB5225"/>
    <w:rsid w:val="00BB59C6"/>
    <w:rsid w:val="00BB747D"/>
    <w:rsid w:val="00BC020D"/>
    <w:rsid w:val="00BC341D"/>
    <w:rsid w:val="00BC4C4C"/>
    <w:rsid w:val="00BC5C6C"/>
    <w:rsid w:val="00BC7438"/>
    <w:rsid w:val="00BD0642"/>
    <w:rsid w:val="00BD4E96"/>
    <w:rsid w:val="00BD7138"/>
    <w:rsid w:val="00BD7F6F"/>
    <w:rsid w:val="00BE1A49"/>
    <w:rsid w:val="00BE5E87"/>
    <w:rsid w:val="00BF12C9"/>
    <w:rsid w:val="00BF18EA"/>
    <w:rsid w:val="00BF2116"/>
    <w:rsid w:val="00BF25BE"/>
    <w:rsid w:val="00BF3CC2"/>
    <w:rsid w:val="00BF6739"/>
    <w:rsid w:val="00BF6947"/>
    <w:rsid w:val="00BF713E"/>
    <w:rsid w:val="00C0013A"/>
    <w:rsid w:val="00C00203"/>
    <w:rsid w:val="00C00FB2"/>
    <w:rsid w:val="00C0170A"/>
    <w:rsid w:val="00C017A8"/>
    <w:rsid w:val="00C02B4E"/>
    <w:rsid w:val="00C03AB0"/>
    <w:rsid w:val="00C03DA0"/>
    <w:rsid w:val="00C04524"/>
    <w:rsid w:val="00C0491E"/>
    <w:rsid w:val="00C058B3"/>
    <w:rsid w:val="00C060CF"/>
    <w:rsid w:val="00C06607"/>
    <w:rsid w:val="00C0679F"/>
    <w:rsid w:val="00C07EB0"/>
    <w:rsid w:val="00C10BB6"/>
    <w:rsid w:val="00C11560"/>
    <w:rsid w:val="00C11ECA"/>
    <w:rsid w:val="00C12587"/>
    <w:rsid w:val="00C12A0A"/>
    <w:rsid w:val="00C12AF6"/>
    <w:rsid w:val="00C21918"/>
    <w:rsid w:val="00C21ED9"/>
    <w:rsid w:val="00C22FBC"/>
    <w:rsid w:val="00C2367B"/>
    <w:rsid w:val="00C24228"/>
    <w:rsid w:val="00C25ADF"/>
    <w:rsid w:val="00C27663"/>
    <w:rsid w:val="00C302F5"/>
    <w:rsid w:val="00C317F8"/>
    <w:rsid w:val="00C32906"/>
    <w:rsid w:val="00C33CD6"/>
    <w:rsid w:val="00C35924"/>
    <w:rsid w:val="00C35F7B"/>
    <w:rsid w:val="00C36E06"/>
    <w:rsid w:val="00C37DBF"/>
    <w:rsid w:val="00C41391"/>
    <w:rsid w:val="00C44150"/>
    <w:rsid w:val="00C4799B"/>
    <w:rsid w:val="00C5030E"/>
    <w:rsid w:val="00C51796"/>
    <w:rsid w:val="00C52899"/>
    <w:rsid w:val="00C53E70"/>
    <w:rsid w:val="00C53FDA"/>
    <w:rsid w:val="00C577E2"/>
    <w:rsid w:val="00C57F94"/>
    <w:rsid w:val="00C63298"/>
    <w:rsid w:val="00C657C8"/>
    <w:rsid w:val="00C6724A"/>
    <w:rsid w:val="00C702B2"/>
    <w:rsid w:val="00C7115D"/>
    <w:rsid w:val="00C77A29"/>
    <w:rsid w:val="00C8056A"/>
    <w:rsid w:val="00C8074E"/>
    <w:rsid w:val="00C8100D"/>
    <w:rsid w:val="00C81A43"/>
    <w:rsid w:val="00C826C8"/>
    <w:rsid w:val="00C82EB5"/>
    <w:rsid w:val="00C8302F"/>
    <w:rsid w:val="00C83913"/>
    <w:rsid w:val="00C86386"/>
    <w:rsid w:val="00C866F7"/>
    <w:rsid w:val="00C8693A"/>
    <w:rsid w:val="00C86F2B"/>
    <w:rsid w:val="00C9189F"/>
    <w:rsid w:val="00C91A04"/>
    <w:rsid w:val="00C93026"/>
    <w:rsid w:val="00C9358B"/>
    <w:rsid w:val="00C9410C"/>
    <w:rsid w:val="00C95E3A"/>
    <w:rsid w:val="00CA55A3"/>
    <w:rsid w:val="00CA6A6E"/>
    <w:rsid w:val="00CA786B"/>
    <w:rsid w:val="00CB7898"/>
    <w:rsid w:val="00CC0D4B"/>
    <w:rsid w:val="00CC2AF3"/>
    <w:rsid w:val="00CC4010"/>
    <w:rsid w:val="00CC6B64"/>
    <w:rsid w:val="00CD038C"/>
    <w:rsid w:val="00CD16B1"/>
    <w:rsid w:val="00CD1AC5"/>
    <w:rsid w:val="00CD4196"/>
    <w:rsid w:val="00CD5D21"/>
    <w:rsid w:val="00CD6849"/>
    <w:rsid w:val="00CD71B5"/>
    <w:rsid w:val="00CE01A4"/>
    <w:rsid w:val="00CE048E"/>
    <w:rsid w:val="00CE0C8B"/>
    <w:rsid w:val="00CE13A1"/>
    <w:rsid w:val="00CE3523"/>
    <w:rsid w:val="00CE38FD"/>
    <w:rsid w:val="00CE40AF"/>
    <w:rsid w:val="00CE4473"/>
    <w:rsid w:val="00CE4914"/>
    <w:rsid w:val="00CE4B67"/>
    <w:rsid w:val="00CE56F6"/>
    <w:rsid w:val="00CF419C"/>
    <w:rsid w:val="00CF442F"/>
    <w:rsid w:val="00D002BC"/>
    <w:rsid w:val="00D00B93"/>
    <w:rsid w:val="00D038AF"/>
    <w:rsid w:val="00D03F05"/>
    <w:rsid w:val="00D047CE"/>
    <w:rsid w:val="00D05BA7"/>
    <w:rsid w:val="00D067C5"/>
    <w:rsid w:val="00D070A0"/>
    <w:rsid w:val="00D1023C"/>
    <w:rsid w:val="00D15F5D"/>
    <w:rsid w:val="00D167DD"/>
    <w:rsid w:val="00D20DDE"/>
    <w:rsid w:val="00D22167"/>
    <w:rsid w:val="00D23B40"/>
    <w:rsid w:val="00D23F58"/>
    <w:rsid w:val="00D24539"/>
    <w:rsid w:val="00D25168"/>
    <w:rsid w:val="00D25D65"/>
    <w:rsid w:val="00D320F8"/>
    <w:rsid w:val="00D33683"/>
    <w:rsid w:val="00D344F0"/>
    <w:rsid w:val="00D3454E"/>
    <w:rsid w:val="00D377CF"/>
    <w:rsid w:val="00D4065B"/>
    <w:rsid w:val="00D4190C"/>
    <w:rsid w:val="00D41D5C"/>
    <w:rsid w:val="00D509ED"/>
    <w:rsid w:val="00D55619"/>
    <w:rsid w:val="00D5563C"/>
    <w:rsid w:val="00D60C45"/>
    <w:rsid w:val="00D60D2E"/>
    <w:rsid w:val="00D647F8"/>
    <w:rsid w:val="00D652DD"/>
    <w:rsid w:val="00D72EBC"/>
    <w:rsid w:val="00D74394"/>
    <w:rsid w:val="00D75872"/>
    <w:rsid w:val="00D75C65"/>
    <w:rsid w:val="00D8291F"/>
    <w:rsid w:val="00D85A66"/>
    <w:rsid w:val="00D90828"/>
    <w:rsid w:val="00D93114"/>
    <w:rsid w:val="00D93C62"/>
    <w:rsid w:val="00D93D78"/>
    <w:rsid w:val="00D943A5"/>
    <w:rsid w:val="00D953AE"/>
    <w:rsid w:val="00D95C32"/>
    <w:rsid w:val="00D97882"/>
    <w:rsid w:val="00DA02A9"/>
    <w:rsid w:val="00DA165B"/>
    <w:rsid w:val="00DA2629"/>
    <w:rsid w:val="00DA2731"/>
    <w:rsid w:val="00DA45E7"/>
    <w:rsid w:val="00DA4BA8"/>
    <w:rsid w:val="00DA6B40"/>
    <w:rsid w:val="00DA71BF"/>
    <w:rsid w:val="00DA7513"/>
    <w:rsid w:val="00DB0C2A"/>
    <w:rsid w:val="00DB332C"/>
    <w:rsid w:val="00DB53FA"/>
    <w:rsid w:val="00DC18FB"/>
    <w:rsid w:val="00DC314A"/>
    <w:rsid w:val="00DC4A02"/>
    <w:rsid w:val="00DC5282"/>
    <w:rsid w:val="00DC6208"/>
    <w:rsid w:val="00DC70C0"/>
    <w:rsid w:val="00DD0056"/>
    <w:rsid w:val="00DD04BA"/>
    <w:rsid w:val="00DD14B8"/>
    <w:rsid w:val="00DD3B7D"/>
    <w:rsid w:val="00DD4698"/>
    <w:rsid w:val="00DD542C"/>
    <w:rsid w:val="00DD5F98"/>
    <w:rsid w:val="00DD79CD"/>
    <w:rsid w:val="00DE19BB"/>
    <w:rsid w:val="00DE2A37"/>
    <w:rsid w:val="00DE3418"/>
    <w:rsid w:val="00DE3831"/>
    <w:rsid w:val="00DE54BD"/>
    <w:rsid w:val="00DF047D"/>
    <w:rsid w:val="00DF508F"/>
    <w:rsid w:val="00DF523E"/>
    <w:rsid w:val="00DF579F"/>
    <w:rsid w:val="00DF5EB8"/>
    <w:rsid w:val="00DF77D8"/>
    <w:rsid w:val="00E00015"/>
    <w:rsid w:val="00E027AB"/>
    <w:rsid w:val="00E031E5"/>
    <w:rsid w:val="00E0377F"/>
    <w:rsid w:val="00E05790"/>
    <w:rsid w:val="00E07650"/>
    <w:rsid w:val="00E07FEE"/>
    <w:rsid w:val="00E1099D"/>
    <w:rsid w:val="00E10B4F"/>
    <w:rsid w:val="00E118C5"/>
    <w:rsid w:val="00E1253E"/>
    <w:rsid w:val="00E14F6A"/>
    <w:rsid w:val="00E15320"/>
    <w:rsid w:val="00E2092B"/>
    <w:rsid w:val="00E20D0B"/>
    <w:rsid w:val="00E221AD"/>
    <w:rsid w:val="00E238F9"/>
    <w:rsid w:val="00E248BF"/>
    <w:rsid w:val="00E24BBA"/>
    <w:rsid w:val="00E24BCC"/>
    <w:rsid w:val="00E24FAF"/>
    <w:rsid w:val="00E25084"/>
    <w:rsid w:val="00E25562"/>
    <w:rsid w:val="00E271E8"/>
    <w:rsid w:val="00E301DA"/>
    <w:rsid w:val="00E31804"/>
    <w:rsid w:val="00E333F2"/>
    <w:rsid w:val="00E335CF"/>
    <w:rsid w:val="00E34455"/>
    <w:rsid w:val="00E35D21"/>
    <w:rsid w:val="00E35DB4"/>
    <w:rsid w:val="00E36641"/>
    <w:rsid w:val="00E37DE6"/>
    <w:rsid w:val="00E41987"/>
    <w:rsid w:val="00E41A7B"/>
    <w:rsid w:val="00E41D40"/>
    <w:rsid w:val="00E4497E"/>
    <w:rsid w:val="00E47DF5"/>
    <w:rsid w:val="00E5155C"/>
    <w:rsid w:val="00E54AC9"/>
    <w:rsid w:val="00E6059F"/>
    <w:rsid w:val="00E63C58"/>
    <w:rsid w:val="00E64DF9"/>
    <w:rsid w:val="00E654EF"/>
    <w:rsid w:val="00E65C36"/>
    <w:rsid w:val="00E74D37"/>
    <w:rsid w:val="00E7544B"/>
    <w:rsid w:val="00E75E9F"/>
    <w:rsid w:val="00E8083A"/>
    <w:rsid w:val="00E82C62"/>
    <w:rsid w:val="00E848FE"/>
    <w:rsid w:val="00E84F68"/>
    <w:rsid w:val="00E86F37"/>
    <w:rsid w:val="00E90322"/>
    <w:rsid w:val="00E9186D"/>
    <w:rsid w:val="00E963E0"/>
    <w:rsid w:val="00EA00B3"/>
    <w:rsid w:val="00EA0534"/>
    <w:rsid w:val="00EA1326"/>
    <w:rsid w:val="00EA528A"/>
    <w:rsid w:val="00EA791F"/>
    <w:rsid w:val="00EB0F62"/>
    <w:rsid w:val="00EB114E"/>
    <w:rsid w:val="00EB5336"/>
    <w:rsid w:val="00EC03F1"/>
    <w:rsid w:val="00EC05DC"/>
    <w:rsid w:val="00EC1888"/>
    <w:rsid w:val="00EC1F06"/>
    <w:rsid w:val="00EC3691"/>
    <w:rsid w:val="00ED045D"/>
    <w:rsid w:val="00ED4135"/>
    <w:rsid w:val="00ED4A74"/>
    <w:rsid w:val="00ED52DE"/>
    <w:rsid w:val="00ED5672"/>
    <w:rsid w:val="00ED6F83"/>
    <w:rsid w:val="00ED748E"/>
    <w:rsid w:val="00EE1C2E"/>
    <w:rsid w:val="00EE432F"/>
    <w:rsid w:val="00EE4928"/>
    <w:rsid w:val="00EE685A"/>
    <w:rsid w:val="00EF0A64"/>
    <w:rsid w:val="00EF0AFB"/>
    <w:rsid w:val="00EF4CB6"/>
    <w:rsid w:val="00EF4D65"/>
    <w:rsid w:val="00EF5437"/>
    <w:rsid w:val="00EF6AB6"/>
    <w:rsid w:val="00EF747A"/>
    <w:rsid w:val="00F02A78"/>
    <w:rsid w:val="00F02B90"/>
    <w:rsid w:val="00F0303F"/>
    <w:rsid w:val="00F0384E"/>
    <w:rsid w:val="00F0514A"/>
    <w:rsid w:val="00F117A0"/>
    <w:rsid w:val="00F12640"/>
    <w:rsid w:val="00F1527A"/>
    <w:rsid w:val="00F15A88"/>
    <w:rsid w:val="00F206AE"/>
    <w:rsid w:val="00F22295"/>
    <w:rsid w:val="00F24B56"/>
    <w:rsid w:val="00F2618A"/>
    <w:rsid w:val="00F26874"/>
    <w:rsid w:val="00F30D5C"/>
    <w:rsid w:val="00F348AF"/>
    <w:rsid w:val="00F350D4"/>
    <w:rsid w:val="00F407D4"/>
    <w:rsid w:val="00F40AD3"/>
    <w:rsid w:val="00F40EED"/>
    <w:rsid w:val="00F41205"/>
    <w:rsid w:val="00F4259C"/>
    <w:rsid w:val="00F437B4"/>
    <w:rsid w:val="00F440C2"/>
    <w:rsid w:val="00F456B3"/>
    <w:rsid w:val="00F504A9"/>
    <w:rsid w:val="00F5492C"/>
    <w:rsid w:val="00F569B6"/>
    <w:rsid w:val="00F56C9E"/>
    <w:rsid w:val="00F60953"/>
    <w:rsid w:val="00F60E59"/>
    <w:rsid w:val="00F62F54"/>
    <w:rsid w:val="00F63B16"/>
    <w:rsid w:val="00F63F79"/>
    <w:rsid w:val="00F63FD0"/>
    <w:rsid w:val="00F66336"/>
    <w:rsid w:val="00F67194"/>
    <w:rsid w:val="00F72C4E"/>
    <w:rsid w:val="00F7479D"/>
    <w:rsid w:val="00F757CE"/>
    <w:rsid w:val="00F75917"/>
    <w:rsid w:val="00F76CDE"/>
    <w:rsid w:val="00F7773D"/>
    <w:rsid w:val="00F801B2"/>
    <w:rsid w:val="00F8155B"/>
    <w:rsid w:val="00F819A6"/>
    <w:rsid w:val="00F82122"/>
    <w:rsid w:val="00F832FF"/>
    <w:rsid w:val="00F85174"/>
    <w:rsid w:val="00F86E6F"/>
    <w:rsid w:val="00F900D0"/>
    <w:rsid w:val="00F903A8"/>
    <w:rsid w:val="00F90AAB"/>
    <w:rsid w:val="00F92DEA"/>
    <w:rsid w:val="00F9462B"/>
    <w:rsid w:val="00F95882"/>
    <w:rsid w:val="00F96436"/>
    <w:rsid w:val="00FA02BC"/>
    <w:rsid w:val="00FA0467"/>
    <w:rsid w:val="00FA11F2"/>
    <w:rsid w:val="00FA42EA"/>
    <w:rsid w:val="00FA4DCB"/>
    <w:rsid w:val="00FA4DF6"/>
    <w:rsid w:val="00FA5247"/>
    <w:rsid w:val="00FB0390"/>
    <w:rsid w:val="00FB10CD"/>
    <w:rsid w:val="00FB4758"/>
    <w:rsid w:val="00FB653E"/>
    <w:rsid w:val="00FB7CD6"/>
    <w:rsid w:val="00FC11A8"/>
    <w:rsid w:val="00FC1D54"/>
    <w:rsid w:val="00FC3199"/>
    <w:rsid w:val="00FC352E"/>
    <w:rsid w:val="00FC3A17"/>
    <w:rsid w:val="00FC4994"/>
    <w:rsid w:val="00FC66D9"/>
    <w:rsid w:val="00FD1AC5"/>
    <w:rsid w:val="00FD1B5D"/>
    <w:rsid w:val="00FD2EA9"/>
    <w:rsid w:val="00FD42BA"/>
    <w:rsid w:val="00FD4883"/>
    <w:rsid w:val="00FE18BE"/>
    <w:rsid w:val="00FE19F5"/>
    <w:rsid w:val="00FE30D7"/>
    <w:rsid w:val="00FE6C89"/>
    <w:rsid w:val="00FF02B6"/>
    <w:rsid w:val="00FF087D"/>
    <w:rsid w:val="00FF16C3"/>
    <w:rsid w:val="00FF1FF1"/>
    <w:rsid w:val="00FF2019"/>
    <w:rsid w:val="00FF21E6"/>
    <w:rsid w:val="00FF23C6"/>
    <w:rsid w:val="00FF2B8C"/>
    <w:rsid w:val="00FF3683"/>
    <w:rsid w:val="00FF3FEC"/>
    <w:rsid w:val="00FF4731"/>
    <w:rsid w:val="00FF5D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750E"/>
  <w15:docId w15:val="{73E50ED8-FE42-4BFE-A074-957E5BD5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92B"/>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link w:val="FootnoteTextChar"/>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paragraph" w:customStyle="1" w:styleId="Level1Bold">
    <w:name w:val="Level 1 + Bold"/>
    <w:aliases w:val="Italic"/>
    <w:basedOn w:val="Level3"/>
    <w:rsid w:val="00776461"/>
    <w:pPr>
      <w:numPr>
        <w:ilvl w:val="0"/>
        <w:numId w:val="0"/>
      </w:numPr>
      <w:ind w:left="1361"/>
    </w:pPr>
    <w:rPr>
      <w:b/>
      <w:i/>
    </w:rPr>
  </w:style>
  <w:style w:type="paragraph" w:customStyle="1" w:styleId="Body1Bold">
    <w:name w:val="Body 1 + Bold"/>
    <w:aliases w:val="Italic + Left:  0 cm"/>
    <w:basedOn w:val="Level1Bold"/>
    <w:rsid w:val="00776461"/>
    <w:pPr>
      <w:ind w:left="0"/>
    </w:pPr>
  </w:style>
  <w:style w:type="character" w:customStyle="1" w:styleId="FootnoteTextChar">
    <w:name w:val="Footnote Text Char"/>
    <w:basedOn w:val="DefaultParagraphFont"/>
    <w:link w:val="FootnoteText"/>
    <w:rsid w:val="00D23F58"/>
    <w:rPr>
      <w:rFonts w:ascii="Arial" w:hAnsi="Arial"/>
      <w:kern w:val="20"/>
      <w:sz w:val="16"/>
    </w:rPr>
  </w:style>
  <w:style w:type="character" w:styleId="UnresolvedMention">
    <w:name w:val="Unresolved Mention"/>
    <w:basedOn w:val="DefaultParagraphFont"/>
    <w:uiPriority w:val="99"/>
    <w:semiHidden/>
    <w:unhideWhenUsed/>
    <w:rsid w:val="004D26E6"/>
    <w:rPr>
      <w:color w:val="605E5C"/>
      <w:shd w:val="clear" w:color="auto" w:fill="E1DFDD"/>
    </w:rPr>
  </w:style>
  <w:style w:type="paragraph" w:styleId="ListParagraph">
    <w:name w:val="List Paragraph"/>
    <w:basedOn w:val="Normal"/>
    <w:uiPriority w:val="34"/>
    <w:qFormat/>
    <w:rsid w:val="002C2C16"/>
    <w:pPr>
      <w:ind w:left="720"/>
      <w:contextualSpacing/>
    </w:pPr>
  </w:style>
  <w:style w:type="paragraph" w:customStyle="1" w:styleId="zSubject">
    <w:name w:val="zSubject"/>
    <w:basedOn w:val="Normal"/>
    <w:rsid w:val="00DD79CD"/>
    <w:pPr>
      <w:spacing w:after="140" w:line="290" w:lineRule="auto"/>
    </w:pPr>
    <w:rPr>
      <w:rFonts w:eastAsia="SimSun"/>
      <w:b/>
      <w:sz w:val="23"/>
      <w:szCs w:val="23"/>
    </w:rPr>
  </w:style>
  <w:style w:type="table" w:styleId="TableGrid">
    <w:name w:val="Table Grid"/>
    <w:basedOn w:val="TableNormal"/>
    <w:rsid w:val="00DD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D72EBC"/>
    <w:rPr>
      <w:szCs w:val="20"/>
    </w:rPr>
  </w:style>
  <w:style w:type="character" w:customStyle="1" w:styleId="CommentTextChar">
    <w:name w:val="Comment Text Char"/>
    <w:basedOn w:val="DefaultParagraphFont"/>
    <w:link w:val="CommentText"/>
    <w:rsid w:val="00D72EBC"/>
    <w:rPr>
      <w:rFonts w:ascii="Arial" w:hAnsi="Arial"/>
    </w:rPr>
  </w:style>
  <w:style w:type="paragraph" w:styleId="Revision">
    <w:name w:val="Revision"/>
    <w:hidden/>
    <w:semiHidden/>
    <w:rsid w:val="0037458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207">
      <w:bodyDiv w:val="1"/>
      <w:marLeft w:val="0"/>
      <w:marRight w:val="0"/>
      <w:marTop w:val="0"/>
      <w:marBottom w:val="0"/>
      <w:divBdr>
        <w:top w:val="none" w:sz="0" w:space="0" w:color="auto"/>
        <w:left w:val="none" w:sz="0" w:space="0" w:color="auto"/>
        <w:bottom w:val="none" w:sz="0" w:space="0" w:color="auto"/>
        <w:right w:val="none" w:sz="0" w:space="0" w:color="auto"/>
      </w:divBdr>
    </w:div>
    <w:div w:id="593512181">
      <w:bodyDiv w:val="1"/>
      <w:marLeft w:val="0"/>
      <w:marRight w:val="0"/>
      <w:marTop w:val="0"/>
      <w:marBottom w:val="0"/>
      <w:divBdr>
        <w:top w:val="none" w:sz="0" w:space="0" w:color="auto"/>
        <w:left w:val="none" w:sz="0" w:space="0" w:color="auto"/>
        <w:bottom w:val="none" w:sz="0" w:space="0" w:color="auto"/>
        <w:right w:val="none" w:sz="0" w:space="0" w:color="auto"/>
      </w:divBdr>
      <w:divsChild>
        <w:div w:id="1762989849">
          <w:marLeft w:val="0"/>
          <w:marRight w:val="0"/>
          <w:marTop w:val="0"/>
          <w:marBottom w:val="0"/>
          <w:divBdr>
            <w:top w:val="none" w:sz="0" w:space="0" w:color="auto"/>
            <w:left w:val="none" w:sz="0" w:space="0" w:color="auto"/>
            <w:bottom w:val="none" w:sz="0" w:space="0" w:color="auto"/>
            <w:right w:val="none" w:sz="0" w:space="0" w:color="auto"/>
          </w:divBdr>
          <w:divsChild>
            <w:div w:id="2010987000">
              <w:marLeft w:val="0"/>
              <w:marRight w:val="0"/>
              <w:marTop w:val="0"/>
              <w:marBottom w:val="0"/>
              <w:divBdr>
                <w:top w:val="none" w:sz="0" w:space="0" w:color="auto"/>
                <w:left w:val="none" w:sz="0" w:space="0" w:color="auto"/>
                <w:bottom w:val="none" w:sz="0" w:space="0" w:color="auto"/>
                <w:right w:val="none" w:sz="0" w:space="0" w:color="auto"/>
              </w:divBdr>
              <w:divsChild>
                <w:div w:id="516968847">
                  <w:marLeft w:val="0"/>
                  <w:marRight w:val="0"/>
                  <w:marTop w:val="0"/>
                  <w:marBottom w:val="0"/>
                  <w:divBdr>
                    <w:top w:val="none" w:sz="0" w:space="0" w:color="auto"/>
                    <w:left w:val="none" w:sz="0" w:space="0" w:color="auto"/>
                    <w:bottom w:val="none" w:sz="0" w:space="0" w:color="auto"/>
                    <w:right w:val="none" w:sz="0" w:space="0" w:color="auto"/>
                  </w:divBdr>
                  <w:divsChild>
                    <w:div w:id="1310866650">
                      <w:marLeft w:val="-225"/>
                      <w:marRight w:val="-225"/>
                      <w:marTop w:val="0"/>
                      <w:marBottom w:val="0"/>
                      <w:divBdr>
                        <w:top w:val="none" w:sz="0" w:space="0" w:color="auto"/>
                        <w:left w:val="none" w:sz="0" w:space="0" w:color="auto"/>
                        <w:bottom w:val="none" w:sz="0" w:space="0" w:color="auto"/>
                        <w:right w:val="none" w:sz="0" w:space="0" w:color="auto"/>
                      </w:divBdr>
                      <w:divsChild>
                        <w:div w:id="2093968640">
                          <w:marLeft w:val="0"/>
                          <w:marRight w:val="0"/>
                          <w:marTop w:val="0"/>
                          <w:marBottom w:val="0"/>
                          <w:divBdr>
                            <w:top w:val="none" w:sz="0" w:space="0" w:color="auto"/>
                            <w:left w:val="none" w:sz="0" w:space="0" w:color="auto"/>
                            <w:bottom w:val="none" w:sz="0" w:space="0" w:color="auto"/>
                            <w:right w:val="none" w:sz="0" w:space="0" w:color="auto"/>
                          </w:divBdr>
                          <w:divsChild>
                            <w:div w:id="1167552643">
                              <w:marLeft w:val="0"/>
                              <w:marRight w:val="0"/>
                              <w:marTop w:val="0"/>
                              <w:marBottom w:val="0"/>
                              <w:divBdr>
                                <w:top w:val="none" w:sz="0" w:space="0" w:color="auto"/>
                                <w:left w:val="none" w:sz="0" w:space="0" w:color="auto"/>
                                <w:bottom w:val="none" w:sz="0" w:space="0" w:color="auto"/>
                                <w:right w:val="none" w:sz="0" w:space="0" w:color="auto"/>
                              </w:divBdr>
                              <w:divsChild>
                                <w:div w:id="9842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666436">
      <w:bodyDiv w:val="1"/>
      <w:marLeft w:val="0"/>
      <w:marRight w:val="0"/>
      <w:marTop w:val="0"/>
      <w:marBottom w:val="0"/>
      <w:divBdr>
        <w:top w:val="none" w:sz="0" w:space="0" w:color="auto"/>
        <w:left w:val="none" w:sz="0" w:space="0" w:color="auto"/>
        <w:bottom w:val="none" w:sz="0" w:space="0" w:color="auto"/>
        <w:right w:val="none" w:sz="0" w:space="0" w:color="auto"/>
      </w:divBdr>
    </w:div>
    <w:div w:id="1491603860">
      <w:bodyDiv w:val="1"/>
      <w:marLeft w:val="0"/>
      <w:marRight w:val="0"/>
      <w:marTop w:val="0"/>
      <w:marBottom w:val="0"/>
      <w:divBdr>
        <w:top w:val="none" w:sz="0" w:space="0" w:color="auto"/>
        <w:left w:val="none" w:sz="0" w:space="0" w:color="auto"/>
        <w:bottom w:val="none" w:sz="0" w:space="0" w:color="auto"/>
        <w:right w:val="none" w:sz="0" w:space="0" w:color="auto"/>
      </w:divBdr>
      <w:divsChild>
        <w:div w:id="646740856">
          <w:marLeft w:val="0"/>
          <w:marRight w:val="0"/>
          <w:marTop w:val="0"/>
          <w:marBottom w:val="0"/>
          <w:divBdr>
            <w:top w:val="none" w:sz="0" w:space="0" w:color="auto"/>
            <w:left w:val="none" w:sz="0" w:space="0" w:color="auto"/>
            <w:bottom w:val="none" w:sz="0" w:space="0" w:color="auto"/>
            <w:right w:val="none" w:sz="0" w:space="0" w:color="auto"/>
          </w:divBdr>
          <w:divsChild>
            <w:div w:id="623388812">
              <w:marLeft w:val="0"/>
              <w:marRight w:val="0"/>
              <w:marTop w:val="0"/>
              <w:marBottom w:val="0"/>
              <w:divBdr>
                <w:top w:val="none" w:sz="0" w:space="0" w:color="auto"/>
                <w:left w:val="none" w:sz="0" w:space="0" w:color="auto"/>
                <w:bottom w:val="none" w:sz="0" w:space="0" w:color="auto"/>
                <w:right w:val="none" w:sz="0" w:space="0" w:color="auto"/>
              </w:divBdr>
              <w:divsChild>
                <w:div w:id="1388869454">
                  <w:marLeft w:val="0"/>
                  <w:marRight w:val="0"/>
                  <w:marTop w:val="0"/>
                  <w:marBottom w:val="0"/>
                  <w:divBdr>
                    <w:top w:val="none" w:sz="0" w:space="0" w:color="auto"/>
                    <w:left w:val="none" w:sz="0" w:space="0" w:color="auto"/>
                    <w:bottom w:val="none" w:sz="0" w:space="0" w:color="auto"/>
                    <w:right w:val="none" w:sz="0" w:space="0" w:color="auto"/>
                  </w:divBdr>
                  <w:divsChild>
                    <w:div w:id="153423261">
                      <w:marLeft w:val="-225"/>
                      <w:marRight w:val="-225"/>
                      <w:marTop w:val="0"/>
                      <w:marBottom w:val="0"/>
                      <w:divBdr>
                        <w:top w:val="none" w:sz="0" w:space="0" w:color="auto"/>
                        <w:left w:val="none" w:sz="0" w:space="0" w:color="auto"/>
                        <w:bottom w:val="none" w:sz="0" w:space="0" w:color="auto"/>
                        <w:right w:val="none" w:sz="0" w:space="0" w:color="auto"/>
                      </w:divBdr>
                      <w:divsChild>
                        <w:div w:id="1317610789">
                          <w:marLeft w:val="0"/>
                          <w:marRight w:val="0"/>
                          <w:marTop w:val="0"/>
                          <w:marBottom w:val="0"/>
                          <w:divBdr>
                            <w:top w:val="none" w:sz="0" w:space="0" w:color="auto"/>
                            <w:left w:val="none" w:sz="0" w:space="0" w:color="auto"/>
                            <w:bottom w:val="none" w:sz="0" w:space="0" w:color="auto"/>
                            <w:right w:val="none" w:sz="0" w:space="0" w:color="auto"/>
                          </w:divBdr>
                          <w:divsChild>
                            <w:div w:id="1287008275">
                              <w:marLeft w:val="0"/>
                              <w:marRight w:val="0"/>
                              <w:marTop w:val="0"/>
                              <w:marBottom w:val="0"/>
                              <w:divBdr>
                                <w:top w:val="none" w:sz="0" w:space="0" w:color="auto"/>
                                <w:left w:val="none" w:sz="0" w:space="0" w:color="auto"/>
                                <w:bottom w:val="none" w:sz="0" w:space="0" w:color="auto"/>
                                <w:right w:val="none" w:sz="0" w:space="0" w:color="auto"/>
                              </w:divBdr>
                              <w:divsChild>
                                <w:div w:id="1863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da.org/2016/02/09/isdafia-emir-reporting-delegation-agre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ca.org.uk/markets/sftr/sftr-reporting-obligation" TargetMode="External"/><Relationship Id="rId2" Type="http://schemas.openxmlformats.org/officeDocument/2006/relationships/hyperlink" Target="https://www.esma.europa.eu/sites/default/files/library/esma70-151-2838_guidelines_on_reporting_under_sftr.pdf" TargetMode="External"/><Relationship Id="rId1" Type="http://schemas.openxmlformats.org/officeDocument/2006/relationships/hyperlink" Target="https://www.esma.europa.eu/document/list-registered-trade-repositories" TargetMode="External"/><Relationship Id="rId6" Type="http://schemas.openxmlformats.org/officeDocument/2006/relationships/hyperlink" Target="https://eba.europa.eu/sites/default/documents/files/documents/10180/2551996/38c80601-f5d7-4855-8ba3-702423665479/EBA%20revised%20Guidelines%20on%20outsourcing%20arrangements.pdf?retry=1" TargetMode="External"/><Relationship Id="rId5" Type="http://schemas.openxmlformats.org/officeDocument/2006/relationships/hyperlink" Target="https://www.esma.europa.eu/sites/default/files/2023-10/ESMA74-362-2281_Guidelines_EMIR_REFIT.pdf" TargetMode="External"/><Relationship Id="rId4" Type="http://schemas.openxmlformats.org/officeDocument/2006/relationships/hyperlink" Target="https://www.centralbank.ie/docs/default-source/regulation/industry-market-sectors/securities-markets/emir-regulation/guidance/for-the-attention-of-the-board---emir-reporting---central-bank-of-irel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9A12-D131-4DA1-89D1-BD86FE09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8646</TotalTime>
  <Pages>27</Pages>
  <Words>11443</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76520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Author</cp:lastModifiedBy>
  <cp:revision>677</cp:revision>
  <cp:lastPrinted>2019-12-13T15:51:00Z</cp:lastPrinted>
  <dcterms:created xsi:type="dcterms:W3CDTF">2019-10-17T09:11:00Z</dcterms:created>
  <dcterms:modified xsi:type="dcterms:W3CDTF">2023-11-30T16:01:00Z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2.1</vt:lpwstr>
  </op:property>
  <op:property fmtid="{D5CDD505-2E9C-101B-9397-08002B2CF9AE}" pid="3" name="Document Number">
    <vt:lpwstr>A52354308</vt:lpwstr>
  </op:property>
  <op:property fmtid="{D5CDD505-2E9C-101B-9397-08002B2CF9AE}" pid="4" name="Last Modified">
    <vt:lpwstr>30 Nov 2023</vt:lpwstr>
  </op:property>
  <op:property fmtid="{D5CDD505-2E9C-101B-9397-08002B2CF9AE}" pid="5" name="Template Version">
    <vt:lpwstr>R.160</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lient Code">
    <vt:lpwstr>10029737</vt:lpwstr>
  </op:property>
  <op:property fmtid="{D5CDD505-2E9C-101B-9397-08002B2CF9AE}" pid="19" name="DEDocumentLocation">
    <vt:lpwstr>C:\Users\mcrawfor\AppData\Local\Linklaters\DocExplorer\Attachments\A52354308 v2.1 MRRA - Explanatory Memorandum_6 December 2023.docx</vt:lpwstr>
  </op:property>
  <op:property fmtid="{D5CDD505-2E9C-101B-9397-08002B2CF9AE}" pid="20" name="Matter Number">
    <vt:lpwstr>L-341337</vt:lpwstr>
  </op:property>
  <op:property fmtid="{D5CDD505-2E9C-101B-9397-08002B2CF9AE}" pid="21" name="Mode">
    <vt:lpwstr>SendAs</vt:lpwstr>
  </op:property>
  <op:property fmtid="{D5CDD505-2E9C-101B-9397-08002B2CF9AE}" pid="22" name="ObjectID">
    <vt:lpwstr>09001dc89958cb6d</vt:lpwstr>
  </op:property>
  <op:property fmtid="{D5CDD505-2E9C-101B-9397-08002B2CF9AE}" pid="23" name="_MarkAsFinal">
    <vt:bool>false</vt:bool>
  </op:property>
</op:Properties>
</file>