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7FA7" w14:textId="77777777" w:rsidR="002D4C0F" w:rsidRPr="00186C59" w:rsidRDefault="002D4C0F" w:rsidP="002D4C0F">
      <w:pPr>
        <w:keepNext/>
        <w:pageBreakBefore/>
        <w:spacing w:before="295" w:after="180" w:line="290" w:lineRule="auto"/>
        <w:ind w:left="425"/>
        <w:jc w:val="right"/>
        <w:outlineLvl w:val="0"/>
        <w:rPr>
          <w:rFonts w:eastAsia="Times New Roman" w:cs="Times New Roman"/>
          <w:b/>
          <w:kern w:val="20"/>
        </w:rPr>
      </w:pPr>
      <w:bookmarkStart w:id="0" w:name="bmkStart"/>
      <w:bookmarkStart w:id="1" w:name="_Toc403639321"/>
      <w:bookmarkStart w:id="2" w:name="_Toc62178562"/>
      <w:bookmarkEnd w:id="0"/>
      <w:r w:rsidRPr="00186C59">
        <w:rPr>
          <w:rFonts w:eastAsia="Times New Roman" w:cs="Times New Roman"/>
          <w:b/>
          <w:kern w:val="20"/>
        </w:rPr>
        <w:t>EXHIBIT IV-A</w:t>
      </w:r>
      <w:r w:rsidRPr="00186C59">
        <w:rPr>
          <w:rFonts w:eastAsia="Times New Roman" w:cs="Times New Roman"/>
          <w:b/>
          <w:kern w:val="20"/>
        </w:rPr>
        <w:br/>
        <w:t>to 2006 ISDA Definitions</w:t>
      </w:r>
      <w:bookmarkEnd w:id="1"/>
      <w:bookmarkEnd w:id="2"/>
    </w:p>
    <w:p w14:paraId="0D051C76" w14:textId="77777777" w:rsidR="002D4C0F" w:rsidRPr="00186C59" w:rsidRDefault="002D4C0F" w:rsidP="002D4C0F">
      <w:pPr>
        <w:keepNext/>
        <w:spacing w:before="280" w:after="140" w:line="290" w:lineRule="auto"/>
        <w:jc w:val="center"/>
        <w:outlineLvl w:val="0"/>
        <w:rPr>
          <w:rFonts w:eastAsia="Arial" w:cs="Times New Roman"/>
          <w:b/>
          <w:kern w:val="23"/>
          <w:lang w:val="en-US"/>
        </w:rPr>
      </w:pPr>
      <w:r w:rsidRPr="00186C59">
        <w:rPr>
          <w:rFonts w:eastAsia="Arial" w:cs="Times New Roman"/>
          <w:b/>
          <w:kern w:val="23"/>
          <w:lang w:val="en-US"/>
        </w:rPr>
        <w:t>Additional Provisions for a</w:t>
      </w:r>
      <w:r w:rsidRPr="00186C59">
        <w:rPr>
          <w:rFonts w:eastAsia="Arial" w:cs="Times New Roman"/>
          <w:b/>
          <w:kern w:val="23"/>
          <w:lang w:val="en-US"/>
        </w:rPr>
        <w:br/>
        <w:t>Confirmation of a Swap Transaction that is a Rate Swap Transaction or Cross</w:t>
      </w:r>
      <w:r w:rsidRPr="00186C59">
        <w:rPr>
          <w:rFonts w:eastAsia="Arial" w:cs="Times New Roman"/>
          <w:b/>
          <w:kern w:val="23"/>
          <w:lang w:val="en-US"/>
        </w:rPr>
        <w:noBreakHyphen/>
        <w:t>Currency Rate Swap Transaction applying Compounding/Averaging with Lookback</w:t>
      </w:r>
      <w:r w:rsidRPr="00186C59">
        <w:rPr>
          <w:rFonts w:eastAsia="Arial" w:cs="Times New Roman"/>
          <w:b/>
          <w:kern w:val="2"/>
          <w:vertAlign w:val="superscript"/>
          <w:lang w:val="en-US"/>
        </w:rPr>
        <w:footnoteReference w:id="1"/>
      </w:r>
    </w:p>
    <w:p w14:paraId="37507E67" w14:textId="114BEBC6" w:rsidR="00746FB5" w:rsidRPr="008922F1" w:rsidRDefault="00746FB5" w:rsidP="00746FB5">
      <w:pPr>
        <w:keepNext/>
        <w:spacing w:before="280" w:after="140"/>
        <w:jc w:val="both"/>
        <w:outlineLvl w:val="0"/>
        <w:rPr>
          <w:rFonts w:eastAsia="Arial" w:cs="Times New Roman"/>
          <w:b/>
          <w:i/>
          <w:iCs/>
          <w:kern w:val="23"/>
          <w:lang w:val="en-US"/>
        </w:rPr>
      </w:pPr>
      <w:bookmarkStart w:id="3" w:name="_BPDCI_8"/>
      <w:bookmarkStart w:id="4" w:name="_Hlk74854628"/>
      <w:r w:rsidRPr="008922F1">
        <w:rPr>
          <w:rFonts w:eastAsia="Arial" w:cs="Times New Roman"/>
          <w:b/>
          <w:i/>
          <w:iCs/>
          <w:kern w:val="23"/>
          <w:highlight w:val="yellow"/>
          <w:lang w:val="en-US"/>
        </w:rPr>
        <w:t>[</w:t>
      </w:r>
      <w:r w:rsidRPr="008922F1">
        <w:rPr>
          <w:rFonts w:eastAsia="Arial" w:cs="Times New Roman"/>
          <w:b/>
          <w:i/>
          <w:iCs/>
          <w:kern w:val="20"/>
          <w:highlight w:val="yellow"/>
          <w:lang w:val="en-US"/>
        </w:rPr>
        <w:t xml:space="preserve">Note: </w:t>
      </w:r>
      <w:r w:rsidRPr="008922F1">
        <w:rPr>
          <w:rFonts w:eastAsia="Arial" w:cs="Times New Roman"/>
          <w:b/>
          <w:i/>
          <w:iCs/>
          <w:kern w:val="23"/>
          <w:highlight w:val="yellow"/>
          <w:lang w:val="en-US"/>
        </w:rPr>
        <w:t xml:space="preserve">This annotated form </w:t>
      </w:r>
      <w:r w:rsidR="0068515E" w:rsidRPr="008922F1">
        <w:rPr>
          <w:rFonts w:eastAsia="Arial" w:cs="Times New Roman"/>
          <w:b/>
          <w:i/>
          <w:iCs/>
          <w:kern w:val="23"/>
          <w:highlight w:val="yellow"/>
          <w:lang w:val="en-US"/>
        </w:rPr>
        <w:t xml:space="preserve">and the annexed comparison table </w:t>
      </w:r>
      <w:r w:rsidRPr="008922F1">
        <w:rPr>
          <w:rFonts w:eastAsia="Arial" w:cs="Times New Roman"/>
          <w:b/>
          <w:i/>
          <w:iCs/>
          <w:kern w:val="23"/>
          <w:highlight w:val="yellow"/>
          <w:lang w:val="en-US"/>
        </w:rPr>
        <w:t>ha</w:t>
      </w:r>
      <w:r w:rsidR="0068515E" w:rsidRPr="008922F1">
        <w:rPr>
          <w:rFonts w:eastAsia="Arial" w:cs="Times New Roman"/>
          <w:b/>
          <w:i/>
          <w:iCs/>
          <w:kern w:val="23"/>
          <w:highlight w:val="yellow"/>
          <w:lang w:val="en-US"/>
        </w:rPr>
        <w:t>ve</w:t>
      </w:r>
      <w:r w:rsidRPr="008922F1">
        <w:rPr>
          <w:rFonts w:eastAsia="Arial" w:cs="Times New Roman"/>
          <w:b/>
          <w:i/>
          <w:iCs/>
          <w:kern w:val="23"/>
          <w:highlight w:val="yellow"/>
          <w:lang w:val="en-US"/>
        </w:rPr>
        <w:t xml:space="preserve"> been produced for use with loan facilities using “</w:t>
      </w:r>
      <w:r w:rsidR="00364965" w:rsidRPr="008922F1">
        <w:rPr>
          <w:rFonts w:eastAsia="Arial" w:cs="Times New Roman"/>
          <w:b/>
          <w:i/>
          <w:iCs/>
          <w:kern w:val="23"/>
          <w:highlight w:val="yellow"/>
          <w:lang w:val="en-US"/>
        </w:rPr>
        <w:t>Daily Simple SOFR</w:t>
      </w:r>
      <w:r w:rsidRPr="008922F1">
        <w:rPr>
          <w:rFonts w:eastAsia="Arial" w:cs="Times New Roman"/>
          <w:b/>
          <w:i/>
          <w:iCs/>
          <w:kern w:val="23"/>
          <w:highlight w:val="yellow"/>
          <w:lang w:val="en-US"/>
        </w:rPr>
        <w:t xml:space="preserve">” as set out in </w:t>
      </w:r>
      <w:r w:rsidR="00364965" w:rsidRPr="008922F1">
        <w:rPr>
          <w:rFonts w:eastAsia="Arial" w:cs="Times New Roman"/>
          <w:b/>
          <w:i/>
          <w:iCs/>
          <w:kern w:val="23"/>
          <w:highlight w:val="yellow"/>
          <w:lang w:val="en-US"/>
        </w:rPr>
        <w:t xml:space="preserve">the </w:t>
      </w:r>
      <w:r w:rsidR="006C543D" w:rsidRPr="008922F1">
        <w:rPr>
          <w:rFonts w:eastAsia="Arial" w:cs="Times New Roman"/>
          <w:b/>
          <w:i/>
          <w:iCs/>
          <w:kern w:val="23"/>
          <w:highlight w:val="yellow"/>
          <w:lang w:val="en-US"/>
        </w:rPr>
        <w:t>LSTA SOFR CCA</w:t>
      </w:r>
      <w:r w:rsidR="00786ED7" w:rsidRPr="008922F1">
        <w:rPr>
          <w:rFonts w:eastAsia="Arial" w:cs="Times New Roman"/>
          <w:b/>
          <w:i/>
          <w:iCs/>
          <w:kern w:val="23"/>
          <w:highlight w:val="yellow"/>
          <w:lang w:val="en-US"/>
        </w:rPr>
        <w:t xml:space="preserve"> (and not “Daily Compounded SOFR”</w:t>
      </w:r>
      <w:r w:rsidR="00786ED7" w:rsidRPr="008922F1">
        <w:rPr>
          <w:rFonts w:cs="Times New Roman"/>
          <w:b/>
          <w:i/>
          <w:iCs/>
          <w:highlight w:val="yellow"/>
        </w:rPr>
        <w:t xml:space="preserve"> </w:t>
      </w:r>
      <w:r w:rsidR="00786ED7" w:rsidRPr="008922F1">
        <w:rPr>
          <w:rFonts w:eastAsia="Arial" w:cs="Times New Roman"/>
          <w:b/>
          <w:i/>
          <w:iCs/>
          <w:kern w:val="23"/>
          <w:highlight w:val="yellow"/>
          <w:lang w:val="en-US"/>
        </w:rPr>
        <w:t xml:space="preserve">as set out in the LSTA SOFR CCA), with no ability to transition to “Term SOFR” when this becomes available. It assumes that the loan facilities are only in respect of SOFR Loans (rather than </w:t>
      </w:r>
      <w:r w:rsidR="00362386" w:rsidRPr="008922F1">
        <w:rPr>
          <w:rFonts w:eastAsia="Arial" w:cs="Times New Roman"/>
          <w:b/>
          <w:i/>
          <w:iCs/>
          <w:kern w:val="23"/>
          <w:highlight w:val="yellow"/>
          <w:lang w:val="en-US"/>
        </w:rPr>
        <w:t>ABR</w:t>
      </w:r>
      <w:r w:rsidR="00786ED7" w:rsidRPr="008922F1">
        <w:rPr>
          <w:rFonts w:eastAsia="Arial" w:cs="Times New Roman"/>
          <w:b/>
          <w:i/>
          <w:iCs/>
          <w:kern w:val="23"/>
          <w:highlight w:val="yellow"/>
          <w:lang w:val="en-US"/>
        </w:rPr>
        <w:t xml:space="preserve"> Loans), both as defined in the LSTA SOFR CCA</w:t>
      </w:r>
      <w:r w:rsidRPr="008922F1">
        <w:rPr>
          <w:rFonts w:eastAsia="Arial" w:cs="Times New Roman"/>
          <w:b/>
          <w:i/>
          <w:iCs/>
          <w:kern w:val="23"/>
          <w:highlight w:val="yellow"/>
          <w:lang w:val="en-US"/>
        </w:rPr>
        <w:t xml:space="preserve">. </w:t>
      </w:r>
      <w:r w:rsidR="003C7654" w:rsidRPr="008922F1">
        <w:rPr>
          <w:rFonts w:eastAsia="Arial" w:cs="Times New Roman"/>
          <w:b/>
          <w:i/>
          <w:iCs/>
          <w:kern w:val="23"/>
          <w:highlight w:val="yellow"/>
          <w:lang w:val="en-US"/>
        </w:rPr>
        <w:t xml:space="preserve">It also assumes that the credit agreement uses ‘Alternative 1’ drafting proposed in the LSTA SOFR CCA for the definition of “Interest Payment Date”, and parties should consider if any bespoke amendments need to be made if the credit agreement uses ‘Alternative 2’ drafting for the definition of “Interest Payment Date”. </w:t>
      </w:r>
      <w:r w:rsidRPr="008922F1">
        <w:rPr>
          <w:rFonts w:eastAsia="Arial" w:cs="Times New Roman"/>
          <w:b/>
          <w:i/>
          <w:iCs/>
          <w:kern w:val="20"/>
          <w:highlight w:val="yellow"/>
          <w:lang w:val="en-US"/>
        </w:rPr>
        <w:t xml:space="preserve">Parties should however check that there is no bespoke amendment to the </w:t>
      </w:r>
      <w:r w:rsidR="006322F1" w:rsidRPr="008922F1">
        <w:rPr>
          <w:rFonts w:eastAsia="Arial" w:cs="Times New Roman"/>
          <w:b/>
          <w:i/>
          <w:iCs/>
          <w:kern w:val="20"/>
          <w:highlight w:val="yellow"/>
          <w:lang w:val="en-US"/>
        </w:rPr>
        <w:t>credit agreement</w:t>
      </w:r>
      <w:r w:rsidRPr="008922F1">
        <w:rPr>
          <w:rFonts w:eastAsia="Arial" w:cs="Times New Roman"/>
          <w:b/>
          <w:i/>
          <w:iCs/>
          <w:kern w:val="20"/>
          <w:highlight w:val="yellow"/>
          <w:lang w:val="en-US"/>
        </w:rPr>
        <w:t xml:space="preserve"> that needs to be reflected.</w:t>
      </w:r>
      <w:r w:rsidR="0089732E" w:rsidRPr="008922F1">
        <w:rPr>
          <w:rFonts w:eastAsia="Arial" w:cs="Times New Roman"/>
          <w:b/>
          <w:i/>
          <w:iCs/>
          <w:kern w:val="20"/>
          <w:highlight w:val="yellow"/>
          <w:lang w:val="en-US"/>
        </w:rPr>
        <w:t xml:space="preserve"> The LSTA SOFR CCA provides optional drafting for those parties wishing to transition to “Term SOFR” once available. Parties wishing to include this optional drafting may wish to use the below annotated form and annexed comparison table and bilaterally negotiate necessary amendments (</w:t>
      </w:r>
      <w:proofErr w:type="gramStart"/>
      <w:r w:rsidR="0089732E" w:rsidRPr="008922F1">
        <w:rPr>
          <w:rFonts w:eastAsia="Arial" w:cs="Times New Roman"/>
          <w:b/>
          <w:i/>
          <w:iCs/>
          <w:kern w:val="20"/>
          <w:highlight w:val="yellow"/>
          <w:lang w:val="en-US"/>
        </w:rPr>
        <w:t>e.g.</w:t>
      </w:r>
      <w:proofErr w:type="gramEnd"/>
      <w:r w:rsidR="0089732E" w:rsidRPr="008922F1">
        <w:rPr>
          <w:rFonts w:eastAsia="Arial" w:cs="Times New Roman"/>
          <w:b/>
          <w:i/>
          <w:iCs/>
          <w:kern w:val="20"/>
          <w:highlight w:val="yellow"/>
          <w:lang w:val="en-US"/>
        </w:rPr>
        <w:t xml:space="preserve"> to update the Floating Rate Option and other relevant fields) at the time of transition to Term SOFR.</w:t>
      </w:r>
      <w:r w:rsidRPr="008922F1">
        <w:rPr>
          <w:rFonts w:eastAsia="Arial" w:cs="Times New Roman"/>
          <w:b/>
          <w:i/>
          <w:iCs/>
          <w:kern w:val="23"/>
          <w:highlight w:val="yellow"/>
          <w:lang w:val="en-US"/>
        </w:rPr>
        <w:t>]</w:t>
      </w:r>
      <w:bookmarkEnd w:id="3"/>
    </w:p>
    <w:bookmarkEnd w:id="4"/>
    <w:p w14:paraId="260DF93B" w14:textId="671DD9C5" w:rsidR="00746FB5" w:rsidRPr="00186C59" w:rsidRDefault="00746FB5" w:rsidP="00746FB5">
      <w:pPr>
        <w:pStyle w:val="Body"/>
      </w:pPr>
      <w:r w:rsidRPr="00186C59">
        <w:t>THIS ANNOTATED TEMPLATE AND ANNEXED COMPARISON TABLE DO NOT PURPORT TO BE AND SHOULD NOT BE CONSIDERED A GUIDE TO, OR AN EXPLANATION OF, ALL RELEVANT ISSUES OR CONSIDERATIONS IN CONNECTION WITH USING THE</w:t>
      </w:r>
      <w:r w:rsidR="00F94563" w:rsidRPr="00186C59">
        <w:t xml:space="preserve"> PROVISIONS OF THE</w:t>
      </w:r>
      <w:r w:rsidRPr="00186C59">
        <w:t xml:space="preserve"> </w:t>
      </w:r>
      <w:hyperlink r:id="rId8" w:history="1">
        <w:r w:rsidRPr="00186C59">
          <w:rPr>
            <w:rStyle w:val="DocsCorpHyperlinkStyle"/>
            <w:color w:val="auto"/>
            <w:u w:val="none"/>
          </w:rPr>
          <w:t>COMPOUNDING/AVERAGING SUPPLEMENT</w:t>
        </w:r>
      </w:hyperlink>
      <w:r w:rsidRPr="00186C59">
        <w:t xml:space="preserve"> IN A SWAP HEDGING A LOAN FACILITY. PARTIES SHOULD CONSULT WITH THEIR LEGAL ADVISERS AND ANY OTHER ADVISER THEY DEEM APPROPRIATE PRIOR TO USING OR INCORPORATING THE </w:t>
      </w:r>
      <w:hyperlink r:id="rId9" w:history="1">
        <w:r w:rsidRPr="00186C59">
          <w:rPr>
            <w:rStyle w:val="DocsCorpHyperlinkStyle"/>
            <w:color w:val="auto"/>
            <w:u w:val="none"/>
          </w:rPr>
          <w:t>COMPOUNDING/AVERAGING SUPPLEMENT</w:t>
        </w:r>
      </w:hyperlink>
      <w:r w:rsidRPr="00186C59">
        <w:t xml:space="preserve"> IN A SWAP HEDGING A LOAN FACILITY. NONE OF ISDA, ITS DIRECTORS, EMPLOYEES, AGENTS OR ADVISORS ACCEPT ANY RESPONSIBILITY FOR ANY LOSS OR DAMAGE ARISING DIRECTLY OR INDIRECTLY FROM ANY USE TO WHICH ANY OF ITS DOCUMENTATION OR OTHER DOCUMENTATION MAY BE PUT.</w:t>
      </w:r>
    </w:p>
    <w:p w14:paraId="0E409652" w14:textId="011F0EAD" w:rsidR="00746FB5" w:rsidRPr="00186C59" w:rsidRDefault="00746FB5" w:rsidP="00746FB5">
      <w:pPr>
        <w:keepNext/>
        <w:spacing w:before="280" w:after="140"/>
        <w:jc w:val="both"/>
        <w:outlineLvl w:val="0"/>
        <w:rPr>
          <w:rFonts w:cs="Times New Roman"/>
        </w:rPr>
      </w:pPr>
    </w:p>
    <w:p w14:paraId="74E24932" w14:textId="5ED37545" w:rsidR="00746FB5" w:rsidRPr="00186C59" w:rsidRDefault="00746FB5">
      <w:pPr>
        <w:spacing w:after="160" w:line="259" w:lineRule="auto"/>
        <w:rPr>
          <w:rFonts w:eastAsia="Arial" w:cs="Times New Roman"/>
          <w:kern w:val="20"/>
          <w:lang w:val="en-US"/>
        </w:rPr>
      </w:pPr>
    </w:p>
    <w:p w14:paraId="2F82D587" w14:textId="77777777" w:rsidR="00746FB5" w:rsidRPr="00186C59" w:rsidRDefault="00746FB5">
      <w:pPr>
        <w:spacing w:after="160" w:line="259" w:lineRule="auto"/>
        <w:rPr>
          <w:rFonts w:eastAsia="Arial" w:cs="Times New Roman"/>
          <w:kern w:val="20"/>
          <w:lang w:val="en-US"/>
        </w:rPr>
      </w:pPr>
      <w:r w:rsidRPr="00186C59">
        <w:rPr>
          <w:rFonts w:eastAsia="Arial" w:cs="Times New Roman"/>
          <w:kern w:val="20"/>
          <w:lang w:val="en-US"/>
        </w:rPr>
        <w:br w:type="page"/>
      </w:r>
    </w:p>
    <w:p w14:paraId="182198D6" w14:textId="37AE29B5" w:rsidR="002D4C0F" w:rsidRPr="00186C59" w:rsidRDefault="002D4C0F" w:rsidP="002D4C0F">
      <w:pPr>
        <w:spacing w:after="140" w:line="290" w:lineRule="auto"/>
        <w:jc w:val="both"/>
        <w:rPr>
          <w:rFonts w:eastAsia="Arial" w:cs="Times New Roman"/>
          <w:kern w:val="20"/>
          <w:lang w:val="en-US"/>
        </w:rPr>
      </w:pPr>
      <w:r w:rsidRPr="00186C59">
        <w:rPr>
          <w:rFonts w:eastAsia="Arial" w:cs="Times New Roman"/>
          <w:kern w:val="20"/>
          <w:lang w:val="en-US"/>
        </w:rPr>
        <w:lastRenderedPageBreak/>
        <w:t>[See Exhibit I for the introduction, standard paragraphs and closing for the Confirmation.]</w:t>
      </w:r>
    </w:p>
    <w:p w14:paraId="5BF10589" w14:textId="77777777" w:rsidR="002D4C0F" w:rsidRPr="00186C59" w:rsidRDefault="002D4C0F" w:rsidP="002D4C0F">
      <w:pPr>
        <w:numPr>
          <w:ilvl w:val="0"/>
          <w:numId w:val="62"/>
        </w:numPr>
        <w:spacing w:after="140" w:line="290" w:lineRule="auto"/>
        <w:jc w:val="both"/>
        <w:rPr>
          <w:rFonts w:eastAsia="Times New Roman" w:cs="Times New Roman"/>
          <w:kern w:val="20"/>
        </w:rPr>
      </w:pPr>
      <w:r w:rsidRPr="00186C59">
        <w:rPr>
          <w:rFonts w:eastAsia="Times New Roman" w:cs="Times New Roman"/>
          <w:kern w:val="20"/>
        </w:rPr>
        <w:t xml:space="preserve">The terms of the </w:t>
      </w:r>
      <w:proofErr w:type="gramStart"/>
      <w:r w:rsidRPr="00186C59">
        <w:rPr>
          <w:rFonts w:eastAsia="Times New Roman" w:cs="Times New Roman"/>
          <w:kern w:val="20"/>
        </w:rPr>
        <w:t>particular Swap</w:t>
      </w:r>
      <w:proofErr w:type="gramEnd"/>
      <w:r w:rsidRPr="00186C59">
        <w:rPr>
          <w:rFonts w:eastAsia="Times New Roman" w:cs="Times New Roman"/>
          <w:kern w:val="20"/>
        </w:rPr>
        <w:t xml:space="preserve"> Transaction to which this Confirmation relates are as follows:</w:t>
      </w:r>
    </w:p>
    <w:tbl>
      <w:tblPr>
        <w:tblStyle w:val="TableGrid10"/>
        <w:tblW w:w="790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
        <w:gridCol w:w="4237"/>
        <w:gridCol w:w="8"/>
        <w:gridCol w:w="3402"/>
        <w:gridCol w:w="252"/>
      </w:tblGrid>
      <w:tr w:rsidR="002D4C0F" w:rsidRPr="00186C59" w14:paraId="2AF4B434" w14:textId="77777777" w:rsidTr="004A3A72">
        <w:trPr>
          <w:gridBefore w:val="1"/>
          <w:gridAfter w:val="1"/>
          <w:wBefore w:w="7" w:type="dxa"/>
          <w:wAfter w:w="252" w:type="dxa"/>
          <w:cantSplit/>
        </w:trPr>
        <w:tc>
          <w:tcPr>
            <w:tcW w:w="4237" w:type="dxa"/>
            <w:shd w:val="clear" w:color="auto" w:fill="auto"/>
          </w:tcPr>
          <w:p w14:paraId="486E30A9"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[Notional Amount:]</w:t>
            </w:r>
          </w:p>
        </w:tc>
        <w:tc>
          <w:tcPr>
            <w:tcW w:w="3410" w:type="dxa"/>
            <w:gridSpan w:val="2"/>
            <w:shd w:val="clear" w:color="auto" w:fill="auto"/>
            <w:vAlign w:val="bottom"/>
          </w:tcPr>
          <w:p w14:paraId="464D9FB5" w14:textId="1AF1664F"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roofErr w:type="gramStart"/>
            <w:r w:rsidRPr="00186C59">
              <w:rPr>
                <w:rFonts w:eastAsia="Arial"/>
                <w:kern w:val="20"/>
                <w:sz w:val="22"/>
                <w:szCs w:val="22"/>
                <w:lang w:val="en-US"/>
              </w:rPr>
              <w:t>  ]</w:t>
            </w:r>
            <w:proofErr w:type="gramEnd"/>
            <w:r w:rsidR="00B612F9" w:rsidRPr="00186C59">
              <w:rPr>
                <w:rFonts w:eastAsia="Arial"/>
                <w:kern w:val="20"/>
                <w:sz w:val="22"/>
                <w:szCs w:val="22"/>
                <w:lang w:val="en-US"/>
              </w:rPr>
              <w:t xml:space="preserve"> </w:t>
            </w:r>
            <w:r w:rsidR="00B612F9" w:rsidRPr="008922F1">
              <w:rPr>
                <w:rFonts w:eastAsia="Arial"/>
                <w:b/>
                <w:bCs/>
                <w:i/>
                <w:iCs/>
                <w:kern w:val="20"/>
                <w:sz w:val="22"/>
                <w:szCs w:val="22"/>
                <w:highlight w:val="yellow"/>
                <w:lang w:val="en-US"/>
              </w:rPr>
              <w:t xml:space="preserve">[Note: Parties to specify an amount </w:t>
            </w:r>
            <w:r w:rsidR="006322F1" w:rsidRPr="008922F1">
              <w:rPr>
                <w:rFonts w:eastAsia="Arial"/>
                <w:b/>
                <w:bCs/>
                <w:i/>
                <w:iCs/>
                <w:kern w:val="20"/>
                <w:sz w:val="22"/>
                <w:szCs w:val="22"/>
                <w:highlight w:val="yellow"/>
                <w:lang w:val="en-US"/>
              </w:rPr>
              <w:t xml:space="preserve">that may </w:t>
            </w:r>
            <w:r w:rsidR="00B612F9" w:rsidRPr="008922F1">
              <w:rPr>
                <w:rFonts w:eastAsia="Arial"/>
                <w:b/>
                <w:bCs/>
                <w:i/>
                <w:iCs/>
                <w:kern w:val="20"/>
                <w:sz w:val="22"/>
                <w:szCs w:val="22"/>
                <w:highlight w:val="yellow"/>
                <w:lang w:val="en-US"/>
              </w:rPr>
              <w:t xml:space="preserve">correspond to the principal of </w:t>
            </w:r>
            <w:r w:rsidR="003C7654" w:rsidRPr="008922F1">
              <w:rPr>
                <w:rFonts w:eastAsia="Arial"/>
                <w:b/>
                <w:bCs/>
                <w:i/>
                <w:iCs/>
                <w:kern w:val="20"/>
                <w:sz w:val="22"/>
                <w:szCs w:val="22"/>
                <w:highlight w:val="yellow"/>
                <w:lang w:val="en-US"/>
              </w:rPr>
              <w:t xml:space="preserve">a </w:t>
            </w:r>
            <w:r w:rsidR="006322F1" w:rsidRPr="008922F1">
              <w:rPr>
                <w:rFonts w:eastAsia="Arial"/>
                <w:b/>
                <w:bCs/>
                <w:i/>
                <w:iCs/>
                <w:kern w:val="20"/>
                <w:sz w:val="22"/>
                <w:szCs w:val="22"/>
                <w:highlight w:val="yellow"/>
                <w:lang w:val="en-US"/>
              </w:rPr>
              <w:t>related borrowing</w:t>
            </w:r>
            <w:r w:rsidR="00B612F9" w:rsidRPr="008922F1">
              <w:rPr>
                <w:rFonts w:eastAsia="Arial"/>
                <w:b/>
                <w:bCs/>
                <w:i/>
                <w:iCs/>
                <w:kern w:val="20"/>
                <w:sz w:val="22"/>
                <w:szCs w:val="22"/>
                <w:highlight w:val="yellow"/>
                <w:lang w:val="en-US"/>
              </w:rPr>
              <w:t>. Note that in the event of a prepayment</w:t>
            </w:r>
            <w:r w:rsidR="006322F1" w:rsidRPr="008922F1">
              <w:rPr>
                <w:rFonts w:eastAsia="Arial"/>
                <w:b/>
                <w:bCs/>
                <w:i/>
                <w:iCs/>
                <w:kern w:val="20"/>
                <w:sz w:val="22"/>
                <w:szCs w:val="22"/>
                <w:highlight w:val="yellow"/>
                <w:lang w:val="en-US"/>
              </w:rPr>
              <w:t xml:space="preserve"> of the loan</w:t>
            </w:r>
            <w:r w:rsidR="00B612F9" w:rsidRPr="008922F1">
              <w:rPr>
                <w:rFonts w:eastAsia="Arial"/>
                <w:b/>
                <w:bCs/>
                <w:i/>
                <w:iCs/>
                <w:kern w:val="20"/>
                <w:sz w:val="22"/>
                <w:szCs w:val="22"/>
                <w:highlight w:val="yellow"/>
                <w:lang w:val="en-US"/>
              </w:rPr>
              <w:t xml:space="preserve"> in accordance with Section 2.06</w:t>
            </w:r>
            <w:r w:rsidR="0043647F" w:rsidRPr="008922F1">
              <w:rPr>
                <w:rFonts w:eastAsia="Arial"/>
                <w:b/>
                <w:bCs/>
                <w:i/>
                <w:iCs/>
                <w:kern w:val="20"/>
                <w:sz w:val="22"/>
                <w:szCs w:val="22"/>
                <w:highlight w:val="yellow"/>
                <w:lang w:val="en-US"/>
              </w:rPr>
              <w:t xml:space="preserve"> (Prepayments)</w:t>
            </w:r>
            <w:r w:rsidR="00B612F9" w:rsidRPr="008922F1">
              <w:rPr>
                <w:rFonts w:eastAsia="Arial"/>
                <w:b/>
                <w:bCs/>
                <w:i/>
                <w:iCs/>
                <w:kern w:val="20"/>
                <w:sz w:val="22"/>
                <w:szCs w:val="22"/>
                <w:highlight w:val="yellow"/>
                <w:lang w:val="en-US"/>
              </w:rPr>
              <w:t xml:space="preserve"> of the LSTA SOFR CCA,</w:t>
            </w:r>
            <w:r w:rsidR="006322F1" w:rsidRPr="008922F1">
              <w:rPr>
                <w:rFonts w:eastAsia="Arial"/>
                <w:b/>
                <w:bCs/>
                <w:i/>
                <w:iCs/>
                <w:kern w:val="20"/>
                <w:sz w:val="22"/>
                <w:szCs w:val="22"/>
                <w:highlight w:val="yellow"/>
                <w:lang w:val="en-US"/>
              </w:rPr>
              <w:t xml:space="preserve"> to ensure alignment</w:t>
            </w:r>
            <w:r w:rsidR="00B612F9" w:rsidRPr="008922F1">
              <w:rPr>
                <w:rFonts w:eastAsia="Arial"/>
                <w:b/>
                <w:bCs/>
                <w:i/>
                <w:iCs/>
                <w:kern w:val="20"/>
                <w:sz w:val="22"/>
                <w:szCs w:val="22"/>
                <w:highlight w:val="yellow"/>
                <w:lang w:val="en-US"/>
              </w:rPr>
              <w:t xml:space="preserve"> the Notional Amount of the swap will need to be amended accordingly.]</w:t>
            </w:r>
            <w:r w:rsidR="00B612F9" w:rsidRPr="00186C59">
              <w:rPr>
                <w:rFonts w:eastAsia="Arial"/>
                <w:kern w:val="20"/>
                <w:sz w:val="22"/>
                <w:szCs w:val="22"/>
                <w:lang w:val="en-US"/>
              </w:rPr>
              <w:t xml:space="preserve"> </w:t>
            </w:r>
          </w:p>
        </w:tc>
      </w:tr>
      <w:tr w:rsidR="002D4C0F" w:rsidRPr="00186C59" w14:paraId="003093DD" w14:textId="77777777" w:rsidTr="004A3A72">
        <w:trPr>
          <w:gridBefore w:val="1"/>
          <w:gridAfter w:val="1"/>
          <w:wBefore w:w="7" w:type="dxa"/>
          <w:wAfter w:w="252" w:type="dxa"/>
          <w:cantSplit/>
        </w:trPr>
        <w:tc>
          <w:tcPr>
            <w:tcW w:w="4237" w:type="dxa"/>
            <w:shd w:val="clear" w:color="auto" w:fill="auto"/>
          </w:tcPr>
          <w:p w14:paraId="08B1F361"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Trade Date:</w:t>
            </w:r>
          </w:p>
        </w:tc>
        <w:tc>
          <w:tcPr>
            <w:tcW w:w="3410" w:type="dxa"/>
            <w:gridSpan w:val="2"/>
            <w:shd w:val="clear" w:color="auto" w:fill="auto"/>
            <w:vAlign w:val="bottom"/>
          </w:tcPr>
          <w:p w14:paraId="2DD28477"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78D8F02C" w14:textId="77777777" w:rsidTr="004A3A72">
        <w:trPr>
          <w:gridBefore w:val="1"/>
          <w:gridAfter w:val="1"/>
          <w:wBefore w:w="7" w:type="dxa"/>
          <w:wAfter w:w="252" w:type="dxa"/>
          <w:cantSplit/>
        </w:trPr>
        <w:tc>
          <w:tcPr>
            <w:tcW w:w="4237" w:type="dxa"/>
            <w:shd w:val="clear" w:color="auto" w:fill="auto"/>
          </w:tcPr>
          <w:p w14:paraId="62A53576"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Effective Date:</w:t>
            </w:r>
          </w:p>
        </w:tc>
        <w:tc>
          <w:tcPr>
            <w:tcW w:w="3410" w:type="dxa"/>
            <w:gridSpan w:val="2"/>
            <w:shd w:val="clear" w:color="auto" w:fill="auto"/>
            <w:vAlign w:val="bottom"/>
          </w:tcPr>
          <w:p w14:paraId="7700E833"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137CA658" w14:textId="77777777" w:rsidTr="004A3A72">
        <w:trPr>
          <w:gridBefore w:val="1"/>
          <w:gridAfter w:val="1"/>
          <w:wBefore w:w="7" w:type="dxa"/>
          <w:wAfter w:w="252" w:type="dxa"/>
          <w:cantSplit/>
        </w:trPr>
        <w:tc>
          <w:tcPr>
            <w:tcW w:w="4237" w:type="dxa"/>
            <w:shd w:val="clear" w:color="auto" w:fill="auto"/>
          </w:tcPr>
          <w:p w14:paraId="3582CDBB"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Termination Date:</w:t>
            </w:r>
          </w:p>
        </w:tc>
        <w:tc>
          <w:tcPr>
            <w:tcW w:w="3410" w:type="dxa"/>
            <w:gridSpan w:val="2"/>
            <w:shd w:val="clear" w:color="auto" w:fill="auto"/>
            <w:vAlign w:val="bottom"/>
          </w:tcPr>
          <w:p w14:paraId="761B619C" w14:textId="34752521" w:rsidR="002D4C0F" w:rsidRPr="00186C59" w:rsidRDefault="002D4C0F" w:rsidP="002D4C0F">
            <w:pPr>
              <w:spacing w:before="60" w:after="60" w:line="290" w:lineRule="auto"/>
              <w:rPr>
                <w:rFonts w:eastAsia="Arial"/>
                <w:b/>
                <w:bCs/>
                <w:i/>
                <w:iCs/>
                <w:kern w:val="20"/>
                <w:sz w:val="22"/>
                <w:szCs w:val="22"/>
                <w:lang w:val="en-US"/>
              </w:rPr>
            </w:pPr>
            <w:r w:rsidRPr="00186C59">
              <w:rPr>
                <w:rFonts w:eastAsia="Arial"/>
                <w:kern w:val="20"/>
                <w:sz w:val="22"/>
                <w:szCs w:val="22"/>
                <w:lang w:val="en-US"/>
              </w:rPr>
              <w:t>[                 </w:t>
            </w:r>
            <w:proofErr w:type="gramStart"/>
            <w:r w:rsidRPr="00186C59">
              <w:rPr>
                <w:rFonts w:eastAsia="Arial"/>
                <w:kern w:val="20"/>
                <w:sz w:val="22"/>
                <w:szCs w:val="22"/>
                <w:lang w:val="en-US"/>
              </w:rPr>
              <w:t>  ]</w:t>
            </w:r>
            <w:proofErr w:type="gramEnd"/>
            <w:r w:rsidRPr="00186C59">
              <w:rPr>
                <w:rFonts w:eastAsia="Arial"/>
                <w:kern w:val="20"/>
                <w:sz w:val="22"/>
                <w:szCs w:val="22"/>
                <w:lang w:val="en-US"/>
              </w:rPr>
              <w:t xml:space="preserve"> </w:t>
            </w:r>
            <w:r w:rsidR="00746FB5" w:rsidRPr="008922F1">
              <w:rPr>
                <w:rFonts w:eastAsia="Arial"/>
                <w:b/>
                <w:bCs/>
                <w:i/>
                <w:iCs/>
                <w:kern w:val="20"/>
                <w:sz w:val="22"/>
                <w:szCs w:val="22"/>
                <w:highlight w:val="yellow"/>
                <w:lang w:val="en-US"/>
              </w:rPr>
              <w:t xml:space="preserve">[Note: Parties </w:t>
            </w:r>
            <w:r w:rsidR="006322F1" w:rsidRPr="008922F1">
              <w:rPr>
                <w:rFonts w:eastAsia="Arial"/>
                <w:b/>
                <w:bCs/>
                <w:i/>
                <w:iCs/>
                <w:kern w:val="20"/>
                <w:sz w:val="22"/>
                <w:szCs w:val="22"/>
                <w:highlight w:val="yellow"/>
                <w:lang w:val="en-US"/>
              </w:rPr>
              <w:t xml:space="preserve">may </w:t>
            </w:r>
            <w:r w:rsidR="00746FB5" w:rsidRPr="008922F1">
              <w:rPr>
                <w:rFonts w:eastAsia="Arial"/>
                <w:b/>
                <w:bCs/>
                <w:i/>
                <w:iCs/>
                <w:kern w:val="20"/>
                <w:sz w:val="22"/>
                <w:szCs w:val="22"/>
                <w:highlight w:val="yellow"/>
                <w:lang w:val="en-US"/>
              </w:rPr>
              <w:t>specify the date specified in the definition of “</w:t>
            </w:r>
            <w:r w:rsidR="00364965" w:rsidRPr="008922F1">
              <w:rPr>
                <w:rFonts w:eastAsia="Arial"/>
                <w:b/>
                <w:bCs/>
                <w:i/>
                <w:iCs/>
                <w:kern w:val="20"/>
                <w:sz w:val="22"/>
                <w:szCs w:val="22"/>
                <w:highlight w:val="yellow"/>
                <w:lang w:val="en-US"/>
              </w:rPr>
              <w:t>Maturity</w:t>
            </w:r>
            <w:r w:rsidR="00746FB5" w:rsidRPr="008922F1">
              <w:rPr>
                <w:rFonts w:eastAsia="Arial"/>
                <w:b/>
                <w:bCs/>
                <w:i/>
                <w:iCs/>
                <w:kern w:val="20"/>
                <w:sz w:val="22"/>
                <w:szCs w:val="22"/>
                <w:highlight w:val="yellow"/>
                <w:lang w:val="en-US"/>
              </w:rPr>
              <w:t xml:space="preserve"> Date” in the </w:t>
            </w:r>
            <w:r w:rsidR="006322F1" w:rsidRPr="008922F1">
              <w:rPr>
                <w:rFonts w:eastAsia="Arial"/>
                <w:b/>
                <w:bCs/>
                <w:i/>
                <w:iCs/>
                <w:kern w:val="20"/>
                <w:sz w:val="22"/>
                <w:szCs w:val="22"/>
                <w:highlight w:val="yellow"/>
                <w:lang w:val="en-US"/>
              </w:rPr>
              <w:t>credit agreement</w:t>
            </w:r>
            <w:r w:rsidR="00746FB5" w:rsidRPr="008922F1">
              <w:rPr>
                <w:rFonts w:eastAsia="Arial"/>
                <w:b/>
                <w:bCs/>
                <w:i/>
                <w:iCs/>
                <w:kern w:val="20"/>
                <w:sz w:val="22"/>
                <w:szCs w:val="22"/>
                <w:highlight w:val="yellow"/>
                <w:lang w:val="en-US"/>
              </w:rPr>
              <w:t>.</w:t>
            </w:r>
            <w:r w:rsidR="00364965" w:rsidRPr="008922F1">
              <w:rPr>
                <w:rFonts w:eastAsia="Arial"/>
                <w:b/>
                <w:bCs/>
                <w:i/>
                <w:iCs/>
                <w:kern w:val="20"/>
                <w:sz w:val="22"/>
                <w:szCs w:val="22"/>
                <w:highlight w:val="yellow"/>
                <w:lang w:val="en-US"/>
              </w:rPr>
              <w:t xml:space="preserve"> Note that if the Maturity Date is extended in accordance with Section 2.21 </w:t>
            </w:r>
            <w:r w:rsidR="0043647F" w:rsidRPr="008922F1">
              <w:rPr>
                <w:rFonts w:eastAsia="Arial"/>
                <w:b/>
                <w:bCs/>
                <w:i/>
                <w:iCs/>
                <w:kern w:val="20"/>
                <w:sz w:val="22"/>
                <w:szCs w:val="22"/>
                <w:highlight w:val="yellow"/>
                <w:lang w:val="en-US"/>
              </w:rPr>
              <w:t xml:space="preserve">(Extension of Maturity Date) </w:t>
            </w:r>
            <w:r w:rsidR="00364965" w:rsidRPr="008922F1">
              <w:rPr>
                <w:rFonts w:eastAsia="Arial"/>
                <w:b/>
                <w:bCs/>
                <w:i/>
                <w:iCs/>
                <w:kern w:val="20"/>
                <w:sz w:val="22"/>
                <w:szCs w:val="22"/>
                <w:highlight w:val="yellow"/>
                <w:lang w:val="en-US"/>
              </w:rPr>
              <w:t xml:space="preserve">of the LSTA SOFR CCA, </w:t>
            </w:r>
            <w:r w:rsidR="006322F1" w:rsidRPr="008922F1">
              <w:rPr>
                <w:rFonts w:eastAsia="Arial"/>
                <w:b/>
                <w:bCs/>
                <w:i/>
                <w:iCs/>
                <w:kern w:val="20"/>
                <w:sz w:val="22"/>
                <w:szCs w:val="22"/>
                <w:highlight w:val="yellow"/>
                <w:lang w:val="en-US"/>
              </w:rPr>
              <w:t xml:space="preserve">to ensure alignment </w:t>
            </w:r>
            <w:r w:rsidR="00364965" w:rsidRPr="008922F1">
              <w:rPr>
                <w:rFonts w:eastAsia="Arial"/>
                <w:b/>
                <w:bCs/>
                <w:i/>
                <w:iCs/>
                <w:kern w:val="20"/>
                <w:sz w:val="22"/>
                <w:szCs w:val="22"/>
                <w:highlight w:val="yellow"/>
                <w:lang w:val="en-US"/>
              </w:rPr>
              <w:t>the Termination Date of the swap will need to be amended accordingly.</w:t>
            </w:r>
            <w:r w:rsidR="00746FB5" w:rsidRPr="008922F1">
              <w:rPr>
                <w:rFonts w:eastAsia="Arial"/>
                <w:b/>
                <w:bCs/>
                <w:i/>
                <w:iCs/>
                <w:kern w:val="20"/>
                <w:sz w:val="22"/>
                <w:szCs w:val="22"/>
                <w:highlight w:val="yellow"/>
                <w:lang w:val="en-US"/>
              </w:rPr>
              <w:t>]</w:t>
            </w:r>
            <w:r w:rsidRPr="00186C59">
              <w:rPr>
                <w:rFonts w:eastAsia="Arial"/>
                <w:kern w:val="20"/>
                <w:sz w:val="22"/>
                <w:szCs w:val="22"/>
                <w:lang w:val="en-US"/>
              </w:rPr>
              <w:t>, subject to adjustment in accordance with the Preceding Business Day Convention</w:t>
            </w:r>
            <w:r w:rsidR="003C7654" w:rsidRPr="00186C59">
              <w:rPr>
                <w:rFonts w:eastAsia="Arial"/>
                <w:kern w:val="20"/>
                <w:sz w:val="22"/>
                <w:szCs w:val="22"/>
                <w:lang w:val="en-US"/>
              </w:rPr>
              <w:t xml:space="preserve"> </w:t>
            </w:r>
            <w:r w:rsidR="00364965" w:rsidRPr="00186C59">
              <w:rPr>
                <w:rFonts w:eastAsia="Arial"/>
                <w:b/>
                <w:bCs/>
                <w:i/>
                <w:iCs/>
                <w:kern w:val="20"/>
                <w:sz w:val="22"/>
                <w:szCs w:val="22"/>
                <w:highlight w:val="yellow"/>
                <w:lang w:val="en-US"/>
              </w:rPr>
              <w:t>[Note: The LSTA SOFR CCA provides that if the Maturity Date is not a Business Day, it shall be the next preceding Business Day</w:t>
            </w:r>
            <w:r w:rsidR="00E0346E" w:rsidRPr="00186C59">
              <w:rPr>
                <w:rFonts w:eastAsia="Arial"/>
                <w:b/>
                <w:bCs/>
                <w:i/>
                <w:iCs/>
                <w:kern w:val="20"/>
                <w:sz w:val="22"/>
                <w:szCs w:val="22"/>
                <w:highlight w:val="yellow"/>
                <w:lang w:val="en-US"/>
              </w:rPr>
              <w:t>. A</w:t>
            </w:r>
            <w:r w:rsidR="00364965" w:rsidRPr="00186C59">
              <w:rPr>
                <w:rFonts w:eastAsia="Arial"/>
                <w:b/>
                <w:bCs/>
                <w:i/>
                <w:iCs/>
                <w:kern w:val="20"/>
                <w:sz w:val="22"/>
                <w:szCs w:val="22"/>
                <w:highlight w:val="yellow"/>
                <w:lang w:val="en-US"/>
              </w:rPr>
              <w:t>ccordingly</w:t>
            </w:r>
            <w:r w:rsidR="00577F69" w:rsidRPr="00186C59">
              <w:rPr>
                <w:rFonts w:eastAsia="Arial"/>
                <w:b/>
                <w:bCs/>
                <w:i/>
                <w:iCs/>
                <w:kern w:val="20"/>
                <w:sz w:val="22"/>
                <w:szCs w:val="22"/>
                <w:highlight w:val="yellow"/>
                <w:lang w:val="en-US"/>
              </w:rPr>
              <w:t>,</w:t>
            </w:r>
            <w:r w:rsidR="00364965" w:rsidRPr="00186C59">
              <w:rPr>
                <w:rFonts w:eastAsia="Arial"/>
                <w:b/>
                <w:bCs/>
                <w:i/>
                <w:iCs/>
                <w:kern w:val="20"/>
                <w:sz w:val="22"/>
                <w:szCs w:val="22"/>
                <w:highlight w:val="yellow"/>
                <w:lang w:val="en-US"/>
              </w:rPr>
              <w:t xml:space="preserve"> the Termination Date under the swap should be subject to adjustment in accordance with the Preceding Business Day Convention.]</w:t>
            </w:r>
            <w:r w:rsidR="00364965" w:rsidRPr="00186C59">
              <w:rPr>
                <w:rFonts w:eastAsia="Arial"/>
                <w:b/>
                <w:bCs/>
                <w:i/>
                <w:iCs/>
                <w:kern w:val="20"/>
                <w:sz w:val="22"/>
                <w:szCs w:val="22"/>
                <w:lang w:val="en-US"/>
              </w:rPr>
              <w:t xml:space="preserve"> </w:t>
            </w:r>
          </w:p>
        </w:tc>
      </w:tr>
      <w:tr w:rsidR="002D4C0F" w:rsidRPr="00186C59" w14:paraId="2742B7E4" w14:textId="77777777" w:rsidTr="004A3A72">
        <w:trPr>
          <w:gridBefore w:val="1"/>
          <w:gridAfter w:val="1"/>
          <w:wBefore w:w="7" w:type="dxa"/>
          <w:wAfter w:w="252" w:type="dxa"/>
          <w:cantSplit/>
        </w:trPr>
        <w:tc>
          <w:tcPr>
            <w:tcW w:w="4237" w:type="dxa"/>
            <w:shd w:val="clear" w:color="auto" w:fill="auto"/>
          </w:tcPr>
          <w:p w14:paraId="5FD9804D"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Fixed Amounts:</w:t>
            </w:r>
          </w:p>
          <w:p w14:paraId="30063D6F" w14:textId="4A4D1BEE" w:rsidR="001D147D" w:rsidRPr="00186C59" w:rsidRDefault="001D147D" w:rsidP="002D4C0F">
            <w:pPr>
              <w:spacing w:before="60" w:after="60" w:line="290" w:lineRule="auto"/>
              <w:rPr>
                <w:rFonts w:eastAsia="Arial"/>
                <w:b/>
                <w:bCs/>
                <w:i/>
                <w:iCs/>
                <w:kern w:val="20"/>
                <w:sz w:val="22"/>
                <w:szCs w:val="22"/>
                <w:lang w:val="en-US"/>
              </w:rPr>
            </w:pPr>
          </w:p>
        </w:tc>
        <w:tc>
          <w:tcPr>
            <w:tcW w:w="3410" w:type="dxa"/>
            <w:gridSpan w:val="2"/>
            <w:shd w:val="clear" w:color="auto" w:fill="auto"/>
            <w:vAlign w:val="bottom"/>
          </w:tcPr>
          <w:p w14:paraId="7A6F9F64" w14:textId="77777777" w:rsidR="002D4C0F" w:rsidRPr="00186C59" w:rsidRDefault="002D4C0F" w:rsidP="002D4C0F">
            <w:pPr>
              <w:spacing w:before="60" w:after="60" w:line="290" w:lineRule="auto"/>
              <w:rPr>
                <w:rFonts w:eastAsia="Arial"/>
                <w:kern w:val="20"/>
                <w:sz w:val="22"/>
                <w:szCs w:val="22"/>
                <w:lang w:val="en-US"/>
              </w:rPr>
            </w:pPr>
          </w:p>
        </w:tc>
      </w:tr>
      <w:tr w:rsidR="002D4C0F" w:rsidRPr="00186C59" w14:paraId="1B13AE78" w14:textId="77777777" w:rsidTr="004A3A72">
        <w:trPr>
          <w:gridBefore w:val="1"/>
          <w:gridAfter w:val="1"/>
          <w:wBefore w:w="7" w:type="dxa"/>
          <w:wAfter w:w="252" w:type="dxa"/>
          <w:cantSplit/>
        </w:trPr>
        <w:tc>
          <w:tcPr>
            <w:tcW w:w="4237" w:type="dxa"/>
            <w:shd w:val="clear" w:color="auto" w:fill="auto"/>
          </w:tcPr>
          <w:p w14:paraId="45956358"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Fixed Rate Payer:</w:t>
            </w:r>
          </w:p>
        </w:tc>
        <w:tc>
          <w:tcPr>
            <w:tcW w:w="3410" w:type="dxa"/>
            <w:gridSpan w:val="2"/>
            <w:shd w:val="clear" w:color="auto" w:fill="auto"/>
            <w:vAlign w:val="bottom"/>
          </w:tcPr>
          <w:p w14:paraId="0F1105AE"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[Party A/B]</w:t>
            </w:r>
          </w:p>
        </w:tc>
      </w:tr>
      <w:tr w:rsidR="002D4C0F" w:rsidRPr="00186C59" w14:paraId="5CBFEFAD" w14:textId="77777777" w:rsidTr="004A3A72">
        <w:trPr>
          <w:gridBefore w:val="1"/>
          <w:gridAfter w:val="1"/>
          <w:wBefore w:w="7" w:type="dxa"/>
          <w:wAfter w:w="252" w:type="dxa"/>
          <w:cantSplit/>
        </w:trPr>
        <w:tc>
          <w:tcPr>
            <w:tcW w:w="4237" w:type="dxa"/>
            <w:shd w:val="clear" w:color="auto" w:fill="auto"/>
          </w:tcPr>
          <w:p w14:paraId="5D18E54B"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[Fixed Rate Payer Currency Amount:]</w:t>
            </w:r>
          </w:p>
        </w:tc>
        <w:tc>
          <w:tcPr>
            <w:tcW w:w="3410" w:type="dxa"/>
            <w:gridSpan w:val="2"/>
            <w:shd w:val="clear" w:color="auto" w:fill="auto"/>
            <w:vAlign w:val="bottom"/>
          </w:tcPr>
          <w:p w14:paraId="1F2154D3"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73100763" w14:textId="77777777" w:rsidTr="004A3A72">
        <w:trPr>
          <w:gridBefore w:val="1"/>
          <w:gridAfter w:val="1"/>
          <w:wBefore w:w="7" w:type="dxa"/>
          <w:wAfter w:w="252" w:type="dxa"/>
          <w:cantSplit/>
        </w:trPr>
        <w:tc>
          <w:tcPr>
            <w:tcW w:w="4237" w:type="dxa"/>
            <w:shd w:val="clear" w:color="auto" w:fill="auto"/>
          </w:tcPr>
          <w:p w14:paraId="4A5AB58F" w14:textId="216BADEE"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lastRenderedPageBreak/>
              <w:t>Fixed Rate Payer Payment Dates</w:t>
            </w:r>
            <w:r w:rsidR="00746FB5" w:rsidRPr="00186C59">
              <w:rPr>
                <w:rFonts w:eastAsia="Times New Roman"/>
                <w:kern w:val="20"/>
                <w:sz w:val="22"/>
                <w:szCs w:val="22"/>
              </w:rPr>
              <w:t>:</w:t>
            </w:r>
          </w:p>
        </w:tc>
        <w:tc>
          <w:tcPr>
            <w:tcW w:w="3410" w:type="dxa"/>
            <w:gridSpan w:val="2"/>
            <w:shd w:val="clear" w:color="auto" w:fill="auto"/>
            <w:vAlign w:val="bottom"/>
          </w:tcPr>
          <w:p w14:paraId="14F41681" w14:textId="67BFEB34"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roofErr w:type="gramStart"/>
            <w:r w:rsidRPr="00186C59">
              <w:rPr>
                <w:rFonts w:eastAsia="Arial"/>
                <w:kern w:val="20"/>
                <w:sz w:val="22"/>
                <w:szCs w:val="22"/>
                <w:lang w:val="en-US"/>
              </w:rPr>
              <w:t>  ]</w:t>
            </w:r>
            <w:proofErr w:type="gramEnd"/>
            <w:r w:rsidR="00530FDD" w:rsidRPr="00186C59" w:rsidDel="00F4279B">
              <w:rPr>
                <w:rFonts w:eastAsia="Arial"/>
                <w:kern w:val="20"/>
                <w:sz w:val="22"/>
                <w:szCs w:val="22"/>
                <w:lang w:val="en-US"/>
              </w:rPr>
              <w:t xml:space="preserve"> </w:t>
            </w:r>
            <w:r w:rsidR="00746FB5" w:rsidRPr="008922F1">
              <w:rPr>
                <w:rFonts w:eastAsia="Arial"/>
                <w:b/>
                <w:bCs/>
                <w:i/>
                <w:iCs/>
                <w:kern w:val="20"/>
                <w:sz w:val="22"/>
                <w:szCs w:val="22"/>
                <w:highlight w:val="yellow"/>
                <w:lang w:val="en-US"/>
              </w:rPr>
              <w:t xml:space="preserve">[Note: </w:t>
            </w:r>
            <w:r w:rsidR="0068515E" w:rsidRPr="008922F1">
              <w:rPr>
                <w:rFonts w:eastAsia="Arial"/>
                <w:b/>
                <w:bCs/>
                <w:i/>
                <w:iCs/>
                <w:kern w:val="20"/>
                <w:sz w:val="22"/>
                <w:szCs w:val="22"/>
                <w:highlight w:val="yellow"/>
                <w:lang w:val="en-US"/>
              </w:rPr>
              <w:t>Parties to consider aligning</w:t>
            </w:r>
            <w:r w:rsidR="00746FB5" w:rsidRPr="008922F1">
              <w:rPr>
                <w:rFonts w:eastAsia="Arial"/>
                <w:b/>
                <w:bCs/>
                <w:i/>
                <w:iCs/>
                <w:kern w:val="20"/>
                <w:sz w:val="22"/>
                <w:szCs w:val="22"/>
                <w:highlight w:val="yellow"/>
                <w:lang w:val="en-US"/>
              </w:rPr>
              <w:t xml:space="preserve"> these dates </w:t>
            </w:r>
            <w:r w:rsidR="00FD7A7E" w:rsidRPr="008922F1">
              <w:rPr>
                <w:rFonts w:eastAsia="Arial"/>
                <w:b/>
                <w:bCs/>
                <w:i/>
                <w:iCs/>
                <w:kern w:val="20"/>
                <w:sz w:val="22"/>
                <w:szCs w:val="22"/>
                <w:highlight w:val="yellow"/>
                <w:lang w:val="en-US"/>
              </w:rPr>
              <w:t xml:space="preserve">and the language regarding Business Day Conventions </w:t>
            </w:r>
            <w:r w:rsidR="00746FB5" w:rsidRPr="008922F1">
              <w:rPr>
                <w:rFonts w:eastAsia="Arial"/>
                <w:b/>
                <w:bCs/>
                <w:i/>
                <w:iCs/>
                <w:kern w:val="20"/>
                <w:sz w:val="22"/>
                <w:szCs w:val="22"/>
                <w:highlight w:val="yellow"/>
                <w:lang w:val="en-US"/>
              </w:rPr>
              <w:t xml:space="preserve">with the Floating Rate Payer Payment Dates. </w:t>
            </w:r>
            <w:r w:rsidR="00FD7A7E" w:rsidRPr="008922F1">
              <w:rPr>
                <w:rFonts w:eastAsia="Arial"/>
                <w:b/>
                <w:bCs/>
                <w:i/>
                <w:iCs/>
                <w:kern w:val="20"/>
                <w:sz w:val="22"/>
                <w:szCs w:val="22"/>
                <w:highlight w:val="yellow"/>
                <w:lang w:val="en-US"/>
              </w:rPr>
              <w:t>In any case,</w:t>
            </w:r>
            <w:r w:rsidR="00B612F9" w:rsidRPr="008922F1">
              <w:rPr>
                <w:rFonts w:eastAsia="Arial"/>
                <w:b/>
                <w:bCs/>
                <w:i/>
                <w:iCs/>
                <w:kern w:val="20"/>
                <w:sz w:val="22"/>
                <w:szCs w:val="22"/>
                <w:highlight w:val="yellow"/>
                <w:lang w:val="en-US"/>
              </w:rPr>
              <w:t xml:space="preserve"> </w:t>
            </w:r>
            <w:r w:rsidR="00746FB5" w:rsidRPr="008922F1">
              <w:rPr>
                <w:rFonts w:eastAsia="Arial"/>
                <w:b/>
                <w:bCs/>
                <w:i/>
                <w:iCs/>
                <w:kern w:val="20"/>
                <w:sz w:val="22"/>
                <w:szCs w:val="22"/>
                <w:highlight w:val="yellow"/>
                <w:lang w:val="en-US"/>
              </w:rPr>
              <w:t>consider deleting the bracketed language regarding [Period End Dates] as Delayed Payment is unlikely to be relevant.]</w:t>
            </w:r>
          </w:p>
        </w:tc>
      </w:tr>
      <w:tr w:rsidR="002D4C0F" w:rsidRPr="00186C59" w14:paraId="1652B624" w14:textId="77777777" w:rsidTr="004A3A72">
        <w:trPr>
          <w:gridBefore w:val="1"/>
          <w:gridAfter w:val="1"/>
          <w:wBefore w:w="7" w:type="dxa"/>
          <w:wAfter w:w="252" w:type="dxa"/>
          <w:cantSplit/>
        </w:trPr>
        <w:tc>
          <w:tcPr>
            <w:tcW w:w="4237" w:type="dxa"/>
            <w:shd w:val="clear" w:color="auto" w:fill="auto"/>
          </w:tcPr>
          <w:p w14:paraId="48F84777"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Fixed Amount [or Fixed Rate and Fixed Rate Day Count Fraction]:</w:t>
            </w:r>
          </w:p>
        </w:tc>
        <w:tc>
          <w:tcPr>
            <w:tcW w:w="3410" w:type="dxa"/>
            <w:gridSpan w:val="2"/>
            <w:shd w:val="clear" w:color="auto" w:fill="auto"/>
            <w:vAlign w:val="bottom"/>
          </w:tcPr>
          <w:p w14:paraId="77DA8CA6"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246CACD6" w14:textId="77777777" w:rsidTr="004A3A72">
        <w:trPr>
          <w:gridBefore w:val="1"/>
          <w:gridAfter w:val="1"/>
          <w:wBefore w:w="7" w:type="dxa"/>
          <w:wAfter w:w="252" w:type="dxa"/>
          <w:cantSplit/>
        </w:trPr>
        <w:tc>
          <w:tcPr>
            <w:tcW w:w="4237" w:type="dxa"/>
            <w:shd w:val="clear" w:color="auto" w:fill="auto"/>
          </w:tcPr>
          <w:p w14:paraId="7E22440A" w14:textId="77777777" w:rsidR="002D4C0F" w:rsidRPr="00186C59" w:rsidRDefault="002D4C0F" w:rsidP="002159F8">
            <w:pPr>
              <w:spacing w:before="60" w:after="60" w:line="290" w:lineRule="auto"/>
              <w:rPr>
                <w:rFonts w:eastAsia="Arial"/>
                <w:kern w:val="20"/>
                <w:sz w:val="22"/>
                <w:szCs w:val="22"/>
                <w:lang w:val="en-US"/>
              </w:rPr>
            </w:pPr>
            <w:r w:rsidRPr="00186C59">
              <w:rPr>
                <w:rFonts w:eastAsia="Arial"/>
                <w:kern w:val="20"/>
                <w:sz w:val="22"/>
                <w:szCs w:val="22"/>
                <w:lang w:val="en-US"/>
              </w:rPr>
              <w:t>Floating Amounts:</w:t>
            </w:r>
          </w:p>
        </w:tc>
        <w:tc>
          <w:tcPr>
            <w:tcW w:w="3410" w:type="dxa"/>
            <w:gridSpan w:val="2"/>
            <w:shd w:val="clear" w:color="auto" w:fill="auto"/>
            <w:vAlign w:val="bottom"/>
          </w:tcPr>
          <w:p w14:paraId="03991FFC" w14:textId="77777777" w:rsidR="002D4C0F" w:rsidRPr="00186C59" w:rsidRDefault="002D4C0F" w:rsidP="002D4C0F">
            <w:pPr>
              <w:spacing w:before="60" w:after="60" w:line="290" w:lineRule="auto"/>
              <w:rPr>
                <w:rFonts w:eastAsia="Arial"/>
                <w:kern w:val="20"/>
                <w:sz w:val="22"/>
                <w:szCs w:val="22"/>
                <w:lang w:val="en-US"/>
              </w:rPr>
            </w:pPr>
          </w:p>
        </w:tc>
      </w:tr>
      <w:tr w:rsidR="002D4C0F" w:rsidRPr="00186C59" w14:paraId="541C6A1B" w14:textId="77777777" w:rsidTr="004A3A72">
        <w:trPr>
          <w:cantSplit/>
        </w:trPr>
        <w:tc>
          <w:tcPr>
            <w:tcW w:w="4252" w:type="dxa"/>
            <w:gridSpan w:val="3"/>
            <w:shd w:val="clear" w:color="auto" w:fill="auto"/>
          </w:tcPr>
          <w:p w14:paraId="782F609C"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Floating Rate Payer:</w:t>
            </w:r>
          </w:p>
        </w:tc>
        <w:tc>
          <w:tcPr>
            <w:tcW w:w="3654" w:type="dxa"/>
            <w:gridSpan w:val="2"/>
            <w:shd w:val="clear" w:color="auto" w:fill="auto"/>
            <w:vAlign w:val="bottom"/>
          </w:tcPr>
          <w:p w14:paraId="4C9A3CD4"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[Party B/A]</w:t>
            </w:r>
          </w:p>
        </w:tc>
      </w:tr>
      <w:tr w:rsidR="002D4C0F" w:rsidRPr="00186C59" w14:paraId="63BC47D9" w14:textId="77777777" w:rsidTr="004A3A72">
        <w:trPr>
          <w:cantSplit/>
        </w:trPr>
        <w:tc>
          <w:tcPr>
            <w:tcW w:w="4252" w:type="dxa"/>
            <w:gridSpan w:val="3"/>
            <w:shd w:val="clear" w:color="auto" w:fill="auto"/>
          </w:tcPr>
          <w:p w14:paraId="611F6686"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[Floating Rate Payer Currency Amount:]</w:t>
            </w:r>
          </w:p>
        </w:tc>
        <w:tc>
          <w:tcPr>
            <w:tcW w:w="3654" w:type="dxa"/>
            <w:gridSpan w:val="2"/>
            <w:shd w:val="clear" w:color="auto" w:fill="auto"/>
            <w:vAlign w:val="bottom"/>
          </w:tcPr>
          <w:p w14:paraId="0CACFEEB"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3262E617" w14:textId="77777777" w:rsidTr="004A3A72">
        <w:trPr>
          <w:cantSplit/>
        </w:trPr>
        <w:tc>
          <w:tcPr>
            <w:tcW w:w="4252" w:type="dxa"/>
            <w:gridSpan w:val="3"/>
            <w:shd w:val="clear" w:color="auto" w:fill="auto"/>
          </w:tcPr>
          <w:p w14:paraId="491D3ECD" w14:textId="42A86EAE"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Floating Rate Payer Payment Dates</w:t>
            </w:r>
            <w:r w:rsidR="00746FB5" w:rsidRPr="00186C59">
              <w:rPr>
                <w:rFonts w:eastAsia="Times New Roman"/>
                <w:kern w:val="20"/>
                <w:sz w:val="22"/>
                <w:szCs w:val="22"/>
              </w:rPr>
              <w:t>:</w:t>
            </w:r>
          </w:p>
        </w:tc>
        <w:tc>
          <w:tcPr>
            <w:tcW w:w="3654" w:type="dxa"/>
            <w:gridSpan w:val="2"/>
            <w:shd w:val="clear" w:color="auto" w:fill="auto"/>
            <w:vAlign w:val="bottom"/>
          </w:tcPr>
          <w:p w14:paraId="01FF18B1" w14:textId="76FB2BDE" w:rsidR="002D4C0F" w:rsidRPr="00186C59" w:rsidRDefault="002D4C0F" w:rsidP="002D4C0F">
            <w:pPr>
              <w:spacing w:before="60" w:after="60" w:line="290" w:lineRule="auto"/>
              <w:rPr>
                <w:rFonts w:eastAsia="Arial"/>
                <w:b/>
                <w:bCs/>
                <w:i/>
                <w:iCs/>
                <w:kern w:val="20"/>
                <w:sz w:val="22"/>
                <w:szCs w:val="22"/>
                <w:highlight w:val="yellow"/>
                <w:lang w:val="en-US"/>
              </w:rPr>
            </w:pPr>
            <w:r w:rsidRPr="00186C59">
              <w:rPr>
                <w:rFonts w:eastAsia="Arial"/>
                <w:kern w:val="20"/>
                <w:sz w:val="22"/>
                <w:szCs w:val="22"/>
                <w:lang w:val="en-US"/>
              </w:rPr>
              <w:t xml:space="preserve">[                   ] </w:t>
            </w:r>
            <w:r w:rsidR="00746FB5" w:rsidRPr="008922F1">
              <w:rPr>
                <w:rFonts w:eastAsia="Arial"/>
                <w:b/>
                <w:bCs/>
                <w:i/>
                <w:iCs/>
                <w:kern w:val="20"/>
                <w:sz w:val="22"/>
                <w:szCs w:val="22"/>
                <w:highlight w:val="yellow"/>
                <w:lang w:val="en-US"/>
              </w:rPr>
              <w:t xml:space="preserve">[Note: </w:t>
            </w:r>
            <w:r w:rsidR="00D46602" w:rsidRPr="008922F1">
              <w:rPr>
                <w:rFonts w:eastAsia="Arial"/>
                <w:b/>
                <w:bCs/>
                <w:i/>
                <w:iCs/>
                <w:kern w:val="20"/>
                <w:sz w:val="22"/>
                <w:szCs w:val="22"/>
                <w:highlight w:val="yellow"/>
                <w:lang w:val="en-US"/>
              </w:rPr>
              <w:t xml:space="preserve">Parties </w:t>
            </w:r>
            <w:r w:rsidR="00FD7A7E" w:rsidRPr="008922F1">
              <w:rPr>
                <w:rFonts w:eastAsia="Arial"/>
                <w:b/>
                <w:bCs/>
                <w:i/>
                <w:iCs/>
                <w:kern w:val="20"/>
                <w:sz w:val="22"/>
                <w:szCs w:val="22"/>
                <w:highlight w:val="yellow"/>
                <w:lang w:val="en-US"/>
              </w:rPr>
              <w:t xml:space="preserve">should insert the Interest Payment Dates under the </w:t>
            </w:r>
            <w:r w:rsidR="006322F1" w:rsidRPr="008922F1">
              <w:rPr>
                <w:rFonts w:eastAsia="Arial"/>
                <w:b/>
                <w:bCs/>
                <w:i/>
                <w:iCs/>
                <w:kern w:val="20"/>
                <w:sz w:val="22"/>
                <w:szCs w:val="22"/>
                <w:highlight w:val="yellow"/>
                <w:lang w:val="en-US"/>
              </w:rPr>
              <w:t>credit agreement</w:t>
            </w:r>
            <w:r w:rsidR="001D2248" w:rsidRPr="008922F1">
              <w:rPr>
                <w:rFonts w:eastAsia="Arial"/>
                <w:b/>
                <w:bCs/>
                <w:i/>
                <w:iCs/>
                <w:kern w:val="20"/>
                <w:sz w:val="22"/>
                <w:szCs w:val="22"/>
                <w:highlight w:val="yellow"/>
                <w:lang w:val="en-US"/>
              </w:rPr>
              <w:t xml:space="preserve"> and ensure that the business day conventions are aligned</w:t>
            </w:r>
            <w:r w:rsidR="003C7654" w:rsidRPr="008922F1">
              <w:rPr>
                <w:rFonts w:eastAsia="Arial"/>
                <w:b/>
                <w:bCs/>
                <w:i/>
                <w:iCs/>
                <w:kern w:val="20"/>
                <w:sz w:val="22"/>
                <w:szCs w:val="22"/>
                <w:highlight w:val="yellow"/>
                <w:lang w:val="en-US"/>
              </w:rPr>
              <w:t xml:space="preserve">, e.g. by using </w:t>
            </w:r>
            <w:r w:rsidR="007121BE" w:rsidRPr="008922F1">
              <w:rPr>
                <w:rFonts w:eastAsia="Arial"/>
                <w:b/>
                <w:bCs/>
                <w:i/>
                <w:iCs/>
                <w:kern w:val="20"/>
                <w:sz w:val="22"/>
                <w:szCs w:val="22"/>
                <w:highlight w:val="yellow"/>
                <w:lang w:val="en-US"/>
              </w:rPr>
              <w:t>the</w:t>
            </w:r>
            <w:r w:rsidR="003C7654" w:rsidRPr="008922F1">
              <w:rPr>
                <w:rFonts w:eastAsia="Arial"/>
                <w:b/>
                <w:bCs/>
                <w:i/>
                <w:iCs/>
                <w:kern w:val="20"/>
                <w:sz w:val="22"/>
                <w:szCs w:val="22"/>
                <w:highlight w:val="yellow"/>
                <w:lang w:val="en-US"/>
              </w:rPr>
              <w:t xml:space="preserve"> </w:t>
            </w:r>
            <w:r w:rsidR="00170832" w:rsidRPr="008922F1">
              <w:rPr>
                <w:rFonts w:eastAsia="Arial"/>
                <w:b/>
                <w:bCs/>
                <w:i/>
                <w:iCs/>
                <w:kern w:val="20"/>
                <w:sz w:val="22"/>
                <w:szCs w:val="22"/>
                <w:highlight w:val="yellow"/>
                <w:lang w:val="en-US"/>
              </w:rPr>
              <w:t>formulation “the last Business Day of each [March, June, September and December][calendar month]</w:t>
            </w:r>
            <w:r w:rsidR="009E6A08" w:rsidRPr="008922F1">
              <w:rPr>
                <w:rFonts w:eastAsia="Arial"/>
                <w:b/>
                <w:bCs/>
                <w:i/>
                <w:iCs/>
                <w:kern w:val="20"/>
                <w:sz w:val="22"/>
                <w:szCs w:val="22"/>
                <w:highlight w:val="yellow"/>
                <w:lang w:val="en-US"/>
              </w:rPr>
              <w:t xml:space="preserve"> </w:t>
            </w:r>
            <w:r w:rsidR="00170832" w:rsidRPr="008922F1">
              <w:rPr>
                <w:rFonts w:eastAsia="Arial"/>
                <w:b/>
                <w:bCs/>
                <w:i/>
                <w:iCs/>
                <w:kern w:val="20"/>
                <w:sz w:val="22"/>
                <w:szCs w:val="22"/>
                <w:highlight w:val="yellow"/>
                <w:lang w:val="en-US"/>
              </w:rPr>
              <w:t xml:space="preserve">and the Termination Date with the Termination Date subject to adjustment </w:t>
            </w:r>
            <w:r w:rsidR="000E291B" w:rsidRPr="008922F1">
              <w:rPr>
                <w:rFonts w:eastAsia="Arial"/>
                <w:b/>
                <w:bCs/>
                <w:i/>
                <w:iCs/>
                <w:kern w:val="20"/>
                <w:sz w:val="22"/>
                <w:szCs w:val="22"/>
                <w:highlight w:val="yellow"/>
                <w:lang w:val="en-US"/>
              </w:rPr>
              <w:t xml:space="preserve">in accordance </w:t>
            </w:r>
            <w:r w:rsidR="00170832" w:rsidRPr="008922F1">
              <w:rPr>
                <w:rFonts w:eastAsia="Arial"/>
                <w:b/>
                <w:bCs/>
                <w:i/>
                <w:iCs/>
                <w:kern w:val="20"/>
                <w:sz w:val="22"/>
                <w:szCs w:val="22"/>
                <w:highlight w:val="yellow"/>
                <w:lang w:val="en-US"/>
              </w:rPr>
              <w:t>with the Preceding Business Day Convention”</w:t>
            </w:r>
            <w:r w:rsidR="007121BE" w:rsidRPr="008922F1">
              <w:rPr>
                <w:rFonts w:eastAsia="Arial"/>
                <w:b/>
                <w:bCs/>
                <w:i/>
                <w:iCs/>
                <w:kern w:val="20"/>
                <w:sz w:val="22"/>
                <w:szCs w:val="22"/>
                <w:highlight w:val="yellow"/>
                <w:lang w:val="en-US"/>
              </w:rPr>
              <w:t xml:space="preserve"> which is similar to the </w:t>
            </w:r>
            <w:r w:rsidR="006F457B" w:rsidRPr="008922F1">
              <w:rPr>
                <w:rFonts w:eastAsia="Arial"/>
                <w:b/>
                <w:bCs/>
                <w:i/>
                <w:iCs/>
                <w:kern w:val="20"/>
                <w:sz w:val="22"/>
                <w:szCs w:val="22"/>
                <w:highlight w:val="yellow"/>
                <w:lang w:val="en-US"/>
              </w:rPr>
              <w:t>‘Alternative 1’ drafting proposed in the LSTA SOFR CCA for the definition of “Interest Payment Date”</w:t>
            </w:r>
            <w:r w:rsidR="007121BE" w:rsidRPr="008922F1">
              <w:rPr>
                <w:rStyle w:val="FootnoteReference"/>
                <w:rFonts w:eastAsia="Arial"/>
                <w:b/>
                <w:bCs/>
                <w:i/>
                <w:iCs/>
                <w:kern w:val="20"/>
                <w:sz w:val="22"/>
                <w:szCs w:val="22"/>
                <w:highlight w:val="yellow"/>
                <w:lang w:val="en-US"/>
              </w:rPr>
              <w:footnoteReference w:id="2"/>
            </w:r>
            <w:r w:rsidR="00D46602" w:rsidRPr="008922F1">
              <w:rPr>
                <w:rFonts w:eastAsia="Arial"/>
                <w:b/>
                <w:bCs/>
                <w:i/>
                <w:iCs/>
                <w:kern w:val="20"/>
                <w:sz w:val="22"/>
                <w:szCs w:val="22"/>
                <w:highlight w:val="yellow"/>
                <w:lang w:val="en-US"/>
              </w:rPr>
              <w:t xml:space="preserve">. </w:t>
            </w:r>
            <w:r w:rsidR="003C7654" w:rsidRPr="008922F1">
              <w:rPr>
                <w:rFonts w:eastAsia="Arial"/>
                <w:b/>
                <w:bCs/>
                <w:i/>
                <w:iCs/>
                <w:kern w:val="20"/>
                <w:sz w:val="22"/>
                <w:szCs w:val="22"/>
                <w:highlight w:val="yellow"/>
                <w:lang w:val="en-US"/>
              </w:rPr>
              <w:t>Also</w:t>
            </w:r>
            <w:r w:rsidR="00B612F9" w:rsidRPr="008922F1">
              <w:rPr>
                <w:rFonts w:eastAsia="Arial"/>
                <w:b/>
                <w:bCs/>
                <w:i/>
                <w:iCs/>
                <w:kern w:val="20"/>
                <w:sz w:val="22"/>
                <w:szCs w:val="22"/>
                <w:highlight w:val="yellow"/>
                <w:lang w:val="en-US"/>
              </w:rPr>
              <w:t xml:space="preserve"> consider </w:t>
            </w:r>
            <w:r w:rsidR="00D46602" w:rsidRPr="008922F1">
              <w:rPr>
                <w:rFonts w:eastAsia="Arial"/>
                <w:b/>
                <w:bCs/>
                <w:i/>
                <w:iCs/>
                <w:kern w:val="20"/>
                <w:sz w:val="22"/>
                <w:szCs w:val="22"/>
                <w:highlight w:val="yellow"/>
                <w:lang w:val="en-US"/>
              </w:rPr>
              <w:t>deleting the bracketed language regarding [Period End Dates] as Delayed Payment is unlikely to be relevant.</w:t>
            </w:r>
            <w:r w:rsidR="00746FB5" w:rsidRPr="008922F1">
              <w:rPr>
                <w:rFonts w:eastAsia="Arial"/>
                <w:b/>
                <w:bCs/>
                <w:i/>
                <w:iCs/>
                <w:kern w:val="20"/>
                <w:sz w:val="22"/>
                <w:szCs w:val="22"/>
                <w:highlight w:val="yellow"/>
                <w:lang w:val="en-US"/>
              </w:rPr>
              <w:t>]</w:t>
            </w:r>
            <w:r w:rsidR="003850F5" w:rsidRPr="008922F1">
              <w:rPr>
                <w:rFonts w:eastAsia="Arial"/>
                <w:b/>
                <w:bCs/>
                <w:i/>
                <w:iCs/>
                <w:kern w:val="20"/>
                <w:sz w:val="22"/>
                <w:szCs w:val="22"/>
                <w:lang w:val="en-US"/>
              </w:rPr>
              <w:t xml:space="preserve"> </w:t>
            </w:r>
          </w:p>
        </w:tc>
      </w:tr>
      <w:tr w:rsidR="002D4C0F" w:rsidRPr="00186C59" w14:paraId="3AF60527" w14:textId="77777777" w:rsidTr="004A3A72">
        <w:trPr>
          <w:gridBefore w:val="1"/>
          <w:gridAfter w:val="1"/>
          <w:wBefore w:w="7" w:type="dxa"/>
          <w:wAfter w:w="252" w:type="dxa"/>
          <w:cantSplit/>
        </w:trPr>
        <w:tc>
          <w:tcPr>
            <w:tcW w:w="4237" w:type="dxa"/>
            <w:shd w:val="clear" w:color="auto" w:fill="auto"/>
          </w:tcPr>
          <w:p w14:paraId="1721C525"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[Floating Rate for initial Calculation Period:]</w:t>
            </w:r>
          </w:p>
        </w:tc>
        <w:tc>
          <w:tcPr>
            <w:tcW w:w="3410" w:type="dxa"/>
            <w:gridSpan w:val="2"/>
            <w:shd w:val="clear" w:color="auto" w:fill="auto"/>
            <w:vAlign w:val="bottom"/>
          </w:tcPr>
          <w:p w14:paraId="0594DD2F"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1E8E82DE" w14:textId="77777777" w:rsidTr="004A3A72">
        <w:trPr>
          <w:gridBefore w:val="1"/>
          <w:gridAfter w:val="1"/>
          <w:wBefore w:w="7" w:type="dxa"/>
          <w:wAfter w:w="252" w:type="dxa"/>
          <w:cantSplit/>
        </w:trPr>
        <w:tc>
          <w:tcPr>
            <w:tcW w:w="4237" w:type="dxa"/>
            <w:shd w:val="clear" w:color="auto" w:fill="auto"/>
          </w:tcPr>
          <w:p w14:paraId="0B308209"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lastRenderedPageBreak/>
              <w:t>Floating Rate Option:</w:t>
            </w:r>
          </w:p>
        </w:tc>
        <w:tc>
          <w:tcPr>
            <w:tcW w:w="3410" w:type="dxa"/>
            <w:gridSpan w:val="2"/>
            <w:shd w:val="clear" w:color="auto" w:fill="auto"/>
          </w:tcPr>
          <w:p w14:paraId="5EF95714" w14:textId="22B74C7A" w:rsidR="002D4C0F" w:rsidRPr="00186C59" w:rsidRDefault="00786ED7" w:rsidP="002D4C0F">
            <w:pPr>
              <w:spacing w:before="60" w:after="60" w:line="290" w:lineRule="auto"/>
              <w:rPr>
                <w:rFonts w:eastAsia="Arial"/>
                <w:b/>
                <w:bCs/>
                <w:i/>
                <w:iCs/>
                <w:kern w:val="20"/>
                <w:sz w:val="22"/>
                <w:szCs w:val="22"/>
                <w:lang w:val="en-US"/>
              </w:rPr>
            </w:pPr>
            <w:r w:rsidRPr="00186C59">
              <w:rPr>
                <w:rFonts w:eastAsia="Arial"/>
                <w:kern w:val="20"/>
                <w:sz w:val="22"/>
                <w:szCs w:val="22"/>
                <w:lang w:val="en-US"/>
              </w:rPr>
              <w:t>USD-SOFR</w:t>
            </w:r>
            <w:r w:rsidR="00746FB5" w:rsidRPr="00186C59">
              <w:rPr>
                <w:rFonts w:eastAsia="Arial"/>
                <w:kern w:val="20"/>
                <w:sz w:val="22"/>
                <w:szCs w:val="22"/>
                <w:lang w:val="en-US"/>
              </w:rPr>
              <w:t xml:space="preserve"> </w:t>
            </w:r>
            <w:r w:rsidR="00746FB5" w:rsidRPr="008922F1">
              <w:rPr>
                <w:rFonts w:eastAsia="Arial"/>
                <w:b/>
                <w:bCs/>
                <w:i/>
                <w:iCs/>
                <w:kern w:val="20"/>
                <w:sz w:val="22"/>
                <w:szCs w:val="22"/>
                <w:highlight w:val="yellow"/>
                <w:lang w:val="en-US"/>
              </w:rPr>
              <w:t>[Note: Th</w:t>
            </w:r>
            <w:r w:rsidR="00E62A50" w:rsidRPr="008922F1">
              <w:rPr>
                <w:rFonts w:eastAsia="Arial"/>
                <w:b/>
                <w:bCs/>
                <w:i/>
                <w:iCs/>
                <w:kern w:val="20"/>
                <w:sz w:val="22"/>
                <w:szCs w:val="22"/>
                <w:highlight w:val="yellow"/>
                <w:lang w:val="en-US"/>
              </w:rPr>
              <w:t>e USD-SOFR</w:t>
            </w:r>
            <w:r w:rsidR="00746FB5" w:rsidRPr="008922F1">
              <w:rPr>
                <w:rFonts w:eastAsia="Arial"/>
                <w:b/>
                <w:bCs/>
                <w:i/>
                <w:iCs/>
                <w:kern w:val="20"/>
                <w:sz w:val="22"/>
                <w:szCs w:val="22"/>
                <w:highlight w:val="yellow"/>
                <w:lang w:val="en-US"/>
              </w:rPr>
              <w:t xml:space="preserve"> Floating Rate Option </w:t>
            </w:r>
            <w:r w:rsidR="00E62A50" w:rsidRPr="008922F1">
              <w:rPr>
                <w:rFonts w:eastAsia="Arial"/>
                <w:b/>
                <w:bCs/>
                <w:i/>
                <w:iCs/>
                <w:kern w:val="20"/>
                <w:sz w:val="22"/>
                <w:szCs w:val="22"/>
                <w:highlight w:val="yellow"/>
                <w:lang w:val="en-US"/>
              </w:rPr>
              <w:t>is closest to SOFR as defined</w:t>
            </w:r>
            <w:r w:rsidR="00746FB5" w:rsidRPr="008922F1">
              <w:rPr>
                <w:rFonts w:eastAsia="Arial"/>
                <w:b/>
                <w:bCs/>
                <w:i/>
                <w:iCs/>
                <w:kern w:val="20"/>
                <w:sz w:val="22"/>
                <w:szCs w:val="22"/>
                <w:highlight w:val="yellow"/>
                <w:lang w:val="en-US"/>
              </w:rPr>
              <w:t xml:space="preserve"> in the </w:t>
            </w:r>
            <w:r w:rsidR="00E62A50" w:rsidRPr="008922F1">
              <w:rPr>
                <w:rFonts w:eastAsia="Arial"/>
                <w:b/>
                <w:bCs/>
                <w:i/>
                <w:iCs/>
                <w:kern w:val="20"/>
                <w:sz w:val="22"/>
                <w:szCs w:val="22"/>
                <w:highlight w:val="yellow"/>
                <w:lang w:val="en-US"/>
              </w:rPr>
              <w:t>LSTA SOFR CCA</w:t>
            </w:r>
            <w:r w:rsidR="00746FB5" w:rsidRPr="008922F1">
              <w:rPr>
                <w:rFonts w:eastAsia="Arial"/>
                <w:b/>
                <w:bCs/>
                <w:i/>
                <w:iCs/>
                <w:kern w:val="20"/>
                <w:sz w:val="22"/>
                <w:szCs w:val="22"/>
                <w:highlight w:val="yellow"/>
                <w:lang w:val="en-US"/>
              </w:rPr>
              <w:t xml:space="preserve">. Note however that triggers and fallbacks will differ between </w:t>
            </w:r>
            <w:r w:rsidR="00E62A50" w:rsidRPr="008922F1">
              <w:rPr>
                <w:rFonts w:eastAsia="Arial"/>
                <w:b/>
                <w:bCs/>
                <w:i/>
                <w:iCs/>
                <w:kern w:val="20"/>
                <w:sz w:val="22"/>
                <w:szCs w:val="22"/>
                <w:highlight w:val="yellow"/>
                <w:lang w:val="en-US"/>
              </w:rPr>
              <w:t xml:space="preserve">SOFR as defined in the LSTA SOFR CCA </w:t>
            </w:r>
            <w:r w:rsidR="00746FB5" w:rsidRPr="008922F1">
              <w:rPr>
                <w:rFonts w:eastAsia="Arial"/>
                <w:b/>
                <w:bCs/>
                <w:i/>
                <w:iCs/>
                <w:kern w:val="20"/>
                <w:sz w:val="22"/>
                <w:szCs w:val="22"/>
                <w:highlight w:val="yellow"/>
                <w:lang w:val="en-US"/>
              </w:rPr>
              <w:t xml:space="preserve">and the </w:t>
            </w:r>
            <w:r w:rsidR="00E62A50" w:rsidRPr="008922F1">
              <w:rPr>
                <w:rFonts w:eastAsia="Arial"/>
                <w:b/>
                <w:bCs/>
                <w:i/>
                <w:iCs/>
                <w:kern w:val="20"/>
                <w:sz w:val="22"/>
                <w:szCs w:val="22"/>
                <w:highlight w:val="yellow"/>
                <w:lang w:val="en-US"/>
              </w:rPr>
              <w:t xml:space="preserve">USD-SOFR </w:t>
            </w:r>
            <w:r w:rsidR="00746FB5" w:rsidRPr="008922F1">
              <w:rPr>
                <w:rFonts w:eastAsia="Arial"/>
                <w:b/>
                <w:bCs/>
                <w:i/>
                <w:iCs/>
                <w:kern w:val="20"/>
                <w:sz w:val="22"/>
                <w:szCs w:val="22"/>
                <w:highlight w:val="yellow"/>
                <w:lang w:val="en-US"/>
              </w:rPr>
              <w:t>Floating Rate Option</w:t>
            </w:r>
            <w:r w:rsidR="00003353" w:rsidRPr="008922F1">
              <w:rPr>
                <w:rFonts w:eastAsia="Arial"/>
                <w:b/>
                <w:bCs/>
                <w:i/>
                <w:iCs/>
                <w:kern w:val="20"/>
                <w:sz w:val="22"/>
                <w:szCs w:val="22"/>
                <w:highlight w:val="yellow"/>
                <w:lang w:val="en-US"/>
              </w:rPr>
              <w:t xml:space="preserve"> in the 2006 ISDA Definitions. Note also that rounding conventions differ</w:t>
            </w:r>
            <w:r w:rsidR="00FD7A7E" w:rsidRPr="008922F1">
              <w:rPr>
                <w:rFonts w:eastAsia="Arial"/>
                <w:b/>
                <w:bCs/>
                <w:i/>
                <w:iCs/>
                <w:kern w:val="20"/>
                <w:sz w:val="22"/>
                <w:szCs w:val="22"/>
                <w:highlight w:val="yellow"/>
                <w:lang w:val="en-US"/>
              </w:rPr>
              <w:t xml:space="preserve">, as these are </w:t>
            </w:r>
            <w:r w:rsidR="00003353" w:rsidRPr="008922F1">
              <w:rPr>
                <w:rFonts w:eastAsia="Arial"/>
                <w:b/>
                <w:bCs/>
                <w:i/>
                <w:iCs/>
                <w:kern w:val="20"/>
                <w:sz w:val="22"/>
                <w:szCs w:val="22"/>
                <w:highlight w:val="yellow"/>
                <w:lang w:val="en-US"/>
              </w:rPr>
              <w:t xml:space="preserve">specified for the </w:t>
            </w:r>
            <w:r w:rsidR="00E62A50" w:rsidRPr="008922F1">
              <w:rPr>
                <w:rFonts w:eastAsia="Arial"/>
                <w:b/>
                <w:bCs/>
                <w:i/>
                <w:iCs/>
                <w:kern w:val="20"/>
                <w:sz w:val="22"/>
                <w:szCs w:val="22"/>
                <w:highlight w:val="yellow"/>
                <w:lang w:val="en-US"/>
              </w:rPr>
              <w:t xml:space="preserve">USD-SOFR </w:t>
            </w:r>
            <w:r w:rsidR="00003353" w:rsidRPr="008922F1">
              <w:rPr>
                <w:rFonts w:eastAsia="Arial"/>
                <w:b/>
                <w:bCs/>
                <w:i/>
                <w:iCs/>
                <w:kern w:val="20"/>
                <w:sz w:val="22"/>
                <w:szCs w:val="22"/>
                <w:highlight w:val="yellow"/>
                <w:lang w:val="en-US"/>
              </w:rPr>
              <w:t xml:space="preserve">Floating Rate Option in the 2006 ISDA Definitions </w:t>
            </w:r>
            <w:r w:rsidR="00FD7A7E" w:rsidRPr="008922F1">
              <w:rPr>
                <w:rFonts w:eastAsia="Arial"/>
                <w:b/>
                <w:bCs/>
                <w:i/>
                <w:iCs/>
                <w:kern w:val="20"/>
                <w:sz w:val="22"/>
                <w:szCs w:val="22"/>
                <w:highlight w:val="yellow"/>
                <w:lang w:val="en-US"/>
              </w:rPr>
              <w:t xml:space="preserve">however no rounding conventions are included </w:t>
            </w:r>
            <w:r w:rsidR="00BF3D83" w:rsidRPr="008922F1">
              <w:rPr>
                <w:rFonts w:eastAsia="Arial"/>
                <w:b/>
                <w:bCs/>
                <w:i/>
                <w:iCs/>
                <w:kern w:val="20"/>
                <w:sz w:val="22"/>
                <w:szCs w:val="22"/>
                <w:highlight w:val="yellow"/>
                <w:lang w:val="en-US"/>
              </w:rPr>
              <w:t xml:space="preserve">for SOFR </w:t>
            </w:r>
            <w:r w:rsidR="00FD7A7E" w:rsidRPr="008922F1">
              <w:rPr>
                <w:rFonts w:eastAsia="Arial"/>
                <w:b/>
                <w:bCs/>
                <w:i/>
                <w:iCs/>
                <w:kern w:val="20"/>
                <w:sz w:val="22"/>
                <w:szCs w:val="22"/>
                <w:highlight w:val="yellow"/>
                <w:lang w:val="en-US"/>
              </w:rPr>
              <w:t>in</w:t>
            </w:r>
            <w:r w:rsidR="00E62A50" w:rsidRPr="008922F1">
              <w:rPr>
                <w:rFonts w:eastAsia="Arial"/>
                <w:b/>
                <w:bCs/>
                <w:i/>
                <w:iCs/>
                <w:kern w:val="20"/>
                <w:sz w:val="22"/>
                <w:szCs w:val="22"/>
                <w:highlight w:val="yellow"/>
                <w:lang w:val="en-US"/>
              </w:rPr>
              <w:t xml:space="preserve"> the LSTA SOFR CCA</w:t>
            </w:r>
            <w:r w:rsidR="00003353" w:rsidRPr="008922F1">
              <w:rPr>
                <w:rFonts w:eastAsia="Arial"/>
                <w:b/>
                <w:bCs/>
                <w:i/>
                <w:iCs/>
                <w:kern w:val="20"/>
                <w:sz w:val="22"/>
                <w:szCs w:val="22"/>
                <w:highlight w:val="yellow"/>
                <w:lang w:val="en-US"/>
              </w:rPr>
              <w:t>.</w:t>
            </w:r>
            <w:r w:rsidR="00746FB5" w:rsidRPr="008922F1">
              <w:rPr>
                <w:rFonts w:eastAsia="Arial"/>
                <w:b/>
                <w:bCs/>
                <w:i/>
                <w:iCs/>
                <w:kern w:val="20"/>
                <w:sz w:val="22"/>
                <w:szCs w:val="22"/>
                <w:highlight w:val="yellow"/>
                <w:lang w:val="en-US"/>
              </w:rPr>
              <w:t>]</w:t>
            </w:r>
            <w:r w:rsidR="00E62A50" w:rsidRPr="00186C59">
              <w:rPr>
                <w:rFonts w:eastAsia="Arial"/>
                <w:kern w:val="20"/>
                <w:sz w:val="22"/>
                <w:szCs w:val="22"/>
                <w:lang w:val="en-US"/>
              </w:rPr>
              <w:t xml:space="preserve"> </w:t>
            </w:r>
          </w:p>
        </w:tc>
      </w:tr>
      <w:tr w:rsidR="002D4C0F" w:rsidRPr="00186C59" w14:paraId="39A55013" w14:textId="77777777" w:rsidTr="004A3A72">
        <w:trPr>
          <w:gridBefore w:val="1"/>
          <w:gridAfter w:val="1"/>
          <w:wBefore w:w="7" w:type="dxa"/>
          <w:wAfter w:w="252" w:type="dxa"/>
          <w:cantSplit/>
        </w:trPr>
        <w:tc>
          <w:tcPr>
            <w:tcW w:w="4237" w:type="dxa"/>
            <w:shd w:val="clear" w:color="auto" w:fill="auto"/>
          </w:tcPr>
          <w:p w14:paraId="5C3F4800" w14:textId="77777777" w:rsidR="002D4C0F" w:rsidRPr="00186C59" w:rsidRDefault="002D4C0F" w:rsidP="002159F8">
            <w:pPr>
              <w:spacing w:before="40" w:after="40" w:line="290" w:lineRule="auto"/>
              <w:rPr>
                <w:rFonts w:eastAsia="Times New Roman"/>
                <w:kern w:val="20"/>
                <w:sz w:val="22"/>
                <w:szCs w:val="22"/>
              </w:rPr>
            </w:pPr>
            <w:bookmarkStart w:id="5" w:name="_Hlk74855086"/>
            <w:r w:rsidRPr="00186C59">
              <w:rPr>
                <w:rFonts w:eastAsia="Times New Roman"/>
                <w:kern w:val="20"/>
                <w:sz w:val="22"/>
                <w:szCs w:val="22"/>
              </w:rPr>
              <w:t>Spread:</w:t>
            </w:r>
          </w:p>
        </w:tc>
        <w:tc>
          <w:tcPr>
            <w:tcW w:w="3410" w:type="dxa"/>
            <w:gridSpan w:val="2"/>
            <w:shd w:val="clear" w:color="auto" w:fill="auto"/>
          </w:tcPr>
          <w:p w14:paraId="02BA218A" w14:textId="7A983484" w:rsidR="002D4C0F" w:rsidRPr="00186C59" w:rsidRDefault="002D4C0F" w:rsidP="002D4C0F">
            <w:pPr>
              <w:spacing w:before="60" w:after="60" w:line="290" w:lineRule="auto"/>
              <w:rPr>
                <w:rFonts w:eastAsia="Arial"/>
                <w:b/>
                <w:bCs/>
                <w:i/>
                <w:iCs/>
                <w:kern w:val="20"/>
                <w:sz w:val="22"/>
                <w:szCs w:val="22"/>
                <w:lang w:val="en-US"/>
              </w:rPr>
            </w:pPr>
            <w:r w:rsidRPr="00186C59">
              <w:rPr>
                <w:rFonts w:eastAsia="Arial"/>
                <w:kern w:val="20"/>
                <w:sz w:val="22"/>
                <w:szCs w:val="22"/>
                <w:lang w:val="en-US"/>
              </w:rPr>
              <w:t>[Plus/Minus           %] [None]</w:t>
            </w:r>
            <w:r w:rsidR="00003353" w:rsidRPr="00186C59">
              <w:rPr>
                <w:rFonts w:eastAsia="Arial"/>
                <w:kern w:val="20"/>
                <w:sz w:val="22"/>
                <w:szCs w:val="22"/>
                <w:lang w:val="en-US"/>
              </w:rPr>
              <w:t xml:space="preserve"> </w:t>
            </w:r>
            <w:r w:rsidR="00003353" w:rsidRPr="008922F1">
              <w:rPr>
                <w:rFonts w:eastAsia="Arial"/>
                <w:b/>
                <w:bCs/>
                <w:i/>
                <w:iCs/>
                <w:kern w:val="20"/>
                <w:sz w:val="22"/>
                <w:szCs w:val="22"/>
                <w:highlight w:val="yellow"/>
                <w:lang w:val="en-US"/>
              </w:rPr>
              <w:t xml:space="preserve">[Note: Although uncommon for the </w:t>
            </w:r>
            <w:r w:rsidR="00681187" w:rsidRPr="008922F1">
              <w:rPr>
                <w:rFonts w:eastAsia="Arial"/>
                <w:b/>
                <w:bCs/>
                <w:i/>
                <w:iCs/>
                <w:kern w:val="20"/>
                <w:sz w:val="22"/>
                <w:szCs w:val="22"/>
                <w:highlight w:val="yellow"/>
                <w:lang w:val="en-US"/>
              </w:rPr>
              <w:t>m</w:t>
            </w:r>
            <w:r w:rsidR="00003353" w:rsidRPr="008922F1">
              <w:rPr>
                <w:rFonts w:eastAsia="Arial"/>
                <w:b/>
                <w:bCs/>
                <w:i/>
                <w:iCs/>
                <w:kern w:val="20"/>
                <w:sz w:val="22"/>
                <w:szCs w:val="22"/>
                <w:highlight w:val="yellow"/>
                <w:lang w:val="en-US"/>
              </w:rPr>
              <w:t>argin</w:t>
            </w:r>
            <w:r w:rsidR="002876D9" w:rsidRPr="008922F1">
              <w:rPr>
                <w:rFonts w:eastAsia="Arial"/>
                <w:b/>
                <w:bCs/>
                <w:i/>
                <w:iCs/>
                <w:kern w:val="20"/>
                <w:sz w:val="22"/>
                <w:szCs w:val="22"/>
                <w:highlight w:val="yellow"/>
                <w:lang w:val="en-US"/>
              </w:rPr>
              <w:t xml:space="preserve"> </w:t>
            </w:r>
            <w:r w:rsidR="00003353" w:rsidRPr="008922F1">
              <w:rPr>
                <w:rFonts w:eastAsia="Arial"/>
                <w:b/>
                <w:bCs/>
                <w:i/>
                <w:iCs/>
                <w:kern w:val="20"/>
                <w:sz w:val="22"/>
                <w:szCs w:val="22"/>
                <w:highlight w:val="yellow"/>
                <w:lang w:val="en-US"/>
              </w:rPr>
              <w:t xml:space="preserve">to be included as a Spread, parties to consider whether any credit adjustment spread </w:t>
            </w:r>
            <w:r w:rsidR="00BF3D83" w:rsidRPr="008922F1">
              <w:rPr>
                <w:rFonts w:eastAsia="Arial"/>
                <w:b/>
                <w:bCs/>
                <w:i/>
                <w:iCs/>
                <w:kern w:val="20"/>
                <w:sz w:val="22"/>
                <w:szCs w:val="22"/>
                <w:highlight w:val="yellow"/>
                <w:lang w:val="en-US"/>
              </w:rPr>
              <w:t>(specified in the definition of “Applicable Rate”</w:t>
            </w:r>
            <w:r w:rsidR="0065151F" w:rsidRPr="008922F1">
              <w:rPr>
                <w:rFonts w:eastAsia="Arial"/>
                <w:b/>
                <w:bCs/>
                <w:i/>
                <w:iCs/>
                <w:kern w:val="20"/>
                <w:sz w:val="22"/>
                <w:szCs w:val="22"/>
                <w:highlight w:val="yellow"/>
                <w:lang w:val="en-US"/>
              </w:rPr>
              <w:t xml:space="preserve"> or otherwise</w:t>
            </w:r>
            <w:r w:rsidR="00BF3D83" w:rsidRPr="008922F1">
              <w:rPr>
                <w:rFonts w:eastAsia="Arial"/>
                <w:b/>
                <w:bCs/>
                <w:i/>
                <w:iCs/>
                <w:kern w:val="20"/>
                <w:sz w:val="22"/>
                <w:szCs w:val="22"/>
                <w:highlight w:val="yellow"/>
                <w:lang w:val="en-US"/>
              </w:rPr>
              <w:t xml:space="preserve"> in the </w:t>
            </w:r>
            <w:r w:rsidR="006322F1" w:rsidRPr="008922F1">
              <w:rPr>
                <w:rFonts w:eastAsia="Arial"/>
                <w:b/>
                <w:bCs/>
                <w:i/>
                <w:iCs/>
                <w:kern w:val="20"/>
                <w:sz w:val="22"/>
                <w:szCs w:val="22"/>
                <w:highlight w:val="yellow"/>
                <w:lang w:val="en-US"/>
              </w:rPr>
              <w:t>credit agreement</w:t>
            </w:r>
            <w:r w:rsidR="00BF3D83" w:rsidRPr="008922F1">
              <w:rPr>
                <w:rFonts w:eastAsia="Arial"/>
                <w:b/>
                <w:bCs/>
                <w:i/>
                <w:iCs/>
                <w:kern w:val="20"/>
                <w:sz w:val="22"/>
                <w:szCs w:val="22"/>
                <w:highlight w:val="yellow"/>
                <w:lang w:val="en-US"/>
              </w:rPr>
              <w:t xml:space="preserve">) </w:t>
            </w:r>
            <w:r w:rsidR="00003353" w:rsidRPr="008922F1">
              <w:rPr>
                <w:rFonts w:eastAsia="Arial"/>
                <w:b/>
                <w:bCs/>
                <w:i/>
                <w:iCs/>
                <w:kern w:val="20"/>
                <w:sz w:val="22"/>
                <w:szCs w:val="22"/>
                <w:highlight w:val="yellow"/>
                <w:lang w:val="en-US"/>
              </w:rPr>
              <w:t xml:space="preserve">should be included to align with the position in the </w:t>
            </w:r>
            <w:r w:rsidR="006322F1" w:rsidRPr="008922F1">
              <w:rPr>
                <w:rFonts w:eastAsia="Arial"/>
                <w:b/>
                <w:bCs/>
                <w:i/>
                <w:iCs/>
                <w:kern w:val="20"/>
                <w:sz w:val="22"/>
                <w:szCs w:val="22"/>
                <w:highlight w:val="yellow"/>
                <w:lang w:val="en-US"/>
              </w:rPr>
              <w:t>credit agreement</w:t>
            </w:r>
            <w:r w:rsidR="00003353" w:rsidRPr="008922F1">
              <w:rPr>
                <w:rFonts w:eastAsia="Arial"/>
                <w:b/>
                <w:bCs/>
                <w:i/>
                <w:iCs/>
                <w:kern w:val="20"/>
                <w:sz w:val="22"/>
                <w:szCs w:val="22"/>
                <w:highlight w:val="yellow"/>
                <w:lang w:val="en-US"/>
              </w:rPr>
              <w:t>.]</w:t>
            </w:r>
            <w:r w:rsidR="008D46E1" w:rsidRPr="00186C59">
              <w:rPr>
                <w:rFonts w:eastAsia="Arial"/>
                <w:kern w:val="20"/>
                <w:sz w:val="22"/>
                <w:szCs w:val="22"/>
                <w:lang w:val="en-US"/>
              </w:rPr>
              <w:t xml:space="preserve"> </w:t>
            </w:r>
          </w:p>
        </w:tc>
      </w:tr>
      <w:bookmarkEnd w:id="5"/>
      <w:tr w:rsidR="002D4C0F" w:rsidRPr="00186C59" w14:paraId="7683A59B" w14:textId="77777777" w:rsidTr="004A3A72">
        <w:trPr>
          <w:gridBefore w:val="1"/>
          <w:gridAfter w:val="1"/>
          <w:wBefore w:w="7" w:type="dxa"/>
          <w:wAfter w:w="252" w:type="dxa"/>
          <w:cantSplit/>
        </w:trPr>
        <w:tc>
          <w:tcPr>
            <w:tcW w:w="4237" w:type="dxa"/>
            <w:shd w:val="clear" w:color="auto" w:fill="auto"/>
          </w:tcPr>
          <w:p w14:paraId="15FDB170"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Floating Rate Day Count Fraction:</w:t>
            </w:r>
          </w:p>
        </w:tc>
        <w:tc>
          <w:tcPr>
            <w:tcW w:w="3410" w:type="dxa"/>
            <w:gridSpan w:val="2"/>
            <w:shd w:val="clear" w:color="auto" w:fill="auto"/>
          </w:tcPr>
          <w:p w14:paraId="408CD993" w14:textId="62CCD413" w:rsidR="002D4C0F" w:rsidRPr="00186C59" w:rsidRDefault="00316108" w:rsidP="002D4C0F">
            <w:pPr>
              <w:spacing w:before="60" w:after="60" w:line="290" w:lineRule="auto"/>
              <w:rPr>
                <w:rFonts w:eastAsia="Arial"/>
                <w:kern w:val="20"/>
                <w:sz w:val="22"/>
                <w:szCs w:val="22"/>
                <w:lang w:val="en-US"/>
              </w:rPr>
            </w:pPr>
            <w:r w:rsidRPr="00186C59">
              <w:rPr>
                <w:rFonts w:eastAsia="Arial"/>
                <w:kern w:val="20"/>
                <w:sz w:val="22"/>
                <w:szCs w:val="22"/>
                <w:lang w:val="en-US"/>
              </w:rPr>
              <w:t>Actual/</w:t>
            </w:r>
            <w:r w:rsidR="00790697" w:rsidRPr="00186C59">
              <w:rPr>
                <w:rFonts w:eastAsia="Arial"/>
                <w:kern w:val="20"/>
                <w:sz w:val="22"/>
                <w:szCs w:val="22"/>
                <w:lang w:val="en-US"/>
              </w:rPr>
              <w:t>360</w:t>
            </w:r>
            <w:r w:rsidR="00003353" w:rsidRPr="00186C59">
              <w:rPr>
                <w:rFonts w:eastAsia="Arial"/>
                <w:kern w:val="20"/>
                <w:sz w:val="22"/>
                <w:szCs w:val="22"/>
                <w:lang w:val="en-US"/>
              </w:rPr>
              <w:t xml:space="preserve"> </w:t>
            </w:r>
            <w:r w:rsidR="00003353" w:rsidRPr="008922F1">
              <w:rPr>
                <w:rFonts w:eastAsia="Arial"/>
                <w:b/>
                <w:bCs/>
                <w:i/>
                <w:iCs/>
                <w:kern w:val="20"/>
                <w:sz w:val="22"/>
                <w:szCs w:val="22"/>
                <w:highlight w:val="yellow"/>
                <w:lang w:val="en-US"/>
              </w:rPr>
              <w:t xml:space="preserve">[Note: </w:t>
            </w:r>
            <w:r w:rsidR="00BF3D83" w:rsidRPr="008922F1">
              <w:rPr>
                <w:rFonts w:eastAsia="Arial"/>
                <w:b/>
                <w:bCs/>
                <w:i/>
                <w:iCs/>
                <w:kern w:val="20"/>
                <w:sz w:val="22"/>
                <w:szCs w:val="22"/>
                <w:highlight w:val="yellow"/>
                <w:lang w:val="en-US"/>
              </w:rPr>
              <w:t>Parties to c</w:t>
            </w:r>
            <w:r w:rsidR="00790697" w:rsidRPr="008922F1">
              <w:rPr>
                <w:rFonts w:eastAsia="Arial"/>
                <w:b/>
                <w:bCs/>
                <w:i/>
                <w:iCs/>
                <w:kern w:val="20"/>
                <w:sz w:val="22"/>
                <w:szCs w:val="22"/>
                <w:highlight w:val="yellow"/>
                <w:lang w:val="en-US"/>
              </w:rPr>
              <w:t xml:space="preserve">onsider including </w:t>
            </w:r>
            <w:r w:rsidRPr="008922F1">
              <w:rPr>
                <w:rFonts w:eastAsia="Arial"/>
                <w:b/>
                <w:bCs/>
                <w:i/>
                <w:iCs/>
                <w:kern w:val="20"/>
                <w:sz w:val="22"/>
                <w:szCs w:val="22"/>
                <w:highlight w:val="yellow"/>
                <w:lang w:val="en-US"/>
              </w:rPr>
              <w:t>Actual</w:t>
            </w:r>
            <w:r w:rsidR="00EB62B3" w:rsidRPr="008922F1">
              <w:rPr>
                <w:rFonts w:eastAsia="Arial"/>
                <w:b/>
                <w:bCs/>
                <w:i/>
                <w:iCs/>
                <w:kern w:val="20"/>
                <w:sz w:val="22"/>
                <w:szCs w:val="22"/>
                <w:highlight w:val="yellow"/>
                <w:lang w:val="en-US"/>
              </w:rPr>
              <w:t>/</w:t>
            </w:r>
            <w:r w:rsidR="00790697" w:rsidRPr="008922F1">
              <w:rPr>
                <w:rFonts w:eastAsia="Arial"/>
                <w:b/>
                <w:bCs/>
                <w:i/>
                <w:iCs/>
                <w:kern w:val="20"/>
                <w:sz w:val="22"/>
                <w:szCs w:val="22"/>
                <w:highlight w:val="yellow"/>
                <w:lang w:val="en-US"/>
              </w:rPr>
              <w:t>360 to match the day count fraction in Section 2.09(d) (</w:t>
            </w:r>
            <w:r w:rsidR="004A150F" w:rsidRPr="008922F1">
              <w:rPr>
                <w:rFonts w:eastAsia="Arial"/>
                <w:b/>
                <w:bCs/>
                <w:i/>
                <w:iCs/>
                <w:kern w:val="20"/>
                <w:sz w:val="22"/>
                <w:szCs w:val="22"/>
                <w:highlight w:val="yellow"/>
                <w:lang w:val="en-US"/>
              </w:rPr>
              <w:t>Interest Computation)</w:t>
            </w:r>
            <w:r w:rsidR="00BF3D83" w:rsidRPr="008922F1">
              <w:rPr>
                <w:rFonts w:eastAsia="Arial"/>
                <w:b/>
                <w:bCs/>
                <w:i/>
                <w:iCs/>
                <w:kern w:val="20"/>
                <w:sz w:val="22"/>
                <w:szCs w:val="22"/>
                <w:highlight w:val="yellow"/>
                <w:lang w:val="en-US"/>
              </w:rPr>
              <w:t xml:space="preserve"> of the LSTA SOFR CCA</w:t>
            </w:r>
            <w:r w:rsidR="00003353" w:rsidRPr="008922F1">
              <w:rPr>
                <w:rFonts w:eastAsia="Arial"/>
                <w:b/>
                <w:bCs/>
                <w:i/>
                <w:iCs/>
                <w:kern w:val="20"/>
                <w:sz w:val="22"/>
                <w:szCs w:val="22"/>
                <w:highlight w:val="yellow"/>
                <w:lang w:val="en-US"/>
              </w:rPr>
              <w:t>.</w:t>
            </w:r>
            <w:r w:rsidR="00790697" w:rsidRPr="008922F1">
              <w:rPr>
                <w:rFonts w:eastAsia="Arial"/>
                <w:b/>
                <w:bCs/>
                <w:i/>
                <w:iCs/>
                <w:kern w:val="20"/>
                <w:sz w:val="22"/>
                <w:szCs w:val="22"/>
                <w:highlight w:val="yellow"/>
                <w:lang w:val="en-US"/>
              </w:rPr>
              <w:t>]</w:t>
            </w:r>
            <w:r w:rsidR="009C15FB" w:rsidRPr="008922F1">
              <w:rPr>
                <w:rFonts w:eastAsia="Arial"/>
                <w:b/>
                <w:bCs/>
                <w:i/>
                <w:iCs/>
                <w:kern w:val="20"/>
                <w:sz w:val="22"/>
                <w:szCs w:val="22"/>
                <w:lang w:val="en-US"/>
              </w:rPr>
              <w:t xml:space="preserve"> </w:t>
            </w:r>
          </w:p>
        </w:tc>
      </w:tr>
      <w:tr w:rsidR="002D4C0F" w:rsidRPr="00186C59" w14:paraId="4E0CADCC" w14:textId="77777777" w:rsidTr="004A3A72">
        <w:trPr>
          <w:gridBefore w:val="1"/>
          <w:gridAfter w:val="1"/>
          <w:wBefore w:w="7" w:type="dxa"/>
          <w:wAfter w:w="252" w:type="dxa"/>
          <w:cantSplit/>
        </w:trPr>
        <w:tc>
          <w:tcPr>
            <w:tcW w:w="4237" w:type="dxa"/>
            <w:shd w:val="clear" w:color="auto" w:fill="auto"/>
          </w:tcPr>
          <w:p w14:paraId="337516E8"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Reset Dates:</w:t>
            </w:r>
          </w:p>
        </w:tc>
        <w:tc>
          <w:tcPr>
            <w:tcW w:w="3410" w:type="dxa"/>
            <w:gridSpan w:val="2"/>
            <w:shd w:val="clear" w:color="auto" w:fill="auto"/>
          </w:tcPr>
          <w:p w14:paraId="2DFC95D4"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The last day of each Calculation Period [, subject to adjustment in accordance with the [Following/Modified Following/Preceding] Business Day Convention]</w:t>
            </w:r>
            <w:r w:rsidRPr="00186C59">
              <w:rPr>
                <w:rFonts w:eastAsia="Arial"/>
                <w:kern w:val="2"/>
                <w:sz w:val="22"/>
                <w:szCs w:val="22"/>
                <w:vertAlign w:val="superscript"/>
                <w:lang w:val="en-US"/>
              </w:rPr>
              <w:footnoteReference w:id="3"/>
            </w:r>
          </w:p>
        </w:tc>
      </w:tr>
      <w:tr w:rsidR="001122DA" w:rsidRPr="00186C59" w14:paraId="1ECA7BC6" w14:textId="77777777" w:rsidTr="004A3A72">
        <w:trPr>
          <w:gridBefore w:val="1"/>
          <w:gridAfter w:val="1"/>
          <w:wBefore w:w="7" w:type="dxa"/>
          <w:wAfter w:w="252" w:type="dxa"/>
          <w:cantSplit/>
        </w:trPr>
        <w:tc>
          <w:tcPr>
            <w:tcW w:w="4237" w:type="dxa"/>
            <w:shd w:val="clear" w:color="auto" w:fill="auto"/>
          </w:tcPr>
          <w:p w14:paraId="2ED63725" w14:textId="1DE1C8B9" w:rsidR="001122DA" w:rsidRPr="00186C59" w:rsidRDefault="001122DA" w:rsidP="001122DA">
            <w:pPr>
              <w:spacing w:before="40" w:after="40" w:line="290" w:lineRule="auto"/>
              <w:rPr>
                <w:rFonts w:eastAsia="Arial"/>
                <w:kern w:val="20"/>
                <w:sz w:val="22"/>
                <w:szCs w:val="22"/>
                <w:lang w:val="en-US"/>
              </w:rPr>
            </w:pPr>
            <w:r w:rsidRPr="00186C59">
              <w:rPr>
                <w:rFonts w:eastAsia="Arial"/>
                <w:kern w:val="20"/>
                <w:sz w:val="22"/>
                <w:szCs w:val="22"/>
                <w:lang w:val="en-US"/>
              </w:rPr>
              <w:t>Averaging:</w:t>
            </w:r>
          </w:p>
        </w:tc>
        <w:tc>
          <w:tcPr>
            <w:tcW w:w="3410" w:type="dxa"/>
            <w:gridSpan w:val="2"/>
            <w:shd w:val="clear" w:color="auto" w:fill="auto"/>
          </w:tcPr>
          <w:p w14:paraId="6B0E4DC5" w14:textId="01E111F5" w:rsidR="001122DA" w:rsidRPr="00186C59" w:rsidRDefault="001122DA" w:rsidP="001122DA">
            <w:pPr>
              <w:spacing w:before="60" w:after="60" w:line="290" w:lineRule="auto"/>
              <w:rPr>
                <w:rFonts w:eastAsia="Arial"/>
                <w:kern w:val="20"/>
                <w:sz w:val="22"/>
                <w:szCs w:val="22"/>
                <w:lang w:val="en-US"/>
              </w:rPr>
            </w:pPr>
            <w:r w:rsidRPr="00186C59">
              <w:rPr>
                <w:rFonts w:eastAsia="Arial"/>
                <w:kern w:val="20"/>
                <w:sz w:val="22"/>
                <w:szCs w:val="22"/>
                <w:lang w:val="en-US"/>
              </w:rPr>
              <w:t>Averaging with Lookback</w:t>
            </w:r>
          </w:p>
        </w:tc>
      </w:tr>
      <w:tr w:rsidR="002D4C0F" w:rsidRPr="00186C59" w14:paraId="1CF99203" w14:textId="77777777" w:rsidTr="004A3A72">
        <w:trPr>
          <w:gridBefore w:val="1"/>
          <w:gridAfter w:val="1"/>
          <w:wBefore w:w="7" w:type="dxa"/>
          <w:wAfter w:w="252" w:type="dxa"/>
          <w:cantSplit/>
        </w:trPr>
        <w:tc>
          <w:tcPr>
            <w:tcW w:w="4237" w:type="dxa"/>
            <w:shd w:val="clear" w:color="auto" w:fill="auto"/>
          </w:tcPr>
          <w:p w14:paraId="57744566" w14:textId="294D9045" w:rsidR="002D4C0F" w:rsidRPr="00186C59" w:rsidRDefault="002D4C0F" w:rsidP="002D4C0F">
            <w:pPr>
              <w:spacing w:before="40" w:after="40" w:line="290" w:lineRule="auto"/>
              <w:rPr>
                <w:rFonts w:eastAsia="Times New Roman"/>
                <w:kern w:val="20"/>
                <w:sz w:val="22"/>
                <w:szCs w:val="22"/>
              </w:rPr>
            </w:pPr>
          </w:p>
        </w:tc>
        <w:tc>
          <w:tcPr>
            <w:tcW w:w="3410" w:type="dxa"/>
            <w:gridSpan w:val="2"/>
            <w:shd w:val="clear" w:color="auto" w:fill="auto"/>
          </w:tcPr>
          <w:p w14:paraId="22972F2D" w14:textId="54A54D04" w:rsidR="002D4C0F" w:rsidRPr="00186C59" w:rsidRDefault="002D4C0F" w:rsidP="002D4C0F">
            <w:pPr>
              <w:spacing w:before="60" w:after="60" w:line="290" w:lineRule="auto"/>
              <w:rPr>
                <w:rFonts w:eastAsia="Arial"/>
                <w:kern w:val="20"/>
                <w:sz w:val="22"/>
                <w:szCs w:val="22"/>
                <w:lang w:val="en-US"/>
              </w:rPr>
            </w:pPr>
          </w:p>
        </w:tc>
      </w:tr>
      <w:tr w:rsidR="002D4C0F" w:rsidRPr="00186C59" w14:paraId="00026BE9" w14:textId="77777777" w:rsidTr="004A3A72">
        <w:trPr>
          <w:gridBefore w:val="1"/>
          <w:gridAfter w:val="1"/>
          <w:wBefore w:w="7" w:type="dxa"/>
          <w:wAfter w:w="252" w:type="dxa"/>
          <w:cantSplit/>
        </w:trPr>
        <w:tc>
          <w:tcPr>
            <w:tcW w:w="4237" w:type="dxa"/>
            <w:shd w:val="clear" w:color="auto" w:fill="auto"/>
          </w:tcPr>
          <w:p w14:paraId="06EEB4E8" w14:textId="6280F5F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lastRenderedPageBreak/>
              <w:t>Lookback:</w:t>
            </w:r>
          </w:p>
        </w:tc>
        <w:tc>
          <w:tcPr>
            <w:tcW w:w="3410" w:type="dxa"/>
            <w:gridSpan w:val="2"/>
            <w:shd w:val="clear" w:color="auto" w:fill="auto"/>
          </w:tcPr>
          <w:p w14:paraId="0E9EDFF5" w14:textId="4B8CE3D6" w:rsidR="002D4C0F" w:rsidRPr="00186C59" w:rsidRDefault="002D4C0F" w:rsidP="002D4C0F">
            <w:pPr>
              <w:spacing w:before="60" w:after="60" w:line="290" w:lineRule="auto"/>
              <w:ind w:left="308"/>
              <w:rPr>
                <w:rFonts w:eastAsia="Arial"/>
                <w:b/>
                <w:bCs/>
                <w:i/>
                <w:iCs/>
                <w:kern w:val="20"/>
                <w:sz w:val="22"/>
                <w:szCs w:val="22"/>
                <w:lang w:val="en-US"/>
              </w:rPr>
            </w:pPr>
            <w:r w:rsidRPr="00186C59">
              <w:rPr>
                <w:rFonts w:eastAsia="Arial"/>
                <w:kern w:val="20"/>
                <w:sz w:val="22"/>
                <w:szCs w:val="22"/>
                <w:lang w:val="en-US"/>
              </w:rPr>
              <w:t xml:space="preserve">[  </w:t>
            </w:r>
            <w:proofErr w:type="gramStart"/>
            <w:r w:rsidRPr="00186C59">
              <w:rPr>
                <w:rFonts w:eastAsia="Arial"/>
                <w:kern w:val="20"/>
                <w:sz w:val="22"/>
                <w:szCs w:val="22"/>
                <w:lang w:val="en-US"/>
              </w:rPr>
              <w:t xml:space="preserve">  ]</w:t>
            </w:r>
            <w:proofErr w:type="gramEnd"/>
            <w:r w:rsidRPr="00186C59">
              <w:rPr>
                <w:rFonts w:eastAsia="Arial"/>
                <w:kern w:val="20"/>
                <w:sz w:val="22"/>
                <w:szCs w:val="22"/>
                <w:lang w:val="en-US"/>
              </w:rPr>
              <w:t xml:space="preserve"> Applicable Business Days</w:t>
            </w:r>
            <w:r w:rsidRPr="00186C59">
              <w:rPr>
                <w:rFonts w:eastAsia="Arial"/>
                <w:kern w:val="2"/>
                <w:sz w:val="22"/>
                <w:szCs w:val="22"/>
                <w:vertAlign w:val="superscript"/>
                <w:lang w:val="en-US"/>
              </w:rPr>
              <w:footnoteReference w:id="4"/>
            </w:r>
            <w:r w:rsidRPr="00186C59">
              <w:rPr>
                <w:rFonts w:eastAsia="Arial"/>
                <w:kern w:val="20"/>
                <w:sz w:val="22"/>
                <w:szCs w:val="22"/>
                <w:lang w:val="en-US"/>
              </w:rPr>
              <w:t xml:space="preserve"> </w:t>
            </w:r>
            <w:r w:rsidR="00F94563" w:rsidRPr="008922F1">
              <w:rPr>
                <w:rFonts w:eastAsia="Arial"/>
                <w:b/>
                <w:bCs/>
                <w:i/>
                <w:iCs/>
                <w:kern w:val="20"/>
                <w:sz w:val="22"/>
                <w:szCs w:val="22"/>
                <w:highlight w:val="yellow"/>
                <w:lang w:val="en-US"/>
              </w:rPr>
              <w:t xml:space="preserve">[Note: Parties will need to insert the same value here as specified </w:t>
            </w:r>
            <w:r w:rsidR="008D46E1" w:rsidRPr="008922F1">
              <w:rPr>
                <w:rFonts w:eastAsia="Arial"/>
                <w:b/>
                <w:bCs/>
                <w:i/>
                <w:iCs/>
                <w:kern w:val="20"/>
                <w:sz w:val="22"/>
                <w:szCs w:val="22"/>
                <w:highlight w:val="yellow"/>
                <w:lang w:val="en-US"/>
              </w:rPr>
              <w:t>as</w:t>
            </w:r>
            <w:r w:rsidR="00F94563" w:rsidRPr="008922F1">
              <w:rPr>
                <w:rFonts w:eastAsia="Arial"/>
                <w:b/>
                <w:bCs/>
                <w:i/>
                <w:iCs/>
                <w:kern w:val="20"/>
                <w:sz w:val="22"/>
                <w:szCs w:val="22"/>
                <w:highlight w:val="yellow"/>
                <w:lang w:val="en-US"/>
              </w:rPr>
              <w:t xml:space="preserve"> the </w:t>
            </w:r>
            <w:r w:rsidR="008D46E1" w:rsidRPr="008922F1">
              <w:rPr>
                <w:rFonts w:eastAsia="Arial"/>
                <w:b/>
                <w:bCs/>
                <w:i/>
                <w:iCs/>
                <w:kern w:val="20"/>
                <w:sz w:val="22"/>
                <w:szCs w:val="22"/>
                <w:highlight w:val="yellow"/>
                <w:lang w:val="en-US"/>
              </w:rPr>
              <w:t>l</w:t>
            </w:r>
            <w:r w:rsidR="00F94563" w:rsidRPr="008922F1">
              <w:rPr>
                <w:rFonts w:eastAsia="Arial"/>
                <w:b/>
                <w:bCs/>
                <w:i/>
                <w:iCs/>
                <w:kern w:val="20"/>
                <w:sz w:val="22"/>
                <w:szCs w:val="22"/>
                <w:highlight w:val="yellow"/>
                <w:lang w:val="en-US"/>
              </w:rPr>
              <w:t xml:space="preserve">ookback </w:t>
            </w:r>
            <w:r w:rsidR="008D46E1" w:rsidRPr="008922F1">
              <w:rPr>
                <w:rFonts w:eastAsia="Arial"/>
                <w:b/>
                <w:bCs/>
                <w:i/>
                <w:iCs/>
                <w:kern w:val="20"/>
                <w:sz w:val="22"/>
                <w:szCs w:val="22"/>
                <w:highlight w:val="yellow"/>
                <w:lang w:val="en-US"/>
              </w:rPr>
              <w:t>p</w:t>
            </w:r>
            <w:r w:rsidR="00F94563" w:rsidRPr="008922F1">
              <w:rPr>
                <w:rFonts w:eastAsia="Arial"/>
                <w:b/>
                <w:bCs/>
                <w:i/>
                <w:iCs/>
                <w:kern w:val="20"/>
                <w:sz w:val="22"/>
                <w:szCs w:val="22"/>
                <w:highlight w:val="yellow"/>
                <w:lang w:val="en-US"/>
              </w:rPr>
              <w:t>eriod</w:t>
            </w:r>
            <w:r w:rsidR="008D46E1" w:rsidRPr="008922F1">
              <w:rPr>
                <w:rFonts w:eastAsia="Arial"/>
                <w:b/>
                <w:bCs/>
                <w:i/>
                <w:iCs/>
                <w:kern w:val="20"/>
                <w:sz w:val="22"/>
                <w:szCs w:val="22"/>
                <w:highlight w:val="yellow"/>
                <w:lang w:val="en-US"/>
              </w:rPr>
              <w:t xml:space="preserve"> in the definition of “Daily Simple SOFR” in</w:t>
            </w:r>
            <w:r w:rsidR="00F94563" w:rsidRPr="008922F1">
              <w:rPr>
                <w:rFonts w:eastAsia="Arial"/>
                <w:b/>
                <w:bCs/>
                <w:i/>
                <w:iCs/>
                <w:kern w:val="20"/>
                <w:sz w:val="22"/>
                <w:szCs w:val="22"/>
                <w:highlight w:val="yellow"/>
                <w:lang w:val="en-US"/>
              </w:rPr>
              <w:t xml:space="preserve"> the </w:t>
            </w:r>
            <w:r w:rsidR="006322F1" w:rsidRPr="008922F1">
              <w:rPr>
                <w:rFonts w:eastAsia="Arial"/>
                <w:b/>
                <w:bCs/>
                <w:i/>
                <w:iCs/>
                <w:kern w:val="20"/>
                <w:sz w:val="22"/>
                <w:szCs w:val="22"/>
                <w:highlight w:val="yellow"/>
                <w:lang w:val="en-US"/>
              </w:rPr>
              <w:t>credit agreement</w:t>
            </w:r>
            <w:r w:rsidR="00F94563" w:rsidRPr="008922F1">
              <w:rPr>
                <w:rFonts w:eastAsia="Arial"/>
                <w:b/>
                <w:bCs/>
                <w:i/>
                <w:iCs/>
                <w:kern w:val="20"/>
                <w:sz w:val="22"/>
                <w:szCs w:val="22"/>
                <w:highlight w:val="yellow"/>
                <w:lang w:val="en-US"/>
              </w:rPr>
              <w:t xml:space="preserve">. </w:t>
            </w:r>
            <w:r w:rsidR="008D46E1" w:rsidRPr="008922F1">
              <w:rPr>
                <w:rFonts w:eastAsia="Arial"/>
                <w:b/>
                <w:bCs/>
                <w:i/>
                <w:iCs/>
                <w:kern w:val="20"/>
                <w:sz w:val="22"/>
                <w:szCs w:val="22"/>
                <w:highlight w:val="yellow"/>
                <w:lang w:val="en-US"/>
              </w:rPr>
              <w:t>Note</w:t>
            </w:r>
            <w:r w:rsidR="00F94563" w:rsidRPr="008922F1">
              <w:rPr>
                <w:rFonts w:eastAsia="Arial"/>
                <w:b/>
                <w:bCs/>
                <w:i/>
                <w:iCs/>
                <w:kern w:val="20"/>
                <w:sz w:val="22"/>
                <w:szCs w:val="22"/>
                <w:highlight w:val="yellow"/>
                <w:lang w:val="en-US"/>
              </w:rPr>
              <w:t xml:space="preserve"> that the “Applicable Business Days”</w:t>
            </w:r>
            <w:r w:rsidR="008D46E1" w:rsidRPr="008922F1">
              <w:rPr>
                <w:rFonts w:eastAsia="Arial"/>
                <w:b/>
                <w:bCs/>
                <w:i/>
                <w:iCs/>
                <w:kern w:val="20"/>
                <w:sz w:val="22"/>
                <w:szCs w:val="22"/>
                <w:highlight w:val="yellow"/>
                <w:lang w:val="en-US"/>
              </w:rPr>
              <w:t xml:space="preserve"> are U.S. Government Securities Business </w:t>
            </w:r>
            <w:proofErr w:type="gramStart"/>
            <w:r w:rsidR="008D46E1" w:rsidRPr="008922F1">
              <w:rPr>
                <w:rFonts w:eastAsia="Arial"/>
                <w:b/>
                <w:bCs/>
                <w:i/>
                <w:iCs/>
                <w:kern w:val="20"/>
                <w:sz w:val="22"/>
                <w:szCs w:val="22"/>
                <w:highlight w:val="yellow"/>
                <w:lang w:val="en-US"/>
              </w:rPr>
              <w:t xml:space="preserve">Days, </w:t>
            </w:r>
            <w:r w:rsidR="00BF3D83" w:rsidRPr="008922F1">
              <w:rPr>
                <w:rFonts w:eastAsia="Arial"/>
                <w:b/>
                <w:bCs/>
                <w:i/>
                <w:iCs/>
                <w:kern w:val="20"/>
                <w:sz w:val="22"/>
                <w:szCs w:val="22"/>
                <w:highlight w:val="yellow"/>
                <w:lang w:val="en-US"/>
              </w:rPr>
              <w:t>and</w:t>
            </w:r>
            <w:proofErr w:type="gramEnd"/>
            <w:r w:rsidR="00BF3D83" w:rsidRPr="008922F1">
              <w:rPr>
                <w:rFonts w:eastAsia="Arial"/>
                <w:b/>
                <w:bCs/>
                <w:i/>
                <w:iCs/>
                <w:kern w:val="20"/>
                <w:sz w:val="22"/>
                <w:szCs w:val="22"/>
                <w:highlight w:val="yellow"/>
                <w:lang w:val="en-US"/>
              </w:rPr>
              <w:t xml:space="preserve"> are aligned with </w:t>
            </w:r>
            <w:r w:rsidR="00F94563" w:rsidRPr="008922F1">
              <w:rPr>
                <w:rFonts w:eastAsia="Arial"/>
                <w:b/>
                <w:bCs/>
                <w:i/>
                <w:iCs/>
                <w:kern w:val="20"/>
                <w:sz w:val="22"/>
                <w:szCs w:val="22"/>
                <w:highlight w:val="yellow"/>
                <w:lang w:val="en-US"/>
              </w:rPr>
              <w:t xml:space="preserve">the </w:t>
            </w:r>
            <w:r w:rsidR="008D46E1" w:rsidRPr="008922F1">
              <w:rPr>
                <w:rFonts w:eastAsia="Arial"/>
                <w:b/>
                <w:bCs/>
                <w:i/>
                <w:iCs/>
                <w:kern w:val="20"/>
                <w:sz w:val="22"/>
                <w:szCs w:val="22"/>
                <w:highlight w:val="yellow"/>
                <w:lang w:val="en-US"/>
              </w:rPr>
              <w:t>LSTA SOFR CCA</w:t>
            </w:r>
            <w:r w:rsidR="00F94563" w:rsidRPr="008922F1">
              <w:rPr>
                <w:rFonts w:eastAsia="Arial"/>
                <w:b/>
                <w:bCs/>
                <w:i/>
                <w:iCs/>
                <w:kern w:val="20"/>
                <w:sz w:val="22"/>
                <w:szCs w:val="22"/>
                <w:highlight w:val="yellow"/>
                <w:lang w:val="en-US"/>
              </w:rPr>
              <w:t>.]</w:t>
            </w:r>
            <w:r w:rsidR="00826ED4" w:rsidRPr="00186C59">
              <w:rPr>
                <w:rFonts w:eastAsia="Arial"/>
                <w:kern w:val="20"/>
                <w:sz w:val="22"/>
                <w:szCs w:val="22"/>
                <w:lang w:val="en-US"/>
              </w:rPr>
              <w:t xml:space="preserve"> </w:t>
            </w:r>
          </w:p>
        </w:tc>
      </w:tr>
      <w:tr w:rsidR="002D4C0F" w:rsidRPr="00186C59" w14:paraId="76DFF0AE" w14:textId="77777777" w:rsidTr="004A3A72">
        <w:trPr>
          <w:gridBefore w:val="1"/>
          <w:gridAfter w:val="1"/>
          <w:wBefore w:w="7" w:type="dxa"/>
          <w:wAfter w:w="252" w:type="dxa"/>
          <w:cantSplit/>
        </w:trPr>
        <w:tc>
          <w:tcPr>
            <w:tcW w:w="4237" w:type="dxa"/>
            <w:shd w:val="clear" w:color="auto" w:fill="auto"/>
          </w:tcPr>
          <w:p w14:paraId="77F27C11"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[Daily Capped Rate and/or Daily Floored Rate:]</w:t>
            </w:r>
          </w:p>
        </w:tc>
        <w:tc>
          <w:tcPr>
            <w:tcW w:w="3410" w:type="dxa"/>
            <w:gridSpan w:val="2"/>
            <w:shd w:val="clear" w:color="auto" w:fill="auto"/>
          </w:tcPr>
          <w:p w14:paraId="2C8EA1BF" w14:textId="77777777" w:rsidR="002D4C0F" w:rsidRPr="00186C59" w:rsidRDefault="002D4C0F" w:rsidP="002D4C0F">
            <w:pPr>
              <w:spacing w:before="60" w:after="60" w:line="290" w:lineRule="auto"/>
              <w:ind w:left="308"/>
              <w:rPr>
                <w:rFonts w:eastAsia="Arial"/>
                <w:kern w:val="20"/>
                <w:sz w:val="22"/>
                <w:szCs w:val="22"/>
                <w:lang w:val="en-US"/>
              </w:rPr>
            </w:pPr>
            <w:r w:rsidRPr="00186C59">
              <w:rPr>
                <w:rFonts w:eastAsia="Arial"/>
                <w:kern w:val="20"/>
                <w:sz w:val="22"/>
                <w:szCs w:val="22"/>
                <w:lang w:val="en-US"/>
              </w:rPr>
              <w:t>[Applicable/Not Applicable]</w:t>
            </w:r>
            <w:r w:rsidRPr="00186C59">
              <w:rPr>
                <w:rFonts w:eastAsia="Arial"/>
                <w:kern w:val="2"/>
                <w:sz w:val="22"/>
                <w:szCs w:val="22"/>
                <w:vertAlign w:val="superscript"/>
                <w:lang w:val="en-US"/>
              </w:rPr>
              <w:footnoteReference w:id="5"/>
            </w:r>
          </w:p>
        </w:tc>
      </w:tr>
      <w:tr w:rsidR="002D4C0F" w:rsidRPr="00186C59" w14:paraId="56A92BBA" w14:textId="77777777" w:rsidTr="004A3A72">
        <w:trPr>
          <w:gridBefore w:val="1"/>
          <w:gridAfter w:val="1"/>
          <w:wBefore w:w="7" w:type="dxa"/>
          <w:wAfter w:w="252" w:type="dxa"/>
          <w:cantSplit/>
        </w:trPr>
        <w:tc>
          <w:tcPr>
            <w:tcW w:w="4237" w:type="dxa"/>
            <w:shd w:val="clear" w:color="auto" w:fill="auto"/>
          </w:tcPr>
          <w:p w14:paraId="08212A51"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[Daily Capped Rate:]</w:t>
            </w:r>
          </w:p>
        </w:tc>
        <w:tc>
          <w:tcPr>
            <w:tcW w:w="3410" w:type="dxa"/>
            <w:gridSpan w:val="2"/>
            <w:shd w:val="clear" w:color="auto" w:fill="auto"/>
          </w:tcPr>
          <w:p w14:paraId="7B611680" w14:textId="1AB52F7E" w:rsidR="002D4C0F" w:rsidRPr="00186C59" w:rsidRDefault="002D4C0F" w:rsidP="002D4C0F">
            <w:pPr>
              <w:spacing w:before="60" w:after="60" w:line="290" w:lineRule="auto"/>
              <w:ind w:left="591"/>
              <w:rPr>
                <w:rFonts w:eastAsia="Arial"/>
                <w:kern w:val="20"/>
                <w:sz w:val="22"/>
                <w:szCs w:val="22"/>
                <w:lang w:val="en-US"/>
              </w:rPr>
            </w:pPr>
            <w:r w:rsidRPr="00186C59">
              <w:rPr>
                <w:rFonts w:eastAsia="Arial"/>
                <w:kern w:val="20"/>
                <w:sz w:val="22"/>
                <w:szCs w:val="22"/>
                <w:lang w:val="en-US"/>
              </w:rPr>
              <w:t xml:space="preserve">[[  </w:t>
            </w:r>
            <w:proofErr w:type="gramStart"/>
            <w:r w:rsidRPr="00186C59">
              <w:rPr>
                <w:rFonts w:eastAsia="Arial"/>
                <w:kern w:val="20"/>
                <w:sz w:val="22"/>
                <w:szCs w:val="22"/>
                <w:lang w:val="en-US"/>
              </w:rPr>
              <w:t xml:space="preserve">  ]</w:t>
            </w:r>
            <w:proofErr w:type="gramEnd"/>
            <w:r w:rsidRPr="00186C59">
              <w:rPr>
                <w:rFonts w:eastAsia="Arial"/>
                <w:kern w:val="20"/>
                <w:sz w:val="22"/>
                <w:szCs w:val="22"/>
                <w:lang w:val="en-US"/>
              </w:rPr>
              <w:t>%]</w:t>
            </w:r>
            <w:r w:rsidR="0089392F" w:rsidRPr="00186C59">
              <w:rPr>
                <w:rFonts w:eastAsia="Arial"/>
                <w:kern w:val="20"/>
                <w:sz w:val="22"/>
                <w:szCs w:val="22"/>
                <w:lang w:val="en-US"/>
              </w:rPr>
              <w:t xml:space="preserve"> </w:t>
            </w:r>
            <w:r w:rsidR="0089392F" w:rsidRPr="008922F1">
              <w:rPr>
                <w:rFonts w:eastAsia="Arial"/>
                <w:b/>
                <w:bCs/>
                <w:i/>
                <w:iCs/>
                <w:kern w:val="20"/>
                <w:sz w:val="22"/>
                <w:szCs w:val="22"/>
                <w:highlight w:val="yellow"/>
                <w:lang w:val="en-US"/>
              </w:rPr>
              <w:t xml:space="preserve">[Note: The </w:t>
            </w:r>
            <w:r w:rsidR="008D46E1" w:rsidRPr="008922F1">
              <w:rPr>
                <w:rFonts w:eastAsia="Arial"/>
                <w:b/>
                <w:bCs/>
                <w:i/>
                <w:iCs/>
                <w:kern w:val="20"/>
                <w:sz w:val="22"/>
                <w:szCs w:val="22"/>
                <w:highlight w:val="yellow"/>
                <w:lang w:val="en-US"/>
              </w:rPr>
              <w:t>LSTA SOFR CCA</w:t>
            </w:r>
            <w:r w:rsidR="0089392F" w:rsidRPr="008922F1">
              <w:rPr>
                <w:rFonts w:eastAsia="Arial"/>
                <w:b/>
                <w:bCs/>
                <w:i/>
                <w:iCs/>
                <w:kern w:val="20"/>
                <w:sz w:val="22"/>
                <w:szCs w:val="22"/>
                <w:highlight w:val="yellow"/>
                <w:lang w:val="en-US"/>
              </w:rPr>
              <w:t xml:space="preserve"> does not include an option for parties to specify a daily cap for the “Daily Rate” so by default the Daily Capped Rate should not apply to a swap hedging a loan documented under the </w:t>
            </w:r>
            <w:r w:rsidR="008D46E1" w:rsidRPr="008922F1">
              <w:rPr>
                <w:rFonts w:eastAsia="Arial"/>
                <w:b/>
                <w:bCs/>
                <w:i/>
                <w:iCs/>
                <w:kern w:val="20"/>
                <w:sz w:val="22"/>
                <w:szCs w:val="22"/>
                <w:highlight w:val="yellow"/>
                <w:lang w:val="en-US"/>
              </w:rPr>
              <w:t>LSTA SOFR CCA</w:t>
            </w:r>
            <w:r w:rsidR="00361797" w:rsidRPr="008922F1">
              <w:rPr>
                <w:rFonts w:eastAsia="Arial"/>
                <w:b/>
                <w:bCs/>
                <w:i/>
                <w:iCs/>
                <w:kern w:val="20"/>
                <w:sz w:val="22"/>
                <w:szCs w:val="22"/>
                <w:highlight w:val="yellow"/>
                <w:lang w:val="en-US"/>
              </w:rPr>
              <w:t>.</w:t>
            </w:r>
            <w:r w:rsidR="0089392F" w:rsidRPr="008922F1">
              <w:rPr>
                <w:rFonts w:eastAsia="Arial"/>
                <w:b/>
                <w:bCs/>
                <w:i/>
                <w:iCs/>
                <w:kern w:val="20"/>
                <w:sz w:val="22"/>
                <w:szCs w:val="22"/>
                <w:highlight w:val="yellow"/>
                <w:lang w:val="en-US"/>
              </w:rPr>
              <w:t>]</w:t>
            </w:r>
          </w:p>
        </w:tc>
      </w:tr>
      <w:tr w:rsidR="002D4C0F" w:rsidRPr="00186C59" w14:paraId="2C707C43" w14:textId="77777777" w:rsidTr="004A3A72">
        <w:trPr>
          <w:gridBefore w:val="1"/>
          <w:gridAfter w:val="1"/>
          <w:wBefore w:w="7" w:type="dxa"/>
          <w:wAfter w:w="252" w:type="dxa"/>
          <w:cantSplit/>
        </w:trPr>
        <w:tc>
          <w:tcPr>
            <w:tcW w:w="4237" w:type="dxa"/>
            <w:shd w:val="clear" w:color="auto" w:fill="auto"/>
          </w:tcPr>
          <w:p w14:paraId="32FF68E5"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[Daily Floored Rate:]</w:t>
            </w:r>
          </w:p>
        </w:tc>
        <w:tc>
          <w:tcPr>
            <w:tcW w:w="3410" w:type="dxa"/>
            <w:gridSpan w:val="2"/>
            <w:shd w:val="clear" w:color="auto" w:fill="auto"/>
          </w:tcPr>
          <w:p w14:paraId="0B67E95E" w14:textId="5362578C" w:rsidR="002D4C0F" w:rsidRPr="00186C59" w:rsidRDefault="002D4C0F" w:rsidP="002D4C0F">
            <w:pPr>
              <w:spacing w:before="60" w:after="60" w:line="290" w:lineRule="auto"/>
              <w:ind w:left="591"/>
              <w:rPr>
                <w:rFonts w:eastAsia="Arial"/>
                <w:kern w:val="20"/>
                <w:sz w:val="22"/>
                <w:szCs w:val="22"/>
                <w:lang w:val="en-US"/>
              </w:rPr>
            </w:pPr>
            <w:r w:rsidRPr="00186C59">
              <w:rPr>
                <w:rFonts w:eastAsia="Arial"/>
                <w:kern w:val="20"/>
                <w:sz w:val="22"/>
                <w:szCs w:val="22"/>
                <w:lang w:val="en-US"/>
              </w:rPr>
              <w:t xml:space="preserve">[[  </w:t>
            </w:r>
            <w:proofErr w:type="gramStart"/>
            <w:r w:rsidRPr="00186C59">
              <w:rPr>
                <w:rFonts w:eastAsia="Arial"/>
                <w:kern w:val="20"/>
                <w:sz w:val="22"/>
                <w:szCs w:val="22"/>
                <w:lang w:val="en-US"/>
              </w:rPr>
              <w:t xml:space="preserve">  ]</w:t>
            </w:r>
            <w:proofErr w:type="gramEnd"/>
            <w:r w:rsidRPr="00186C59">
              <w:rPr>
                <w:rFonts w:eastAsia="Arial"/>
                <w:kern w:val="20"/>
                <w:sz w:val="22"/>
                <w:szCs w:val="22"/>
                <w:lang w:val="en-US"/>
              </w:rPr>
              <w:t>%]</w:t>
            </w:r>
            <w:r w:rsidR="0089392F" w:rsidRPr="00186C59">
              <w:rPr>
                <w:rFonts w:eastAsia="Arial"/>
                <w:kern w:val="20"/>
                <w:sz w:val="22"/>
                <w:szCs w:val="22"/>
                <w:lang w:val="en-US"/>
              </w:rPr>
              <w:t xml:space="preserve"> </w:t>
            </w:r>
            <w:r w:rsidR="0089392F" w:rsidRPr="008922F1">
              <w:rPr>
                <w:rFonts w:eastAsia="Arial"/>
                <w:b/>
                <w:bCs/>
                <w:i/>
                <w:iCs/>
                <w:kern w:val="20"/>
                <w:sz w:val="22"/>
                <w:szCs w:val="22"/>
                <w:highlight w:val="yellow"/>
                <w:lang w:val="en-US"/>
              </w:rPr>
              <w:t xml:space="preserve">[Note: The Daily Floored Rate should match the daily floor specified in the </w:t>
            </w:r>
            <w:r w:rsidR="008D46E1" w:rsidRPr="008922F1">
              <w:rPr>
                <w:rFonts w:eastAsia="Arial"/>
                <w:b/>
                <w:bCs/>
                <w:i/>
                <w:iCs/>
                <w:kern w:val="20"/>
                <w:sz w:val="22"/>
                <w:szCs w:val="22"/>
                <w:highlight w:val="yellow"/>
                <w:lang w:val="en-US"/>
              </w:rPr>
              <w:t>definition of “Floor” in the LSTA SOFR CCA</w:t>
            </w:r>
            <w:r w:rsidR="0089392F" w:rsidRPr="008922F1">
              <w:rPr>
                <w:rFonts w:eastAsia="Arial"/>
                <w:b/>
                <w:bCs/>
                <w:i/>
                <w:iCs/>
                <w:kern w:val="20"/>
                <w:sz w:val="22"/>
                <w:szCs w:val="22"/>
                <w:highlight w:val="yellow"/>
                <w:lang w:val="en-US"/>
              </w:rPr>
              <w:t xml:space="preserve">. If parties wish to floor the Floating Rate for the entire period, rather than daily </w:t>
            </w:r>
            <w:r w:rsidR="008D46E1" w:rsidRPr="008922F1">
              <w:rPr>
                <w:rFonts w:eastAsia="Arial"/>
                <w:b/>
                <w:bCs/>
                <w:i/>
                <w:iCs/>
                <w:kern w:val="20"/>
                <w:sz w:val="22"/>
                <w:szCs w:val="22"/>
                <w:highlight w:val="yellow"/>
                <w:lang w:val="en-US"/>
              </w:rPr>
              <w:t>SOFR</w:t>
            </w:r>
            <w:r w:rsidR="0089392F" w:rsidRPr="008922F1">
              <w:rPr>
                <w:rFonts w:eastAsia="Arial"/>
                <w:b/>
                <w:bCs/>
                <w:i/>
                <w:iCs/>
                <w:kern w:val="20"/>
                <w:sz w:val="22"/>
                <w:szCs w:val="22"/>
                <w:highlight w:val="yellow"/>
                <w:lang w:val="en-US"/>
              </w:rPr>
              <w:t>, then this field can be left blank and a new field inserted to specify Zero Interest Rate Method as Applicable, as below.]</w:t>
            </w:r>
          </w:p>
        </w:tc>
      </w:tr>
      <w:tr w:rsidR="0089392F" w:rsidRPr="00186C59" w14:paraId="52AFEFF8" w14:textId="77777777" w:rsidTr="004A3A72">
        <w:trPr>
          <w:gridBefore w:val="1"/>
          <w:gridAfter w:val="1"/>
          <w:wBefore w:w="7" w:type="dxa"/>
          <w:wAfter w:w="252" w:type="dxa"/>
          <w:cantSplit/>
        </w:trPr>
        <w:tc>
          <w:tcPr>
            <w:tcW w:w="4237" w:type="dxa"/>
            <w:shd w:val="clear" w:color="auto" w:fill="auto"/>
          </w:tcPr>
          <w:p w14:paraId="1509BEB4" w14:textId="1F6D274F" w:rsidR="0089392F" w:rsidRPr="00186C59" w:rsidRDefault="0089392F" w:rsidP="002159F8">
            <w:pPr>
              <w:spacing w:before="40" w:after="40" w:line="290" w:lineRule="auto"/>
              <w:rPr>
                <w:rFonts w:eastAsia="Times New Roman"/>
                <w:kern w:val="20"/>
                <w:sz w:val="22"/>
                <w:szCs w:val="22"/>
              </w:rPr>
            </w:pPr>
            <w:r w:rsidRPr="00186C59">
              <w:rPr>
                <w:rFonts w:eastAsia="Times New Roman"/>
                <w:kern w:val="20"/>
                <w:sz w:val="22"/>
                <w:szCs w:val="22"/>
              </w:rPr>
              <w:lastRenderedPageBreak/>
              <w:t>[Zero Interest Rate Method:</w:t>
            </w:r>
          </w:p>
        </w:tc>
        <w:tc>
          <w:tcPr>
            <w:tcW w:w="3410" w:type="dxa"/>
            <w:gridSpan w:val="2"/>
            <w:shd w:val="clear" w:color="auto" w:fill="auto"/>
          </w:tcPr>
          <w:p w14:paraId="31E5A9CD" w14:textId="1CB88322" w:rsidR="0089392F" w:rsidRPr="00186C59" w:rsidRDefault="0089392F" w:rsidP="002D4C0F">
            <w:pPr>
              <w:spacing w:before="60" w:after="60" w:line="290" w:lineRule="auto"/>
              <w:ind w:left="591"/>
              <w:rPr>
                <w:rFonts w:eastAsia="Arial"/>
                <w:kern w:val="20"/>
                <w:sz w:val="22"/>
                <w:szCs w:val="22"/>
                <w:lang w:val="en-US"/>
              </w:rPr>
            </w:pPr>
            <w:r w:rsidRPr="00186C59">
              <w:rPr>
                <w:rFonts w:eastAsia="Arial"/>
                <w:kern w:val="20"/>
                <w:sz w:val="22"/>
                <w:szCs w:val="22"/>
                <w:lang w:val="en-US"/>
              </w:rPr>
              <w:t xml:space="preserve">Applicable] </w:t>
            </w:r>
            <w:r w:rsidRPr="008922F1">
              <w:rPr>
                <w:rFonts w:eastAsia="Arial"/>
                <w:b/>
                <w:bCs/>
                <w:i/>
                <w:iCs/>
                <w:kern w:val="20"/>
                <w:sz w:val="22"/>
                <w:szCs w:val="22"/>
                <w:highlight w:val="yellow"/>
                <w:lang w:val="en-US"/>
              </w:rPr>
              <w:t>[Note: If parties wish to floor the Floating Rate for the entirety of the Calculation Period (</w:t>
            </w:r>
            <w:proofErr w:type="gramStart"/>
            <w:r w:rsidRPr="008922F1">
              <w:rPr>
                <w:rFonts w:eastAsia="Arial"/>
                <w:b/>
                <w:bCs/>
                <w:i/>
                <w:iCs/>
                <w:kern w:val="20"/>
                <w:sz w:val="22"/>
                <w:szCs w:val="22"/>
                <w:highlight w:val="yellow"/>
                <w:lang w:val="en-US"/>
              </w:rPr>
              <w:t>i.e.</w:t>
            </w:r>
            <w:proofErr w:type="gramEnd"/>
            <w:r w:rsidRPr="008922F1">
              <w:rPr>
                <w:rFonts w:eastAsia="Arial"/>
                <w:b/>
                <w:bCs/>
                <w:i/>
                <w:iCs/>
                <w:kern w:val="20"/>
                <w:sz w:val="22"/>
                <w:szCs w:val="22"/>
                <w:highlight w:val="yellow"/>
                <w:lang w:val="en-US"/>
              </w:rPr>
              <w:t xml:space="preserve"> the </w:t>
            </w:r>
            <w:r w:rsidR="006322F1" w:rsidRPr="008922F1">
              <w:rPr>
                <w:rFonts w:eastAsia="Arial"/>
                <w:b/>
                <w:bCs/>
                <w:i/>
                <w:iCs/>
                <w:kern w:val="20"/>
                <w:sz w:val="22"/>
                <w:szCs w:val="22"/>
                <w:highlight w:val="yellow"/>
                <w:lang w:val="en-US"/>
              </w:rPr>
              <w:t xml:space="preserve">simple average of </w:t>
            </w:r>
            <w:r w:rsidR="008D46E1" w:rsidRPr="008922F1">
              <w:rPr>
                <w:rFonts w:eastAsia="Arial"/>
                <w:b/>
                <w:bCs/>
                <w:i/>
                <w:iCs/>
                <w:kern w:val="20"/>
                <w:sz w:val="22"/>
                <w:szCs w:val="22"/>
                <w:highlight w:val="yellow"/>
                <w:lang w:val="en-US"/>
              </w:rPr>
              <w:t>SOFR</w:t>
            </w:r>
            <w:r w:rsidRPr="008922F1">
              <w:rPr>
                <w:rFonts w:eastAsia="Arial"/>
                <w:b/>
                <w:bCs/>
                <w:i/>
                <w:iCs/>
                <w:kern w:val="20"/>
                <w:sz w:val="22"/>
                <w:szCs w:val="22"/>
                <w:highlight w:val="yellow"/>
                <w:lang w:val="en-US"/>
              </w:rPr>
              <w:t xml:space="preserve"> plus any applicable Spread, as defined in the 2006 ISDA Definitions) at zero, specify Zero Interest Rate Method as Applicable. Note however that there is no equivalent in the </w:t>
            </w:r>
            <w:r w:rsidR="008D46E1" w:rsidRPr="008922F1">
              <w:rPr>
                <w:rFonts w:eastAsia="Arial"/>
                <w:b/>
                <w:bCs/>
                <w:i/>
                <w:iCs/>
                <w:kern w:val="20"/>
                <w:sz w:val="22"/>
                <w:szCs w:val="22"/>
                <w:highlight w:val="yellow"/>
                <w:lang w:val="en-US"/>
              </w:rPr>
              <w:t>LSTA SOFR CCA</w:t>
            </w:r>
            <w:r w:rsidRPr="008922F1">
              <w:rPr>
                <w:rFonts w:eastAsia="Arial"/>
                <w:b/>
                <w:bCs/>
                <w:i/>
                <w:iCs/>
                <w:kern w:val="20"/>
                <w:sz w:val="22"/>
                <w:szCs w:val="22"/>
                <w:highlight w:val="yellow"/>
                <w:lang w:val="en-US"/>
              </w:rPr>
              <w:t>.]</w:t>
            </w:r>
          </w:p>
        </w:tc>
      </w:tr>
      <w:tr w:rsidR="002D4C0F" w:rsidRPr="00186C59" w14:paraId="10ED69B5" w14:textId="77777777" w:rsidTr="004A3A72">
        <w:trPr>
          <w:gridBefore w:val="1"/>
          <w:gridAfter w:val="1"/>
          <w:wBefore w:w="7" w:type="dxa"/>
          <w:wAfter w:w="252" w:type="dxa"/>
          <w:cantSplit/>
        </w:trPr>
        <w:tc>
          <w:tcPr>
            <w:tcW w:w="4237" w:type="dxa"/>
            <w:shd w:val="clear" w:color="auto" w:fill="auto"/>
          </w:tcPr>
          <w:p w14:paraId="725BEA42"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[Initial Exchange:</w:t>
            </w:r>
          </w:p>
        </w:tc>
        <w:tc>
          <w:tcPr>
            <w:tcW w:w="3410" w:type="dxa"/>
            <w:gridSpan w:val="2"/>
            <w:shd w:val="clear" w:color="auto" w:fill="auto"/>
          </w:tcPr>
          <w:p w14:paraId="4B36D099"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59DCC242" w14:textId="77777777" w:rsidTr="004A3A72">
        <w:trPr>
          <w:gridBefore w:val="1"/>
          <w:gridAfter w:val="1"/>
          <w:wBefore w:w="7" w:type="dxa"/>
          <w:wAfter w:w="252" w:type="dxa"/>
          <w:cantSplit/>
        </w:trPr>
        <w:tc>
          <w:tcPr>
            <w:tcW w:w="4237" w:type="dxa"/>
            <w:shd w:val="clear" w:color="auto" w:fill="auto"/>
          </w:tcPr>
          <w:p w14:paraId="7EFCFC59"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Initial Exchange Date:</w:t>
            </w:r>
          </w:p>
        </w:tc>
        <w:tc>
          <w:tcPr>
            <w:tcW w:w="3410" w:type="dxa"/>
            <w:gridSpan w:val="2"/>
            <w:shd w:val="clear" w:color="auto" w:fill="auto"/>
          </w:tcPr>
          <w:p w14:paraId="4A69D9FE"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roofErr w:type="gramStart"/>
            <w:r w:rsidRPr="00186C59">
              <w:rPr>
                <w:rFonts w:eastAsia="Arial"/>
                <w:kern w:val="20"/>
                <w:sz w:val="22"/>
                <w:szCs w:val="22"/>
                <w:lang w:val="en-US"/>
              </w:rPr>
              <w:t>  ]</w:t>
            </w:r>
            <w:proofErr w:type="gramEnd"/>
            <w:r w:rsidRPr="00186C59">
              <w:rPr>
                <w:rFonts w:eastAsia="Arial"/>
                <w:kern w:val="20"/>
                <w:sz w:val="22"/>
                <w:szCs w:val="22"/>
                <w:lang w:val="en-US"/>
              </w:rPr>
              <w:t xml:space="preserve"> [, subject to adjustment in accordance with the [Following/Modified Following/Preceding] Business Day Convention]</w:t>
            </w:r>
            <w:bookmarkStart w:id="6" w:name="_Ref403633344"/>
            <w:r w:rsidRPr="00186C59">
              <w:rPr>
                <w:rFonts w:eastAsia="Arial"/>
                <w:kern w:val="2"/>
                <w:sz w:val="22"/>
                <w:szCs w:val="22"/>
                <w:vertAlign w:val="superscript"/>
                <w:lang w:val="en-US"/>
              </w:rPr>
              <w:footnoteReference w:id="6"/>
            </w:r>
            <w:bookmarkEnd w:id="6"/>
          </w:p>
        </w:tc>
      </w:tr>
      <w:tr w:rsidR="002D4C0F" w:rsidRPr="00186C59" w14:paraId="7837C7AE" w14:textId="77777777" w:rsidTr="004A3A72">
        <w:trPr>
          <w:gridBefore w:val="1"/>
          <w:gridAfter w:val="1"/>
          <w:wBefore w:w="7" w:type="dxa"/>
          <w:wAfter w:w="252" w:type="dxa"/>
          <w:cantSplit/>
        </w:trPr>
        <w:tc>
          <w:tcPr>
            <w:tcW w:w="4237" w:type="dxa"/>
            <w:shd w:val="clear" w:color="auto" w:fill="auto"/>
          </w:tcPr>
          <w:p w14:paraId="051547C7"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 xml:space="preserve">Party </w:t>
            </w:r>
            <w:proofErr w:type="spellStart"/>
            <w:proofErr w:type="gramStart"/>
            <w:r w:rsidRPr="00186C59">
              <w:rPr>
                <w:rFonts w:eastAsia="Times New Roman"/>
                <w:kern w:val="20"/>
                <w:sz w:val="22"/>
                <w:szCs w:val="22"/>
              </w:rPr>
              <w:t>A</w:t>
            </w:r>
            <w:proofErr w:type="spellEnd"/>
            <w:proofErr w:type="gramEnd"/>
            <w:r w:rsidRPr="00186C59">
              <w:rPr>
                <w:rFonts w:eastAsia="Times New Roman"/>
                <w:kern w:val="20"/>
                <w:sz w:val="22"/>
                <w:szCs w:val="22"/>
              </w:rPr>
              <w:t xml:space="preserve"> Initial Exchange Amount:</w:t>
            </w:r>
          </w:p>
        </w:tc>
        <w:tc>
          <w:tcPr>
            <w:tcW w:w="3410" w:type="dxa"/>
            <w:gridSpan w:val="2"/>
            <w:shd w:val="clear" w:color="auto" w:fill="auto"/>
          </w:tcPr>
          <w:p w14:paraId="1C6F630E" w14:textId="77777777" w:rsidR="002D4C0F" w:rsidRPr="00186C59" w:rsidRDefault="002D4C0F" w:rsidP="002D4C0F">
            <w:pPr>
              <w:spacing w:before="60" w:after="60" w:line="290" w:lineRule="auto"/>
              <w:rPr>
                <w:rFonts w:eastAsia="Arial"/>
                <w:b/>
                <w:kern w:val="20"/>
                <w:sz w:val="22"/>
                <w:szCs w:val="22"/>
                <w:lang w:val="en-US"/>
              </w:rPr>
            </w:pPr>
            <w:r w:rsidRPr="00186C59">
              <w:rPr>
                <w:rFonts w:eastAsia="Arial"/>
                <w:kern w:val="20"/>
                <w:sz w:val="22"/>
                <w:szCs w:val="22"/>
                <w:lang w:val="en-US"/>
              </w:rPr>
              <w:t>[                   ]</w:t>
            </w:r>
          </w:p>
        </w:tc>
      </w:tr>
      <w:tr w:rsidR="002D4C0F" w:rsidRPr="00186C59" w14:paraId="6524A86F" w14:textId="77777777" w:rsidTr="004A3A72">
        <w:trPr>
          <w:gridBefore w:val="1"/>
          <w:gridAfter w:val="1"/>
          <w:wBefore w:w="7" w:type="dxa"/>
          <w:wAfter w:w="252" w:type="dxa"/>
          <w:cantSplit/>
        </w:trPr>
        <w:tc>
          <w:tcPr>
            <w:tcW w:w="4237" w:type="dxa"/>
            <w:shd w:val="clear" w:color="auto" w:fill="auto"/>
          </w:tcPr>
          <w:p w14:paraId="0EF455E0"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Party B Initial Exchange Amount:]</w:t>
            </w:r>
          </w:p>
        </w:tc>
        <w:tc>
          <w:tcPr>
            <w:tcW w:w="3410" w:type="dxa"/>
            <w:gridSpan w:val="2"/>
            <w:shd w:val="clear" w:color="auto" w:fill="auto"/>
          </w:tcPr>
          <w:p w14:paraId="4E8F28FF" w14:textId="77777777" w:rsidR="002D4C0F" w:rsidRPr="00186C59" w:rsidRDefault="002D4C0F" w:rsidP="002D4C0F">
            <w:pPr>
              <w:spacing w:before="60" w:after="60" w:line="290" w:lineRule="auto"/>
              <w:rPr>
                <w:rFonts w:eastAsia="Arial"/>
                <w:b/>
                <w:kern w:val="20"/>
                <w:sz w:val="22"/>
                <w:szCs w:val="22"/>
                <w:lang w:val="en-US"/>
              </w:rPr>
            </w:pPr>
            <w:r w:rsidRPr="00186C59">
              <w:rPr>
                <w:rFonts w:eastAsia="Arial"/>
                <w:kern w:val="20"/>
                <w:sz w:val="22"/>
                <w:szCs w:val="22"/>
                <w:lang w:val="en-US"/>
              </w:rPr>
              <w:t>[                   ]</w:t>
            </w:r>
          </w:p>
        </w:tc>
      </w:tr>
      <w:tr w:rsidR="002D4C0F" w:rsidRPr="00186C59" w14:paraId="0A10412D" w14:textId="77777777" w:rsidTr="004A3A72">
        <w:trPr>
          <w:gridBefore w:val="1"/>
          <w:gridAfter w:val="1"/>
          <w:wBefore w:w="7" w:type="dxa"/>
          <w:wAfter w:w="252" w:type="dxa"/>
          <w:cantSplit/>
        </w:trPr>
        <w:tc>
          <w:tcPr>
            <w:tcW w:w="4237" w:type="dxa"/>
            <w:shd w:val="clear" w:color="auto" w:fill="auto"/>
          </w:tcPr>
          <w:p w14:paraId="4A5E9672"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[Interim Exchange:</w:t>
            </w:r>
          </w:p>
        </w:tc>
        <w:tc>
          <w:tcPr>
            <w:tcW w:w="3410" w:type="dxa"/>
            <w:gridSpan w:val="2"/>
            <w:shd w:val="clear" w:color="auto" w:fill="auto"/>
          </w:tcPr>
          <w:p w14:paraId="29BE7160" w14:textId="77777777" w:rsidR="002D4C0F" w:rsidRPr="00186C59" w:rsidRDefault="002D4C0F" w:rsidP="002D4C0F">
            <w:pPr>
              <w:spacing w:before="60" w:after="60" w:line="290" w:lineRule="auto"/>
              <w:rPr>
                <w:rFonts w:eastAsia="Arial"/>
                <w:b/>
                <w:kern w:val="20"/>
                <w:sz w:val="22"/>
                <w:szCs w:val="22"/>
                <w:lang w:val="en-US"/>
              </w:rPr>
            </w:pPr>
          </w:p>
        </w:tc>
      </w:tr>
      <w:tr w:rsidR="002D4C0F" w:rsidRPr="00186C59" w14:paraId="1FEEED10" w14:textId="77777777" w:rsidTr="004A3A72">
        <w:trPr>
          <w:gridBefore w:val="1"/>
          <w:gridAfter w:val="1"/>
          <w:wBefore w:w="7" w:type="dxa"/>
          <w:wAfter w:w="252" w:type="dxa"/>
          <w:cantSplit/>
        </w:trPr>
        <w:tc>
          <w:tcPr>
            <w:tcW w:w="4237" w:type="dxa"/>
            <w:shd w:val="clear" w:color="auto" w:fill="auto"/>
          </w:tcPr>
          <w:p w14:paraId="2CA111E6"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Interim Exchange Date:</w:t>
            </w:r>
          </w:p>
        </w:tc>
        <w:tc>
          <w:tcPr>
            <w:tcW w:w="3410" w:type="dxa"/>
            <w:gridSpan w:val="2"/>
            <w:shd w:val="clear" w:color="auto" w:fill="auto"/>
          </w:tcPr>
          <w:p w14:paraId="3A386106"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roofErr w:type="gramStart"/>
            <w:r w:rsidRPr="00186C59">
              <w:rPr>
                <w:rFonts w:eastAsia="Arial"/>
                <w:kern w:val="20"/>
                <w:sz w:val="22"/>
                <w:szCs w:val="22"/>
                <w:lang w:val="en-US"/>
              </w:rPr>
              <w:t>  ]</w:t>
            </w:r>
            <w:proofErr w:type="gramEnd"/>
            <w:r w:rsidRPr="00186C59">
              <w:rPr>
                <w:rFonts w:eastAsia="Arial"/>
                <w:kern w:val="20"/>
                <w:sz w:val="22"/>
                <w:szCs w:val="22"/>
                <w:lang w:val="en-US"/>
              </w:rPr>
              <w:t xml:space="preserve"> [, subject to adjustment in accordance with the [Following/Modified Following/Preceding] Business Day </w:t>
            </w:r>
            <w:r w:rsidRPr="00186C59" w:rsidDel="006A1226">
              <w:rPr>
                <w:rFonts w:eastAsia="Arial"/>
                <w:kern w:val="20"/>
                <w:sz w:val="22"/>
                <w:szCs w:val="22"/>
                <w:lang w:val="en-US"/>
              </w:rPr>
              <w:t>Convention]</w:t>
            </w:r>
            <w:r w:rsidRPr="00186C59">
              <w:rPr>
                <w:rFonts w:eastAsia="Arial"/>
                <w:kern w:val="20"/>
                <w:sz w:val="22"/>
                <w:szCs w:val="22"/>
                <w:lang w:val="en-US"/>
              </w:rPr>
              <w:t>Convention]</w:t>
            </w:r>
            <w:r w:rsidRPr="00186C59">
              <w:rPr>
                <w:rFonts w:eastAsia="Arial"/>
                <w:kern w:val="2"/>
                <w:sz w:val="22"/>
                <w:szCs w:val="22"/>
                <w:vertAlign w:val="superscript"/>
                <w:lang w:val="en-US"/>
              </w:rPr>
              <w:footnoteReference w:id="7"/>
            </w:r>
            <w:r w:rsidRPr="00186C59">
              <w:rPr>
                <w:rFonts w:eastAsia="Arial"/>
                <w:kern w:val="2"/>
                <w:sz w:val="22"/>
                <w:szCs w:val="22"/>
                <w:vertAlign w:val="superscript"/>
                <w:lang w:val="en-US"/>
              </w:rPr>
              <w:t xml:space="preserve"> </w:t>
            </w:r>
          </w:p>
        </w:tc>
      </w:tr>
      <w:tr w:rsidR="002D4C0F" w:rsidRPr="00186C59" w14:paraId="34245982" w14:textId="77777777" w:rsidTr="004A3A72">
        <w:trPr>
          <w:gridBefore w:val="1"/>
          <w:gridAfter w:val="1"/>
          <w:wBefore w:w="7" w:type="dxa"/>
          <w:wAfter w:w="252" w:type="dxa"/>
          <w:cantSplit/>
        </w:trPr>
        <w:tc>
          <w:tcPr>
            <w:tcW w:w="4237" w:type="dxa"/>
            <w:shd w:val="clear" w:color="auto" w:fill="auto"/>
          </w:tcPr>
          <w:p w14:paraId="2C093609"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 xml:space="preserve">Party </w:t>
            </w:r>
            <w:proofErr w:type="spellStart"/>
            <w:proofErr w:type="gramStart"/>
            <w:r w:rsidRPr="00186C59">
              <w:rPr>
                <w:rFonts w:eastAsia="Times New Roman"/>
                <w:kern w:val="20"/>
                <w:sz w:val="22"/>
                <w:szCs w:val="22"/>
              </w:rPr>
              <w:t>A</w:t>
            </w:r>
            <w:proofErr w:type="spellEnd"/>
            <w:proofErr w:type="gramEnd"/>
            <w:r w:rsidRPr="00186C59">
              <w:rPr>
                <w:rFonts w:eastAsia="Times New Roman"/>
                <w:kern w:val="20"/>
                <w:sz w:val="22"/>
                <w:szCs w:val="22"/>
              </w:rPr>
              <w:t xml:space="preserve"> Interim Exchange Amount:</w:t>
            </w:r>
          </w:p>
        </w:tc>
        <w:tc>
          <w:tcPr>
            <w:tcW w:w="3410" w:type="dxa"/>
            <w:gridSpan w:val="2"/>
            <w:shd w:val="clear" w:color="auto" w:fill="auto"/>
          </w:tcPr>
          <w:p w14:paraId="786ACC16"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6D5956DF" w14:textId="77777777" w:rsidTr="004A3A72">
        <w:trPr>
          <w:gridBefore w:val="1"/>
          <w:gridAfter w:val="1"/>
          <w:wBefore w:w="7" w:type="dxa"/>
          <w:wAfter w:w="252" w:type="dxa"/>
          <w:cantSplit/>
        </w:trPr>
        <w:tc>
          <w:tcPr>
            <w:tcW w:w="4237" w:type="dxa"/>
            <w:shd w:val="clear" w:color="auto" w:fill="auto"/>
          </w:tcPr>
          <w:p w14:paraId="718AB142"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Party B Interim Exchange Amount:]</w:t>
            </w:r>
          </w:p>
        </w:tc>
        <w:tc>
          <w:tcPr>
            <w:tcW w:w="3410" w:type="dxa"/>
            <w:gridSpan w:val="2"/>
            <w:shd w:val="clear" w:color="auto" w:fill="auto"/>
          </w:tcPr>
          <w:p w14:paraId="70BF136E"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5368E3ED" w14:textId="77777777" w:rsidTr="004A3A72">
        <w:trPr>
          <w:gridBefore w:val="1"/>
          <w:gridAfter w:val="1"/>
          <w:wBefore w:w="7" w:type="dxa"/>
          <w:wAfter w:w="252" w:type="dxa"/>
          <w:cantSplit/>
        </w:trPr>
        <w:tc>
          <w:tcPr>
            <w:tcW w:w="4237" w:type="dxa"/>
            <w:shd w:val="clear" w:color="auto" w:fill="auto"/>
          </w:tcPr>
          <w:p w14:paraId="1766A938"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[Final Exchange:</w:t>
            </w:r>
          </w:p>
        </w:tc>
        <w:tc>
          <w:tcPr>
            <w:tcW w:w="3410" w:type="dxa"/>
            <w:gridSpan w:val="2"/>
            <w:shd w:val="clear" w:color="auto" w:fill="auto"/>
          </w:tcPr>
          <w:p w14:paraId="587674BA"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6CADD84A" w14:textId="77777777" w:rsidTr="004A3A72">
        <w:trPr>
          <w:gridBefore w:val="1"/>
          <w:gridAfter w:val="1"/>
          <w:wBefore w:w="7" w:type="dxa"/>
          <w:wAfter w:w="252" w:type="dxa"/>
          <w:cantSplit/>
        </w:trPr>
        <w:tc>
          <w:tcPr>
            <w:tcW w:w="4237" w:type="dxa"/>
            <w:shd w:val="clear" w:color="auto" w:fill="auto"/>
          </w:tcPr>
          <w:p w14:paraId="79FCEB90"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Final Exchange Date:</w:t>
            </w:r>
          </w:p>
        </w:tc>
        <w:tc>
          <w:tcPr>
            <w:tcW w:w="3410" w:type="dxa"/>
            <w:gridSpan w:val="2"/>
            <w:shd w:val="clear" w:color="auto" w:fill="auto"/>
          </w:tcPr>
          <w:p w14:paraId="76E5E5CD"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roofErr w:type="gramStart"/>
            <w:r w:rsidRPr="00186C59">
              <w:rPr>
                <w:rFonts w:eastAsia="Arial"/>
                <w:kern w:val="20"/>
                <w:sz w:val="22"/>
                <w:szCs w:val="22"/>
                <w:lang w:val="en-US"/>
              </w:rPr>
              <w:t>  ]</w:t>
            </w:r>
            <w:proofErr w:type="gramEnd"/>
            <w:r w:rsidRPr="00186C59">
              <w:rPr>
                <w:rFonts w:eastAsia="Arial"/>
                <w:kern w:val="20"/>
                <w:sz w:val="22"/>
                <w:szCs w:val="22"/>
                <w:lang w:val="en-US"/>
              </w:rPr>
              <w:t xml:space="preserve"> [, subject to adjustment in accordance with the [Following/Modified Following/Preceding] Business Day </w:t>
            </w:r>
            <w:r w:rsidRPr="00186C59" w:rsidDel="006A1226">
              <w:rPr>
                <w:rFonts w:eastAsia="Arial"/>
                <w:kern w:val="20"/>
                <w:sz w:val="22"/>
                <w:szCs w:val="22"/>
                <w:lang w:val="en-US"/>
              </w:rPr>
              <w:t>Convention]</w:t>
            </w:r>
            <w:r w:rsidRPr="00186C59">
              <w:rPr>
                <w:rFonts w:eastAsia="Arial"/>
                <w:kern w:val="20"/>
                <w:sz w:val="22"/>
                <w:szCs w:val="22"/>
                <w:lang w:val="en-US"/>
              </w:rPr>
              <w:t>Convention]</w:t>
            </w:r>
            <w:r w:rsidRPr="00186C59">
              <w:rPr>
                <w:rFonts w:eastAsia="Arial"/>
                <w:kern w:val="2"/>
                <w:sz w:val="22"/>
                <w:szCs w:val="22"/>
                <w:vertAlign w:val="superscript"/>
                <w:lang w:val="en-US"/>
              </w:rPr>
              <w:footnoteReference w:id="8"/>
            </w:r>
          </w:p>
        </w:tc>
      </w:tr>
      <w:tr w:rsidR="002D4C0F" w:rsidRPr="00186C59" w14:paraId="7AD98EB2" w14:textId="77777777" w:rsidTr="004A3A72">
        <w:trPr>
          <w:gridBefore w:val="1"/>
          <w:gridAfter w:val="1"/>
          <w:wBefore w:w="7" w:type="dxa"/>
          <w:wAfter w:w="252" w:type="dxa"/>
          <w:cantSplit/>
        </w:trPr>
        <w:tc>
          <w:tcPr>
            <w:tcW w:w="4237" w:type="dxa"/>
            <w:shd w:val="clear" w:color="auto" w:fill="auto"/>
          </w:tcPr>
          <w:p w14:paraId="644F8199"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t>Party A Final Exchange Amount:</w:t>
            </w:r>
          </w:p>
        </w:tc>
        <w:tc>
          <w:tcPr>
            <w:tcW w:w="3410" w:type="dxa"/>
            <w:gridSpan w:val="2"/>
            <w:shd w:val="clear" w:color="auto" w:fill="auto"/>
          </w:tcPr>
          <w:p w14:paraId="592BA804"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1DC84074" w14:textId="77777777" w:rsidTr="004A3A72">
        <w:trPr>
          <w:gridBefore w:val="1"/>
          <w:gridAfter w:val="1"/>
          <w:wBefore w:w="7" w:type="dxa"/>
          <w:wAfter w:w="252" w:type="dxa"/>
          <w:cantSplit/>
        </w:trPr>
        <w:tc>
          <w:tcPr>
            <w:tcW w:w="4237" w:type="dxa"/>
            <w:shd w:val="clear" w:color="auto" w:fill="auto"/>
          </w:tcPr>
          <w:p w14:paraId="07443C6D" w14:textId="77777777" w:rsidR="002D4C0F" w:rsidRPr="00186C59" w:rsidRDefault="002D4C0F" w:rsidP="002159F8">
            <w:pPr>
              <w:spacing w:before="40" w:after="40" w:line="290" w:lineRule="auto"/>
              <w:rPr>
                <w:rFonts w:eastAsia="Times New Roman"/>
                <w:kern w:val="20"/>
                <w:sz w:val="22"/>
                <w:szCs w:val="22"/>
              </w:rPr>
            </w:pPr>
            <w:r w:rsidRPr="00186C59">
              <w:rPr>
                <w:rFonts w:eastAsia="Times New Roman"/>
                <w:kern w:val="20"/>
                <w:sz w:val="22"/>
                <w:szCs w:val="22"/>
              </w:rPr>
              <w:lastRenderedPageBreak/>
              <w:t>Party B Final Exchange Amount:]</w:t>
            </w:r>
          </w:p>
        </w:tc>
        <w:tc>
          <w:tcPr>
            <w:tcW w:w="3410" w:type="dxa"/>
            <w:gridSpan w:val="2"/>
            <w:shd w:val="clear" w:color="auto" w:fill="auto"/>
          </w:tcPr>
          <w:p w14:paraId="5FCEDB84"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2D4C0F" w:rsidRPr="00186C59" w14:paraId="3DD341F2" w14:textId="77777777" w:rsidTr="004A3A72">
        <w:trPr>
          <w:gridBefore w:val="1"/>
          <w:gridAfter w:val="1"/>
          <w:wBefore w:w="7" w:type="dxa"/>
          <w:wAfter w:w="252" w:type="dxa"/>
          <w:cantSplit/>
        </w:trPr>
        <w:tc>
          <w:tcPr>
            <w:tcW w:w="4237" w:type="dxa"/>
            <w:shd w:val="clear" w:color="auto" w:fill="auto"/>
          </w:tcPr>
          <w:p w14:paraId="265D7264"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[Business Days for [first currency]:]</w:t>
            </w:r>
          </w:p>
        </w:tc>
        <w:tc>
          <w:tcPr>
            <w:tcW w:w="3410" w:type="dxa"/>
            <w:gridSpan w:val="2"/>
            <w:shd w:val="clear" w:color="auto" w:fill="auto"/>
          </w:tcPr>
          <w:p w14:paraId="69FA2E68" w14:textId="057A2CCC" w:rsidR="002D4C0F" w:rsidRPr="00186C59" w:rsidRDefault="007404AD" w:rsidP="002D4C0F">
            <w:pPr>
              <w:spacing w:before="60" w:after="60" w:line="290" w:lineRule="auto"/>
              <w:rPr>
                <w:rFonts w:eastAsia="Arial"/>
                <w:b/>
                <w:bCs/>
                <w:i/>
                <w:iCs/>
                <w:kern w:val="20"/>
                <w:sz w:val="22"/>
                <w:szCs w:val="22"/>
                <w:lang w:val="en-US"/>
              </w:rPr>
            </w:pPr>
            <w:r w:rsidRPr="00186C59">
              <w:rPr>
                <w:rFonts w:eastAsia="Arial"/>
                <w:kern w:val="20"/>
                <w:sz w:val="22"/>
                <w:szCs w:val="22"/>
                <w:lang w:val="en-US"/>
              </w:rPr>
              <w:t>New York</w:t>
            </w:r>
            <w:r w:rsidR="0089392F" w:rsidRPr="00186C59">
              <w:rPr>
                <w:rFonts w:eastAsia="Arial"/>
                <w:kern w:val="20"/>
                <w:sz w:val="22"/>
                <w:szCs w:val="22"/>
                <w:lang w:val="en-US"/>
              </w:rPr>
              <w:t xml:space="preserve"> </w:t>
            </w:r>
            <w:r w:rsidR="0089392F" w:rsidRPr="008922F1">
              <w:rPr>
                <w:rFonts w:eastAsia="Arial"/>
                <w:b/>
                <w:bCs/>
                <w:i/>
                <w:iCs/>
                <w:kern w:val="20"/>
                <w:sz w:val="22"/>
                <w:szCs w:val="22"/>
                <w:highlight w:val="yellow"/>
                <w:lang w:val="en-US"/>
              </w:rPr>
              <w:t xml:space="preserve">[Note: </w:t>
            </w:r>
            <w:r w:rsidR="00BF3D83" w:rsidRPr="008922F1">
              <w:rPr>
                <w:rFonts w:eastAsia="Arial"/>
                <w:b/>
                <w:bCs/>
                <w:i/>
                <w:iCs/>
                <w:kern w:val="20"/>
                <w:sz w:val="22"/>
                <w:szCs w:val="22"/>
                <w:highlight w:val="yellow"/>
                <w:lang w:val="en-US"/>
              </w:rPr>
              <w:t>Parties to consider specifying New York as this</w:t>
            </w:r>
            <w:r w:rsidR="0089392F" w:rsidRPr="008922F1">
              <w:rPr>
                <w:rFonts w:eastAsia="Arial"/>
                <w:b/>
                <w:bCs/>
                <w:i/>
                <w:iCs/>
                <w:kern w:val="20"/>
                <w:sz w:val="22"/>
                <w:szCs w:val="22"/>
                <w:highlight w:val="yellow"/>
                <w:lang w:val="en-US"/>
              </w:rPr>
              <w:t xml:space="preserve"> match</w:t>
            </w:r>
            <w:r w:rsidR="00BF3D83" w:rsidRPr="008922F1">
              <w:rPr>
                <w:rFonts w:eastAsia="Arial"/>
                <w:b/>
                <w:bCs/>
                <w:i/>
                <w:iCs/>
                <w:kern w:val="20"/>
                <w:sz w:val="22"/>
                <w:szCs w:val="22"/>
                <w:highlight w:val="yellow"/>
                <w:lang w:val="en-US"/>
              </w:rPr>
              <w:t>es</w:t>
            </w:r>
            <w:r w:rsidR="0089392F" w:rsidRPr="008922F1">
              <w:rPr>
                <w:rFonts w:eastAsia="Arial"/>
                <w:b/>
                <w:bCs/>
                <w:i/>
                <w:iCs/>
                <w:kern w:val="20"/>
                <w:sz w:val="22"/>
                <w:szCs w:val="22"/>
                <w:highlight w:val="yellow"/>
                <w:lang w:val="en-US"/>
              </w:rPr>
              <w:t xml:space="preserve"> the definition of “Business Days” specified in the </w:t>
            </w:r>
            <w:r w:rsidR="00BF3D83" w:rsidRPr="008922F1">
              <w:rPr>
                <w:rFonts w:eastAsia="Arial"/>
                <w:b/>
                <w:bCs/>
                <w:i/>
                <w:iCs/>
                <w:kern w:val="20"/>
                <w:sz w:val="22"/>
                <w:szCs w:val="22"/>
                <w:highlight w:val="yellow"/>
                <w:lang w:val="en-US"/>
              </w:rPr>
              <w:t>LSTA SOFR CCA</w:t>
            </w:r>
            <w:r w:rsidR="0089392F" w:rsidRPr="008922F1">
              <w:rPr>
                <w:rFonts w:eastAsia="Arial"/>
                <w:b/>
                <w:bCs/>
                <w:i/>
                <w:iCs/>
                <w:kern w:val="20"/>
                <w:sz w:val="22"/>
                <w:szCs w:val="22"/>
                <w:highlight w:val="yellow"/>
                <w:lang w:val="en-US"/>
              </w:rPr>
              <w:t>.]</w:t>
            </w:r>
            <w:r w:rsidR="00BF3D83" w:rsidRPr="00186C59">
              <w:rPr>
                <w:rFonts w:eastAsia="Arial"/>
                <w:kern w:val="20"/>
                <w:sz w:val="22"/>
                <w:szCs w:val="22"/>
                <w:lang w:val="en-US"/>
              </w:rPr>
              <w:t xml:space="preserve"> </w:t>
            </w:r>
          </w:p>
        </w:tc>
      </w:tr>
      <w:tr w:rsidR="002D4C0F" w:rsidRPr="00186C59" w14:paraId="556C9C6D" w14:textId="77777777" w:rsidTr="004A3A72">
        <w:trPr>
          <w:gridBefore w:val="1"/>
          <w:gridAfter w:val="1"/>
          <w:wBefore w:w="7" w:type="dxa"/>
          <w:wAfter w:w="252" w:type="dxa"/>
          <w:cantSplit/>
        </w:trPr>
        <w:tc>
          <w:tcPr>
            <w:tcW w:w="4237" w:type="dxa"/>
            <w:shd w:val="clear" w:color="auto" w:fill="auto"/>
          </w:tcPr>
          <w:p w14:paraId="6C95A58C"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[Business Days for [second currency]:]</w:t>
            </w:r>
          </w:p>
        </w:tc>
        <w:tc>
          <w:tcPr>
            <w:tcW w:w="3410" w:type="dxa"/>
            <w:gridSpan w:val="2"/>
            <w:shd w:val="clear" w:color="auto" w:fill="auto"/>
          </w:tcPr>
          <w:p w14:paraId="43FCD462" w14:textId="77777777" w:rsidR="002D4C0F" w:rsidRPr="00186C59" w:rsidRDefault="002D4C0F" w:rsidP="002D4C0F">
            <w:pPr>
              <w:spacing w:before="60" w:after="60" w:line="290" w:lineRule="auto"/>
              <w:rPr>
                <w:rFonts w:eastAsia="Arial"/>
                <w:kern w:val="20"/>
                <w:sz w:val="22"/>
                <w:szCs w:val="22"/>
                <w:lang w:val="en-US"/>
              </w:rPr>
            </w:pPr>
            <w:r w:rsidRPr="00186C59">
              <w:rPr>
                <w:rFonts w:eastAsia="Arial"/>
                <w:kern w:val="20"/>
                <w:sz w:val="22"/>
                <w:szCs w:val="22"/>
                <w:lang w:val="en-US"/>
              </w:rPr>
              <w:t>[                   ]</w:t>
            </w:r>
          </w:p>
        </w:tc>
      </w:tr>
      <w:tr w:rsidR="000E291B" w:rsidRPr="00186C59" w14:paraId="6643C72C" w14:textId="77777777" w:rsidTr="004A3A72">
        <w:trPr>
          <w:gridBefore w:val="1"/>
          <w:gridAfter w:val="1"/>
          <w:wBefore w:w="7" w:type="dxa"/>
          <w:wAfter w:w="252" w:type="dxa"/>
          <w:cantSplit/>
        </w:trPr>
        <w:tc>
          <w:tcPr>
            <w:tcW w:w="4237" w:type="dxa"/>
            <w:shd w:val="clear" w:color="auto" w:fill="auto"/>
          </w:tcPr>
          <w:p w14:paraId="372480C0" w14:textId="77777777" w:rsidR="000E291B" w:rsidRPr="00186C59" w:rsidRDefault="000E291B" w:rsidP="000E291B">
            <w:pPr>
              <w:spacing w:before="60" w:after="60" w:line="290" w:lineRule="auto"/>
              <w:rPr>
                <w:rFonts w:eastAsia="Arial"/>
                <w:kern w:val="20"/>
                <w:sz w:val="22"/>
                <w:szCs w:val="22"/>
                <w:lang w:val="en-US"/>
              </w:rPr>
            </w:pPr>
            <w:r w:rsidRPr="00186C59">
              <w:rPr>
                <w:rFonts w:eastAsia="Arial"/>
                <w:kern w:val="20"/>
                <w:sz w:val="22"/>
                <w:szCs w:val="22"/>
                <w:lang w:val="en-US"/>
              </w:rPr>
              <w:t>Calculation Agent:</w:t>
            </w:r>
          </w:p>
        </w:tc>
        <w:tc>
          <w:tcPr>
            <w:tcW w:w="3410" w:type="dxa"/>
            <w:gridSpan w:val="2"/>
            <w:shd w:val="clear" w:color="auto" w:fill="auto"/>
          </w:tcPr>
          <w:p w14:paraId="0E6C27E9" w14:textId="77777777" w:rsidR="000E291B" w:rsidRPr="00186C59" w:rsidRDefault="000E291B" w:rsidP="000E291B">
            <w:pPr>
              <w:spacing w:before="60" w:after="60" w:line="290" w:lineRule="auto"/>
              <w:rPr>
                <w:rFonts w:eastAsia="Arial"/>
                <w:kern w:val="20"/>
                <w:sz w:val="22"/>
                <w:szCs w:val="22"/>
                <w:lang w:val="en-US"/>
              </w:rPr>
            </w:pPr>
            <w:r w:rsidRPr="00186C59">
              <w:rPr>
                <w:rFonts w:eastAsia="Arial"/>
                <w:kern w:val="20"/>
                <w:sz w:val="22"/>
                <w:szCs w:val="22"/>
                <w:lang w:val="en-US"/>
              </w:rPr>
              <w:t>[                   ]</w:t>
            </w:r>
            <w:r w:rsidRPr="00186C59">
              <w:rPr>
                <w:rFonts w:eastAsia="Arial"/>
                <w:kern w:val="2"/>
                <w:sz w:val="22"/>
                <w:szCs w:val="22"/>
                <w:vertAlign w:val="superscript"/>
                <w:lang w:val="en-US"/>
              </w:rPr>
              <w:footnoteReference w:id="9"/>
            </w:r>
          </w:p>
        </w:tc>
      </w:tr>
    </w:tbl>
    <w:p w14:paraId="27F50AB2" w14:textId="1B406CA8" w:rsidR="00160754" w:rsidRPr="00186C59" w:rsidRDefault="00160754" w:rsidP="002111DC">
      <w:pPr>
        <w:pStyle w:val="Body"/>
      </w:pPr>
    </w:p>
    <w:p w14:paraId="11953756" w14:textId="24788A9A" w:rsidR="00A27274" w:rsidRPr="00186C59" w:rsidRDefault="00A27274" w:rsidP="002111DC">
      <w:pPr>
        <w:pStyle w:val="Body"/>
      </w:pPr>
    </w:p>
    <w:p w14:paraId="3F69FDCD" w14:textId="603A82BA" w:rsidR="00A27274" w:rsidRPr="00186C59" w:rsidRDefault="00A27274">
      <w:pPr>
        <w:spacing w:after="160" w:line="259" w:lineRule="auto"/>
        <w:rPr>
          <w:rFonts w:cs="Times New Roman"/>
          <w:kern w:val="20"/>
        </w:rPr>
      </w:pPr>
      <w:r w:rsidRPr="00186C59">
        <w:rPr>
          <w:rFonts w:cs="Times New Roman"/>
        </w:rPr>
        <w:br w:type="page"/>
      </w:r>
    </w:p>
    <w:p w14:paraId="3BC8A0B4" w14:textId="77777777" w:rsidR="00A5500F" w:rsidRPr="00186C59" w:rsidRDefault="00A5500F" w:rsidP="00A27274">
      <w:pPr>
        <w:pStyle w:val="Title"/>
        <w:rPr>
          <w:rFonts w:cs="Times New Roman"/>
          <w:sz w:val="22"/>
          <w:szCs w:val="22"/>
        </w:rPr>
        <w:sectPr w:rsidR="00A5500F" w:rsidRPr="00186C59" w:rsidSect="002D4C0F">
          <w:footerReference w:type="default" r:id="rId10"/>
          <w:pgSz w:w="11907" w:h="16839" w:code="9"/>
          <w:pgMar w:top="1701" w:right="1588" w:bottom="1304" w:left="1588" w:header="765" w:footer="482" w:gutter="0"/>
          <w:pgNumType w:start="1"/>
          <w:cols w:space="708"/>
          <w:docGrid w:linePitch="360"/>
        </w:sectPr>
      </w:pPr>
    </w:p>
    <w:p w14:paraId="2F7151A3" w14:textId="77777777" w:rsidR="0068515E" w:rsidRPr="00186C59" w:rsidRDefault="0068515E" w:rsidP="00A27274">
      <w:pPr>
        <w:pStyle w:val="Title"/>
        <w:rPr>
          <w:rFonts w:cs="Times New Roman"/>
          <w:sz w:val="22"/>
          <w:szCs w:val="22"/>
        </w:rPr>
      </w:pPr>
      <w:r w:rsidRPr="00186C59">
        <w:rPr>
          <w:rFonts w:cs="Times New Roman"/>
          <w:sz w:val="22"/>
          <w:szCs w:val="22"/>
        </w:rPr>
        <w:lastRenderedPageBreak/>
        <w:t xml:space="preserve">Annex </w:t>
      </w:r>
    </w:p>
    <w:p w14:paraId="46B461DD" w14:textId="08982251" w:rsidR="00A27274" w:rsidRPr="00186C59" w:rsidRDefault="00A27274" w:rsidP="00A27274">
      <w:pPr>
        <w:pStyle w:val="Title"/>
        <w:rPr>
          <w:rFonts w:cs="Times New Roman"/>
          <w:sz w:val="22"/>
          <w:szCs w:val="22"/>
        </w:rPr>
      </w:pPr>
      <w:r w:rsidRPr="00186C59">
        <w:rPr>
          <w:rFonts w:cs="Times New Roman"/>
          <w:sz w:val="22"/>
          <w:szCs w:val="22"/>
        </w:rPr>
        <w:t>Comparison</w:t>
      </w:r>
      <w:r w:rsidR="0068515E" w:rsidRPr="00186C59">
        <w:rPr>
          <w:rFonts w:cs="Times New Roman"/>
          <w:sz w:val="22"/>
          <w:szCs w:val="22"/>
        </w:rPr>
        <w:t xml:space="preserve"> Table</w:t>
      </w:r>
      <w:r w:rsidRPr="00186C59">
        <w:rPr>
          <w:rFonts w:cs="Times New Roman"/>
          <w:sz w:val="22"/>
          <w:szCs w:val="22"/>
        </w:rPr>
        <w:t xml:space="preserve">: ISDA </w:t>
      </w:r>
      <w:r w:rsidR="00892233" w:rsidRPr="00186C59">
        <w:rPr>
          <w:rFonts w:cs="Times New Roman"/>
          <w:sz w:val="22"/>
          <w:szCs w:val="22"/>
        </w:rPr>
        <w:t>Averaging with Lookback and LSTA Daily Simple SOFR</w:t>
      </w:r>
    </w:p>
    <w:p w14:paraId="111B283D" w14:textId="7449B792" w:rsidR="00A27274" w:rsidRPr="00186C59" w:rsidRDefault="00A27274" w:rsidP="00A27274">
      <w:pPr>
        <w:pStyle w:val="Body"/>
        <w:rPr>
          <w:b/>
          <w:bCs/>
          <w:i/>
          <w:iCs/>
        </w:rPr>
      </w:pPr>
      <w:r w:rsidRPr="00186C59">
        <w:t xml:space="preserve">See below a comparison of the ISDA </w:t>
      </w:r>
      <w:r w:rsidR="001B2E01" w:rsidRPr="00186C59">
        <w:t>Averaging</w:t>
      </w:r>
      <w:r w:rsidRPr="00186C59">
        <w:t xml:space="preserve"> with Lookback formula in Section 6.</w:t>
      </w:r>
      <w:r w:rsidR="001B2E01" w:rsidRPr="00186C59">
        <w:t>11</w:t>
      </w:r>
      <w:r w:rsidRPr="00186C59">
        <w:t xml:space="preserve"> (</w:t>
      </w:r>
      <w:r w:rsidR="001B2E01" w:rsidRPr="00186C59">
        <w:rPr>
          <w:i/>
          <w:iCs/>
        </w:rPr>
        <w:t>Averaging</w:t>
      </w:r>
      <w:r w:rsidRPr="00186C59">
        <w:rPr>
          <w:i/>
          <w:iCs/>
        </w:rPr>
        <w:t xml:space="preserve"> with Lookback</w:t>
      </w:r>
      <w:r w:rsidRPr="00186C59">
        <w:t xml:space="preserve">) of the 2006 ISDA Definitions and </w:t>
      </w:r>
      <w:r w:rsidR="004054C9" w:rsidRPr="00186C59">
        <w:t xml:space="preserve">the definition of </w:t>
      </w:r>
      <w:r w:rsidR="00701C26" w:rsidRPr="00186C59">
        <w:t xml:space="preserve">“Daily Simple SOFR” as set out in </w:t>
      </w:r>
      <w:r w:rsidR="00F34423" w:rsidRPr="00186C59">
        <w:t>the</w:t>
      </w:r>
      <w:r w:rsidR="004054C9" w:rsidRPr="00186C59">
        <w:t xml:space="preserve"> LSTA Daily Simple SOFR or Daily Compounded SOFR (Compound the Balance) Concept Document dated 5 May 2021 as revised on 14 May 2021 (“</w:t>
      </w:r>
      <w:r w:rsidR="004054C9" w:rsidRPr="00186C59">
        <w:rPr>
          <w:b/>
          <w:bCs/>
        </w:rPr>
        <w:t>LSTA SOFR CCA</w:t>
      </w:r>
      <w:r w:rsidR="004054C9" w:rsidRPr="00186C59">
        <w:t>”).</w:t>
      </w:r>
      <w:r w:rsidRPr="00186C59">
        <w:t xml:space="preserve"> </w:t>
      </w:r>
      <w:r w:rsidR="0068515E" w:rsidRPr="00186C59">
        <w:t>C</w:t>
      </w:r>
      <w:r w:rsidRPr="00186C59">
        <w:t xml:space="preserve">ommentary on each input to </w:t>
      </w:r>
      <w:r w:rsidR="00892233" w:rsidRPr="00186C59">
        <w:t>the ISDA formula and the LSTA definition</w:t>
      </w:r>
      <w:r w:rsidRPr="00186C59">
        <w:t>, as well as the applicable rounding and business day conventions,</w:t>
      </w:r>
      <w:r w:rsidR="0068515E" w:rsidRPr="00186C59">
        <w:t xml:space="preserve"> </w:t>
      </w:r>
      <w:r w:rsidR="000E1F97">
        <w:t>is</w:t>
      </w:r>
      <w:r w:rsidR="0068515E" w:rsidRPr="00186C59">
        <w:t xml:space="preserve"> included</w:t>
      </w:r>
      <w:r w:rsidRPr="00186C59">
        <w:t xml:space="preserve"> in the table below. </w:t>
      </w:r>
    </w:p>
    <w:tbl>
      <w:tblPr>
        <w:tblStyle w:val="TableGrid"/>
        <w:tblW w:w="13824" w:type="dxa"/>
        <w:tblLook w:val="04A0" w:firstRow="1" w:lastRow="0" w:firstColumn="1" w:lastColumn="0" w:noHBand="0" w:noVBand="1"/>
      </w:tblPr>
      <w:tblGrid>
        <w:gridCol w:w="846"/>
        <w:gridCol w:w="2268"/>
        <w:gridCol w:w="3969"/>
        <w:gridCol w:w="3580"/>
        <w:gridCol w:w="3161"/>
      </w:tblGrid>
      <w:tr w:rsidR="00153BCE" w:rsidRPr="002720E5" w14:paraId="564EA426" w14:textId="77777777" w:rsidTr="00153BCE">
        <w:trPr>
          <w:trHeight w:val="20"/>
          <w:tblHeader/>
        </w:trPr>
        <w:tc>
          <w:tcPr>
            <w:tcW w:w="846" w:type="dxa"/>
            <w:shd w:val="clear" w:color="auto" w:fill="AF005F" w:themeFill="accent1"/>
          </w:tcPr>
          <w:p w14:paraId="05FABDCF" w14:textId="77777777" w:rsidR="00A27274" w:rsidRPr="002720E5" w:rsidRDefault="00A27274" w:rsidP="00153BCE">
            <w:pPr>
              <w:pStyle w:val="CellHead"/>
              <w:rPr>
                <w:color w:val="FFFFFF" w:themeColor="background1"/>
                <w:sz w:val="22"/>
              </w:rPr>
            </w:pPr>
            <w:r w:rsidRPr="002720E5">
              <w:rPr>
                <w:color w:val="FFFFFF" w:themeColor="background1"/>
                <w:sz w:val="22"/>
              </w:rPr>
              <w:t>No.</w:t>
            </w:r>
          </w:p>
        </w:tc>
        <w:tc>
          <w:tcPr>
            <w:tcW w:w="2268" w:type="dxa"/>
            <w:shd w:val="clear" w:color="auto" w:fill="AF005F" w:themeFill="accent1"/>
          </w:tcPr>
          <w:p w14:paraId="7F506259" w14:textId="77777777" w:rsidR="00A27274" w:rsidRPr="002720E5" w:rsidRDefault="00A27274" w:rsidP="00153BCE">
            <w:pPr>
              <w:pStyle w:val="CellHead"/>
              <w:rPr>
                <w:color w:val="FFFFFF" w:themeColor="background1"/>
                <w:sz w:val="22"/>
              </w:rPr>
            </w:pPr>
            <w:r w:rsidRPr="002720E5">
              <w:rPr>
                <w:color w:val="FFFFFF" w:themeColor="background1"/>
                <w:sz w:val="22"/>
              </w:rPr>
              <w:t>Input</w:t>
            </w:r>
          </w:p>
        </w:tc>
        <w:tc>
          <w:tcPr>
            <w:tcW w:w="3969" w:type="dxa"/>
            <w:shd w:val="clear" w:color="auto" w:fill="AF005F" w:themeFill="accent1"/>
          </w:tcPr>
          <w:p w14:paraId="49D9DA5B" w14:textId="6407CE1B" w:rsidR="00A27274" w:rsidRPr="002720E5" w:rsidRDefault="00A27274" w:rsidP="00153BCE">
            <w:pPr>
              <w:pStyle w:val="CellHead"/>
              <w:rPr>
                <w:color w:val="FFFFFF" w:themeColor="background1"/>
                <w:sz w:val="22"/>
              </w:rPr>
            </w:pPr>
            <w:r w:rsidRPr="002720E5">
              <w:rPr>
                <w:color w:val="FFFFFF" w:themeColor="background1"/>
                <w:sz w:val="22"/>
              </w:rPr>
              <w:t xml:space="preserve">ISDA </w:t>
            </w:r>
            <w:r w:rsidR="00132640" w:rsidRPr="002720E5">
              <w:rPr>
                <w:color w:val="FFFFFF" w:themeColor="background1"/>
                <w:sz w:val="22"/>
              </w:rPr>
              <w:t xml:space="preserve">Averaging </w:t>
            </w:r>
            <w:r w:rsidRPr="002720E5">
              <w:rPr>
                <w:color w:val="FFFFFF" w:themeColor="background1"/>
                <w:sz w:val="22"/>
              </w:rPr>
              <w:t>with Lookback</w:t>
            </w:r>
          </w:p>
        </w:tc>
        <w:tc>
          <w:tcPr>
            <w:tcW w:w="3580" w:type="dxa"/>
            <w:shd w:val="clear" w:color="auto" w:fill="AF005F" w:themeFill="accent1"/>
          </w:tcPr>
          <w:p w14:paraId="459AAFCC" w14:textId="239EB74D" w:rsidR="00A27274" w:rsidRPr="002720E5" w:rsidRDefault="00701C26" w:rsidP="00153BCE">
            <w:pPr>
              <w:pStyle w:val="CellHead"/>
              <w:rPr>
                <w:color w:val="FFFFFF" w:themeColor="background1"/>
                <w:sz w:val="22"/>
              </w:rPr>
            </w:pPr>
            <w:r w:rsidRPr="002720E5">
              <w:rPr>
                <w:color w:val="FFFFFF" w:themeColor="background1"/>
                <w:sz w:val="22"/>
              </w:rPr>
              <w:t>Daily Simple SOFR</w:t>
            </w:r>
          </w:p>
        </w:tc>
        <w:tc>
          <w:tcPr>
            <w:tcW w:w="3161" w:type="dxa"/>
            <w:shd w:val="clear" w:color="auto" w:fill="AF005F" w:themeFill="accent1"/>
          </w:tcPr>
          <w:p w14:paraId="5A56FDAC" w14:textId="77777777" w:rsidR="00A27274" w:rsidRPr="002720E5" w:rsidRDefault="00A27274" w:rsidP="00153BCE">
            <w:pPr>
              <w:pStyle w:val="CellHead"/>
              <w:rPr>
                <w:color w:val="FFFFFF" w:themeColor="background1"/>
                <w:sz w:val="22"/>
              </w:rPr>
            </w:pPr>
            <w:r w:rsidRPr="002720E5">
              <w:rPr>
                <w:color w:val="FFFFFF" w:themeColor="background1"/>
                <w:sz w:val="22"/>
              </w:rPr>
              <w:t>Commentary</w:t>
            </w:r>
          </w:p>
        </w:tc>
      </w:tr>
      <w:tr w:rsidR="00A27274" w:rsidRPr="002720E5" w14:paraId="043598A7" w14:textId="77777777" w:rsidTr="00153BCE">
        <w:trPr>
          <w:trHeight w:val="20"/>
        </w:trPr>
        <w:tc>
          <w:tcPr>
            <w:tcW w:w="846" w:type="dxa"/>
          </w:tcPr>
          <w:p w14:paraId="21FC1887" w14:textId="77777777" w:rsidR="00A27274" w:rsidRPr="002720E5" w:rsidRDefault="00A27274" w:rsidP="00667FFA">
            <w:pPr>
              <w:pStyle w:val="Table1"/>
              <w:rPr>
                <w:sz w:val="22"/>
              </w:rPr>
            </w:pPr>
          </w:p>
        </w:tc>
        <w:tc>
          <w:tcPr>
            <w:tcW w:w="2268" w:type="dxa"/>
          </w:tcPr>
          <w:p w14:paraId="5F45BAE6" w14:textId="1AEAC57D" w:rsidR="00A27274" w:rsidRPr="002720E5" w:rsidRDefault="00132640" w:rsidP="00C453D6">
            <w:pPr>
              <w:pStyle w:val="CellBody"/>
              <w:rPr>
                <w:sz w:val="22"/>
              </w:rPr>
            </w:pPr>
            <w:r w:rsidRPr="002720E5">
              <w:rPr>
                <w:sz w:val="22"/>
              </w:rPr>
              <w:t>F</w:t>
            </w:r>
            <w:r w:rsidR="00A27274" w:rsidRPr="002720E5">
              <w:rPr>
                <w:sz w:val="22"/>
              </w:rPr>
              <w:t>ormula</w:t>
            </w:r>
            <w:r w:rsidR="00F34423" w:rsidRPr="002720E5">
              <w:rPr>
                <w:sz w:val="22"/>
              </w:rPr>
              <w:t>/Definition</w:t>
            </w:r>
          </w:p>
        </w:tc>
        <w:tc>
          <w:tcPr>
            <w:tcW w:w="3969" w:type="dxa"/>
          </w:tcPr>
          <w:p w14:paraId="3A8C0343" w14:textId="1B5D8BCB" w:rsidR="00A27274" w:rsidRPr="002720E5" w:rsidRDefault="00A27274" w:rsidP="00C453D6">
            <w:pPr>
              <w:pStyle w:val="CellBody"/>
              <w:rPr>
                <w:sz w:val="22"/>
              </w:rPr>
            </w:pPr>
          </w:p>
          <w:p w14:paraId="064B5731" w14:textId="77777777" w:rsidR="001B2E01" w:rsidRPr="002720E5" w:rsidRDefault="008922F1" w:rsidP="001B2E01">
            <w:pPr>
              <w:spacing w:after="120"/>
              <w:ind w:left="1361"/>
              <w:jc w:val="both"/>
              <w:rPr>
                <w:rFonts w:eastAsia="Meiryo UI" w:cs="Times New Roman"/>
                <w:bCs/>
                <w:iCs/>
                <w:sz w:val="22"/>
                <w:lang w:eastAsia="ja-JP"/>
              </w:rPr>
            </w:pPr>
            <m:oMathPara>
              <m:oMathParaPr>
                <m:jc m:val="left"/>
              </m:oMathParaPr>
              <m:oMath>
                <m:d>
                  <m:dPr>
                    <m:begChr m:val="["/>
                    <m:endChr m:val="]"/>
                    <m:ctrlPr>
                      <w:rPr>
                        <w:rFonts w:ascii="Cambria Math" w:eastAsia="Meiryo UI" w:hAnsi="Cambria Math" w:cs="Times New Roman"/>
                        <w:bCs/>
                        <w:i/>
                        <w:iCs/>
                        <w:sz w:val="22"/>
                        <w:lang w:eastAsia="ja-JP"/>
                      </w:rPr>
                    </m:ctrlPr>
                  </m:dPr>
                  <m:e>
                    <m:nary>
                      <m:naryPr>
                        <m:chr m:val="∑"/>
                        <m:limLoc m:val="subSup"/>
                        <m:ctrlPr>
                          <w:rPr>
                            <w:rFonts w:ascii="Cambria Math" w:eastAsia="Meiryo UI" w:hAnsi="Cambria Math" w:cs="Times New Roman"/>
                            <w:bCs/>
                            <w:sz w:val="22"/>
                            <w:lang w:eastAsia="ja-JP"/>
                          </w:rPr>
                        </m:ctrlPr>
                      </m:naryPr>
                      <m:sub>
                        <m:r>
                          <m:rPr>
                            <m:sty m:val="p"/>
                          </m:rPr>
                          <w:rPr>
                            <w:rFonts w:ascii="Cambria Math" w:eastAsia="Meiryo UI" w:hAnsi="Cambria Math" w:cs="Times New Roman"/>
                            <w:sz w:val="22"/>
                            <w:lang w:eastAsia="ja-JP"/>
                          </w:rPr>
                          <m:t>i=1</m:t>
                        </m:r>
                      </m:sub>
                      <m:sup>
                        <m:r>
                          <m:rPr>
                            <m:sty m:val="p"/>
                          </m:rPr>
                          <w:rPr>
                            <w:rFonts w:ascii="Cambria Math" w:eastAsia="Meiryo UI" w:hAnsi="Cambria Math" w:cs="Times New Roman"/>
                            <w:sz w:val="22"/>
                            <w:lang w:eastAsia="ja-JP"/>
                          </w:rPr>
                          <m:t>i=</m:t>
                        </m:r>
                        <m:sSub>
                          <m:sSubPr>
                            <m:ctrlPr>
                              <w:rPr>
                                <w:rFonts w:ascii="Cambria Math" w:eastAsia="Meiryo UI" w:hAnsi="Cambria Math" w:cs="Times New Roman"/>
                                <w:bCs/>
                                <w:sz w:val="22"/>
                                <w:lang w:eastAsia="ja-JP"/>
                              </w:rPr>
                            </m:ctrlPr>
                          </m:sSubPr>
                          <m:e>
                            <m:r>
                              <m:rPr>
                                <m:sty m:val="p"/>
                              </m:rPr>
                              <w:rPr>
                                <w:rFonts w:ascii="Cambria Math" w:eastAsia="Meiryo UI" w:hAnsi="Cambria Math" w:cs="Times New Roman"/>
                                <w:sz w:val="22"/>
                                <w:lang w:eastAsia="ja-JP"/>
                              </w:rPr>
                              <m:t>d</m:t>
                            </m:r>
                          </m:e>
                          <m:sub>
                            <m:r>
                              <m:rPr>
                                <m:sty m:val="p"/>
                              </m:rPr>
                              <w:rPr>
                                <w:rFonts w:ascii="Cambria Math" w:eastAsia="Meiryo UI" w:hAnsi="Cambria Math" w:cs="Times New Roman"/>
                                <w:sz w:val="22"/>
                                <w:lang w:eastAsia="ja-JP"/>
                              </w:rPr>
                              <m:t>0</m:t>
                            </m:r>
                          </m:sub>
                        </m:sSub>
                      </m:sup>
                      <m:e>
                        <m:sSub>
                          <m:sSubPr>
                            <m:ctrlPr>
                              <w:rPr>
                                <w:rFonts w:ascii="Cambria Math" w:eastAsia="Meiryo UI" w:hAnsi="Cambria Math" w:cs="Times New Roman"/>
                                <w:bCs/>
                                <w:sz w:val="22"/>
                                <w:lang w:eastAsia="ja-JP"/>
                              </w:rPr>
                            </m:ctrlPr>
                          </m:sSubPr>
                          <m:e>
                            <m:r>
                              <m:rPr>
                                <m:sty m:val="p"/>
                              </m:rPr>
                              <w:rPr>
                                <w:rFonts w:ascii="Cambria Math" w:eastAsia="Meiryo UI" w:hAnsi="Cambria Math" w:cs="Times New Roman"/>
                                <w:sz w:val="22"/>
                                <w:lang w:eastAsia="ja-JP"/>
                              </w:rPr>
                              <m:t>Benchmark Level</m:t>
                            </m:r>
                          </m:e>
                          <m:sub>
                            <m:r>
                              <m:rPr>
                                <m:sty m:val="p"/>
                              </m:rPr>
                              <w:rPr>
                                <w:rFonts w:ascii="Cambria Math" w:eastAsia="Meiryo UI" w:hAnsi="Cambria Math" w:cs="Times New Roman"/>
                                <w:sz w:val="22"/>
                                <w:lang w:eastAsia="ja-JP"/>
                              </w:rPr>
                              <m:t>i-r ABD</m:t>
                            </m:r>
                          </m:sub>
                        </m:sSub>
                      </m:e>
                    </m:nary>
                  </m:e>
                </m:d>
                <m:r>
                  <w:rPr>
                    <w:rFonts w:ascii="Cambria Math" w:eastAsia="Meiryo UI" w:hAnsi="Cambria Math" w:cs="Times New Roman"/>
                    <w:sz w:val="22"/>
                    <w:lang w:eastAsia="ja-JP"/>
                  </w:rPr>
                  <m:t xml:space="preserve"> ×</m:t>
                </m:r>
                <m:f>
                  <m:fPr>
                    <m:ctrlPr>
                      <w:rPr>
                        <w:rFonts w:ascii="Cambria Math" w:eastAsia="Meiryo UI" w:hAnsi="Cambria Math" w:cs="Times New Roman"/>
                        <w:bCs/>
                        <w:i/>
                        <w:iCs/>
                        <w:sz w:val="22"/>
                        <w:lang w:eastAsia="ja-JP"/>
                      </w:rPr>
                    </m:ctrlPr>
                  </m:fPr>
                  <m:num>
                    <m:r>
                      <w:rPr>
                        <w:rFonts w:ascii="Cambria Math" w:eastAsia="Meiryo UI" w:hAnsi="Cambria Math" w:cs="Times New Roman"/>
                        <w:sz w:val="22"/>
                        <w:lang w:eastAsia="ja-JP"/>
                      </w:rPr>
                      <m:t>1</m:t>
                    </m:r>
                  </m:num>
                  <m:den>
                    <m:r>
                      <w:rPr>
                        <w:rFonts w:ascii="Cambria Math" w:eastAsia="Meiryo UI" w:hAnsi="Cambria Math" w:cs="Times New Roman"/>
                        <w:sz w:val="22"/>
                        <w:lang w:eastAsia="ja-JP"/>
                      </w:rPr>
                      <m:t>d</m:t>
                    </m:r>
                  </m:den>
                </m:f>
              </m:oMath>
            </m:oMathPara>
          </w:p>
          <w:p w14:paraId="111FEAD1" w14:textId="737DC218" w:rsidR="001B2E01" w:rsidRPr="002720E5" w:rsidRDefault="001B2E01" w:rsidP="00C453D6">
            <w:pPr>
              <w:pStyle w:val="CellBody"/>
              <w:rPr>
                <w:sz w:val="22"/>
              </w:rPr>
            </w:pPr>
          </w:p>
        </w:tc>
        <w:tc>
          <w:tcPr>
            <w:tcW w:w="3580" w:type="dxa"/>
          </w:tcPr>
          <w:p w14:paraId="107FFE90" w14:textId="740DC999" w:rsidR="00701C26" w:rsidRPr="002720E5" w:rsidRDefault="00F34423" w:rsidP="00C453D6">
            <w:pPr>
              <w:pStyle w:val="CellBody"/>
              <w:rPr>
                <w:sz w:val="22"/>
              </w:rPr>
            </w:pPr>
            <m:oMath>
              <m:r>
                <m:rPr>
                  <m:sty m:val="p"/>
                </m:rPr>
                <w:rPr>
                  <w:rFonts w:ascii="Cambria Math" w:hAnsi="Cambria Math"/>
                  <w:sz w:val="22"/>
                  <w:lang w:val=""/>
                </w:rPr>
                <m:t xml:space="preserve"> </m:t>
              </m:r>
            </m:oMath>
            <w:r w:rsidR="00701C26" w:rsidRPr="002720E5">
              <w:rPr>
                <w:sz w:val="22"/>
                <w:lang w:val="en-US"/>
              </w:rPr>
              <w:t>“</w:t>
            </w:r>
            <w:r w:rsidR="00701C26" w:rsidRPr="002720E5">
              <w:rPr>
                <w:b/>
                <w:bCs/>
                <w:sz w:val="22"/>
                <w:u w:val="single"/>
                <w:lang w:val="en-US"/>
              </w:rPr>
              <w:t>Daily Simple SOFR</w:t>
            </w:r>
            <w:r w:rsidR="00701C26" w:rsidRPr="002720E5">
              <w:rPr>
                <w:sz w:val="22"/>
                <w:lang w:val="en-US"/>
              </w:rPr>
              <w:t>”</w:t>
            </w:r>
            <w:r w:rsidR="00701C26" w:rsidRPr="002720E5">
              <w:rPr>
                <w:sz w:val="22"/>
                <w:vertAlign w:val="superscript"/>
                <w:lang w:val="en-US"/>
              </w:rPr>
              <w:t xml:space="preserve"> </w:t>
            </w:r>
            <w:r w:rsidR="00701C26" w:rsidRPr="002720E5">
              <w:rPr>
                <w:sz w:val="22"/>
              </w:rPr>
              <w:t>means, for any day (a “</w:t>
            </w:r>
            <w:r w:rsidR="00701C26" w:rsidRPr="002720E5">
              <w:rPr>
                <w:sz w:val="22"/>
                <w:u w:val="single"/>
              </w:rPr>
              <w:t>SOFR Rate Day</w:t>
            </w:r>
            <w:r w:rsidR="00701C26" w:rsidRPr="002720E5">
              <w:rPr>
                <w:sz w:val="22"/>
              </w:rPr>
              <w:t xml:space="preserve">”), a rate per annum equal to the greater of (a) </w:t>
            </w:r>
            <w:r w:rsidR="00701C26" w:rsidRPr="002720E5">
              <w:rPr>
                <w:sz w:val="22"/>
                <w:lang w:val="en-US"/>
              </w:rPr>
              <w:t>SOFR for the day (such day “</w:t>
            </w:r>
            <w:r w:rsidR="00701C26" w:rsidRPr="002720E5">
              <w:rPr>
                <w:i/>
                <w:iCs/>
                <w:sz w:val="22"/>
                <w:lang w:val="en-US"/>
              </w:rPr>
              <w:t>i</w:t>
            </w:r>
            <w:r w:rsidR="00701C26" w:rsidRPr="002720E5">
              <w:rPr>
                <w:sz w:val="22"/>
                <w:lang w:val="en-US"/>
              </w:rPr>
              <w:t>”) that is</w:t>
            </w:r>
            <w:r w:rsidR="00701C26" w:rsidRPr="002720E5">
              <w:rPr>
                <w:sz w:val="22"/>
              </w:rPr>
              <w:t xml:space="preserve"> [___]U.S. Government Securities Business Days prior to (i) if such SOFR Rate Day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w:t>
            </w:r>
            <w:r w:rsidR="00701C26" w:rsidRPr="002720E5">
              <w:rPr>
                <w:sz w:val="22"/>
                <w:lang w:val="en-US"/>
              </w:rPr>
              <w:t>and (b) the Floor.</w:t>
            </w:r>
            <w:r w:rsidR="006322F1" w:rsidRPr="002720E5">
              <w:rPr>
                <w:sz w:val="22"/>
              </w:rPr>
              <w:t xml:space="preserve"> </w:t>
            </w:r>
            <w:r w:rsidR="00701C26" w:rsidRPr="002720E5">
              <w:rPr>
                <w:sz w:val="22"/>
              </w:rPr>
              <w:t xml:space="preserve">If by 5:00 pm (New York City </w:t>
            </w:r>
            <w:r w:rsidR="00701C26" w:rsidRPr="002720E5">
              <w:rPr>
                <w:sz w:val="22"/>
              </w:rPr>
              <w:lastRenderedPageBreak/>
              <w:t>time) on the second (2</w:t>
            </w:r>
            <w:r w:rsidR="00701C26" w:rsidRPr="002720E5">
              <w:rPr>
                <w:sz w:val="22"/>
                <w:vertAlign w:val="superscript"/>
              </w:rPr>
              <w:t>nd</w:t>
            </w:r>
            <w:r w:rsidR="00701C26" w:rsidRPr="002720E5">
              <w:rPr>
                <w:sz w:val="22"/>
              </w:rPr>
              <w:t>) U.S. Government Securities Business Day immediately following any day “</w:t>
            </w:r>
            <w:r w:rsidR="00701C26" w:rsidRPr="002720E5">
              <w:rPr>
                <w:i/>
                <w:iCs/>
                <w:sz w:val="22"/>
              </w:rPr>
              <w:t>i</w:t>
            </w:r>
            <w:r w:rsidR="00701C26" w:rsidRPr="002720E5">
              <w:rPr>
                <w:sz w:val="22"/>
              </w:rPr>
              <w:t>”, the SOFR in respect of such day “</w:t>
            </w:r>
            <w:r w:rsidR="00701C26" w:rsidRPr="002720E5">
              <w:rPr>
                <w:i/>
                <w:iCs/>
                <w:sz w:val="22"/>
              </w:rPr>
              <w:t>i</w:t>
            </w:r>
            <w:r w:rsidR="00701C26" w:rsidRPr="002720E5">
              <w:rPr>
                <w:sz w:val="22"/>
              </w:rPr>
              <w:t>” has not been published on the SOFR Administrator’s Website and a Benchmark Replacement Date with respect to the Daily Simple SOFR has not occurred, then the SOFR for such day “</w:t>
            </w:r>
            <w:r w:rsidR="00701C26" w:rsidRPr="002720E5">
              <w:rPr>
                <w:i/>
                <w:iCs/>
                <w:sz w:val="22"/>
              </w:rPr>
              <w:t>i</w:t>
            </w:r>
            <w:r w:rsidR="00701C26" w:rsidRPr="002720E5">
              <w:rPr>
                <w:sz w:val="22"/>
              </w:rPr>
              <w:t xml:space="preserve">” will be the SOFR as published in respect of the first preceding U.S. Government Securities Business Day for which such SOFR was published on the SOFR Administrator’s Website; </w:t>
            </w:r>
            <w:r w:rsidR="00701C26" w:rsidRPr="002720E5">
              <w:rPr>
                <w:sz w:val="22"/>
                <w:u w:val="single"/>
              </w:rPr>
              <w:t>provided</w:t>
            </w:r>
            <w:r w:rsidR="00701C26" w:rsidRPr="002720E5">
              <w:rPr>
                <w:sz w:val="22"/>
              </w:rPr>
              <w:t xml:space="preserve"> that any SOFR determined pursuant to this sentence shall be utilized for purposes of calculation of Daily Simple SOFR for no more than [three (3)] consecutive SOFR Rate Days.</w:t>
            </w:r>
            <w:r w:rsidR="006322F1" w:rsidRPr="002720E5">
              <w:rPr>
                <w:sz w:val="22"/>
              </w:rPr>
              <w:t xml:space="preserve"> </w:t>
            </w:r>
            <w:r w:rsidR="00701C26" w:rsidRPr="002720E5">
              <w:rPr>
                <w:sz w:val="22"/>
                <w:lang w:val="en-US"/>
              </w:rPr>
              <w:t>Any change in Daily Simple SOFR due to a change in SOFR shall be effective from and including the effective date of such change in SOFR</w:t>
            </w:r>
            <w:r w:rsidR="00701C26" w:rsidRPr="002720E5">
              <w:rPr>
                <w:sz w:val="22"/>
              </w:rPr>
              <w:t xml:space="preserve"> without notice to the Borrower.</w:t>
            </w:r>
          </w:p>
        </w:tc>
        <w:tc>
          <w:tcPr>
            <w:tcW w:w="3161" w:type="dxa"/>
          </w:tcPr>
          <w:p w14:paraId="19559B5A" w14:textId="1578EA47" w:rsidR="003B4589" w:rsidRPr="002720E5" w:rsidRDefault="003B4589" w:rsidP="00C453D6">
            <w:pPr>
              <w:pStyle w:val="CellBody"/>
              <w:rPr>
                <w:sz w:val="22"/>
              </w:rPr>
            </w:pPr>
            <w:r w:rsidRPr="002720E5">
              <w:rPr>
                <w:sz w:val="22"/>
              </w:rPr>
              <w:lastRenderedPageBreak/>
              <w:t xml:space="preserve">Please see an explanation below of the various inputs in </w:t>
            </w:r>
            <w:r w:rsidR="00F34423" w:rsidRPr="002720E5">
              <w:rPr>
                <w:sz w:val="22"/>
              </w:rPr>
              <w:t>this formula and definition.</w:t>
            </w:r>
            <w:r w:rsidRPr="002720E5">
              <w:rPr>
                <w:sz w:val="22"/>
              </w:rPr>
              <w:t xml:space="preserve"> </w:t>
            </w:r>
          </w:p>
        </w:tc>
      </w:tr>
      <w:tr w:rsidR="00A27274" w:rsidRPr="002720E5" w14:paraId="75AD23A1" w14:textId="77777777" w:rsidTr="00153BCE">
        <w:trPr>
          <w:trHeight w:val="20"/>
        </w:trPr>
        <w:tc>
          <w:tcPr>
            <w:tcW w:w="846" w:type="dxa"/>
          </w:tcPr>
          <w:p w14:paraId="172DE0B0" w14:textId="77777777" w:rsidR="00A27274" w:rsidRPr="002720E5" w:rsidRDefault="00A27274" w:rsidP="00667FFA">
            <w:pPr>
              <w:pStyle w:val="Table1"/>
              <w:rPr>
                <w:sz w:val="22"/>
                <w:lang w:eastAsia="ja-JP"/>
              </w:rPr>
            </w:pPr>
          </w:p>
        </w:tc>
        <w:tc>
          <w:tcPr>
            <w:tcW w:w="2268" w:type="dxa"/>
          </w:tcPr>
          <w:p w14:paraId="5611853F" w14:textId="77777777" w:rsidR="00A27274" w:rsidRPr="002720E5" w:rsidRDefault="00A27274" w:rsidP="00C453D6">
            <w:pPr>
              <w:pStyle w:val="CellBody"/>
              <w:rPr>
                <w:sz w:val="22"/>
              </w:rPr>
            </w:pPr>
            <w:r w:rsidRPr="002720E5">
              <w:rPr>
                <w:sz w:val="22"/>
              </w:rPr>
              <w:t>d</w:t>
            </w:r>
            <w:r w:rsidRPr="002720E5">
              <w:rPr>
                <w:sz w:val="22"/>
                <w:vertAlign w:val="subscript"/>
              </w:rPr>
              <w:t>0</w:t>
            </w:r>
          </w:p>
        </w:tc>
        <w:tc>
          <w:tcPr>
            <w:tcW w:w="3969" w:type="dxa"/>
          </w:tcPr>
          <w:p w14:paraId="79319C66" w14:textId="5AC0718B" w:rsidR="00A27274" w:rsidRPr="002720E5" w:rsidRDefault="00A27274" w:rsidP="00C453D6">
            <w:pPr>
              <w:pStyle w:val="CellBody"/>
              <w:rPr>
                <w:sz w:val="22"/>
              </w:rPr>
            </w:pPr>
            <w:r w:rsidRPr="002720E5">
              <w:rPr>
                <w:sz w:val="22"/>
              </w:rPr>
              <w:t>“</w:t>
            </w:r>
            <w:r w:rsidRPr="002720E5">
              <w:rPr>
                <w:b/>
                <w:sz w:val="22"/>
              </w:rPr>
              <w:t>d</w:t>
            </w:r>
            <w:r w:rsidRPr="002720E5">
              <w:rPr>
                <w:b/>
                <w:sz w:val="22"/>
                <w:vertAlign w:val="subscript"/>
              </w:rPr>
              <w:t>0</w:t>
            </w:r>
            <w:r w:rsidRPr="002720E5">
              <w:rPr>
                <w:sz w:val="22"/>
              </w:rPr>
              <w:t xml:space="preserve">” for any Calculation Period, is the number of </w:t>
            </w:r>
            <w:r w:rsidR="001B2E01" w:rsidRPr="002720E5">
              <w:rPr>
                <w:sz w:val="22"/>
              </w:rPr>
              <w:t>calendar days in that Calculation Period</w:t>
            </w:r>
            <w:r w:rsidRPr="002720E5">
              <w:rPr>
                <w:sz w:val="22"/>
              </w:rPr>
              <w:t xml:space="preserve">. </w:t>
            </w:r>
          </w:p>
        </w:tc>
        <w:tc>
          <w:tcPr>
            <w:tcW w:w="3580" w:type="dxa"/>
          </w:tcPr>
          <w:p w14:paraId="7F49DF13" w14:textId="41F88696" w:rsidR="00A27274" w:rsidRPr="002720E5" w:rsidRDefault="00826ED4" w:rsidP="00701C26">
            <w:pPr>
              <w:pStyle w:val="BodyText"/>
              <w:spacing w:after="0" w:line="290" w:lineRule="auto"/>
              <w:rPr>
                <w:rFonts w:cs="Times New Roman"/>
                <w:sz w:val="22"/>
              </w:rPr>
            </w:pPr>
            <w:r w:rsidRPr="002720E5">
              <w:rPr>
                <w:rFonts w:cs="Times New Roman"/>
                <w:sz w:val="22"/>
              </w:rPr>
              <w:t>N/A</w:t>
            </w:r>
          </w:p>
          <w:p w14:paraId="4FFFDD01" w14:textId="77777777" w:rsidR="00A27274" w:rsidRPr="002720E5" w:rsidRDefault="00A27274" w:rsidP="00C453D6">
            <w:pPr>
              <w:pStyle w:val="CellBody"/>
              <w:rPr>
                <w:sz w:val="22"/>
              </w:rPr>
            </w:pPr>
          </w:p>
        </w:tc>
        <w:tc>
          <w:tcPr>
            <w:tcW w:w="3161" w:type="dxa"/>
          </w:tcPr>
          <w:p w14:paraId="25CE4801" w14:textId="4361C3E9" w:rsidR="00DA20BB" w:rsidRPr="002720E5" w:rsidRDefault="00F34423" w:rsidP="00C453D6">
            <w:pPr>
              <w:pStyle w:val="CellBody"/>
              <w:rPr>
                <w:sz w:val="22"/>
              </w:rPr>
            </w:pPr>
            <w:r w:rsidRPr="002720E5">
              <w:rPr>
                <w:sz w:val="22"/>
              </w:rPr>
              <w:t>Although the definition of</w:t>
            </w:r>
            <w:r w:rsidR="00267644" w:rsidRPr="002720E5">
              <w:rPr>
                <w:sz w:val="22"/>
              </w:rPr>
              <w:t xml:space="preserve"> “Daily Simple SOFR” in the LSTA SOFR CCA</w:t>
            </w:r>
            <w:r w:rsidRPr="002720E5">
              <w:rPr>
                <w:sz w:val="22"/>
              </w:rPr>
              <w:t xml:space="preserve"> applies </w:t>
            </w:r>
            <w:proofErr w:type="gramStart"/>
            <w:r w:rsidRPr="002720E5">
              <w:rPr>
                <w:sz w:val="22"/>
              </w:rPr>
              <w:t>on a daily basis</w:t>
            </w:r>
            <w:proofErr w:type="gramEnd"/>
            <w:r w:rsidRPr="002720E5">
              <w:rPr>
                <w:sz w:val="22"/>
              </w:rPr>
              <w:t xml:space="preserve"> and therefore does not include an input similar to </w:t>
            </w:r>
            <w:r w:rsidRPr="002720E5">
              <w:rPr>
                <w:rFonts w:eastAsia="Meiryo UI"/>
                <w:sz w:val="22"/>
              </w:rPr>
              <w:t>d</w:t>
            </w:r>
            <w:r w:rsidRPr="002720E5">
              <w:rPr>
                <w:rFonts w:eastAsia="Meiryo UI"/>
                <w:sz w:val="22"/>
                <w:vertAlign w:val="subscript"/>
              </w:rPr>
              <w:t>0</w:t>
            </w:r>
            <w:r w:rsidRPr="002720E5">
              <w:rPr>
                <w:sz w:val="22"/>
              </w:rPr>
              <w:t xml:space="preserve"> in the ISDA Averaging with Lookback formula</w:t>
            </w:r>
            <w:r w:rsidR="00DA20BB" w:rsidRPr="002720E5">
              <w:rPr>
                <w:sz w:val="22"/>
              </w:rPr>
              <w:t>, there should be no economic consequences of this difference</w:t>
            </w:r>
            <w:r w:rsidRPr="002720E5">
              <w:rPr>
                <w:sz w:val="22"/>
              </w:rPr>
              <w:t xml:space="preserve"> provided that the Period End Dates under the swap match the (fixed) Interest Payment Dates under the loan (see row 4 below) and there is no prepayment under the loan.</w:t>
            </w:r>
          </w:p>
        </w:tc>
      </w:tr>
      <w:tr w:rsidR="00A27274" w:rsidRPr="002720E5" w14:paraId="60194345" w14:textId="77777777" w:rsidTr="00153BCE">
        <w:trPr>
          <w:trHeight w:val="20"/>
        </w:trPr>
        <w:tc>
          <w:tcPr>
            <w:tcW w:w="846" w:type="dxa"/>
          </w:tcPr>
          <w:p w14:paraId="0E3CCC74" w14:textId="77777777" w:rsidR="00A27274" w:rsidRPr="002720E5" w:rsidRDefault="00A27274" w:rsidP="00667FFA">
            <w:pPr>
              <w:pStyle w:val="Table1"/>
              <w:rPr>
                <w:sz w:val="22"/>
                <w:lang w:eastAsia="ja-JP"/>
              </w:rPr>
            </w:pPr>
          </w:p>
        </w:tc>
        <w:tc>
          <w:tcPr>
            <w:tcW w:w="2268" w:type="dxa"/>
          </w:tcPr>
          <w:p w14:paraId="4D7C4672" w14:textId="569AA63A" w:rsidR="00A27274" w:rsidRPr="002720E5" w:rsidRDefault="00A27274" w:rsidP="00C453D6">
            <w:pPr>
              <w:pStyle w:val="CellBody"/>
              <w:rPr>
                <w:sz w:val="22"/>
              </w:rPr>
            </w:pPr>
            <w:r w:rsidRPr="002720E5">
              <w:rPr>
                <w:sz w:val="22"/>
              </w:rPr>
              <w:t>Applicable Business Day</w:t>
            </w:r>
          </w:p>
        </w:tc>
        <w:tc>
          <w:tcPr>
            <w:tcW w:w="3969" w:type="dxa"/>
          </w:tcPr>
          <w:p w14:paraId="3333D308" w14:textId="77777777" w:rsidR="00F34423" w:rsidRPr="002720E5" w:rsidRDefault="00A27274" w:rsidP="00C453D6">
            <w:pPr>
              <w:pStyle w:val="CellBody"/>
              <w:rPr>
                <w:sz w:val="22"/>
              </w:rPr>
            </w:pPr>
            <w:r w:rsidRPr="002720E5">
              <w:rPr>
                <w:sz w:val="22"/>
              </w:rPr>
              <w:t xml:space="preserve">“Applicable Business Day” means, in respect of a Floating Rate Option, any day that is a Business Day, Banking Day or other relevant day that applies, or is specified as such, for the purposes of the determination of the Relevant Rate pursuant to such Floating Rate Option or, in the absence of any such specified Business Day, Banking Day or other relevant day, a Business Day in the principal financial </w:t>
            </w:r>
            <w:proofErr w:type="spellStart"/>
            <w:r w:rsidRPr="002720E5">
              <w:rPr>
                <w:sz w:val="22"/>
              </w:rPr>
              <w:t>center</w:t>
            </w:r>
            <w:proofErr w:type="spellEnd"/>
            <w:r w:rsidRPr="002720E5">
              <w:rPr>
                <w:sz w:val="22"/>
              </w:rPr>
              <w:t xml:space="preserve"> for the relevant currency of the Floating Rate Option.</w:t>
            </w:r>
          </w:p>
          <w:p w14:paraId="33A7681E" w14:textId="75441A4F" w:rsidR="00F34423" w:rsidRPr="002720E5" w:rsidRDefault="00F34423" w:rsidP="00C453D6">
            <w:pPr>
              <w:pStyle w:val="CellBody"/>
              <w:rPr>
                <w:sz w:val="22"/>
              </w:rPr>
            </w:pPr>
            <w:r w:rsidRPr="002720E5">
              <w:rPr>
                <w:sz w:val="22"/>
              </w:rPr>
              <w:lastRenderedPageBreak/>
              <w:t>SOFR Fixing Day is defined in the USD-SOFR Floating Rate Option in the 2006 ISDA Definitions as meaning “in respect of SOFR and a Reset Date, the U.S. Government Securities Business Day immediately following that day (or any amended publication day for SOFR as specified by the administrator of SOFR in the SOFR benchmark methodology)”.</w:t>
            </w:r>
          </w:p>
        </w:tc>
        <w:tc>
          <w:tcPr>
            <w:tcW w:w="3580" w:type="dxa"/>
          </w:tcPr>
          <w:p w14:paraId="38522589" w14:textId="2A39F72A" w:rsidR="00A27274" w:rsidRPr="002720E5" w:rsidRDefault="00826ED4" w:rsidP="00701C26">
            <w:pPr>
              <w:pStyle w:val="BodyText"/>
              <w:spacing w:after="0" w:line="290" w:lineRule="auto"/>
              <w:rPr>
                <w:rFonts w:eastAsia="Meiryo UI" w:cs="Times New Roman"/>
                <w:bCs/>
                <w:iCs/>
                <w:kern w:val="20"/>
                <w:sz w:val="22"/>
                <w:lang w:eastAsia="ja-JP"/>
              </w:rPr>
            </w:pPr>
            <w:r w:rsidRPr="002720E5">
              <w:rPr>
                <w:rFonts w:eastAsia="Meiryo UI" w:cs="Times New Roman"/>
                <w:bCs/>
                <w:iCs/>
                <w:kern w:val="20"/>
                <w:sz w:val="22"/>
                <w:lang w:eastAsia="ja-JP"/>
              </w:rPr>
              <w:lastRenderedPageBreak/>
              <w:t>The definition of “Daily Simple SOFR” refers to U.S. Government Securities Business Days.</w:t>
            </w:r>
          </w:p>
        </w:tc>
        <w:tc>
          <w:tcPr>
            <w:tcW w:w="3161" w:type="dxa"/>
          </w:tcPr>
          <w:p w14:paraId="4276BC0E" w14:textId="43F8688D" w:rsidR="00A27274" w:rsidRPr="002720E5" w:rsidRDefault="00F34423" w:rsidP="00C453D6">
            <w:pPr>
              <w:pStyle w:val="CellBody"/>
              <w:rPr>
                <w:sz w:val="22"/>
              </w:rPr>
            </w:pPr>
            <w:r w:rsidRPr="002720E5">
              <w:rPr>
                <w:sz w:val="22"/>
              </w:rPr>
              <w:t>These inputs match a</w:t>
            </w:r>
            <w:r w:rsidR="00FE5B61" w:rsidRPr="002720E5">
              <w:rPr>
                <w:sz w:val="22"/>
              </w:rPr>
              <w:t>s the definition of “Daily Simple SOFR”</w:t>
            </w:r>
            <w:r w:rsidR="00267644" w:rsidRPr="002720E5">
              <w:rPr>
                <w:sz w:val="22"/>
              </w:rPr>
              <w:t xml:space="preserve"> in the LSTA SOFR CCA</w:t>
            </w:r>
            <w:r w:rsidR="00A27274" w:rsidRPr="002720E5">
              <w:rPr>
                <w:sz w:val="22"/>
              </w:rPr>
              <w:t xml:space="preserve"> </w:t>
            </w:r>
            <w:r w:rsidR="00FE5B61" w:rsidRPr="002720E5">
              <w:rPr>
                <w:sz w:val="22"/>
              </w:rPr>
              <w:t xml:space="preserve">refers to U.S. Government Securities Business Days, </w:t>
            </w:r>
            <w:r w:rsidRPr="002720E5">
              <w:rPr>
                <w:sz w:val="22"/>
              </w:rPr>
              <w:t xml:space="preserve">which </w:t>
            </w:r>
            <w:r w:rsidR="00A27274" w:rsidRPr="002720E5">
              <w:rPr>
                <w:sz w:val="22"/>
              </w:rPr>
              <w:t xml:space="preserve">matches the Applicable Business Day for the </w:t>
            </w:r>
            <w:r w:rsidRPr="002720E5">
              <w:rPr>
                <w:sz w:val="22"/>
              </w:rPr>
              <w:t xml:space="preserve">USD-SOFR </w:t>
            </w:r>
            <w:r w:rsidR="00A27274" w:rsidRPr="002720E5">
              <w:rPr>
                <w:sz w:val="22"/>
              </w:rPr>
              <w:t>Floating Rate Option.</w:t>
            </w:r>
          </w:p>
        </w:tc>
      </w:tr>
      <w:tr w:rsidR="00A27274" w:rsidRPr="002720E5" w14:paraId="282D0C69" w14:textId="77777777" w:rsidTr="00153BCE">
        <w:trPr>
          <w:trHeight w:val="20"/>
        </w:trPr>
        <w:tc>
          <w:tcPr>
            <w:tcW w:w="846" w:type="dxa"/>
          </w:tcPr>
          <w:p w14:paraId="44369445" w14:textId="77777777" w:rsidR="00A27274" w:rsidRPr="002720E5" w:rsidRDefault="00A27274" w:rsidP="00667FFA">
            <w:pPr>
              <w:pStyle w:val="Table1"/>
              <w:rPr>
                <w:sz w:val="22"/>
              </w:rPr>
            </w:pPr>
          </w:p>
        </w:tc>
        <w:tc>
          <w:tcPr>
            <w:tcW w:w="2268" w:type="dxa"/>
          </w:tcPr>
          <w:p w14:paraId="7CE2EB9C" w14:textId="76DF20C5" w:rsidR="00A27274" w:rsidRPr="002720E5" w:rsidRDefault="00F34423" w:rsidP="00C453D6">
            <w:pPr>
              <w:pStyle w:val="CellBody"/>
              <w:rPr>
                <w:sz w:val="22"/>
              </w:rPr>
            </w:pPr>
            <w:r w:rsidRPr="002720E5">
              <w:rPr>
                <w:sz w:val="22"/>
              </w:rPr>
              <w:t>Period End Dates</w:t>
            </w:r>
            <w:r w:rsidR="00A27274" w:rsidRPr="002720E5">
              <w:rPr>
                <w:sz w:val="22"/>
              </w:rPr>
              <w:t xml:space="preserve">/Interest </w:t>
            </w:r>
            <w:r w:rsidRPr="002720E5">
              <w:rPr>
                <w:sz w:val="22"/>
              </w:rPr>
              <w:t>Payment Dates</w:t>
            </w:r>
          </w:p>
        </w:tc>
        <w:tc>
          <w:tcPr>
            <w:tcW w:w="3969" w:type="dxa"/>
          </w:tcPr>
          <w:p w14:paraId="2875C9FE" w14:textId="77777777" w:rsidR="00A27274" w:rsidRPr="002720E5" w:rsidRDefault="00A27274" w:rsidP="00C453D6">
            <w:pPr>
              <w:pStyle w:val="CellBody"/>
              <w:rPr>
                <w:rFonts w:eastAsia="Meiryo UI"/>
                <w:bCs/>
                <w:iCs/>
                <w:sz w:val="22"/>
              </w:rPr>
            </w:pPr>
            <w:r w:rsidRPr="002720E5">
              <w:rPr>
                <w:sz w:val="22"/>
              </w:rPr>
              <w:t>“</w:t>
            </w:r>
            <w:r w:rsidRPr="002720E5">
              <w:rPr>
                <w:b/>
                <w:bCs/>
                <w:sz w:val="22"/>
              </w:rPr>
              <w:t>Calculation Period</w:t>
            </w:r>
            <w:r w:rsidRPr="002720E5">
              <w:rPr>
                <w:sz w:val="22"/>
              </w:rPr>
              <w:t xml:space="preserve">” means, in respect of a Swap Transaction and a party, each period from, and including, one Period End Date of that party to, but excluding, the next following applicable Period End Date during the Term of the Swap Transaction, except that (a) the initial Calculation Period for the party will commence on, and </w:t>
            </w:r>
            <w:proofErr w:type="gramStart"/>
            <w:r w:rsidRPr="002720E5">
              <w:rPr>
                <w:sz w:val="22"/>
              </w:rPr>
              <w:t>include,</w:t>
            </w:r>
            <w:proofErr w:type="gramEnd"/>
            <w:r w:rsidRPr="002720E5">
              <w:rPr>
                <w:sz w:val="22"/>
              </w:rPr>
              <w:t xml:space="preserve"> the Effective Date and (b) the final Calculation Period for the party will end on, but exclude, the Termination Date.</w:t>
            </w:r>
          </w:p>
        </w:tc>
        <w:tc>
          <w:tcPr>
            <w:tcW w:w="3580" w:type="dxa"/>
          </w:tcPr>
          <w:p w14:paraId="73569FDB" w14:textId="5D27DF44" w:rsidR="00A27274" w:rsidRPr="002720E5" w:rsidRDefault="007173CE" w:rsidP="002720E5">
            <w:pPr>
              <w:pStyle w:val="BodyText"/>
              <w:spacing w:line="290" w:lineRule="auto"/>
              <w:jc w:val="both"/>
              <w:rPr>
                <w:rFonts w:cs="Times New Roman"/>
                <w:sz w:val="22"/>
              </w:rPr>
            </w:pPr>
            <w:r w:rsidRPr="002720E5">
              <w:rPr>
                <w:rFonts w:cs="Times New Roman"/>
                <w:sz w:val="22"/>
              </w:rPr>
              <w:t xml:space="preserve">The </w:t>
            </w:r>
            <w:r w:rsidR="00405BFE" w:rsidRPr="002720E5">
              <w:rPr>
                <w:rFonts w:cs="Times New Roman"/>
                <w:sz w:val="22"/>
              </w:rPr>
              <w:t>Alternative 1</w:t>
            </w:r>
            <w:r w:rsidRPr="002720E5">
              <w:rPr>
                <w:rFonts w:cs="Times New Roman"/>
                <w:sz w:val="22"/>
              </w:rPr>
              <w:t xml:space="preserve"> drafting proposed by the LSTA for</w:t>
            </w:r>
            <w:r w:rsidR="006322F1" w:rsidRPr="002720E5">
              <w:rPr>
                <w:rFonts w:cs="Times New Roman"/>
                <w:sz w:val="22"/>
              </w:rPr>
              <w:t xml:space="preserve"> </w:t>
            </w:r>
            <w:r w:rsidRPr="002720E5">
              <w:rPr>
                <w:rFonts w:cs="Times New Roman"/>
                <w:sz w:val="22"/>
              </w:rPr>
              <w:t>“</w:t>
            </w:r>
            <w:r w:rsidRPr="002720E5">
              <w:rPr>
                <w:rFonts w:cs="Times New Roman"/>
                <w:b/>
                <w:bCs/>
                <w:sz w:val="22"/>
              </w:rPr>
              <w:t>Interest Payment Date</w:t>
            </w:r>
            <w:r w:rsidRPr="002720E5">
              <w:rPr>
                <w:rFonts w:cs="Times New Roman"/>
                <w:sz w:val="22"/>
              </w:rPr>
              <w:t xml:space="preserve">” is “…the last Business Day of each [March, June, September and </w:t>
            </w:r>
            <w:proofErr w:type="gramStart"/>
            <w:r w:rsidRPr="002720E5">
              <w:rPr>
                <w:rFonts w:cs="Times New Roman"/>
                <w:sz w:val="22"/>
              </w:rPr>
              <w:t>December][</w:t>
            </w:r>
            <w:proofErr w:type="gramEnd"/>
            <w:r w:rsidRPr="002720E5">
              <w:rPr>
                <w:rFonts w:cs="Times New Roman"/>
                <w:sz w:val="22"/>
              </w:rPr>
              <w:t xml:space="preserve">calendar month] and the Maturity Date..”. </w:t>
            </w:r>
          </w:p>
        </w:tc>
        <w:tc>
          <w:tcPr>
            <w:tcW w:w="3161" w:type="dxa"/>
          </w:tcPr>
          <w:p w14:paraId="79C225B2" w14:textId="271329CF" w:rsidR="00A27274" w:rsidRPr="002720E5" w:rsidRDefault="00A27274" w:rsidP="00C453D6">
            <w:pPr>
              <w:pStyle w:val="CellBody"/>
              <w:rPr>
                <w:b/>
                <w:bCs/>
                <w:i/>
                <w:iCs/>
                <w:sz w:val="22"/>
              </w:rPr>
            </w:pPr>
            <w:r w:rsidRPr="002720E5">
              <w:rPr>
                <w:sz w:val="22"/>
              </w:rPr>
              <w:t xml:space="preserve">When specifying Period End Dates, parties should ensure </w:t>
            </w:r>
            <w:proofErr w:type="gramStart"/>
            <w:r w:rsidR="00F34423" w:rsidRPr="002720E5">
              <w:rPr>
                <w:sz w:val="22"/>
              </w:rPr>
              <w:t>these match</w:t>
            </w:r>
            <w:proofErr w:type="gramEnd"/>
            <w:r w:rsidR="007173CE" w:rsidRPr="002720E5">
              <w:rPr>
                <w:sz w:val="22"/>
              </w:rPr>
              <w:t xml:space="preserve"> the Interest Payment Dates in the </w:t>
            </w:r>
            <w:r w:rsidR="006322F1" w:rsidRPr="002720E5">
              <w:rPr>
                <w:sz w:val="22"/>
              </w:rPr>
              <w:t>credit agreement</w:t>
            </w:r>
            <w:r w:rsidRPr="002720E5">
              <w:rPr>
                <w:sz w:val="22"/>
              </w:rPr>
              <w:t xml:space="preserve">. </w:t>
            </w:r>
            <w:r w:rsidR="003C7654" w:rsidRPr="002720E5">
              <w:rPr>
                <w:sz w:val="22"/>
              </w:rPr>
              <w:t xml:space="preserve">The annotated Confirmation and this comparison table assume that parties chose only Alternative 1 drafting </w:t>
            </w:r>
            <w:r w:rsidR="00D958D3" w:rsidRPr="002720E5">
              <w:rPr>
                <w:sz w:val="22"/>
              </w:rPr>
              <w:t>for the “Interest Payment Date”</w:t>
            </w:r>
            <w:r w:rsidR="003C7654" w:rsidRPr="002720E5">
              <w:rPr>
                <w:sz w:val="22"/>
              </w:rPr>
              <w:t xml:space="preserve"> and include the suggested</w:t>
            </w:r>
            <w:r w:rsidR="00D958D3" w:rsidRPr="002720E5">
              <w:rPr>
                <w:sz w:val="22"/>
              </w:rPr>
              <w:t xml:space="preserve"> language in the </w:t>
            </w:r>
            <w:r w:rsidR="003C7654" w:rsidRPr="002720E5">
              <w:rPr>
                <w:sz w:val="22"/>
              </w:rPr>
              <w:t xml:space="preserve">annotated </w:t>
            </w:r>
            <w:r w:rsidR="00D958D3" w:rsidRPr="002720E5">
              <w:rPr>
                <w:sz w:val="22"/>
              </w:rPr>
              <w:t xml:space="preserve">Confirmation </w:t>
            </w:r>
            <w:r w:rsidR="003C7654" w:rsidRPr="002720E5">
              <w:rPr>
                <w:sz w:val="22"/>
              </w:rPr>
              <w:t>to align with</w:t>
            </w:r>
            <w:r w:rsidR="00D958D3" w:rsidRPr="002720E5">
              <w:rPr>
                <w:sz w:val="22"/>
              </w:rPr>
              <w:t xml:space="preserve"> the </w:t>
            </w:r>
            <w:r w:rsidR="006322F1" w:rsidRPr="002720E5">
              <w:rPr>
                <w:sz w:val="22"/>
              </w:rPr>
              <w:t>credit agreement</w:t>
            </w:r>
            <w:r w:rsidR="00D958D3" w:rsidRPr="002720E5">
              <w:rPr>
                <w:sz w:val="22"/>
              </w:rPr>
              <w:t>.</w:t>
            </w:r>
          </w:p>
        </w:tc>
      </w:tr>
      <w:tr w:rsidR="00A27274" w:rsidRPr="002720E5" w14:paraId="2D5E9B91" w14:textId="77777777" w:rsidTr="00153BCE">
        <w:trPr>
          <w:trHeight w:val="20"/>
        </w:trPr>
        <w:tc>
          <w:tcPr>
            <w:tcW w:w="846" w:type="dxa"/>
          </w:tcPr>
          <w:p w14:paraId="6341DD9A" w14:textId="77777777" w:rsidR="00A27274" w:rsidRPr="002720E5" w:rsidRDefault="00A27274" w:rsidP="00667FFA">
            <w:pPr>
              <w:pStyle w:val="Table1"/>
              <w:rPr>
                <w:sz w:val="22"/>
                <w:lang w:eastAsia="ja-JP"/>
              </w:rPr>
            </w:pPr>
          </w:p>
        </w:tc>
        <w:tc>
          <w:tcPr>
            <w:tcW w:w="2268" w:type="dxa"/>
          </w:tcPr>
          <w:p w14:paraId="70DF4565" w14:textId="77777777" w:rsidR="00A27274" w:rsidRPr="002720E5" w:rsidRDefault="00A27274" w:rsidP="00C453D6">
            <w:pPr>
              <w:pStyle w:val="CellBody"/>
              <w:rPr>
                <w:sz w:val="22"/>
              </w:rPr>
            </w:pPr>
            <w:r w:rsidRPr="002720E5">
              <w:rPr>
                <w:sz w:val="22"/>
              </w:rPr>
              <w:t>i</w:t>
            </w:r>
          </w:p>
        </w:tc>
        <w:tc>
          <w:tcPr>
            <w:tcW w:w="3969" w:type="dxa"/>
          </w:tcPr>
          <w:p w14:paraId="26055EA4" w14:textId="564A93CB" w:rsidR="00A27274" w:rsidRPr="002720E5" w:rsidRDefault="00A27274" w:rsidP="00C453D6">
            <w:pPr>
              <w:pStyle w:val="CellBody"/>
              <w:rPr>
                <w:sz w:val="22"/>
              </w:rPr>
            </w:pPr>
            <w:bookmarkStart w:id="7" w:name="_Hlk58255035"/>
            <w:r w:rsidRPr="002720E5">
              <w:rPr>
                <w:sz w:val="22"/>
              </w:rPr>
              <w:t>“</w:t>
            </w:r>
            <w:r w:rsidRPr="002720E5">
              <w:rPr>
                <w:b/>
                <w:sz w:val="22"/>
              </w:rPr>
              <w:t>i</w:t>
            </w:r>
            <w:r w:rsidRPr="002720E5">
              <w:rPr>
                <w:sz w:val="22"/>
              </w:rPr>
              <w:t>” is</w:t>
            </w:r>
            <w:r w:rsidR="004E7850" w:rsidRPr="002720E5">
              <w:rPr>
                <w:sz w:val="22"/>
              </w:rPr>
              <w:t xml:space="preserve"> a series of whole numbers from 1 to d</w:t>
            </w:r>
            <w:r w:rsidR="004E7850" w:rsidRPr="002720E5">
              <w:rPr>
                <w:sz w:val="22"/>
                <w:vertAlign w:val="subscript"/>
              </w:rPr>
              <w:t>0</w:t>
            </w:r>
            <w:r w:rsidR="004E7850" w:rsidRPr="002720E5">
              <w:rPr>
                <w:sz w:val="22"/>
              </w:rPr>
              <w:t xml:space="preserve">, each representing the relevant calendar day in the Calculation Period in chronological order from, and including, </w:t>
            </w:r>
            <w:r w:rsidR="004E7850" w:rsidRPr="002720E5">
              <w:rPr>
                <w:sz w:val="22"/>
              </w:rPr>
              <w:lastRenderedPageBreak/>
              <w:t>the first calendar day in the Calculation Period</w:t>
            </w:r>
            <w:bookmarkEnd w:id="7"/>
            <w:r w:rsidRPr="002720E5">
              <w:rPr>
                <w:sz w:val="22"/>
              </w:rPr>
              <w:t>.</w:t>
            </w:r>
          </w:p>
        </w:tc>
        <w:tc>
          <w:tcPr>
            <w:tcW w:w="3580" w:type="dxa"/>
          </w:tcPr>
          <w:p w14:paraId="77FEE75C" w14:textId="11138AE1" w:rsidR="00A27274" w:rsidRPr="002720E5" w:rsidRDefault="00122E0C" w:rsidP="00F34423">
            <w:pPr>
              <w:pStyle w:val="BodyText"/>
              <w:spacing w:line="290" w:lineRule="auto"/>
              <w:jc w:val="both"/>
              <w:rPr>
                <w:rFonts w:cs="Times New Roman"/>
                <w:sz w:val="22"/>
              </w:rPr>
            </w:pPr>
            <w:r w:rsidRPr="002720E5">
              <w:rPr>
                <w:rFonts w:cs="Times New Roman"/>
                <w:sz w:val="22"/>
              </w:rPr>
              <w:lastRenderedPageBreak/>
              <w:t xml:space="preserve">The definition of </w:t>
            </w:r>
            <w:r w:rsidR="00FE5B61" w:rsidRPr="002720E5">
              <w:rPr>
                <w:rFonts w:cs="Times New Roman"/>
                <w:sz w:val="22"/>
              </w:rPr>
              <w:t xml:space="preserve">“Daily Simple SOFR” </w:t>
            </w:r>
            <w:r w:rsidRPr="002720E5">
              <w:rPr>
                <w:rFonts w:cs="Times New Roman"/>
                <w:sz w:val="22"/>
              </w:rPr>
              <w:t>states that “</w:t>
            </w:r>
            <w:r w:rsidR="00FE5B61" w:rsidRPr="002720E5">
              <w:rPr>
                <w:rFonts w:cs="Times New Roman"/>
                <w:sz w:val="22"/>
              </w:rPr>
              <w:t xml:space="preserve">for any day (a “SOFR Rate Day”), a rate per annum equal to the greater of (a) SOFR for the day (such day “i”) that is [___]U.S. </w:t>
            </w:r>
            <w:r w:rsidR="00FE5B61" w:rsidRPr="002720E5">
              <w:rPr>
                <w:rFonts w:cs="Times New Roman"/>
                <w:sz w:val="22"/>
              </w:rPr>
              <w:lastRenderedPageBreak/>
              <w:t>Government Securities Business Days prior to (i) if such SOFR Rate Day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and (b) the Floor.</w:t>
            </w:r>
            <w:r w:rsidRPr="002720E5">
              <w:rPr>
                <w:rFonts w:cs="Times New Roman"/>
                <w:sz w:val="22"/>
              </w:rPr>
              <w:t>”</w:t>
            </w:r>
          </w:p>
        </w:tc>
        <w:tc>
          <w:tcPr>
            <w:tcW w:w="3161" w:type="dxa"/>
          </w:tcPr>
          <w:p w14:paraId="08FEADCF" w14:textId="28B7380B" w:rsidR="00A27274" w:rsidRPr="002720E5" w:rsidRDefault="00F34423" w:rsidP="00C453D6">
            <w:pPr>
              <w:pStyle w:val="CellBody"/>
              <w:rPr>
                <w:sz w:val="22"/>
              </w:rPr>
            </w:pPr>
            <w:r w:rsidRPr="002720E5">
              <w:rPr>
                <w:sz w:val="22"/>
              </w:rPr>
              <w:lastRenderedPageBreak/>
              <w:t xml:space="preserve">There should be no economic consequences </w:t>
            </w:r>
            <w:r w:rsidR="00DA20BB" w:rsidRPr="002720E5">
              <w:rPr>
                <w:sz w:val="22"/>
              </w:rPr>
              <w:t>of the difference</w:t>
            </w:r>
            <w:r w:rsidRPr="002720E5">
              <w:rPr>
                <w:sz w:val="22"/>
              </w:rPr>
              <w:t xml:space="preserve"> between these inputs provided that the Period End Dates under the swap match the (fixed) </w:t>
            </w:r>
            <w:r w:rsidRPr="002720E5">
              <w:rPr>
                <w:sz w:val="22"/>
              </w:rPr>
              <w:lastRenderedPageBreak/>
              <w:t>Interest Payment Dates under the loan (see row 4 above) and there is no prepayment under the loan.</w:t>
            </w:r>
          </w:p>
        </w:tc>
      </w:tr>
      <w:tr w:rsidR="00A27274" w:rsidRPr="002720E5" w14:paraId="317E9AEA" w14:textId="77777777" w:rsidTr="00153BCE">
        <w:trPr>
          <w:trHeight w:val="20"/>
        </w:trPr>
        <w:tc>
          <w:tcPr>
            <w:tcW w:w="846" w:type="dxa"/>
          </w:tcPr>
          <w:p w14:paraId="2182DA73" w14:textId="77777777" w:rsidR="00A27274" w:rsidRPr="002720E5" w:rsidRDefault="00A27274" w:rsidP="00667FFA">
            <w:pPr>
              <w:pStyle w:val="Table1"/>
              <w:rPr>
                <w:sz w:val="22"/>
                <w:lang w:eastAsia="ja-JP"/>
              </w:rPr>
            </w:pPr>
          </w:p>
        </w:tc>
        <w:tc>
          <w:tcPr>
            <w:tcW w:w="2268" w:type="dxa"/>
          </w:tcPr>
          <w:p w14:paraId="34034046" w14:textId="77777777" w:rsidR="00A27274" w:rsidRPr="002720E5" w:rsidRDefault="00A27274" w:rsidP="00C453D6">
            <w:pPr>
              <w:pStyle w:val="CellBody"/>
              <w:rPr>
                <w:sz w:val="22"/>
              </w:rPr>
            </w:pPr>
            <w:r w:rsidRPr="002720E5">
              <w:rPr>
                <w:sz w:val="22"/>
              </w:rPr>
              <w:t xml:space="preserve">Benchmark Level/Daily Rate </w:t>
            </w:r>
          </w:p>
        </w:tc>
        <w:tc>
          <w:tcPr>
            <w:tcW w:w="3969" w:type="dxa"/>
          </w:tcPr>
          <w:p w14:paraId="7BC596BE" w14:textId="77777777" w:rsidR="00A27274" w:rsidRPr="002720E5" w:rsidRDefault="00A27274" w:rsidP="00C453D6">
            <w:pPr>
              <w:pStyle w:val="CellBody"/>
              <w:rPr>
                <w:sz w:val="22"/>
              </w:rPr>
            </w:pPr>
            <w:r w:rsidRPr="002720E5">
              <w:rPr>
                <w:sz w:val="22"/>
              </w:rPr>
              <w:t>“</w:t>
            </w:r>
            <w:r w:rsidRPr="002720E5">
              <w:rPr>
                <w:b/>
                <w:bCs/>
                <w:sz w:val="22"/>
              </w:rPr>
              <w:t>Benchmark Level</w:t>
            </w:r>
            <w:r w:rsidRPr="002720E5">
              <w:rPr>
                <w:b/>
                <w:bCs/>
                <w:sz w:val="22"/>
                <w:vertAlign w:val="subscript"/>
              </w:rPr>
              <w:t>i</w:t>
            </w:r>
            <w:r w:rsidRPr="002720E5">
              <w:rPr>
                <w:sz w:val="22"/>
                <w:vertAlign w:val="subscript"/>
              </w:rPr>
              <w:t>-r ABD</w:t>
            </w:r>
            <w:r w:rsidRPr="002720E5">
              <w:rPr>
                <w:bCs/>
                <w:sz w:val="22"/>
              </w:rPr>
              <w:t>” means,</w:t>
            </w:r>
            <w:r w:rsidRPr="002720E5">
              <w:rPr>
                <w:sz w:val="22"/>
              </w:rPr>
              <w:t xml:space="preserve"> in respect of any Applicable Business Day</w:t>
            </w:r>
            <w:r w:rsidRPr="002720E5">
              <w:rPr>
                <w:sz w:val="22"/>
                <w:vertAlign w:val="subscript"/>
              </w:rPr>
              <w:t>i-rABD</w:t>
            </w:r>
            <w:r w:rsidRPr="002720E5">
              <w:rPr>
                <w:sz w:val="22"/>
              </w:rPr>
              <w:t xml:space="preserve">: </w:t>
            </w:r>
          </w:p>
          <w:p w14:paraId="16345DE5" w14:textId="0DF7FCAB" w:rsidR="00A27274" w:rsidRPr="002720E5" w:rsidRDefault="00A27274" w:rsidP="00C453D6">
            <w:pPr>
              <w:pStyle w:val="Tableroman"/>
              <w:rPr>
                <w:sz w:val="22"/>
              </w:rPr>
            </w:pPr>
            <w:r w:rsidRPr="002720E5">
              <w:rPr>
                <w:rFonts w:eastAsia="Meiryo UI"/>
                <w:iCs/>
                <w:sz w:val="22"/>
              </w:rPr>
              <w:t xml:space="preserve">subject to paragraph (ii) below, </w:t>
            </w:r>
            <w:r w:rsidRPr="002720E5">
              <w:rPr>
                <w:sz w:val="22"/>
              </w:rPr>
              <w:t xml:space="preserve">the rate determined in accordance with the Floating Rate Option as if such </w:t>
            </w:r>
            <w:r w:rsidRPr="002720E5">
              <w:rPr>
                <w:rFonts w:eastAsia="Meiryo UI"/>
                <w:iCs/>
                <w:sz w:val="22"/>
              </w:rPr>
              <w:t>Applicable Business Day</w:t>
            </w:r>
            <w:r w:rsidRPr="002720E5">
              <w:rPr>
                <w:rFonts w:eastAsia="Meiryo UI"/>
                <w:iCs/>
                <w:sz w:val="22"/>
                <w:vertAlign w:val="subscript"/>
              </w:rPr>
              <w:t>i-rABD</w:t>
            </w:r>
            <w:r w:rsidRPr="002720E5">
              <w:rPr>
                <w:sz w:val="22"/>
              </w:rPr>
              <w:t xml:space="preserve"> were a Reset Date for the purpose of such Floating Rate Option; or</w:t>
            </w:r>
          </w:p>
          <w:p w14:paraId="6F821756" w14:textId="6FFBB2D7" w:rsidR="00A27274" w:rsidRPr="002720E5" w:rsidRDefault="00A27274" w:rsidP="00C453D6">
            <w:pPr>
              <w:pStyle w:val="Tableroman"/>
              <w:rPr>
                <w:bCs/>
                <w:sz w:val="22"/>
              </w:rPr>
            </w:pPr>
            <w:r w:rsidRPr="002720E5">
              <w:rPr>
                <w:sz w:val="22"/>
              </w:rPr>
              <w:t xml:space="preserve">if “Daily Capped Rate and/or Daily Floored Rate” is specified as </w:t>
            </w:r>
            <w:r w:rsidRPr="002720E5">
              <w:rPr>
                <w:sz w:val="22"/>
              </w:rPr>
              <w:lastRenderedPageBreak/>
              <w:t xml:space="preserve">applicable in the Confirmation, </w:t>
            </w:r>
            <w:r w:rsidRPr="002720E5">
              <w:rPr>
                <w:bCs/>
                <w:sz w:val="22"/>
              </w:rPr>
              <w:t>either:</w:t>
            </w:r>
          </w:p>
          <w:p w14:paraId="08F25439" w14:textId="77777777" w:rsidR="00A27274" w:rsidRPr="002720E5" w:rsidRDefault="00A27274" w:rsidP="00A17F15">
            <w:pPr>
              <w:pStyle w:val="CellBody"/>
              <w:ind w:left="1354" w:hanging="677"/>
              <w:rPr>
                <w:sz w:val="22"/>
              </w:rPr>
            </w:pPr>
            <w:r w:rsidRPr="002720E5">
              <w:rPr>
                <w:sz w:val="22"/>
              </w:rPr>
              <w:t>(A)</w:t>
            </w:r>
            <w:r w:rsidRPr="002720E5">
              <w:rPr>
                <w:sz w:val="22"/>
              </w:rPr>
              <w:tab/>
              <w:t>the greater of the rate determined in accordance with</w:t>
            </w:r>
            <w:r w:rsidRPr="002720E5">
              <w:rPr>
                <w:b/>
                <w:sz w:val="22"/>
              </w:rPr>
              <w:t xml:space="preserve"> </w:t>
            </w:r>
            <w:r w:rsidRPr="002720E5">
              <w:rPr>
                <w:sz w:val="22"/>
              </w:rPr>
              <w:t>paragraph (i) and the</w:t>
            </w:r>
            <w:r w:rsidRPr="002720E5">
              <w:rPr>
                <w:b/>
                <w:sz w:val="22"/>
              </w:rPr>
              <w:t xml:space="preserve"> </w:t>
            </w:r>
            <w:r w:rsidRPr="002720E5">
              <w:rPr>
                <w:sz w:val="22"/>
              </w:rPr>
              <w:t>Daily Floored Rate specified (if any); or</w:t>
            </w:r>
          </w:p>
          <w:p w14:paraId="310E305B" w14:textId="77777777" w:rsidR="00A27274" w:rsidRPr="002720E5" w:rsidRDefault="00A27274" w:rsidP="00A17F15">
            <w:pPr>
              <w:pStyle w:val="CellBody"/>
              <w:ind w:left="1354" w:hanging="677"/>
              <w:rPr>
                <w:sz w:val="22"/>
              </w:rPr>
            </w:pPr>
            <w:r w:rsidRPr="002720E5">
              <w:rPr>
                <w:sz w:val="22"/>
              </w:rPr>
              <w:t>(B)</w:t>
            </w:r>
            <w:r w:rsidRPr="002720E5">
              <w:rPr>
                <w:sz w:val="22"/>
              </w:rPr>
              <w:tab/>
              <w:t>the lower of the rate determined in accordance with</w:t>
            </w:r>
            <w:r w:rsidRPr="002720E5">
              <w:rPr>
                <w:b/>
                <w:sz w:val="22"/>
              </w:rPr>
              <w:t xml:space="preserve"> </w:t>
            </w:r>
            <w:r w:rsidRPr="002720E5">
              <w:rPr>
                <w:sz w:val="22"/>
              </w:rPr>
              <w:t>paragraph (i) and the</w:t>
            </w:r>
            <w:r w:rsidRPr="002720E5">
              <w:rPr>
                <w:b/>
                <w:sz w:val="22"/>
              </w:rPr>
              <w:t xml:space="preserve"> </w:t>
            </w:r>
            <w:r w:rsidRPr="002720E5">
              <w:rPr>
                <w:sz w:val="22"/>
              </w:rPr>
              <w:t xml:space="preserve">Daily Capped Rate specified (if any), as </w:t>
            </w:r>
            <w:proofErr w:type="gramStart"/>
            <w:r w:rsidRPr="002720E5">
              <w:rPr>
                <w:sz w:val="22"/>
              </w:rPr>
              <w:t>applicable;</w:t>
            </w:r>
            <w:proofErr w:type="gramEnd"/>
          </w:p>
          <w:p w14:paraId="2B85B65F" w14:textId="08679CB2" w:rsidR="00A27274" w:rsidRPr="002720E5" w:rsidRDefault="00A27274" w:rsidP="00C453D6">
            <w:pPr>
              <w:pStyle w:val="CellBody"/>
              <w:rPr>
                <w:sz w:val="22"/>
              </w:rPr>
            </w:pPr>
            <w:r w:rsidRPr="002720E5">
              <w:rPr>
                <w:sz w:val="22"/>
              </w:rPr>
              <w:t>“</w:t>
            </w:r>
            <w:r w:rsidRPr="002720E5">
              <w:rPr>
                <w:b/>
                <w:bCs/>
                <w:sz w:val="22"/>
              </w:rPr>
              <w:t>Applicable Business Day</w:t>
            </w:r>
            <w:r w:rsidRPr="002720E5">
              <w:rPr>
                <w:b/>
                <w:bCs/>
                <w:sz w:val="22"/>
                <w:vertAlign w:val="subscript"/>
              </w:rPr>
              <w:t>i</w:t>
            </w:r>
            <w:r w:rsidRPr="002720E5">
              <w:rPr>
                <w:sz w:val="22"/>
                <w:vertAlign w:val="subscript"/>
              </w:rPr>
              <w:t>-rABD</w:t>
            </w:r>
            <w:r w:rsidRPr="002720E5">
              <w:rPr>
                <w:sz w:val="22"/>
              </w:rPr>
              <w:t>” means, for any day “i”</w:t>
            </w:r>
            <w:r w:rsidRPr="002720E5">
              <w:rPr>
                <w:b/>
                <w:sz w:val="22"/>
              </w:rPr>
              <w:t xml:space="preserve"> </w:t>
            </w:r>
            <w:r w:rsidRPr="002720E5">
              <w:rPr>
                <w:sz w:val="22"/>
              </w:rPr>
              <w:t xml:space="preserve">in the Calculation Period, the day “r” </w:t>
            </w:r>
            <w:r w:rsidRPr="002720E5">
              <w:rPr>
                <w:bCs/>
                <w:iCs/>
                <w:sz w:val="22"/>
              </w:rPr>
              <w:t>Applicable</w:t>
            </w:r>
            <w:r w:rsidRPr="002720E5">
              <w:rPr>
                <w:sz w:val="22"/>
              </w:rPr>
              <w:t xml:space="preserve"> Business Days preceding such day “i”, except if</w:t>
            </w:r>
            <w:r w:rsidRPr="002720E5">
              <w:rPr>
                <w:bCs/>
                <w:sz w:val="22"/>
              </w:rPr>
              <w:t xml:space="preserve"> day “i” </w:t>
            </w:r>
            <w:r w:rsidRPr="002720E5">
              <w:rPr>
                <w:bCs/>
                <w:iCs/>
                <w:sz w:val="22"/>
              </w:rPr>
              <w:t>is not an Applicable Business Day, then it is the day r + 1</w:t>
            </w:r>
            <w:r w:rsidRPr="002720E5">
              <w:rPr>
                <w:b/>
                <w:sz w:val="22"/>
              </w:rPr>
              <w:t xml:space="preserve"> </w:t>
            </w:r>
            <w:r w:rsidRPr="002720E5">
              <w:rPr>
                <w:sz w:val="22"/>
              </w:rPr>
              <w:t>Applicable Business Days preceding day “i</w:t>
            </w:r>
            <w:proofErr w:type="gramStart"/>
            <w:r w:rsidRPr="002720E5">
              <w:rPr>
                <w:sz w:val="22"/>
              </w:rPr>
              <w:t>”;</w:t>
            </w:r>
            <w:proofErr w:type="gramEnd"/>
          </w:p>
          <w:p w14:paraId="43B22D02" w14:textId="77777777" w:rsidR="00A27274" w:rsidRPr="002720E5" w:rsidRDefault="00A27274" w:rsidP="00C453D6">
            <w:pPr>
              <w:pStyle w:val="CellBody"/>
              <w:rPr>
                <w:sz w:val="22"/>
              </w:rPr>
            </w:pPr>
          </w:p>
        </w:tc>
        <w:tc>
          <w:tcPr>
            <w:tcW w:w="3580" w:type="dxa"/>
          </w:tcPr>
          <w:p w14:paraId="0A395A4A" w14:textId="671DC8AA" w:rsidR="00A27274" w:rsidRPr="002720E5" w:rsidRDefault="00122E0C" w:rsidP="00C453D6">
            <w:pPr>
              <w:pStyle w:val="CellBody"/>
              <w:rPr>
                <w:kern w:val="0"/>
                <w:sz w:val="22"/>
              </w:rPr>
            </w:pPr>
            <w:r w:rsidRPr="002720E5">
              <w:rPr>
                <w:sz w:val="22"/>
              </w:rPr>
              <w:lastRenderedPageBreak/>
              <w:t xml:space="preserve">The definition of “Daily Simple SOFR” states that “for any day (a “SOFR Rate Day”), a rate per annum equal to the greater of (a) SOFR for the day (such day “i”) that is [___]U.S. Government Securities Business Days prior to (i) if such SOFR Rate Day is a U.S. Government Securities Business Day, such SOFR Rate Day or (ii) if such SOFR Rate Day is not a U.S. Government Securities Business Day, the U.S. Government Securities Business Day immediately preceding </w:t>
            </w:r>
            <w:r w:rsidRPr="002720E5">
              <w:rPr>
                <w:sz w:val="22"/>
              </w:rPr>
              <w:lastRenderedPageBreak/>
              <w:t>such SOFR Rate Day, in each case, as such SOFR is published by the SOFR Administrator on the SOFR Administrator’s Website, and (b) the Floor.</w:t>
            </w:r>
            <w:r w:rsidR="006322F1" w:rsidRPr="002720E5">
              <w:rPr>
                <w:sz w:val="22"/>
              </w:rPr>
              <w:t xml:space="preserve"> </w:t>
            </w:r>
            <w:r w:rsidRPr="002720E5">
              <w:rPr>
                <w:sz w:val="22"/>
              </w:rPr>
              <w:t>If by 5:00 pm (New York City time) on the second (2nd) U.S. Government Securities Business Day immediately following any day “i”, the SOFR in respect of such day “i” has not been published on the SOFR Administrator’s Website and a Benchmark Replacement Date with respect to the Daily Simple SOFR has not occurred, then the SOFR for such day “i” will be the SOFR as published in respect of the first preceding U.S. Government Securities Business Day for which such SOFR was published on the SOFR Administrator’s Website; provided that any SOFR determined pursuant to this sentence shall be utilized for purposes of calculation of Daily Simple SOFR for no more than [three (3)] consecutive SOFR Rate Days.</w:t>
            </w:r>
            <w:r w:rsidR="006322F1" w:rsidRPr="002720E5">
              <w:rPr>
                <w:sz w:val="22"/>
              </w:rPr>
              <w:t xml:space="preserve"> </w:t>
            </w:r>
            <w:r w:rsidRPr="002720E5">
              <w:rPr>
                <w:sz w:val="22"/>
              </w:rPr>
              <w:t xml:space="preserve">Any change in Daily Simple SOFR due to a change in SOFR shall be effective from and including the </w:t>
            </w:r>
            <w:r w:rsidRPr="002720E5">
              <w:rPr>
                <w:sz w:val="22"/>
              </w:rPr>
              <w:lastRenderedPageBreak/>
              <w:t>effective date of such change in SOFR without notice to the Borrower.</w:t>
            </w:r>
          </w:p>
        </w:tc>
        <w:tc>
          <w:tcPr>
            <w:tcW w:w="3161" w:type="dxa"/>
          </w:tcPr>
          <w:p w14:paraId="55498187" w14:textId="77777777" w:rsidR="00A27274" w:rsidRPr="002720E5" w:rsidRDefault="00A27274" w:rsidP="00C453D6">
            <w:pPr>
              <w:pStyle w:val="CellBody"/>
              <w:rPr>
                <w:sz w:val="22"/>
              </w:rPr>
            </w:pPr>
            <w:r w:rsidRPr="002720E5">
              <w:rPr>
                <w:sz w:val="22"/>
              </w:rPr>
              <w:lastRenderedPageBreak/>
              <w:t>Parties should be aware of the following differences between these inputs:</w:t>
            </w:r>
          </w:p>
          <w:p w14:paraId="5AF5A790" w14:textId="075E967C" w:rsidR="00A27274" w:rsidRPr="002720E5" w:rsidRDefault="00A27274" w:rsidP="00C453D6">
            <w:pPr>
              <w:pStyle w:val="Tableroman"/>
              <w:numPr>
                <w:ilvl w:val="0"/>
                <w:numId w:val="67"/>
              </w:numPr>
              <w:rPr>
                <w:sz w:val="22"/>
              </w:rPr>
            </w:pPr>
            <w:r w:rsidRPr="002720E5">
              <w:rPr>
                <w:b/>
                <w:bCs/>
                <w:sz w:val="22"/>
              </w:rPr>
              <w:t>Lookback</w:t>
            </w:r>
            <w:r w:rsidRPr="002720E5">
              <w:rPr>
                <w:sz w:val="22"/>
              </w:rPr>
              <w:t>:</w:t>
            </w:r>
            <w:r w:rsidRPr="002720E5">
              <w:rPr>
                <w:b/>
                <w:bCs/>
                <w:sz w:val="22"/>
              </w:rPr>
              <w:t xml:space="preserve"> </w:t>
            </w:r>
            <w:proofErr w:type="gramStart"/>
            <w:r w:rsidRPr="002720E5">
              <w:rPr>
                <w:sz w:val="22"/>
              </w:rPr>
              <w:t>the</w:t>
            </w:r>
            <w:proofErr w:type="gramEnd"/>
            <w:r w:rsidRPr="002720E5">
              <w:rPr>
                <w:sz w:val="22"/>
              </w:rPr>
              <w:t xml:space="preserve"> Lookback period specified in the Confirmation and in the </w:t>
            </w:r>
            <w:r w:rsidR="006322F1" w:rsidRPr="002720E5">
              <w:rPr>
                <w:sz w:val="22"/>
              </w:rPr>
              <w:t>credit agreement</w:t>
            </w:r>
            <w:r w:rsidR="003850F5" w:rsidRPr="002720E5">
              <w:rPr>
                <w:sz w:val="22"/>
              </w:rPr>
              <w:t xml:space="preserve"> </w:t>
            </w:r>
            <w:r w:rsidRPr="002720E5">
              <w:rPr>
                <w:sz w:val="22"/>
              </w:rPr>
              <w:t>will need to match (see row 7 below);</w:t>
            </w:r>
          </w:p>
          <w:p w14:paraId="753BA602" w14:textId="57E9BA86" w:rsidR="00A27274" w:rsidRPr="002720E5" w:rsidRDefault="00A27274" w:rsidP="00C453D6">
            <w:pPr>
              <w:pStyle w:val="Tableroman"/>
              <w:rPr>
                <w:sz w:val="22"/>
              </w:rPr>
            </w:pPr>
            <w:r w:rsidRPr="002720E5">
              <w:rPr>
                <w:b/>
                <w:bCs/>
                <w:sz w:val="22"/>
              </w:rPr>
              <w:t>Capped Rate</w:t>
            </w:r>
            <w:r w:rsidRPr="002720E5">
              <w:rPr>
                <w:sz w:val="22"/>
              </w:rPr>
              <w:t xml:space="preserve">: there is no ability under the </w:t>
            </w:r>
            <w:r w:rsidR="002E4A01" w:rsidRPr="002720E5">
              <w:rPr>
                <w:sz w:val="22"/>
              </w:rPr>
              <w:t xml:space="preserve">LSTA SOFR CCA </w:t>
            </w:r>
            <w:r w:rsidRPr="002720E5">
              <w:rPr>
                <w:sz w:val="22"/>
              </w:rPr>
              <w:t xml:space="preserve">to cap the rate, so by default parties </w:t>
            </w:r>
            <w:r w:rsidRPr="002720E5">
              <w:rPr>
                <w:sz w:val="22"/>
              </w:rPr>
              <w:lastRenderedPageBreak/>
              <w:t xml:space="preserve">should not specify a Daily Capped Rate in the Confirmation unless the </w:t>
            </w:r>
            <w:r w:rsidR="006322F1" w:rsidRPr="002720E5">
              <w:rPr>
                <w:sz w:val="22"/>
              </w:rPr>
              <w:t>credit agreement</w:t>
            </w:r>
            <w:r w:rsidRPr="002720E5">
              <w:rPr>
                <w:sz w:val="22"/>
              </w:rPr>
              <w:t xml:space="preserve"> is drafted to incorporate a cap (which is not typically the case</w:t>
            </w:r>
            <w:proofErr w:type="gramStart"/>
            <w:r w:rsidRPr="002720E5">
              <w:rPr>
                <w:sz w:val="22"/>
              </w:rPr>
              <w:t>);</w:t>
            </w:r>
            <w:proofErr w:type="gramEnd"/>
          </w:p>
          <w:p w14:paraId="5407585E" w14:textId="3CA5816B" w:rsidR="00A27274" w:rsidRPr="002720E5" w:rsidRDefault="00A27274" w:rsidP="00C453D6">
            <w:pPr>
              <w:pStyle w:val="Tableroman"/>
              <w:rPr>
                <w:sz w:val="22"/>
              </w:rPr>
            </w:pPr>
            <w:r w:rsidRPr="002720E5">
              <w:rPr>
                <w:b/>
                <w:bCs/>
                <w:sz w:val="22"/>
              </w:rPr>
              <w:t>Floored Rate</w:t>
            </w:r>
            <w:r w:rsidRPr="002720E5">
              <w:rPr>
                <w:sz w:val="22"/>
              </w:rPr>
              <w:t xml:space="preserve">: the </w:t>
            </w:r>
            <w:r w:rsidR="002E4A01" w:rsidRPr="002720E5">
              <w:rPr>
                <w:sz w:val="22"/>
              </w:rPr>
              <w:t xml:space="preserve">LSTA SOFR CCA </w:t>
            </w:r>
            <w:r w:rsidRPr="002720E5">
              <w:rPr>
                <w:sz w:val="22"/>
              </w:rPr>
              <w:t xml:space="preserve">includes an option for parties to specify a daily floor for </w:t>
            </w:r>
            <w:r w:rsidR="003850F5" w:rsidRPr="002720E5">
              <w:rPr>
                <w:sz w:val="22"/>
              </w:rPr>
              <w:t xml:space="preserve">SOFR </w:t>
            </w:r>
            <w:r w:rsidRPr="002720E5">
              <w:rPr>
                <w:sz w:val="22"/>
              </w:rPr>
              <w:t xml:space="preserve">observed on the relevant day. Parties are free to specify any value for the Daily Floored Rate under the swap (which should match the floor specified </w:t>
            </w:r>
            <w:r w:rsidR="003850F5" w:rsidRPr="002720E5">
              <w:rPr>
                <w:sz w:val="22"/>
              </w:rPr>
              <w:t xml:space="preserve">in the definition of “Daily Simple SOFR” in the </w:t>
            </w:r>
            <w:r w:rsidR="006322F1" w:rsidRPr="002720E5">
              <w:rPr>
                <w:sz w:val="22"/>
              </w:rPr>
              <w:t>credit agreement</w:t>
            </w:r>
            <w:r w:rsidRPr="002720E5">
              <w:rPr>
                <w:sz w:val="22"/>
              </w:rPr>
              <w:t xml:space="preserve">). Note that the Daily Floored Rate is applied to </w:t>
            </w:r>
            <w:r w:rsidR="003850F5" w:rsidRPr="002720E5">
              <w:rPr>
                <w:sz w:val="22"/>
              </w:rPr>
              <w:t>SOFR only</w:t>
            </w:r>
            <w:r w:rsidRPr="002720E5">
              <w:rPr>
                <w:sz w:val="22"/>
              </w:rPr>
              <w:t>; and</w:t>
            </w:r>
          </w:p>
          <w:p w14:paraId="02487A0B" w14:textId="52BFD6A2" w:rsidR="00A27274" w:rsidRPr="002720E5" w:rsidRDefault="00A27274" w:rsidP="00C453D6">
            <w:pPr>
              <w:pStyle w:val="Tableroman"/>
              <w:rPr>
                <w:sz w:val="22"/>
              </w:rPr>
            </w:pPr>
            <w:r w:rsidRPr="002720E5">
              <w:rPr>
                <w:b/>
                <w:bCs/>
                <w:sz w:val="22"/>
              </w:rPr>
              <w:t>Fallbacks</w:t>
            </w:r>
            <w:r w:rsidRPr="002720E5">
              <w:rPr>
                <w:sz w:val="22"/>
              </w:rPr>
              <w:t xml:space="preserve">: the triggers and fallbacks provided </w:t>
            </w:r>
            <w:r w:rsidRPr="002720E5">
              <w:rPr>
                <w:sz w:val="22"/>
              </w:rPr>
              <w:lastRenderedPageBreak/>
              <w:t xml:space="preserve">for the </w:t>
            </w:r>
            <w:r w:rsidR="003850F5" w:rsidRPr="002720E5">
              <w:rPr>
                <w:sz w:val="22"/>
              </w:rPr>
              <w:t xml:space="preserve">USD-SOFR </w:t>
            </w:r>
            <w:r w:rsidRPr="002720E5">
              <w:rPr>
                <w:sz w:val="22"/>
              </w:rPr>
              <w:t xml:space="preserve">Floating Rate Option in the 2006 ISDA Definitions and for </w:t>
            </w:r>
            <w:r w:rsidR="002E4A01" w:rsidRPr="002720E5">
              <w:rPr>
                <w:sz w:val="22"/>
              </w:rPr>
              <w:t>SOFR in the</w:t>
            </w:r>
            <w:r w:rsidR="003850F5" w:rsidRPr="002720E5">
              <w:rPr>
                <w:sz w:val="22"/>
              </w:rPr>
              <w:t xml:space="preserve"> definition of “Daily Simple SOFR” in</w:t>
            </w:r>
            <w:r w:rsidRPr="002720E5">
              <w:rPr>
                <w:sz w:val="22"/>
              </w:rPr>
              <w:t xml:space="preserve"> the </w:t>
            </w:r>
            <w:r w:rsidR="003850F5" w:rsidRPr="002720E5">
              <w:rPr>
                <w:sz w:val="22"/>
              </w:rPr>
              <w:t xml:space="preserve">LSTA SOFR CCA </w:t>
            </w:r>
            <w:r w:rsidRPr="002720E5">
              <w:rPr>
                <w:sz w:val="22"/>
              </w:rPr>
              <w:t xml:space="preserve">will differ. This will be the case both for a temporary non-publication of </w:t>
            </w:r>
            <w:r w:rsidR="003850F5" w:rsidRPr="002720E5">
              <w:rPr>
                <w:sz w:val="22"/>
              </w:rPr>
              <w:t>SOFR</w:t>
            </w:r>
            <w:r w:rsidRPr="002720E5">
              <w:rPr>
                <w:sz w:val="22"/>
              </w:rPr>
              <w:t xml:space="preserve"> and for its permanent cessation. </w:t>
            </w:r>
          </w:p>
        </w:tc>
      </w:tr>
      <w:tr w:rsidR="00A27274" w:rsidRPr="002720E5" w14:paraId="3BC6BA5C" w14:textId="77777777" w:rsidTr="00153BCE">
        <w:trPr>
          <w:trHeight w:val="20"/>
        </w:trPr>
        <w:tc>
          <w:tcPr>
            <w:tcW w:w="846" w:type="dxa"/>
          </w:tcPr>
          <w:p w14:paraId="6109CF36" w14:textId="77777777" w:rsidR="00A27274" w:rsidRPr="002720E5" w:rsidRDefault="00A27274" w:rsidP="00667FFA">
            <w:pPr>
              <w:pStyle w:val="Table1"/>
              <w:rPr>
                <w:sz w:val="22"/>
                <w:lang w:eastAsia="ja-JP"/>
              </w:rPr>
            </w:pPr>
          </w:p>
        </w:tc>
        <w:tc>
          <w:tcPr>
            <w:tcW w:w="2268" w:type="dxa"/>
          </w:tcPr>
          <w:p w14:paraId="505F310B" w14:textId="77777777" w:rsidR="00A27274" w:rsidRPr="002720E5" w:rsidRDefault="00A27274" w:rsidP="00C453D6">
            <w:pPr>
              <w:pStyle w:val="CellBody"/>
              <w:rPr>
                <w:sz w:val="22"/>
              </w:rPr>
            </w:pPr>
            <w:r w:rsidRPr="002720E5">
              <w:rPr>
                <w:sz w:val="22"/>
              </w:rPr>
              <w:t>Lookback</w:t>
            </w:r>
          </w:p>
        </w:tc>
        <w:tc>
          <w:tcPr>
            <w:tcW w:w="3969" w:type="dxa"/>
          </w:tcPr>
          <w:p w14:paraId="6EE95872" w14:textId="77777777" w:rsidR="00A27274" w:rsidRPr="002720E5" w:rsidRDefault="00A27274" w:rsidP="00C453D6">
            <w:pPr>
              <w:pStyle w:val="CellBody"/>
              <w:rPr>
                <w:sz w:val="22"/>
              </w:rPr>
            </w:pPr>
            <w:r w:rsidRPr="002720E5">
              <w:rPr>
                <w:sz w:val="22"/>
              </w:rPr>
              <w:t>“</w:t>
            </w:r>
            <w:r w:rsidRPr="002720E5">
              <w:rPr>
                <w:b/>
                <w:sz w:val="22"/>
              </w:rPr>
              <w:t>r</w:t>
            </w:r>
            <w:r w:rsidRPr="002720E5">
              <w:rPr>
                <w:sz w:val="22"/>
              </w:rPr>
              <w:t xml:space="preserve">” is: </w:t>
            </w:r>
          </w:p>
          <w:p w14:paraId="08F30B5F" w14:textId="77777777" w:rsidR="00A27274" w:rsidRPr="002720E5" w:rsidRDefault="00A27274" w:rsidP="00C453D6">
            <w:pPr>
              <w:pStyle w:val="CellBody"/>
              <w:rPr>
                <w:sz w:val="22"/>
              </w:rPr>
            </w:pPr>
            <w:r w:rsidRPr="002720E5">
              <w:rPr>
                <w:rFonts w:eastAsia="Meiryo UI"/>
                <w:sz w:val="22"/>
              </w:rPr>
              <w:t>(i)</w:t>
            </w:r>
            <w:r w:rsidRPr="002720E5">
              <w:rPr>
                <w:rFonts w:eastAsia="Meiryo UI"/>
                <w:sz w:val="22"/>
              </w:rPr>
              <w:tab/>
            </w:r>
            <w:r w:rsidRPr="002720E5">
              <w:rPr>
                <w:sz w:val="22"/>
              </w:rPr>
              <w:t xml:space="preserve">the number specified as the “Lookback” in the </w:t>
            </w:r>
            <w:proofErr w:type="gramStart"/>
            <w:r w:rsidRPr="002720E5">
              <w:rPr>
                <w:sz w:val="22"/>
              </w:rPr>
              <w:t>Confirmation;</w:t>
            </w:r>
            <w:proofErr w:type="gramEnd"/>
          </w:p>
          <w:p w14:paraId="205C5B15" w14:textId="77777777" w:rsidR="00A27274" w:rsidRPr="002720E5" w:rsidRDefault="00A27274" w:rsidP="00C453D6">
            <w:pPr>
              <w:pStyle w:val="CellBody"/>
              <w:rPr>
                <w:sz w:val="22"/>
              </w:rPr>
            </w:pPr>
            <w:r w:rsidRPr="002720E5">
              <w:rPr>
                <w:rFonts w:eastAsia="Meiryo UI"/>
                <w:sz w:val="22"/>
              </w:rPr>
              <w:t>(ii)</w:t>
            </w:r>
            <w:r w:rsidRPr="002720E5">
              <w:rPr>
                <w:rFonts w:eastAsia="Meiryo UI"/>
                <w:sz w:val="22"/>
              </w:rPr>
              <w:tab/>
            </w:r>
            <w:r w:rsidRPr="002720E5">
              <w:rPr>
                <w:sz w:val="22"/>
              </w:rPr>
              <w:t>if a number is not specified for the purpose of the “Lookback” in the Confirmation and the relevant Floating Rate Option is included in the ISDA Compounding/Averaging Matrix, the number (if any) specified as the “Lookback” for the relevant Floating Rate Option in the ISDA Compounding/Averaging Matrix; or</w:t>
            </w:r>
          </w:p>
          <w:p w14:paraId="487011D3" w14:textId="77777777" w:rsidR="00A27274" w:rsidRPr="002720E5" w:rsidRDefault="00A27274" w:rsidP="00C453D6">
            <w:pPr>
              <w:pStyle w:val="CellBody"/>
              <w:rPr>
                <w:rFonts w:eastAsia="Meiryo UI"/>
                <w:iCs/>
                <w:sz w:val="22"/>
              </w:rPr>
            </w:pPr>
            <w:r w:rsidRPr="002720E5">
              <w:rPr>
                <w:rFonts w:eastAsia="Meiryo UI"/>
                <w:bCs/>
                <w:iCs/>
                <w:sz w:val="22"/>
              </w:rPr>
              <w:t>(iii)</w:t>
            </w:r>
            <w:r w:rsidRPr="002720E5">
              <w:rPr>
                <w:rFonts w:eastAsia="Meiryo UI"/>
                <w:bCs/>
                <w:iCs/>
                <w:sz w:val="22"/>
              </w:rPr>
              <w:tab/>
            </w:r>
            <w:r w:rsidRPr="002720E5">
              <w:rPr>
                <w:sz w:val="22"/>
              </w:rPr>
              <w:t xml:space="preserve">if a number is not specified for the purpose of the “Lookback” in the </w:t>
            </w:r>
            <w:r w:rsidRPr="002720E5">
              <w:rPr>
                <w:sz w:val="22"/>
              </w:rPr>
              <w:lastRenderedPageBreak/>
              <w:t>Confirmation or in the ISDA Compounding/Averaging Matrix, five.</w:t>
            </w:r>
          </w:p>
        </w:tc>
        <w:tc>
          <w:tcPr>
            <w:tcW w:w="3580" w:type="dxa"/>
          </w:tcPr>
          <w:p w14:paraId="0E689875" w14:textId="3462BE70" w:rsidR="007B033C" w:rsidRPr="002720E5" w:rsidRDefault="002E4A01" w:rsidP="00C453D6">
            <w:pPr>
              <w:pStyle w:val="CellBody"/>
              <w:rPr>
                <w:sz w:val="22"/>
              </w:rPr>
            </w:pPr>
            <w:r w:rsidRPr="002720E5">
              <w:rPr>
                <w:sz w:val="22"/>
              </w:rPr>
              <w:lastRenderedPageBreak/>
              <w:t xml:space="preserve">The definition of “Daily Simple SOFR” in the LSTA SOFR CCA states that </w:t>
            </w:r>
            <w:r w:rsidR="007B033C" w:rsidRPr="002720E5">
              <w:rPr>
                <w:sz w:val="22"/>
              </w:rPr>
              <w:t>“…SOFR for the day (such day “i</w:t>
            </w:r>
            <w:proofErr w:type="gramStart"/>
            <w:r w:rsidR="007B033C" w:rsidRPr="002720E5">
              <w:rPr>
                <w:sz w:val="22"/>
              </w:rPr>
              <w:t>” )</w:t>
            </w:r>
            <w:proofErr w:type="gramEnd"/>
            <w:r w:rsidR="007B033C" w:rsidRPr="002720E5">
              <w:rPr>
                <w:sz w:val="22"/>
              </w:rPr>
              <w:t xml:space="preserve"> that is [___]U.S. Government Securities Business Days</w:t>
            </w:r>
            <w:r w:rsidR="006322F1" w:rsidRPr="002720E5">
              <w:rPr>
                <w:sz w:val="22"/>
              </w:rPr>
              <w:t xml:space="preserve"> </w:t>
            </w:r>
            <w:r w:rsidR="007B033C" w:rsidRPr="002720E5">
              <w:rPr>
                <w:sz w:val="22"/>
              </w:rPr>
              <w:t>prior to (i) if such SOFR Rate Day is a U.S. Government Securities Business Day, such SOFR Rate Day or (ii) if such SOFR Rate Day is not a U.S. Government Securities Business Day, the U.S. Government Securities Business Day immediately preceding such SOFR Rate Day…”</w:t>
            </w:r>
            <w:r w:rsidRPr="002720E5">
              <w:rPr>
                <w:sz w:val="22"/>
              </w:rPr>
              <w:t>.</w:t>
            </w:r>
          </w:p>
        </w:tc>
        <w:tc>
          <w:tcPr>
            <w:tcW w:w="3161" w:type="dxa"/>
          </w:tcPr>
          <w:p w14:paraId="635289D4" w14:textId="6A91C5B4" w:rsidR="00A27274" w:rsidRPr="002720E5" w:rsidRDefault="00A27274" w:rsidP="00C453D6">
            <w:pPr>
              <w:pStyle w:val="CellBody"/>
              <w:rPr>
                <w:sz w:val="22"/>
              </w:rPr>
            </w:pPr>
            <w:r w:rsidRPr="002720E5">
              <w:rPr>
                <w:sz w:val="22"/>
              </w:rPr>
              <w:t xml:space="preserve">Parties should specify a Lookback in the Confirmation which matches the </w:t>
            </w:r>
            <w:r w:rsidR="007B033C" w:rsidRPr="002720E5">
              <w:rPr>
                <w:sz w:val="22"/>
              </w:rPr>
              <w:t>l</w:t>
            </w:r>
            <w:r w:rsidRPr="002720E5">
              <w:rPr>
                <w:sz w:val="22"/>
              </w:rPr>
              <w:t xml:space="preserve">ookback </w:t>
            </w:r>
            <w:r w:rsidR="007B033C" w:rsidRPr="002720E5">
              <w:rPr>
                <w:sz w:val="22"/>
              </w:rPr>
              <w:t>p</w:t>
            </w:r>
            <w:r w:rsidRPr="002720E5">
              <w:rPr>
                <w:sz w:val="22"/>
              </w:rPr>
              <w:t>eriod</w:t>
            </w:r>
            <w:r w:rsidR="006322F1" w:rsidRPr="002720E5">
              <w:rPr>
                <w:sz w:val="22"/>
              </w:rPr>
              <w:t xml:space="preserve"> </w:t>
            </w:r>
            <w:r w:rsidRPr="002720E5">
              <w:rPr>
                <w:sz w:val="22"/>
              </w:rPr>
              <w:t xml:space="preserve">specified </w:t>
            </w:r>
            <w:r w:rsidR="007B033C" w:rsidRPr="002720E5">
              <w:rPr>
                <w:sz w:val="22"/>
              </w:rPr>
              <w:t xml:space="preserve">in the definition of “Daily Simple SOFR” </w:t>
            </w:r>
            <w:r w:rsidRPr="002720E5">
              <w:rPr>
                <w:sz w:val="22"/>
              </w:rPr>
              <w:t xml:space="preserve">in the </w:t>
            </w:r>
            <w:r w:rsidR="006322F1" w:rsidRPr="002720E5">
              <w:rPr>
                <w:sz w:val="22"/>
              </w:rPr>
              <w:t>credit agreement</w:t>
            </w:r>
            <w:r w:rsidRPr="002720E5">
              <w:rPr>
                <w:sz w:val="22"/>
              </w:rPr>
              <w:t xml:space="preserve">. If not specified in the Confirmation, the first default is to the value specified in the ISDA Compounding/Averaging Matrix, if any, which may not match the agreed </w:t>
            </w:r>
            <w:r w:rsidR="007B033C" w:rsidRPr="002720E5">
              <w:rPr>
                <w:sz w:val="22"/>
              </w:rPr>
              <w:t>lookback period</w:t>
            </w:r>
            <w:r w:rsidR="006322F1" w:rsidRPr="002720E5">
              <w:rPr>
                <w:sz w:val="22"/>
              </w:rPr>
              <w:t xml:space="preserve"> </w:t>
            </w:r>
            <w:r w:rsidR="007B033C" w:rsidRPr="002720E5">
              <w:rPr>
                <w:sz w:val="22"/>
              </w:rPr>
              <w:t xml:space="preserve">specified in the definition of “Daily Simple SOFR” in the </w:t>
            </w:r>
            <w:r w:rsidR="00267644" w:rsidRPr="002720E5">
              <w:rPr>
                <w:sz w:val="22"/>
              </w:rPr>
              <w:t>credit agreement</w:t>
            </w:r>
            <w:r w:rsidR="007B033C" w:rsidRPr="002720E5">
              <w:rPr>
                <w:sz w:val="22"/>
              </w:rPr>
              <w:t>.</w:t>
            </w:r>
            <w:r w:rsidR="007B033C" w:rsidRPr="002720E5" w:rsidDel="007B033C">
              <w:rPr>
                <w:sz w:val="22"/>
              </w:rPr>
              <w:t xml:space="preserve"> </w:t>
            </w:r>
          </w:p>
          <w:p w14:paraId="707E63C7" w14:textId="41228AED" w:rsidR="00A27274" w:rsidRPr="002720E5" w:rsidRDefault="002E4A01" w:rsidP="00C453D6">
            <w:pPr>
              <w:pStyle w:val="CellBody"/>
              <w:rPr>
                <w:sz w:val="22"/>
              </w:rPr>
            </w:pPr>
            <w:r w:rsidRPr="002720E5">
              <w:rPr>
                <w:sz w:val="22"/>
              </w:rPr>
              <w:lastRenderedPageBreak/>
              <w:t>The Lookback in the Confirmation and the lookback period in the definition of “Daily Simple SOFR”</w:t>
            </w:r>
            <w:r w:rsidR="00267644" w:rsidRPr="002720E5">
              <w:rPr>
                <w:sz w:val="22"/>
              </w:rPr>
              <w:t xml:space="preserve"> in the LSTA SOFR CCA</w:t>
            </w:r>
            <w:r w:rsidRPr="002720E5">
              <w:rPr>
                <w:sz w:val="22"/>
              </w:rPr>
              <w:t xml:space="preserve"> both refer to U.S. Government Securities Business Days, and therefore provided that the same value is specified in the swap and the loan, these lookback periods should match.</w:t>
            </w:r>
          </w:p>
        </w:tc>
      </w:tr>
      <w:tr w:rsidR="00122E0C" w:rsidRPr="002720E5" w14:paraId="77C74D11" w14:textId="77777777" w:rsidTr="00153BCE">
        <w:trPr>
          <w:trHeight w:val="20"/>
        </w:trPr>
        <w:tc>
          <w:tcPr>
            <w:tcW w:w="846" w:type="dxa"/>
          </w:tcPr>
          <w:p w14:paraId="3FFBFF0F" w14:textId="77777777" w:rsidR="00122E0C" w:rsidRPr="002720E5" w:rsidRDefault="00122E0C" w:rsidP="00667FFA">
            <w:pPr>
              <w:pStyle w:val="Table1"/>
              <w:rPr>
                <w:sz w:val="22"/>
                <w:lang w:eastAsia="ja-JP"/>
              </w:rPr>
            </w:pPr>
          </w:p>
        </w:tc>
        <w:tc>
          <w:tcPr>
            <w:tcW w:w="2268" w:type="dxa"/>
          </w:tcPr>
          <w:p w14:paraId="4174AD9A" w14:textId="2499D88C" w:rsidR="00122E0C" w:rsidRPr="002720E5" w:rsidRDefault="003B0899" w:rsidP="00C453D6">
            <w:pPr>
              <w:pStyle w:val="CellBody"/>
              <w:rPr>
                <w:rFonts w:eastAsia="Meiryo UI"/>
                <w:bCs/>
                <w:iCs/>
                <w:sz w:val="22"/>
              </w:rPr>
            </w:pPr>
            <w:r w:rsidRPr="002720E5">
              <w:rPr>
                <w:sz w:val="22"/>
              </w:rPr>
              <w:t>Floating Rate Day Count Fraction</w:t>
            </w:r>
            <w:r w:rsidR="00122E0C" w:rsidRPr="002720E5">
              <w:rPr>
                <w:rFonts w:eastAsia="Meiryo UI"/>
                <w:bCs/>
                <w:iCs/>
                <w:sz w:val="22"/>
              </w:rPr>
              <w:t>/dcc</w:t>
            </w:r>
          </w:p>
        </w:tc>
        <w:tc>
          <w:tcPr>
            <w:tcW w:w="3969" w:type="dxa"/>
          </w:tcPr>
          <w:p w14:paraId="6221BF87" w14:textId="56D7F3C6" w:rsidR="004367A4" w:rsidRPr="002720E5" w:rsidRDefault="004367A4" w:rsidP="00C453D6">
            <w:pPr>
              <w:pStyle w:val="CellBody"/>
              <w:rPr>
                <w:sz w:val="22"/>
              </w:rPr>
            </w:pPr>
            <w:r w:rsidRPr="002720E5">
              <w:rPr>
                <w:sz w:val="22"/>
              </w:rPr>
              <w:t>“</w:t>
            </w:r>
            <w:r w:rsidRPr="002720E5">
              <w:rPr>
                <w:b/>
                <w:sz w:val="22"/>
              </w:rPr>
              <w:t>Floating Rate Day Count Fraction</w:t>
            </w:r>
            <w:r w:rsidRPr="002720E5">
              <w:rPr>
                <w:sz w:val="22"/>
              </w:rPr>
              <w:t>” means, in respect of any calculation of a Floating Amount:</w:t>
            </w:r>
          </w:p>
          <w:p w14:paraId="43BD9195" w14:textId="5F85759A" w:rsidR="004367A4" w:rsidRPr="002720E5" w:rsidRDefault="004367A4" w:rsidP="002720E5">
            <w:pPr>
              <w:pStyle w:val="Tableroman"/>
              <w:numPr>
                <w:ilvl w:val="0"/>
                <w:numId w:val="68"/>
              </w:numPr>
              <w:rPr>
                <w:sz w:val="22"/>
              </w:rPr>
            </w:pPr>
            <w:r w:rsidRPr="002720E5">
              <w:rPr>
                <w:sz w:val="22"/>
              </w:rPr>
              <w:t>if a Floating Rate Day Count Fraction is specified for the Swap Transaction or the Floating Rate Payer, the Floating Rate Day Count Fraction so specified; and</w:t>
            </w:r>
          </w:p>
          <w:p w14:paraId="5A86DE6A" w14:textId="634C3BF5" w:rsidR="004367A4" w:rsidRPr="002720E5" w:rsidRDefault="004367A4" w:rsidP="00C453D6">
            <w:pPr>
              <w:pStyle w:val="Tableroman"/>
              <w:rPr>
                <w:sz w:val="22"/>
              </w:rPr>
            </w:pPr>
            <w:r w:rsidRPr="002720E5">
              <w:rPr>
                <w:sz w:val="22"/>
              </w:rPr>
              <w:t xml:space="preserve">if the Floating Rate Option specified as the applicable Floating Rate Option is listed in Section 6.2(g) and a Floating Rate Day Count Fraction is not specified for the Swap Transaction or the Floating Rate Payer, the Day Count </w:t>
            </w:r>
            <w:r w:rsidRPr="002720E5">
              <w:rPr>
                <w:sz w:val="22"/>
              </w:rPr>
              <w:lastRenderedPageBreak/>
              <w:t>Fraction indicated for that Floating Rate Option in Section 6.2(g); and</w:t>
            </w:r>
          </w:p>
          <w:p w14:paraId="030F67D2" w14:textId="5F354203" w:rsidR="004367A4" w:rsidRPr="002720E5" w:rsidRDefault="004367A4" w:rsidP="00C453D6">
            <w:pPr>
              <w:pStyle w:val="Tableroman"/>
              <w:rPr>
                <w:sz w:val="22"/>
              </w:rPr>
            </w:pPr>
            <w:r w:rsidRPr="002720E5">
              <w:rPr>
                <w:sz w:val="22"/>
              </w:rPr>
              <w:t>in all other cases, if a Floating Rate Option defined in Section 7.1 (Rate Options) is specified as the applicable Floating Rate Option, “Actual/360”.</w:t>
            </w:r>
          </w:p>
          <w:p w14:paraId="3434CDE7" w14:textId="1495BE06" w:rsidR="00122E0C" w:rsidRPr="002720E5" w:rsidRDefault="00122E0C" w:rsidP="00C453D6">
            <w:pPr>
              <w:pStyle w:val="CellBody"/>
              <w:rPr>
                <w:b/>
                <w:i/>
                <w:sz w:val="22"/>
              </w:rPr>
            </w:pPr>
          </w:p>
        </w:tc>
        <w:tc>
          <w:tcPr>
            <w:tcW w:w="3580" w:type="dxa"/>
          </w:tcPr>
          <w:p w14:paraId="137EE8CB" w14:textId="111C9601" w:rsidR="002E4A01" w:rsidRPr="002720E5" w:rsidRDefault="002E4A01" w:rsidP="00C453D6">
            <w:pPr>
              <w:pStyle w:val="CellBody"/>
              <w:rPr>
                <w:sz w:val="22"/>
              </w:rPr>
            </w:pPr>
            <w:r w:rsidRPr="002720E5">
              <w:rPr>
                <w:sz w:val="22"/>
              </w:rPr>
              <w:lastRenderedPageBreak/>
              <w:t>Section 2.09(d) (</w:t>
            </w:r>
            <w:r w:rsidRPr="002720E5">
              <w:rPr>
                <w:i/>
                <w:iCs/>
                <w:sz w:val="22"/>
              </w:rPr>
              <w:t>Interest Computation</w:t>
            </w:r>
            <w:r w:rsidRPr="002720E5">
              <w:rPr>
                <w:sz w:val="22"/>
              </w:rPr>
              <w:t>) of the LSTA SOFR CCA states that “[a]</w:t>
            </w:r>
            <w:proofErr w:type="spellStart"/>
            <w:r w:rsidRPr="002720E5">
              <w:rPr>
                <w:sz w:val="22"/>
              </w:rPr>
              <w:t>ll</w:t>
            </w:r>
            <w:proofErr w:type="spellEnd"/>
            <w:r w:rsidRPr="002720E5">
              <w:rPr>
                <w:sz w:val="22"/>
              </w:rPr>
              <w:t xml:space="preserve"> interest hereunder shall be computed on the basis of a year of 360 days…and in each case shall be payable for the actual number of days elapsed (including the first day but excluding the last day).”</w:t>
            </w:r>
          </w:p>
        </w:tc>
        <w:tc>
          <w:tcPr>
            <w:tcW w:w="3161" w:type="dxa"/>
          </w:tcPr>
          <w:p w14:paraId="06B563EE" w14:textId="1C004D06" w:rsidR="00122E0C" w:rsidRPr="002720E5" w:rsidRDefault="00122E0C" w:rsidP="00C453D6">
            <w:pPr>
              <w:pStyle w:val="CellBody"/>
              <w:rPr>
                <w:sz w:val="22"/>
              </w:rPr>
            </w:pPr>
            <w:r w:rsidRPr="002720E5">
              <w:rPr>
                <w:sz w:val="22"/>
              </w:rPr>
              <w:t>Parties should</w:t>
            </w:r>
            <w:r w:rsidR="006322F1" w:rsidRPr="002720E5">
              <w:rPr>
                <w:sz w:val="22"/>
              </w:rPr>
              <w:t xml:space="preserve"> </w:t>
            </w:r>
            <w:r w:rsidR="002E4A01" w:rsidRPr="002720E5">
              <w:rPr>
                <w:sz w:val="22"/>
              </w:rPr>
              <w:t xml:space="preserve">specify </w:t>
            </w:r>
            <w:r w:rsidR="00B808E0" w:rsidRPr="002720E5">
              <w:rPr>
                <w:sz w:val="22"/>
              </w:rPr>
              <w:t>Actual/</w:t>
            </w:r>
            <w:r w:rsidR="002E4A01" w:rsidRPr="002720E5">
              <w:rPr>
                <w:sz w:val="22"/>
              </w:rPr>
              <w:t xml:space="preserve">360 in </w:t>
            </w:r>
            <w:r w:rsidRPr="002720E5">
              <w:rPr>
                <w:sz w:val="22"/>
              </w:rPr>
              <w:t>the Floating Rate Day Count Fraction field in the Confirmation</w:t>
            </w:r>
            <w:r w:rsidR="002E4A01" w:rsidRPr="002720E5">
              <w:rPr>
                <w:sz w:val="22"/>
              </w:rPr>
              <w:t xml:space="preserve"> </w:t>
            </w:r>
            <w:proofErr w:type="gramStart"/>
            <w:r w:rsidR="002E4A01" w:rsidRPr="002720E5">
              <w:rPr>
                <w:sz w:val="22"/>
              </w:rPr>
              <w:t>in order to</w:t>
            </w:r>
            <w:proofErr w:type="gramEnd"/>
            <w:r w:rsidR="002E4A01" w:rsidRPr="002720E5">
              <w:rPr>
                <w:sz w:val="22"/>
              </w:rPr>
              <w:t xml:space="preserve"> match</w:t>
            </w:r>
            <w:r w:rsidR="006322F1" w:rsidRPr="002720E5">
              <w:rPr>
                <w:sz w:val="22"/>
              </w:rPr>
              <w:t xml:space="preserve"> </w:t>
            </w:r>
            <w:r w:rsidR="002E4A01" w:rsidRPr="002720E5">
              <w:rPr>
                <w:sz w:val="22"/>
              </w:rPr>
              <w:t>the day count fraction in Section 2.09(d) (</w:t>
            </w:r>
            <w:r w:rsidR="002E4A01" w:rsidRPr="002720E5">
              <w:rPr>
                <w:i/>
                <w:iCs/>
                <w:sz w:val="22"/>
              </w:rPr>
              <w:t>Interest Computation</w:t>
            </w:r>
            <w:r w:rsidR="002E4A01" w:rsidRPr="002720E5">
              <w:rPr>
                <w:sz w:val="22"/>
              </w:rPr>
              <w:t>) of the LSTA SOFR CCA</w:t>
            </w:r>
            <w:r w:rsidRPr="002720E5">
              <w:rPr>
                <w:sz w:val="22"/>
              </w:rPr>
              <w:t xml:space="preserve">. </w:t>
            </w:r>
          </w:p>
        </w:tc>
      </w:tr>
      <w:tr w:rsidR="00DA20BB" w:rsidRPr="002720E5" w14:paraId="17788B14" w14:textId="77777777" w:rsidTr="00153BCE">
        <w:trPr>
          <w:trHeight w:val="20"/>
        </w:trPr>
        <w:tc>
          <w:tcPr>
            <w:tcW w:w="846" w:type="dxa"/>
          </w:tcPr>
          <w:p w14:paraId="33E47A71" w14:textId="77777777" w:rsidR="00DA20BB" w:rsidRPr="002720E5" w:rsidRDefault="00DA20BB" w:rsidP="00667FFA">
            <w:pPr>
              <w:pStyle w:val="Table1"/>
              <w:rPr>
                <w:sz w:val="22"/>
                <w:lang w:eastAsia="ja-JP"/>
              </w:rPr>
            </w:pPr>
          </w:p>
        </w:tc>
        <w:tc>
          <w:tcPr>
            <w:tcW w:w="2268" w:type="dxa"/>
          </w:tcPr>
          <w:p w14:paraId="5F39FEDD" w14:textId="77777777" w:rsidR="00DA20BB" w:rsidRPr="002720E5" w:rsidRDefault="00DA20BB" w:rsidP="00C453D6">
            <w:pPr>
              <w:pStyle w:val="CellBody"/>
              <w:rPr>
                <w:sz w:val="22"/>
              </w:rPr>
            </w:pPr>
            <w:r w:rsidRPr="002720E5">
              <w:rPr>
                <w:sz w:val="22"/>
              </w:rPr>
              <w:t>d</w:t>
            </w:r>
          </w:p>
        </w:tc>
        <w:tc>
          <w:tcPr>
            <w:tcW w:w="3969" w:type="dxa"/>
          </w:tcPr>
          <w:p w14:paraId="4EF35EDE" w14:textId="77777777" w:rsidR="00DA20BB" w:rsidRPr="002720E5" w:rsidRDefault="00DA20BB" w:rsidP="00C453D6">
            <w:pPr>
              <w:pStyle w:val="CellBody"/>
              <w:rPr>
                <w:sz w:val="22"/>
              </w:rPr>
            </w:pPr>
            <w:r w:rsidRPr="002720E5">
              <w:rPr>
                <w:sz w:val="22"/>
              </w:rPr>
              <w:t>“</w:t>
            </w:r>
            <w:r w:rsidRPr="002720E5">
              <w:rPr>
                <w:b/>
                <w:sz w:val="22"/>
              </w:rPr>
              <w:t>d</w:t>
            </w:r>
            <w:r w:rsidRPr="002720E5">
              <w:rPr>
                <w:sz w:val="22"/>
              </w:rPr>
              <w:t>” is the number of calendar days in the Calculation Period.</w:t>
            </w:r>
          </w:p>
        </w:tc>
        <w:tc>
          <w:tcPr>
            <w:tcW w:w="3580" w:type="dxa"/>
          </w:tcPr>
          <w:p w14:paraId="1FC0B639" w14:textId="5C586FBF" w:rsidR="00DA20BB" w:rsidRPr="002720E5" w:rsidRDefault="00DA20BB" w:rsidP="00C453D6">
            <w:pPr>
              <w:pStyle w:val="CellBody"/>
              <w:rPr>
                <w:sz w:val="22"/>
              </w:rPr>
            </w:pPr>
            <w:r w:rsidRPr="002720E5">
              <w:rPr>
                <w:sz w:val="22"/>
              </w:rPr>
              <w:t>N/A</w:t>
            </w:r>
          </w:p>
        </w:tc>
        <w:tc>
          <w:tcPr>
            <w:tcW w:w="3161" w:type="dxa"/>
          </w:tcPr>
          <w:p w14:paraId="3F1B5AD6" w14:textId="23AF7CB4" w:rsidR="00DA20BB" w:rsidRPr="002720E5" w:rsidRDefault="00DA20BB" w:rsidP="00C453D6">
            <w:pPr>
              <w:pStyle w:val="CellBody"/>
              <w:rPr>
                <w:sz w:val="22"/>
              </w:rPr>
            </w:pPr>
            <w:r w:rsidRPr="002720E5">
              <w:rPr>
                <w:sz w:val="22"/>
              </w:rPr>
              <w:t>Although the definition of</w:t>
            </w:r>
            <w:r w:rsidR="00267644" w:rsidRPr="002720E5">
              <w:rPr>
                <w:sz w:val="22"/>
              </w:rPr>
              <w:t xml:space="preserve"> “Daily Simple SOFR”</w:t>
            </w:r>
            <w:r w:rsidRPr="002720E5">
              <w:rPr>
                <w:sz w:val="22"/>
              </w:rPr>
              <w:t xml:space="preserve"> </w:t>
            </w:r>
            <w:r w:rsidR="00267644" w:rsidRPr="002720E5">
              <w:rPr>
                <w:sz w:val="22"/>
              </w:rPr>
              <w:t xml:space="preserve">in the LSTA SOFR CCA </w:t>
            </w:r>
            <w:r w:rsidRPr="002720E5">
              <w:rPr>
                <w:sz w:val="22"/>
              </w:rPr>
              <w:t xml:space="preserve">applies </w:t>
            </w:r>
            <w:proofErr w:type="gramStart"/>
            <w:r w:rsidRPr="002720E5">
              <w:rPr>
                <w:sz w:val="22"/>
              </w:rPr>
              <w:t>on a daily basis</w:t>
            </w:r>
            <w:proofErr w:type="gramEnd"/>
            <w:r w:rsidRPr="002720E5">
              <w:rPr>
                <w:sz w:val="22"/>
              </w:rPr>
              <w:t xml:space="preserve"> and therefore does not include an input similar to </w:t>
            </w:r>
            <w:proofErr w:type="spellStart"/>
            <w:r w:rsidRPr="002720E5">
              <w:rPr>
                <w:rFonts w:eastAsia="Meiryo UI"/>
                <w:sz w:val="22"/>
              </w:rPr>
              <w:t>d</w:t>
            </w:r>
            <w:proofErr w:type="spellEnd"/>
            <w:r w:rsidRPr="002720E5">
              <w:rPr>
                <w:rFonts w:eastAsia="Meiryo UI"/>
                <w:sz w:val="22"/>
              </w:rPr>
              <w:t xml:space="preserve"> </w:t>
            </w:r>
            <w:r w:rsidRPr="002720E5">
              <w:rPr>
                <w:sz w:val="22"/>
              </w:rPr>
              <w:t>in the ISDA Averaging with Lookback formula, there should be no economic consequences of this difference provided that the Period End Dates under the swap match the (fixed) Interest Payment Dates under the loan (see row 4 above) and there is no prepayment under the loan.</w:t>
            </w:r>
          </w:p>
        </w:tc>
      </w:tr>
      <w:tr w:rsidR="00DA20BB" w:rsidRPr="002720E5" w14:paraId="4AA87501" w14:textId="77777777" w:rsidTr="00153BCE">
        <w:trPr>
          <w:trHeight w:val="20"/>
        </w:trPr>
        <w:tc>
          <w:tcPr>
            <w:tcW w:w="846" w:type="dxa"/>
          </w:tcPr>
          <w:p w14:paraId="067C2EC0" w14:textId="77777777" w:rsidR="00DA20BB" w:rsidRPr="002720E5" w:rsidRDefault="00DA20BB" w:rsidP="00667FFA">
            <w:pPr>
              <w:pStyle w:val="Table1"/>
              <w:rPr>
                <w:sz w:val="22"/>
                <w:lang w:eastAsia="ja-JP"/>
              </w:rPr>
            </w:pPr>
          </w:p>
        </w:tc>
        <w:tc>
          <w:tcPr>
            <w:tcW w:w="2268" w:type="dxa"/>
          </w:tcPr>
          <w:p w14:paraId="651A1CDE" w14:textId="77777777" w:rsidR="00DA20BB" w:rsidRPr="002720E5" w:rsidRDefault="00DA20BB" w:rsidP="00C453D6">
            <w:pPr>
              <w:pStyle w:val="CellBody"/>
              <w:rPr>
                <w:sz w:val="22"/>
              </w:rPr>
            </w:pPr>
            <w:r w:rsidRPr="002720E5">
              <w:rPr>
                <w:sz w:val="22"/>
              </w:rPr>
              <w:t>Rounding</w:t>
            </w:r>
          </w:p>
        </w:tc>
        <w:tc>
          <w:tcPr>
            <w:tcW w:w="3969" w:type="dxa"/>
          </w:tcPr>
          <w:p w14:paraId="415AB60E" w14:textId="4FA7B6A8" w:rsidR="00DA20BB" w:rsidRPr="002720E5" w:rsidRDefault="00DA20BB" w:rsidP="00C453D6">
            <w:pPr>
              <w:pStyle w:val="CellBody"/>
              <w:rPr>
                <w:sz w:val="22"/>
              </w:rPr>
            </w:pPr>
            <w:r w:rsidRPr="002720E5">
              <w:rPr>
                <w:sz w:val="22"/>
              </w:rPr>
              <w:t xml:space="preserve">The default position for rounding in respect of various overnight Floating Rate Options is set out in the 2006 ISDA </w:t>
            </w:r>
            <w:r w:rsidRPr="002720E5">
              <w:rPr>
                <w:sz w:val="22"/>
              </w:rPr>
              <w:lastRenderedPageBreak/>
              <w:t xml:space="preserve">Definitions Matrix for use with the Overnight Rate Compounding Methods, Overnight Rate Averaging </w:t>
            </w:r>
            <w:proofErr w:type="gramStart"/>
            <w:r w:rsidRPr="002720E5">
              <w:rPr>
                <w:sz w:val="22"/>
              </w:rPr>
              <w:t>Methods</w:t>
            </w:r>
            <w:proofErr w:type="gramEnd"/>
            <w:r w:rsidRPr="002720E5">
              <w:rPr>
                <w:sz w:val="22"/>
              </w:rPr>
              <w:t xml:space="preserve"> and Index Methods (the “</w:t>
            </w:r>
            <w:r w:rsidRPr="002720E5">
              <w:rPr>
                <w:b/>
                <w:sz w:val="22"/>
              </w:rPr>
              <w:t>Compounding/Averaging Matrix</w:t>
            </w:r>
            <w:r w:rsidRPr="002720E5">
              <w:rPr>
                <w:sz w:val="22"/>
              </w:rPr>
              <w:t>”). Version 1.0 of the Compounding/Averaging Matrix specifies rounding for various Floating Rate Options as either one-ten thousandth of a percentage point (0.0001%) or one hundred-thousandth of a percentage point (0.00001%).</w:t>
            </w:r>
            <w:r w:rsidR="0065151F" w:rsidRPr="002720E5">
              <w:rPr>
                <w:sz w:val="22"/>
              </w:rPr>
              <w:t xml:space="preserve"> For USD-SOFR, rounding is to the nearest one hundred-thousandth of a percentage point (0.00001%).</w:t>
            </w:r>
          </w:p>
        </w:tc>
        <w:tc>
          <w:tcPr>
            <w:tcW w:w="3580" w:type="dxa"/>
          </w:tcPr>
          <w:p w14:paraId="500715A5" w14:textId="41A2D570" w:rsidR="00DA20BB" w:rsidRPr="002720E5" w:rsidRDefault="00DA20BB" w:rsidP="00DA20BB">
            <w:pPr>
              <w:pStyle w:val="BodyText"/>
              <w:spacing w:after="0" w:line="290" w:lineRule="auto"/>
              <w:jc w:val="both"/>
              <w:rPr>
                <w:rFonts w:cs="Times New Roman"/>
                <w:sz w:val="22"/>
              </w:rPr>
            </w:pPr>
            <w:r w:rsidRPr="002720E5">
              <w:rPr>
                <w:rFonts w:cs="Times New Roman"/>
                <w:sz w:val="22"/>
              </w:rPr>
              <w:lastRenderedPageBreak/>
              <w:t>N/A</w:t>
            </w:r>
          </w:p>
        </w:tc>
        <w:tc>
          <w:tcPr>
            <w:tcW w:w="3161" w:type="dxa"/>
          </w:tcPr>
          <w:p w14:paraId="3AD63D9F" w14:textId="2D03A3C9" w:rsidR="00DA20BB" w:rsidRPr="002720E5" w:rsidRDefault="00DA20BB" w:rsidP="00C453D6">
            <w:pPr>
              <w:pStyle w:val="CellBody"/>
              <w:rPr>
                <w:rFonts w:eastAsia="Meiryo UI"/>
                <w:bCs/>
                <w:iCs/>
                <w:sz w:val="22"/>
              </w:rPr>
            </w:pPr>
            <w:r w:rsidRPr="002720E5">
              <w:rPr>
                <w:sz w:val="22"/>
              </w:rPr>
              <w:t xml:space="preserve">Parties should note the difference in rounding between the Compounding/Averaging Matrix </w:t>
            </w:r>
            <w:r w:rsidRPr="002720E5">
              <w:rPr>
                <w:sz w:val="22"/>
              </w:rPr>
              <w:lastRenderedPageBreak/>
              <w:t xml:space="preserve">and the </w:t>
            </w:r>
            <w:r w:rsidRPr="002720E5">
              <w:rPr>
                <w:rFonts w:eastAsia="Meiryo UI"/>
                <w:bCs/>
                <w:iCs/>
                <w:sz w:val="22"/>
              </w:rPr>
              <w:t xml:space="preserve">LSTA SOFR CCA (which is silent on rounding). </w:t>
            </w:r>
          </w:p>
          <w:p w14:paraId="4806DF11" w14:textId="77777777" w:rsidR="00DA20BB" w:rsidRPr="002720E5" w:rsidRDefault="00DA20BB" w:rsidP="00C453D6">
            <w:pPr>
              <w:pStyle w:val="CellBody"/>
              <w:rPr>
                <w:sz w:val="22"/>
                <w:highlight w:val="yellow"/>
              </w:rPr>
            </w:pPr>
          </w:p>
        </w:tc>
      </w:tr>
      <w:tr w:rsidR="00DA20BB" w:rsidRPr="002720E5" w14:paraId="49180B1A" w14:textId="77777777" w:rsidTr="00153BCE">
        <w:trPr>
          <w:trHeight w:val="20"/>
        </w:trPr>
        <w:tc>
          <w:tcPr>
            <w:tcW w:w="846" w:type="dxa"/>
          </w:tcPr>
          <w:p w14:paraId="3B9D7B6F" w14:textId="77777777" w:rsidR="00DA20BB" w:rsidRPr="002720E5" w:rsidRDefault="00DA20BB" w:rsidP="00667FFA">
            <w:pPr>
              <w:pStyle w:val="Table1"/>
              <w:rPr>
                <w:sz w:val="22"/>
                <w:lang w:eastAsia="ja-JP"/>
              </w:rPr>
            </w:pPr>
          </w:p>
        </w:tc>
        <w:tc>
          <w:tcPr>
            <w:tcW w:w="2268" w:type="dxa"/>
          </w:tcPr>
          <w:p w14:paraId="23952386" w14:textId="77777777" w:rsidR="00DA20BB" w:rsidRPr="002720E5" w:rsidRDefault="00DA20BB" w:rsidP="00C453D6">
            <w:pPr>
              <w:pStyle w:val="CellBody"/>
              <w:rPr>
                <w:sz w:val="22"/>
              </w:rPr>
            </w:pPr>
            <w:r w:rsidRPr="002720E5">
              <w:rPr>
                <w:sz w:val="22"/>
              </w:rPr>
              <w:t>Business Day convention</w:t>
            </w:r>
          </w:p>
        </w:tc>
        <w:tc>
          <w:tcPr>
            <w:tcW w:w="3969" w:type="dxa"/>
          </w:tcPr>
          <w:p w14:paraId="2B80891F" w14:textId="77777777" w:rsidR="00DA20BB" w:rsidRPr="002720E5" w:rsidRDefault="00DA20BB" w:rsidP="00C453D6">
            <w:pPr>
              <w:pStyle w:val="CellBody"/>
              <w:rPr>
                <w:sz w:val="22"/>
              </w:rPr>
            </w:pPr>
            <w:r w:rsidRPr="002720E5">
              <w:rPr>
                <w:sz w:val="22"/>
              </w:rPr>
              <w:t>By default, the Fixed Rate Payer Payment Dates/Period End Dates and Floating Rate Payer Payment Dates/Period End Dates will be subject to adjustment in accordance with the Modified Following Business Day Convention.</w:t>
            </w:r>
          </w:p>
        </w:tc>
        <w:tc>
          <w:tcPr>
            <w:tcW w:w="3580" w:type="dxa"/>
          </w:tcPr>
          <w:p w14:paraId="65EFACD8" w14:textId="242895A5" w:rsidR="00DA20BB" w:rsidRPr="002720E5" w:rsidRDefault="00DA20BB" w:rsidP="00DA20BB">
            <w:pPr>
              <w:pStyle w:val="BodyText"/>
              <w:spacing w:line="290" w:lineRule="auto"/>
              <w:jc w:val="both"/>
              <w:rPr>
                <w:rFonts w:cs="Times New Roman"/>
                <w:sz w:val="22"/>
              </w:rPr>
            </w:pPr>
            <w:r w:rsidRPr="002720E5">
              <w:rPr>
                <w:rFonts w:cs="Times New Roman"/>
                <w:sz w:val="22"/>
              </w:rPr>
              <w:t xml:space="preserve">The </w:t>
            </w:r>
            <w:r w:rsidR="00405BFE" w:rsidRPr="002720E5">
              <w:rPr>
                <w:rFonts w:cs="Times New Roman"/>
                <w:sz w:val="22"/>
              </w:rPr>
              <w:t>Alternative 1</w:t>
            </w:r>
            <w:r w:rsidRPr="002720E5">
              <w:rPr>
                <w:rFonts w:cs="Times New Roman"/>
                <w:sz w:val="22"/>
              </w:rPr>
              <w:t xml:space="preserve"> drafting proposed by the LSTA for</w:t>
            </w:r>
            <w:r w:rsidR="006322F1" w:rsidRPr="002720E5">
              <w:rPr>
                <w:rFonts w:cs="Times New Roman"/>
                <w:sz w:val="22"/>
              </w:rPr>
              <w:t xml:space="preserve"> </w:t>
            </w:r>
            <w:r w:rsidRPr="002720E5">
              <w:rPr>
                <w:rFonts w:cs="Times New Roman"/>
                <w:sz w:val="22"/>
              </w:rPr>
              <w:t xml:space="preserve">“Interest Payment Date” is “…the last Business Day of each [March, June, September and </w:t>
            </w:r>
            <w:proofErr w:type="gramStart"/>
            <w:r w:rsidRPr="002720E5">
              <w:rPr>
                <w:rFonts w:cs="Times New Roman"/>
                <w:sz w:val="22"/>
              </w:rPr>
              <w:t>December][</w:t>
            </w:r>
            <w:proofErr w:type="gramEnd"/>
            <w:r w:rsidRPr="002720E5">
              <w:rPr>
                <w:rFonts w:cs="Times New Roman"/>
                <w:sz w:val="22"/>
              </w:rPr>
              <w:t xml:space="preserve">calendar month] and the Maturity Date..”. </w:t>
            </w:r>
          </w:p>
          <w:p w14:paraId="0C83E38D" w14:textId="63DFD6D3" w:rsidR="00DA20BB" w:rsidRPr="002720E5" w:rsidRDefault="00DA20BB" w:rsidP="00DA20BB">
            <w:pPr>
              <w:pStyle w:val="BodyText"/>
              <w:spacing w:after="0" w:line="290" w:lineRule="auto"/>
              <w:jc w:val="both"/>
              <w:rPr>
                <w:rFonts w:cs="Times New Roman"/>
                <w:sz w:val="22"/>
              </w:rPr>
            </w:pPr>
          </w:p>
          <w:p w14:paraId="218B9381" w14:textId="78D41C46" w:rsidR="00DA20BB" w:rsidRPr="002720E5" w:rsidRDefault="00DA20BB" w:rsidP="00DA20BB">
            <w:pPr>
              <w:pStyle w:val="BodyText"/>
              <w:spacing w:after="0" w:line="290" w:lineRule="auto"/>
              <w:jc w:val="both"/>
              <w:rPr>
                <w:rFonts w:cs="Times New Roman"/>
                <w:sz w:val="22"/>
              </w:rPr>
            </w:pPr>
          </w:p>
        </w:tc>
        <w:tc>
          <w:tcPr>
            <w:tcW w:w="3161" w:type="dxa"/>
          </w:tcPr>
          <w:p w14:paraId="02A683B9" w14:textId="65BE3792" w:rsidR="00DA20BB" w:rsidRPr="002720E5" w:rsidRDefault="00DA20BB" w:rsidP="00C453D6">
            <w:pPr>
              <w:pStyle w:val="CellBody"/>
              <w:rPr>
                <w:sz w:val="22"/>
                <w:highlight w:val="yellow"/>
              </w:rPr>
            </w:pPr>
            <w:r w:rsidRPr="002720E5">
              <w:rPr>
                <w:sz w:val="22"/>
              </w:rPr>
              <w:t xml:space="preserve">In respect of the </w:t>
            </w:r>
            <w:r w:rsidR="00405BFE" w:rsidRPr="002720E5">
              <w:rPr>
                <w:sz w:val="22"/>
              </w:rPr>
              <w:t>A</w:t>
            </w:r>
            <w:r w:rsidRPr="002720E5">
              <w:rPr>
                <w:sz w:val="22"/>
              </w:rPr>
              <w:t>lternative</w:t>
            </w:r>
            <w:r w:rsidR="00405BFE" w:rsidRPr="002720E5">
              <w:rPr>
                <w:sz w:val="22"/>
              </w:rPr>
              <w:t xml:space="preserve"> 1</w:t>
            </w:r>
            <w:r w:rsidRPr="002720E5">
              <w:rPr>
                <w:sz w:val="22"/>
              </w:rPr>
              <w:t xml:space="preserve"> drafting proposed by the LSTA for</w:t>
            </w:r>
            <w:r w:rsidR="006322F1" w:rsidRPr="002720E5">
              <w:rPr>
                <w:sz w:val="22"/>
              </w:rPr>
              <w:t xml:space="preserve"> </w:t>
            </w:r>
            <w:r w:rsidRPr="002720E5">
              <w:rPr>
                <w:sz w:val="22"/>
              </w:rPr>
              <w:t xml:space="preserve">“Interest Payment Date”, no </w:t>
            </w:r>
            <w:r w:rsidR="00D958D3" w:rsidRPr="002720E5">
              <w:rPr>
                <w:sz w:val="22"/>
              </w:rPr>
              <w:t xml:space="preserve">specific </w:t>
            </w:r>
            <w:r w:rsidRPr="002720E5">
              <w:rPr>
                <w:sz w:val="22"/>
              </w:rPr>
              <w:t>Business Day Convention</w:t>
            </w:r>
            <w:r w:rsidR="00D958D3" w:rsidRPr="002720E5">
              <w:rPr>
                <w:sz w:val="22"/>
              </w:rPr>
              <w:t xml:space="preserve"> except for the Maturity Date</w:t>
            </w:r>
            <w:r w:rsidRPr="002720E5">
              <w:rPr>
                <w:sz w:val="22"/>
              </w:rPr>
              <w:t xml:space="preserve"> applies </w:t>
            </w:r>
            <w:r w:rsidR="00D958D3" w:rsidRPr="002720E5">
              <w:rPr>
                <w:sz w:val="22"/>
              </w:rPr>
              <w:t xml:space="preserve">as it simply refers to the “last Business Day </w:t>
            </w:r>
            <w:proofErr w:type="gramStart"/>
            <w:r w:rsidR="00D958D3" w:rsidRPr="002720E5">
              <w:rPr>
                <w:sz w:val="22"/>
              </w:rPr>
              <w:t>of”…</w:t>
            </w:r>
            <w:proofErr w:type="gramEnd"/>
            <w:r w:rsidR="00D958D3" w:rsidRPr="002720E5">
              <w:rPr>
                <w:sz w:val="22"/>
              </w:rPr>
              <w:t>.</w:t>
            </w:r>
            <w:r w:rsidR="00D958D3" w:rsidRPr="002720E5" w:rsidDel="00D958D3">
              <w:rPr>
                <w:sz w:val="22"/>
              </w:rPr>
              <w:t xml:space="preserve"> </w:t>
            </w:r>
            <w:r w:rsidR="00D958D3" w:rsidRPr="002720E5">
              <w:rPr>
                <w:sz w:val="22"/>
              </w:rPr>
              <w:t>P</w:t>
            </w:r>
            <w:r w:rsidRPr="002720E5">
              <w:rPr>
                <w:sz w:val="22"/>
              </w:rPr>
              <w:t xml:space="preserve">arties </w:t>
            </w:r>
            <w:r w:rsidR="00D958D3" w:rsidRPr="002720E5">
              <w:rPr>
                <w:sz w:val="22"/>
              </w:rPr>
              <w:t xml:space="preserve">can seek to align the swap as follows: for “Floating Rate Payer Payment Dates” specify “the last Business Day of each [March, June, September </w:t>
            </w:r>
            <w:r w:rsidR="00D958D3" w:rsidRPr="002720E5">
              <w:rPr>
                <w:sz w:val="22"/>
              </w:rPr>
              <w:lastRenderedPageBreak/>
              <w:t xml:space="preserve">and </w:t>
            </w:r>
            <w:proofErr w:type="gramStart"/>
            <w:r w:rsidR="00D958D3" w:rsidRPr="002720E5">
              <w:rPr>
                <w:sz w:val="22"/>
              </w:rPr>
              <w:t>December][</w:t>
            </w:r>
            <w:proofErr w:type="gramEnd"/>
            <w:r w:rsidR="00D958D3" w:rsidRPr="002720E5">
              <w:rPr>
                <w:sz w:val="22"/>
              </w:rPr>
              <w:t xml:space="preserve">calendar month] and the Termination Date with the Termination Date subject to adjustment </w:t>
            </w:r>
            <w:r w:rsidR="000E291B" w:rsidRPr="002720E5">
              <w:rPr>
                <w:sz w:val="22"/>
              </w:rPr>
              <w:t xml:space="preserve">in accordance </w:t>
            </w:r>
            <w:r w:rsidR="00D958D3" w:rsidRPr="002720E5">
              <w:rPr>
                <w:sz w:val="22"/>
              </w:rPr>
              <w:t>with the Preceding Business Day Convention”</w:t>
            </w:r>
            <w:r w:rsidRPr="002720E5">
              <w:rPr>
                <w:sz w:val="22"/>
              </w:rPr>
              <w:t>.</w:t>
            </w:r>
          </w:p>
        </w:tc>
      </w:tr>
    </w:tbl>
    <w:p w14:paraId="3FB610EE" w14:textId="77777777" w:rsidR="00A27274" w:rsidRPr="00186C59" w:rsidRDefault="00A27274" w:rsidP="002111DC">
      <w:pPr>
        <w:pStyle w:val="Body"/>
      </w:pPr>
    </w:p>
    <w:sectPr w:rsidR="00A27274" w:rsidRPr="00186C59" w:rsidSect="00A5500F">
      <w:pgSz w:w="16839" w:h="11907" w:orient="landscape" w:code="9"/>
      <w:pgMar w:top="1588" w:right="1701" w:bottom="1588" w:left="1304"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483D1" w14:textId="77777777" w:rsidR="00F34423" w:rsidRDefault="00F34423" w:rsidP="00C82590">
      <w:r>
        <w:separator/>
      </w:r>
    </w:p>
  </w:endnote>
  <w:endnote w:type="continuationSeparator" w:id="0">
    <w:p w14:paraId="0FBF4543" w14:textId="77777777" w:rsidR="00F34423" w:rsidRDefault="00F34423"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4423" w:rsidP="007D1E0B" w:rsidRDefault="000E1F97" w14:paraId="05DF6B86" w14:textId="6F11D741">
    <w:pPr>
      <w:pStyle w:val="DocExCode"/>
    </w:pPr>
    <w:fldSimple w:instr=" DOCPROPERTY &quot;Document number&quot;  \* MERGEFORMAT ">
      <w:r>
        <w:t>A45342482</w:t>
      </w:r>
    </w:fldSimple>
    <w:r w:rsidR="00F34423">
      <w:t>/</w:t>
    </w:r>
    <w:fldSimple w:instr=" DOCPROPERTY &quot;Version&quot;  \* MERGEFORMAT ">
      <w:r>
        <w:t>11.0</w:t>
      </w:r>
    </w:fldSimple>
    <w:r w:rsidR="00F34423">
      <w:t>/</w:t>
    </w:r>
    <w:fldSimple w:instr=" DOCPROPERTY &quot;Last Modified&quot;  \* MERGEFORMAT ">
      <w:r>
        <w:t>29 Nov 2021</w:t>
      </w:r>
    </w:fldSimple>
  </w:p>
  <w:p w:rsidR="00F34423" w:rsidP="007D1E0B" w:rsidRDefault="00F34423" w14:paraId="672C9CBD"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863EE" w14:textId="77777777" w:rsidR="00F34423" w:rsidRDefault="00F34423" w:rsidP="00C82590">
      <w:r>
        <w:separator/>
      </w:r>
    </w:p>
  </w:footnote>
  <w:footnote w:type="continuationSeparator" w:id="0">
    <w:p w14:paraId="773660F2" w14:textId="77777777" w:rsidR="00F34423" w:rsidRDefault="00F34423" w:rsidP="00C82590">
      <w:r>
        <w:continuationSeparator/>
      </w:r>
    </w:p>
  </w:footnote>
  <w:footnote w:id="1">
    <w:p w14:paraId="513CBF4C" w14:textId="0A00BE72" w:rsidR="00F34423" w:rsidRPr="0085778E" w:rsidRDefault="00F34423" w:rsidP="002D4C0F">
      <w:pPr>
        <w:pStyle w:val="FootnoteText"/>
        <w:rPr>
          <w:rFonts w:cs="Times New Roman"/>
        </w:rPr>
      </w:pPr>
      <w:r w:rsidRPr="0085778E">
        <w:rPr>
          <w:rStyle w:val="FootnoteReference"/>
          <w:rFonts w:cs="Times New Roman"/>
        </w:rPr>
        <w:footnoteRef/>
      </w:r>
      <w:r w:rsidRPr="0085778E">
        <w:rPr>
          <w:rFonts w:cs="Times New Roman"/>
        </w:rPr>
        <w:tab/>
      </w:r>
      <w:r>
        <w:rPr>
          <w:rFonts w:cs="Times New Roman"/>
        </w:rPr>
        <w:t>Annotated form of</w:t>
      </w:r>
      <w:r w:rsidRPr="0085778E">
        <w:rPr>
          <w:rFonts w:cs="Times New Roman"/>
        </w:rPr>
        <w:t xml:space="preserve"> Exhibit</w:t>
      </w:r>
      <w:r>
        <w:rPr>
          <w:rFonts w:cs="Times New Roman"/>
        </w:rPr>
        <w:t xml:space="preserve"> IV-A to 2006 ISDA Definitions</w:t>
      </w:r>
      <w:r w:rsidRPr="0085778E">
        <w:rPr>
          <w:rFonts w:cs="Times New Roman"/>
        </w:rPr>
        <w:t xml:space="preserve"> for use in interest rate swaps where the Floating Amount is calculated by reference to an Overnight Floating Rate Option applying </w:t>
      </w:r>
      <w:r w:rsidR="006322F1">
        <w:rPr>
          <w:rFonts w:cs="Times New Roman"/>
        </w:rPr>
        <w:t>Averag</w:t>
      </w:r>
      <w:r w:rsidR="006322F1" w:rsidRPr="0085778E">
        <w:rPr>
          <w:rFonts w:cs="Times New Roman"/>
        </w:rPr>
        <w:t xml:space="preserve">ing </w:t>
      </w:r>
      <w:r w:rsidRPr="0085778E">
        <w:rPr>
          <w:rFonts w:cs="Times New Roman"/>
        </w:rPr>
        <w:t xml:space="preserve">with Lookback </w:t>
      </w:r>
      <w:r>
        <w:rPr>
          <w:rFonts w:cs="Times New Roman"/>
        </w:rPr>
        <w:t>(</w:t>
      </w:r>
      <w:r w:rsidRPr="0085778E">
        <w:rPr>
          <w:rFonts w:cs="Times New Roman"/>
        </w:rPr>
        <w:t>as published in the 2006 ISDA Definitions)</w:t>
      </w:r>
      <w:r>
        <w:rPr>
          <w:rFonts w:cs="Times New Roman"/>
        </w:rPr>
        <w:t xml:space="preserve"> hedging a loan documented in a </w:t>
      </w:r>
      <w:r w:rsidR="001626C9">
        <w:rPr>
          <w:rFonts w:cs="Times New Roman"/>
        </w:rPr>
        <w:t>credit</w:t>
      </w:r>
      <w:r>
        <w:rPr>
          <w:rFonts w:cs="Times New Roman"/>
        </w:rPr>
        <w:t xml:space="preserve"> agreement </w:t>
      </w:r>
      <w:r w:rsidR="006322F1">
        <w:rPr>
          <w:rFonts w:cs="Times New Roman"/>
        </w:rPr>
        <w:t xml:space="preserve">using “Daily Simple SOFR” </w:t>
      </w:r>
      <w:r>
        <w:rPr>
          <w:rFonts w:cs="Times New Roman"/>
        </w:rPr>
        <w:t>based on the LSTA Daily Simple SOFR or Daily Compounded SOFR (Compound the Balance) Concept Document dated 5 May 2021 as revised on 14 May 2021 (“</w:t>
      </w:r>
      <w:r w:rsidRPr="00364965">
        <w:rPr>
          <w:rFonts w:cs="Times New Roman"/>
          <w:b/>
          <w:bCs/>
        </w:rPr>
        <w:t>LSTA SOFR CCA</w:t>
      </w:r>
      <w:r>
        <w:rPr>
          <w:rFonts w:cs="Times New Roman"/>
        </w:rPr>
        <w:t>”)</w:t>
      </w:r>
      <w:r w:rsidRPr="0085778E">
        <w:rPr>
          <w:rFonts w:cs="Times New Roman"/>
        </w:rPr>
        <w:t>.</w:t>
      </w:r>
    </w:p>
  </w:footnote>
  <w:footnote w:id="2">
    <w:p w14:paraId="46682249" w14:textId="1E898185" w:rsidR="007121BE" w:rsidRDefault="007121BE" w:rsidP="007121BE">
      <w:pPr>
        <w:pStyle w:val="FootnoteText"/>
      </w:pPr>
      <w:r w:rsidRPr="007E12B6">
        <w:rPr>
          <w:rStyle w:val="FootnoteReference"/>
          <w:rFonts w:cs="Times New Roman"/>
        </w:rPr>
        <w:footnoteRef/>
      </w:r>
      <w:r w:rsidRPr="007E12B6">
        <w:rPr>
          <w:rStyle w:val="FootnoteReference"/>
          <w:rFonts w:cs="Times New Roman"/>
        </w:rPr>
        <w:tab/>
      </w:r>
      <w:r w:rsidRPr="007E12B6">
        <w:rPr>
          <w:rFonts w:cs="Times New Roman"/>
        </w:rPr>
        <w:t xml:space="preserve">Note that parties can choose to use a different formulation, e.g., “the 31st of each [March, June, September and </w:t>
      </w:r>
      <w:proofErr w:type="gramStart"/>
      <w:r w:rsidRPr="007E12B6">
        <w:rPr>
          <w:rFonts w:cs="Times New Roman"/>
        </w:rPr>
        <w:t>December][</w:t>
      </w:r>
      <w:proofErr w:type="gramEnd"/>
      <w:r w:rsidRPr="007E12B6">
        <w:rPr>
          <w:rFonts w:cs="Times New Roman"/>
        </w:rPr>
        <w:t xml:space="preserve">calendar month] (each such date subject to adjustment in accordance with the Modified Following Business Day Convention) and the Termination Date (subject to adjustment in accordance with the Preceding Business Day Convention)” for </w:t>
      </w:r>
      <w:r w:rsidR="006F457B" w:rsidRPr="007E12B6">
        <w:rPr>
          <w:rFonts w:cs="Times New Roman"/>
        </w:rPr>
        <w:t xml:space="preserve">operational reasons and </w:t>
      </w:r>
      <w:r w:rsidRPr="007E12B6">
        <w:rPr>
          <w:rFonts w:cs="Times New Roman"/>
        </w:rPr>
        <w:t>consistency with their other Confirmations</w:t>
      </w:r>
      <w:r w:rsidRPr="007E12B6">
        <w:t>.</w:t>
      </w:r>
    </w:p>
  </w:footnote>
  <w:footnote w:id="3">
    <w:p w14:paraId="0F78ADF4" w14:textId="77777777" w:rsidR="00F34423" w:rsidRPr="0085778E" w:rsidRDefault="00F34423" w:rsidP="002D4C0F">
      <w:pPr>
        <w:pStyle w:val="FootnoteText"/>
        <w:rPr>
          <w:rFonts w:cs="Times New Roman"/>
        </w:rPr>
      </w:pPr>
      <w:r w:rsidRPr="0085778E">
        <w:rPr>
          <w:rStyle w:val="FootnoteReference"/>
          <w:rFonts w:cs="Times New Roman"/>
        </w:rPr>
        <w:footnoteRef/>
      </w:r>
      <w:r w:rsidRPr="0085778E">
        <w:rPr>
          <w:rFonts w:cs="Times New Roman"/>
        </w:rPr>
        <w:tab/>
        <w:t xml:space="preserve">Bracketed language is not necessary if Reset Dates are to be adjusted in accordance with the Business Day Convention applicable to Payment Dates. </w:t>
      </w:r>
    </w:p>
  </w:footnote>
  <w:footnote w:id="4">
    <w:p w14:paraId="1B16FF2D" w14:textId="3432A8CA" w:rsidR="00F34423" w:rsidRPr="0085778E" w:rsidRDefault="00F34423" w:rsidP="002D4C0F">
      <w:pPr>
        <w:pStyle w:val="FootnoteText"/>
        <w:rPr>
          <w:rFonts w:cs="Times New Roman"/>
        </w:rPr>
      </w:pPr>
      <w:r w:rsidRPr="0085778E">
        <w:rPr>
          <w:rStyle w:val="FootnoteReference"/>
          <w:rFonts w:cs="Times New Roman"/>
        </w:rPr>
        <w:footnoteRef/>
      </w:r>
      <w:r w:rsidRPr="0085778E">
        <w:rPr>
          <w:rFonts w:cs="Times New Roman"/>
        </w:rPr>
        <w:tab/>
        <w:t xml:space="preserve">This is an optional field, allowing parties to specify the number of Applicable Business Days lookback being applied. If </w:t>
      </w:r>
      <w:r>
        <w:rPr>
          <w:rFonts w:cs="Times New Roman"/>
        </w:rPr>
        <w:t>nothing</w:t>
      </w:r>
      <w:r w:rsidRPr="0085778E">
        <w:rPr>
          <w:rFonts w:cs="Times New Roman"/>
        </w:rPr>
        <w:t xml:space="preserve"> </w:t>
      </w:r>
      <w:r>
        <w:rPr>
          <w:rFonts w:cs="Times New Roman"/>
        </w:rPr>
        <w:t>is</w:t>
      </w:r>
      <w:r w:rsidRPr="0085778E">
        <w:rPr>
          <w:rFonts w:cs="Times New Roman"/>
        </w:rPr>
        <w:t xml:space="preserve"> specified</w:t>
      </w:r>
      <w:r>
        <w:rPr>
          <w:rFonts w:cs="Times New Roman"/>
        </w:rPr>
        <w:t xml:space="preserve"> here</w:t>
      </w:r>
      <w:r w:rsidRPr="0085778E">
        <w:rPr>
          <w:rFonts w:cs="Times New Roman"/>
        </w:rPr>
        <w:t xml:space="preserve">, </w:t>
      </w:r>
      <w:r w:rsidRPr="00F01EEE">
        <w:rPr>
          <w:rFonts w:cs="Times New Roman"/>
        </w:rPr>
        <w:t xml:space="preserve">the number specified as the “Lookback” for the relevant Floating Rate Option in the ISDA Compounding/Averaging Matrix </w:t>
      </w:r>
      <w:r>
        <w:rPr>
          <w:rFonts w:cs="Times New Roman"/>
        </w:rPr>
        <w:t xml:space="preserve">will apply and, if no such number is specified in the </w:t>
      </w:r>
      <w:r w:rsidRPr="00F01EEE">
        <w:rPr>
          <w:rFonts w:cs="Times New Roman"/>
        </w:rPr>
        <w:t>ISDA Compounding/Averaging Matrix</w:t>
      </w:r>
      <w:r>
        <w:rPr>
          <w:rFonts w:cs="Times New Roman"/>
        </w:rPr>
        <w:t xml:space="preserve">, </w:t>
      </w:r>
      <w:r w:rsidRPr="0085778E">
        <w:rPr>
          <w:rFonts w:cs="Times New Roman"/>
        </w:rPr>
        <w:t>the default position of five Applicable Business Days Lookback will apply.</w:t>
      </w:r>
    </w:p>
  </w:footnote>
  <w:footnote w:id="5">
    <w:p w14:paraId="5C481FFC" w14:textId="77777777" w:rsidR="00F34423" w:rsidRPr="007640CE" w:rsidRDefault="00F34423" w:rsidP="002D4C0F">
      <w:pPr>
        <w:pStyle w:val="FootnoteText"/>
      </w:pPr>
      <w:r w:rsidRPr="007640CE">
        <w:rPr>
          <w:rStyle w:val="FootnoteReference"/>
          <w:rFonts w:cs="Times New Roman"/>
        </w:rPr>
        <w:footnoteRef/>
      </w:r>
      <w:r w:rsidRPr="007640CE">
        <w:rPr>
          <w:rStyle w:val="FootnoteReference"/>
          <w:rFonts w:cs="Times New Roman"/>
        </w:rPr>
        <w:tab/>
      </w:r>
      <w:r w:rsidRPr="007640CE">
        <w:rPr>
          <w:rFonts w:cs="Times New Roman"/>
        </w:rPr>
        <w:t>This field is optional and can be removed if Daily Capped Rate and/or Daily Floored Rate is not applicable.</w:t>
      </w:r>
    </w:p>
  </w:footnote>
  <w:footnote w:id="6">
    <w:p w14:paraId="5600010E" w14:textId="77777777" w:rsidR="00F34423" w:rsidRDefault="00F34423" w:rsidP="002D4C0F">
      <w:pPr>
        <w:pStyle w:val="FootnoteText"/>
      </w:pPr>
      <w:r>
        <w:rPr>
          <w:rStyle w:val="FootnoteReference"/>
        </w:rPr>
        <w:footnoteRef/>
      </w:r>
      <w:r>
        <w:tab/>
      </w:r>
      <w:r w:rsidRPr="00160FD5">
        <w:rPr>
          <w:rFonts w:cs="Times New Roman"/>
        </w:rPr>
        <w:t>Bracketed language is not necessary if this date is to be adjusted in accordance with the Modified Following Business Day Convention, as provided in the 2006 ISDA Definitions.</w:t>
      </w:r>
      <w:r>
        <w:t xml:space="preserve"> </w:t>
      </w:r>
    </w:p>
  </w:footnote>
  <w:footnote w:id="7">
    <w:p w14:paraId="59354F40" w14:textId="77777777" w:rsidR="00F34423" w:rsidRDefault="00F34423" w:rsidP="002D4C0F">
      <w:pPr>
        <w:pStyle w:val="FootnoteText"/>
      </w:pPr>
      <w:r>
        <w:rPr>
          <w:rStyle w:val="FootnoteReference"/>
        </w:rPr>
        <w:footnoteRef/>
      </w:r>
      <w:r w:rsidRPr="00160FD5">
        <w:rPr>
          <w:rFonts w:cs="Times New Roman"/>
        </w:rPr>
        <w:tab/>
        <w:t>Bracketed language is not necessary if this date is to be adjusted in accordance with the Modified Following Business Day Convention, as provided in the 2006 ISDA Definitions</w:t>
      </w:r>
      <w:r w:rsidRPr="00E329FA">
        <w:t>.</w:t>
      </w:r>
      <w:r>
        <w:t xml:space="preserve"> </w:t>
      </w:r>
    </w:p>
  </w:footnote>
  <w:footnote w:id="8">
    <w:p w14:paraId="6D2E29EE" w14:textId="77777777" w:rsidR="00F34423" w:rsidRDefault="00F34423" w:rsidP="002D4C0F">
      <w:pPr>
        <w:pStyle w:val="FootnoteText"/>
      </w:pPr>
      <w:r>
        <w:rPr>
          <w:rStyle w:val="FootnoteReference"/>
        </w:rPr>
        <w:footnoteRef/>
      </w:r>
      <w:r>
        <w:tab/>
      </w:r>
      <w:r w:rsidRPr="00160FD5">
        <w:rPr>
          <w:rFonts w:cs="Times New Roman"/>
        </w:rPr>
        <w:t>Bracketed language is not necessary if this date is to be adjusted in accordance with the Modified Following Business Day Convention, as provided in the 2006 ISDA Definitions</w:t>
      </w:r>
      <w:r w:rsidRPr="00E329FA">
        <w:t>.</w:t>
      </w:r>
      <w:r>
        <w:t xml:space="preserve"> </w:t>
      </w:r>
    </w:p>
  </w:footnote>
  <w:footnote w:id="9">
    <w:p w14:paraId="19512168" w14:textId="77777777" w:rsidR="000E291B" w:rsidRPr="0085778E" w:rsidRDefault="000E291B" w:rsidP="002D4C0F">
      <w:pPr>
        <w:pStyle w:val="FootnoteText"/>
        <w:rPr>
          <w:rFonts w:cs="Times New Roman"/>
        </w:rPr>
      </w:pPr>
      <w:r w:rsidRPr="0085778E">
        <w:rPr>
          <w:rStyle w:val="FootnoteReference"/>
          <w:rFonts w:cs="Times New Roman"/>
        </w:rPr>
        <w:footnoteRef/>
      </w:r>
      <w:r w:rsidRPr="0085778E">
        <w:rPr>
          <w:rFonts w:cs="Times New Roman"/>
        </w:rPr>
        <w:tab/>
        <w:t xml:space="preserve">If the Calculation Agent is a third party, the parties may wish to consider any documentation necessary to confirm its undertaking to act in that capacity.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1076B7"/>
    <w:multiLevelType w:val="multilevel"/>
    <w:tmpl w:val="466AB0A8"/>
    <w:lvl w:ilvl="0">
      <w:start w:val="1"/>
      <w:numFmt w:val="decimal"/>
      <w:pStyle w:val="Arabic2-1"/>
      <w:lvlText w:val="%1."/>
      <w:lvlJc w:val="left"/>
      <w:pPr>
        <w:tabs>
          <w:tab w:val="num" w:pos="992"/>
        </w:tabs>
        <w:ind w:left="992"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6" w15:restartNumberingAfterBreak="0">
    <w:nsid w:val="08D03504"/>
    <w:multiLevelType w:val="multilevel"/>
    <w:tmpl w:val="45E60E26"/>
    <w:numStyleLink w:val="LLListNumbers"/>
  </w:abstractNum>
  <w:abstractNum w:abstractNumId="17" w15:restartNumberingAfterBreak="0">
    <w:nsid w:val="0B2668E4"/>
    <w:multiLevelType w:val="multilevel"/>
    <w:tmpl w:val="DF1CD8FE"/>
    <w:numStyleLink w:val="LLLevel"/>
  </w:abstractNum>
  <w:abstractNum w:abstractNumId="18"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9" w15:restartNumberingAfterBreak="0">
    <w:nsid w:val="0C2776A1"/>
    <w:multiLevelType w:val="multilevel"/>
    <w:tmpl w:val="6B8A2852"/>
    <w:numStyleLink w:val="LLalpha"/>
  </w:abstractNum>
  <w:abstractNum w:abstractNumId="20" w15:restartNumberingAfterBreak="0">
    <w:nsid w:val="0CBB1AC4"/>
    <w:multiLevelType w:val="multilevel"/>
    <w:tmpl w:val="C3541724"/>
    <w:numStyleLink w:val="LLTC"/>
  </w:abstractNum>
  <w:abstractNum w:abstractNumId="21"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2" w15:restartNumberingAfterBreak="0">
    <w:nsid w:val="10095054"/>
    <w:multiLevelType w:val="multilevel"/>
    <w:tmpl w:val="9F565188"/>
    <w:numStyleLink w:val="LLTable"/>
  </w:abstractNum>
  <w:abstractNum w:abstractNumId="23"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4" w15:restartNumberingAfterBreak="0">
    <w:nsid w:val="113711E7"/>
    <w:multiLevelType w:val="multilevel"/>
    <w:tmpl w:val="7D1E5C80"/>
    <w:numStyleLink w:val="LLScheduleHeading"/>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umStyleLink w:val="LLbullet"/>
  </w:abstractNum>
  <w:abstractNum w:abstractNumId="27"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7F07682"/>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30"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umStyleLink w:val="LLParties"/>
  </w:abstractNum>
  <w:abstractNum w:abstractNumId="33" w15:restartNumberingAfterBreak="0">
    <w:nsid w:val="1DFD20A0"/>
    <w:multiLevelType w:val="hybridMultilevel"/>
    <w:tmpl w:val="69D81B68"/>
    <w:lvl w:ilvl="0" w:tplc="DA103A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5" w15:restartNumberingAfterBreak="0">
    <w:nsid w:val="21DF2964"/>
    <w:multiLevelType w:val="multilevel"/>
    <w:tmpl w:val="A9EE9E02"/>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6" w15:restartNumberingAfterBreak="0">
    <w:nsid w:val="265C4397"/>
    <w:multiLevelType w:val="multilevel"/>
    <w:tmpl w:val="F5AA3B4C"/>
    <w:numStyleLink w:val="LLTOC"/>
  </w:abstractNum>
  <w:abstractNum w:abstractNumId="37"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9" w15:restartNumberingAfterBreak="0">
    <w:nsid w:val="2B5C1D6C"/>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40"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1" w15:restartNumberingAfterBreak="0">
    <w:nsid w:val="2F6A3876"/>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42" w15:restartNumberingAfterBreak="0">
    <w:nsid w:val="325637B4"/>
    <w:multiLevelType w:val="multilevel"/>
    <w:tmpl w:val="5770BC38"/>
    <w:numStyleLink w:val="LLdoublealpha"/>
  </w:abstractNum>
  <w:abstractNum w:abstractNumId="43" w15:restartNumberingAfterBreak="0">
    <w:nsid w:val="337A093D"/>
    <w:multiLevelType w:val="multilevel"/>
    <w:tmpl w:val="75BC11A0"/>
    <w:numStyleLink w:val="LLUCAlpha"/>
  </w:abstractNum>
  <w:abstractNum w:abstractNumId="44"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5"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F6369D8"/>
    <w:multiLevelType w:val="multilevel"/>
    <w:tmpl w:val="D4A44AA8"/>
    <w:numStyleLink w:val="LLengage"/>
  </w:abstractNum>
  <w:abstractNum w:abstractNumId="47" w15:restartNumberingAfterBreak="0">
    <w:nsid w:val="414C5001"/>
    <w:multiLevelType w:val="multilevel"/>
    <w:tmpl w:val="3F4E1D08"/>
    <w:styleLink w:val="LLTableroman"/>
    <w:lvl w:ilvl="0">
      <w:start w:val="1"/>
      <w:numFmt w:val="lower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8"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9"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0"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1" w15:restartNumberingAfterBreak="0">
    <w:nsid w:val="51CD6F62"/>
    <w:multiLevelType w:val="hybridMultilevel"/>
    <w:tmpl w:val="E9BC675A"/>
    <w:lvl w:ilvl="0" w:tplc="ED8A7F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C20CF1"/>
    <w:multiLevelType w:val="multilevel"/>
    <w:tmpl w:val="579ECC4A"/>
    <w:numStyleLink w:val="LLroman"/>
  </w:abstractNum>
  <w:abstractNum w:abstractNumId="53"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4" w15:restartNumberingAfterBreak="0">
    <w:nsid w:val="56F71436"/>
    <w:multiLevelType w:val="multilevel"/>
    <w:tmpl w:val="383CCEC4"/>
    <w:numStyleLink w:val="LLdashbullet"/>
  </w:abstractNum>
  <w:abstractNum w:abstractNumId="55" w15:restartNumberingAfterBreak="0">
    <w:nsid w:val="572F5BE2"/>
    <w:multiLevelType w:val="hybridMultilevel"/>
    <w:tmpl w:val="68C85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547DDA"/>
    <w:multiLevelType w:val="multilevel"/>
    <w:tmpl w:val="C054F7D8"/>
    <w:numStyleLink w:val="LLTablebullet"/>
  </w:abstractNum>
  <w:abstractNum w:abstractNumId="57"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9" w15:restartNumberingAfterBreak="0">
    <w:nsid w:val="6D8721FF"/>
    <w:multiLevelType w:val="multilevel"/>
    <w:tmpl w:val="FF669768"/>
    <w:numStyleLink w:val="LLTablealpha"/>
  </w:abstractNum>
  <w:abstractNum w:abstractNumId="60" w15:restartNumberingAfterBreak="0">
    <w:nsid w:val="720A2EA5"/>
    <w:multiLevelType w:val="multilevel"/>
    <w:tmpl w:val="CD34D7B6"/>
    <w:numStyleLink w:val="FormCOBody"/>
  </w:abstractNum>
  <w:abstractNum w:abstractNumId="61"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2" w15:restartNumberingAfterBreak="0">
    <w:nsid w:val="7C260529"/>
    <w:multiLevelType w:val="multilevel"/>
    <w:tmpl w:val="F49C9BD6"/>
    <w:numStyleLink w:val="LLUCRoman"/>
  </w:abstractNum>
  <w:abstractNum w:abstractNumId="63" w15:restartNumberingAfterBreak="0">
    <w:nsid w:val="7EC40046"/>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num w:numId="1">
    <w:abstractNumId w:val="50"/>
  </w:num>
  <w:num w:numId="2">
    <w:abstractNumId w:val="61"/>
  </w:num>
  <w:num w:numId="3">
    <w:abstractNumId w:val="44"/>
  </w:num>
  <w:num w:numId="4">
    <w:abstractNumId w:val="34"/>
  </w:num>
  <w:num w:numId="5">
    <w:abstractNumId w:val="48"/>
  </w:num>
  <w:num w:numId="6">
    <w:abstractNumId w:val="41"/>
  </w:num>
  <w:num w:numId="7">
    <w:abstractNumId w:val="15"/>
  </w:num>
  <w:num w:numId="8">
    <w:abstractNumId w:val="40"/>
  </w:num>
  <w:num w:numId="9">
    <w:abstractNumId w:val="27"/>
  </w:num>
  <w:num w:numId="10">
    <w:abstractNumId w:val="58"/>
  </w:num>
  <w:num w:numId="11">
    <w:abstractNumId w:val="23"/>
  </w:num>
  <w:num w:numId="12">
    <w:abstractNumId w:val="49"/>
  </w:num>
  <w:num w:numId="13">
    <w:abstractNumId w:val="21"/>
  </w:num>
  <w:num w:numId="14">
    <w:abstractNumId w:val="53"/>
  </w:num>
  <w:num w:numId="15">
    <w:abstractNumId w:val="31"/>
  </w:num>
  <w:num w:numId="16">
    <w:abstractNumId w:val="12"/>
  </w:num>
  <w:num w:numId="17">
    <w:abstractNumId w:val="47"/>
  </w:num>
  <w:num w:numId="18">
    <w:abstractNumId w:val="45"/>
  </w:num>
  <w:num w:numId="19">
    <w:abstractNumId w:val="18"/>
  </w:num>
  <w:num w:numId="20">
    <w:abstractNumId w:val="30"/>
  </w:num>
  <w:num w:numId="21">
    <w:abstractNumId w:val="36"/>
  </w:num>
  <w:num w:numId="22">
    <w:abstractNumId w:val="39"/>
  </w:num>
  <w:num w:numId="23">
    <w:abstractNumId w:val="17"/>
  </w:num>
  <w:num w:numId="24">
    <w:abstractNumId w:val="5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57"/>
  </w:num>
  <w:num w:numId="36">
    <w:abstractNumId w:val="25"/>
  </w:num>
  <w:num w:numId="37">
    <w:abstractNumId w:val="37"/>
  </w:num>
  <w:num w:numId="38">
    <w:abstractNumId w:val="28"/>
  </w:num>
  <w:num w:numId="39">
    <w:abstractNumId w:val="38"/>
  </w:num>
  <w:num w:numId="40">
    <w:abstractNumId w:val="60"/>
  </w:num>
  <w:num w:numId="41">
    <w:abstractNumId w:val="19"/>
  </w:num>
  <w:num w:numId="42">
    <w:abstractNumId w:val="54"/>
  </w:num>
  <w:num w:numId="43">
    <w:abstractNumId w:val="63"/>
  </w:num>
  <w:num w:numId="44">
    <w:abstractNumId w:val="26"/>
  </w:num>
  <w:num w:numId="45">
    <w:abstractNumId w:val="42"/>
  </w:num>
  <w:num w:numId="46">
    <w:abstractNumId w:val="46"/>
  </w:num>
  <w:num w:numId="47">
    <w:abstractNumId w:val="29"/>
  </w:num>
  <w:num w:numId="48">
    <w:abstractNumId w:val="16"/>
  </w:num>
  <w:num w:numId="49">
    <w:abstractNumId w:val="32"/>
  </w:num>
  <w:num w:numId="50">
    <w:abstractNumId w:val="11"/>
  </w:num>
  <w:num w:numId="51">
    <w:abstractNumId w:val="52"/>
  </w:num>
  <w:num w:numId="52">
    <w:abstractNumId w:val="13"/>
  </w:num>
  <w:num w:numId="53">
    <w:abstractNumId w:val="24"/>
  </w:num>
  <w:num w:numId="54">
    <w:abstractNumId w:val="20"/>
  </w:num>
  <w:num w:numId="55">
    <w:abstractNumId w:val="22"/>
  </w:num>
  <w:num w:numId="56">
    <w:abstractNumId w:val="59"/>
  </w:num>
  <w:num w:numId="57">
    <w:abstractNumId w:val="35"/>
  </w:num>
  <w:num w:numId="58">
    <w:abstractNumId w:val="43"/>
  </w:num>
  <w:num w:numId="59">
    <w:abstractNumId w:val="62"/>
  </w:num>
  <w:num w:numId="60">
    <w:abstractNumId w:val="10"/>
  </w:num>
  <w:num w:numId="61">
    <w:abstractNumId w:val="14"/>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55"/>
  </w:num>
  <w:num w:numId="65">
    <w:abstractNumId w:val="33"/>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2D4C0F"/>
    <w:rsid w:val="00003353"/>
    <w:rsid w:val="00004861"/>
    <w:rsid w:val="00021833"/>
    <w:rsid w:val="0002770F"/>
    <w:rsid w:val="00030CD1"/>
    <w:rsid w:val="00037492"/>
    <w:rsid w:val="000508EF"/>
    <w:rsid w:val="00062A85"/>
    <w:rsid w:val="000665B2"/>
    <w:rsid w:val="00072B06"/>
    <w:rsid w:val="00075BA9"/>
    <w:rsid w:val="0007706F"/>
    <w:rsid w:val="00081621"/>
    <w:rsid w:val="0009122B"/>
    <w:rsid w:val="000921C6"/>
    <w:rsid w:val="000C3E25"/>
    <w:rsid w:val="000D5842"/>
    <w:rsid w:val="000E1F97"/>
    <w:rsid w:val="000E291B"/>
    <w:rsid w:val="000E5B96"/>
    <w:rsid w:val="001039D3"/>
    <w:rsid w:val="001122DA"/>
    <w:rsid w:val="00112520"/>
    <w:rsid w:val="001163CC"/>
    <w:rsid w:val="00122E0C"/>
    <w:rsid w:val="00132640"/>
    <w:rsid w:val="001463A4"/>
    <w:rsid w:val="00153BCE"/>
    <w:rsid w:val="00160754"/>
    <w:rsid w:val="00160AA6"/>
    <w:rsid w:val="001626C9"/>
    <w:rsid w:val="00170832"/>
    <w:rsid w:val="00174F39"/>
    <w:rsid w:val="00180F8D"/>
    <w:rsid w:val="001824E6"/>
    <w:rsid w:val="00186C59"/>
    <w:rsid w:val="001A4707"/>
    <w:rsid w:val="001B052B"/>
    <w:rsid w:val="001B27B2"/>
    <w:rsid w:val="001B2E01"/>
    <w:rsid w:val="001B32A8"/>
    <w:rsid w:val="001C352F"/>
    <w:rsid w:val="001C398D"/>
    <w:rsid w:val="001C6A07"/>
    <w:rsid w:val="001D147D"/>
    <w:rsid w:val="001D2248"/>
    <w:rsid w:val="001D6E30"/>
    <w:rsid w:val="001E155F"/>
    <w:rsid w:val="001E1887"/>
    <w:rsid w:val="001E23D7"/>
    <w:rsid w:val="002063E8"/>
    <w:rsid w:val="0020760D"/>
    <w:rsid w:val="002111DC"/>
    <w:rsid w:val="002159F8"/>
    <w:rsid w:val="00234887"/>
    <w:rsid w:val="00244B87"/>
    <w:rsid w:val="00255A8B"/>
    <w:rsid w:val="00267644"/>
    <w:rsid w:val="00270EB9"/>
    <w:rsid w:val="002720E5"/>
    <w:rsid w:val="002774DB"/>
    <w:rsid w:val="00282FCB"/>
    <w:rsid w:val="002876D9"/>
    <w:rsid w:val="002A4252"/>
    <w:rsid w:val="002A6A04"/>
    <w:rsid w:val="002B2A5F"/>
    <w:rsid w:val="002B473D"/>
    <w:rsid w:val="002D0F1F"/>
    <w:rsid w:val="002D4C0F"/>
    <w:rsid w:val="002E4A01"/>
    <w:rsid w:val="002E708C"/>
    <w:rsid w:val="002F5B77"/>
    <w:rsid w:val="002F7593"/>
    <w:rsid w:val="003001E5"/>
    <w:rsid w:val="00304CBF"/>
    <w:rsid w:val="00316108"/>
    <w:rsid w:val="00323FE9"/>
    <w:rsid w:val="00327787"/>
    <w:rsid w:val="0033385D"/>
    <w:rsid w:val="00350E2D"/>
    <w:rsid w:val="00361797"/>
    <w:rsid w:val="00362386"/>
    <w:rsid w:val="00364965"/>
    <w:rsid w:val="00371AB7"/>
    <w:rsid w:val="003850F5"/>
    <w:rsid w:val="00391F0D"/>
    <w:rsid w:val="003940E5"/>
    <w:rsid w:val="003A1BEE"/>
    <w:rsid w:val="003A2737"/>
    <w:rsid w:val="003A2AB7"/>
    <w:rsid w:val="003A4194"/>
    <w:rsid w:val="003A683A"/>
    <w:rsid w:val="003B0899"/>
    <w:rsid w:val="003B0964"/>
    <w:rsid w:val="003B0B81"/>
    <w:rsid w:val="003B4589"/>
    <w:rsid w:val="003C7654"/>
    <w:rsid w:val="003F7B2A"/>
    <w:rsid w:val="0040352A"/>
    <w:rsid w:val="004054C9"/>
    <w:rsid w:val="00405BFE"/>
    <w:rsid w:val="00406FFB"/>
    <w:rsid w:val="00411DF4"/>
    <w:rsid w:val="00414908"/>
    <w:rsid w:val="00426DE4"/>
    <w:rsid w:val="0043647F"/>
    <w:rsid w:val="004367A4"/>
    <w:rsid w:val="004367AB"/>
    <w:rsid w:val="00464244"/>
    <w:rsid w:val="00485155"/>
    <w:rsid w:val="0048643A"/>
    <w:rsid w:val="004A150F"/>
    <w:rsid w:val="004A3A72"/>
    <w:rsid w:val="004B2229"/>
    <w:rsid w:val="004C1B6F"/>
    <w:rsid w:val="004C3271"/>
    <w:rsid w:val="004C5DA6"/>
    <w:rsid w:val="004E7850"/>
    <w:rsid w:val="0050281F"/>
    <w:rsid w:val="00502F67"/>
    <w:rsid w:val="00504FF9"/>
    <w:rsid w:val="005136B7"/>
    <w:rsid w:val="00514E78"/>
    <w:rsid w:val="005202EE"/>
    <w:rsid w:val="005230D3"/>
    <w:rsid w:val="0052453A"/>
    <w:rsid w:val="00530FDD"/>
    <w:rsid w:val="005331BA"/>
    <w:rsid w:val="005462F0"/>
    <w:rsid w:val="0056062E"/>
    <w:rsid w:val="00577F69"/>
    <w:rsid w:val="00595D34"/>
    <w:rsid w:val="005B6B7E"/>
    <w:rsid w:val="005D0D46"/>
    <w:rsid w:val="005E3920"/>
    <w:rsid w:val="005E4725"/>
    <w:rsid w:val="005F726F"/>
    <w:rsid w:val="00606A61"/>
    <w:rsid w:val="00606BD0"/>
    <w:rsid w:val="0061280E"/>
    <w:rsid w:val="00615F8E"/>
    <w:rsid w:val="006322F1"/>
    <w:rsid w:val="006362D6"/>
    <w:rsid w:val="00644326"/>
    <w:rsid w:val="0065151F"/>
    <w:rsid w:val="00653618"/>
    <w:rsid w:val="00667FFA"/>
    <w:rsid w:val="006807D8"/>
    <w:rsid w:val="00681187"/>
    <w:rsid w:val="0068515E"/>
    <w:rsid w:val="006A52DF"/>
    <w:rsid w:val="006A7AEA"/>
    <w:rsid w:val="006B48F2"/>
    <w:rsid w:val="006C543D"/>
    <w:rsid w:val="006D168C"/>
    <w:rsid w:val="006E52F9"/>
    <w:rsid w:val="006F030D"/>
    <w:rsid w:val="006F457B"/>
    <w:rsid w:val="00701C26"/>
    <w:rsid w:val="00703610"/>
    <w:rsid w:val="0070783C"/>
    <w:rsid w:val="007121BE"/>
    <w:rsid w:val="007147A3"/>
    <w:rsid w:val="007173CE"/>
    <w:rsid w:val="00725E64"/>
    <w:rsid w:val="007404AD"/>
    <w:rsid w:val="00746FB5"/>
    <w:rsid w:val="007504F5"/>
    <w:rsid w:val="007579EF"/>
    <w:rsid w:val="00762743"/>
    <w:rsid w:val="007806ED"/>
    <w:rsid w:val="00782908"/>
    <w:rsid w:val="00782A7B"/>
    <w:rsid w:val="00786ED7"/>
    <w:rsid w:val="00790697"/>
    <w:rsid w:val="007A03DD"/>
    <w:rsid w:val="007A2C6F"/>
    <w:rsid w:val="007B033C"/>
    <w:rsid w:val="007B17F3"/>
    <w:rsid w:val="007B1C4D"/>
    <w:rsid w:val="007D1E0B"/>
    <w:rsid w:val="007E12B6"/>
    <w:rsid w:val="007F166B"/>
    <w:rsid w:val="007F5EC5"/>
    <w:rsid w:val="00813F00"/>
    <w:rsid w:val="00826ED4"/>
    <w:rsid w:val="008328BD"/>
    <w:rsid w:val="00834AEC"/>
    <w:rsid w:val="00836E6A"/>
    <w:rsid w:val="0084230F"/>
    <w:rsid w:val="008445B3"/>
    <w:rsid w:val="008817E9"/>
    <w:rsid w:val="008843B2"/>
    <w:rsid w:val="00892233"/>
    <w:rsid w:val="008922F1"/>
    <w:rsid w:val="00893677"/>
    <w:rsid w:val="0089392F"/>
    <w:rsid w:val="0089732E"/>
    <w:rsid w:val="008A258B"/>
    <w:rsid w:val="008A71E2"/>
    <w:rsid w:val="008B1D97"/>
    <w:rsid w:val="008B2EBD"/>
    <w:rsid w:val="008C55B6"/>
    <w:rsid w:val="008D2E1E"/>
    <w:rsid w:val="008D4497"/>
    <w:rsid w:val="008D46E1"/>
    <w:rsid w:val="008E102D"/>
    <w:rsid w:val="00906C6C"/>
    <w:rsid w:val="009111BE"/>
    <w:rsid w:val="00917F78"/>
    <w:rsid w:val="0092191D"/>
    <w:rsid w:val="0093377B"/>
    <w:rsid w:val="009351D2"/>
    <w:rsid w:val="009420B5"/>
    <w:rsid w:val="00945362"/>
    <w:rsid w:val="009468E3"/>
    <w:rsid w:val="009563C1"/>
    <w:rsid w:val="00956AFB"/>
    <w:rsid w:val="00960A79"/>
    <w:rsid w:val="009702CB"/>
    <w:rsid w:val="0098164B"/>
    <w:rsid w:val="00982898"/>
    <w:rsid w:val="009A7A10"/>
    <w:rsid w:val="009C15FB"/>
    <w:rsid w:val="009C25E3"/>
    <w:rsid w:val="009C44A0"/>
    <w:rsid w:val="009C500A"/>
    <w:rsid w:val="009E6A08"/>
    <w:rsid w:val="009F02DB"/>
    <w:rsid w:val="009F76C9"/>
    <w:rsid w:val="00A01061"/>
    <w:rsid w:val="00A13DB0"/>
    <w:rsid w:val="00A170EE"/>
    <w:rsid w:val="00A17F15"/>
    <w:rsid w:val="00A27274"/>
    <w:rsid w:val="00A34CE2"/>
    <w:rsid w:val="00A351AA"/>
    <w:rsid w:val="00A47253"/>
    <w:rsid w:val="00A5500F"/>
    <w:rsid w:val="00A6353E"/>
    <w:rsid w:val="00A6485C"/>
    <w:rsid w:val="00A649DE"/>
    <w:rsid w:val="00A71564"/>
    <w:rsid w:val="00A802B6"/>
    <w:rsid w:val="00A87828"/>
    <w:rsid w:val="00A90873"/>
    <w:rsid w:val="00AB1E95"/>
    <w:rsid w:val="00AB26A1"/>
    <w:rsid w:val="00AC08BF"/>
    <w:rsid w:val="00AC73A1"/>
    <w:rsid w:val="00AC7E95"/>
    <w:rsid w:val="00AE1C24"/>
    <w:rsid w:val="00AF56D5"/>
    <w:rsid w:val="00AF69C6"/>
    <w:rsid w:val="00B10D53"/>
    <w:rsid w:val="00B152C6"/>
    <w:rsid w:val="00B17CA9"/>
    <w:rsid w:val="00B20189"/>
    <w:rsid w:val="00B20A88"/>
    <w:rsid w:val="00B242E7"/>
    <w:rsid w:val="00B34F24"/>
    <w:rsid w:val="00B40FF7"/>
    <w:rsid w:val="00B416FE"/>
    <w:rsid w:val="00B510CB"/>
    <w:rsid w:val="00B52E6B"/>
    <w:rsid w:val="00B612F9"/>
    <w:rsid w:val="00B62293"/>
    <w:rsid w:val="00B71AA0"/>
    <w:rsid w:val="00B72F1F"/>
    <w:rsid w:val="00B74550"/>
    <w:rsid w:val="00B77D72"/>
    <w:rsid w:val="00B808E0"/>
    <w:rsid w:val="00B87837"/>
    <w:rsid w:val="00B922A0"/>
    <w:rsid w:val="00BA0253"/>
    <w:rsid w:val="00BB0A00"/>
    <w:rsid w:val="00BB7A29"/>
    <w:rsid w:val="00BC1E1A"/>
    <w:rsid w:val="00BC5681"/>
    <w:rsid w:val="00BD1781"/>
    <w:rsid w:val="00BD1C1D"/>
    <w:rsid w:val="00BE01DC"/>
    <w:rsid w:val="00BF116A"/>
    <w:rsid w:val="00BF3D83"/>
    <w:rsid w:val="00C07CF6"/>
    <w:rsid w:val="00C35413"/>
    <w:rsid w:val="00C36F4B"/>
    <w:rsid w:val="00C41222"/>
    <w:rsid w:val="00C453D6"/>
    <w:rsid w:val="00C54054"/>
    <w:rsid w:val="00C543FE"/>
    <w:rsid w:val="00C556F5"/>
    <w:rsid w:val="00C56D76"/>
    <w:rsid w:val="00C812E8"/>
    <w:rsid w:val="00C82590"/>
    <w:rsid w:val="00C85350"/>
    <w:rsid w:val="00CB60C1"/>
    <w:rsid w:val="00CC592F"/>
    <w:rsid w:val="00CC639B"/>
    <w:rsid w:val="00CE27E4"/>
    <w:rsid w:val="00CF1782"/>
    <w:rsid w:val="00CF562E"/>
    <w:rsid w:val="00D01426"/>
    <w:rsid w:val="00D024A4"/>
    <w:rsid w:val="00D23A38"/>
    <w:rsid w:val="00D26207"/>
    <w:rsid w:val="00D33ADB"/>
    <w:rsid w:val="00D46602"/>
    <w:rsid w:val="00D5297B"/>
    <w:rsid w:val="00D70754"/>
    <w:rsid w:val="00D7347A"/>
    <w:rsid w:val="00D84C31"/>
    <w:rsid w:val="00D958D3"/>
    <w:rsid w:val="00D95AE0"/>
    <w:rsid w:val="00DA20BB"/>
    <w:rsid w:val="00DB5A0B"/>
    <w:rsid w:val="00DC60E7"/>
    <w:rsid w:val="00DD3BC6"/>
    <w:rsid w:val="00DD567D"/>
    <w:rsid w:val="00DE018B"/>
    <w:rsid w:val="00DE041E"/>
    <w:rsid w:val="00E02078"/>
    <w:rsid w:val="00E0346E"/>
    <w:rsid w:val="00E101A4"/>
    <w:rsid w:val="00E13E37"/>
    <w:rsid w:val="00E257C1"/>
    <w:rsid w:val="00E30A7F"/>
    <w:rsid w:val="00E34498"/>
    <w:rsid w:val="00E40895"/>
    <w:rsid w:val="00E41616"/>
    <w:rsid w:val="00E47616"/>
    <w:rsid w:val="00E51C47"/>
    <w:rsid w:val="00E55C93"/>
    <w:rsid w:val="00E55E44"/>
    <w:rsid w:val="00E62A50"/>
    <w:rsid w:val="00EA0464"/>
    <w:rsid w:val="00EB4A42"/>
    <w:rsid w:val="00EB62B3"/>
    <w:rsid w:val="00EE18A0"/>
    <w:rsid w:val="00EE28AE"/>
    <w:rsid w:val="00EE35AC"/>
    <w:rsid w:val="00EE41BE"/>
    <w:rsid w:val="00F0035E"/>
    <w:rsid w:val="00F04990"/>
    <w:rsid w:val="00F12D94"/>
    <w:rsid w:val="00F13A3A"/>
    <w:rsid w:val="00F17C54"/>
    <w:rsid w:val="00F21E7C"/>
    <w:rsid w:val="00F22D19"/>
    <w:rsid w:val="00F235F7"/>
    <w:rsid w:val="00F34423"/>
    <w:rsid w:val="00F45049"/>
    <w:rsid w:val="00F74302"/>
    <w:rsid w:val="00F94563"/>
    <w:rsid w:val="00F9718A"/>
    <w:rsid w:val="00F978CE"/>
    <w:rsid w:val="00FA701E"/>
    <w:rsid w:val="00FC273F"/>
    <w:rsid w:val="00FC6747"/>
    <w:rsid w:val="00FD7A7E"/>
    <w:rsid w:val="00FE583B"/>
    <w:rsid w:val="00FE5B6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56F1F008"/>
  <w15:chartTrackingRefBased/>
  <w15:docId w15:val="{93A13A19-CDF7-4FF9-9A31-EFB1B27D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5202EE"/>
    <w:pPr>
      <w:spacing w:after="0" w:line="240" w:lineRule="auto"/>
    </w:pPr>
    <w:rPr>
      <w:rFonts w:ascii="Times New Roman" w:hAnsi="Times New Roman"/>
    </w:rPr>
  </w:style>
  <w:style w:type="paragraph" w:styleId="Heading1">
    <w:name w:val="heading 1"/>
    <w:basedOn w:val="Normal"/>
    <w:next w:val="Normal"/>
    <w:link w:val="Heading1Char"/>
    <w:unhideWhenUsed/>
    <w:rsid w:val="00411DF4"/>
    <w:pPr>
      <w:numPr>
        <w:numId w:val="37"/>
      </w:numPr>
      <w:outlineLvl w:val="0"/>
    </w:pPr>
    <w:rPr>
      <w:rFonts w:eastAsia="Times New Roman" w:cs="Arial"/>
      <w:bCs/>
      <w:szCs w:val="32"/>
      <w:lang w:eastAsia="en-GB"/>
    </w:rPr>
  </w:style>
  <w:style w:type="paragraph" w:styleId="Heading2">
    <w:name w:val="heading 2"/>
    <w:basedOn w:val="Normal"/>
    <w:next w:val="Normal"/>
    <w:link w:val="Heading2Char"/>
    <w:unhideWhenUsed/>
    <w:qFormat/>
    <w:rsid w:val="00411DF4"/>
    <w:pPr>
      <w:numPr>
        <w:ilvl w:val="1"/>
        <w:numId w:val="37"/>
      </w:numPr>
      <w:outlineLvl w:val="1"/>
    </w:pPr>
    <w:rPr>
      <w:rFonts w:eastAsia="Times New Roman" w:cs="Arial"/>
      <w:bCs/>
      <w:iCs/>
      <w:szCs w:val="28"/>
      <w:lang w:eastAsia="en-GB"/>
    </w:rPr>
  </w:style>
  <w:style w:type="paragraph" w:styleId="Heading3">
    <w:name w:val="heading 3"/>
    <w:basedOn w:val="Normal"/>
    <w:next w:val="Normal"/>
    <w:link w:val="Heading3Char"/>
    <w:unhideWhenUsed/>
    <w:qFormat/>
    <w:rsid w:val="00411DF4"/>
    <w:pPr>
      <w:numPr>
        <w:ilvl w:val="2"/>
        <w:numId w:val="37"/>
      </w:numPr>
      <w:outlineLvl w:val="2"/>
    </w:pPr>
    <w:rPr>
      <w:rFonts w:eastAsia="Times New Roman" w:cs="Arial"/>
      <w:bCs/>
      <w:szCs w:val="26"/>
      <w:lang w:eastAsia="en-GB"/>
    </w:rPr>
  </w:style>
  <w:style w:type="paragraph" w:styleId="Heading4">
    <w:name w:val="heading 4"/>
    <w:basedOn w:val="Normal"/>
    <w:next w:val="Normal"/>
    <w:link w:val="Heading4Char"/>
    <w:unhideWhenUsed/>
    <w:qFormat/>
    <w:rsid w:val="00411DF4"/>
    <w:pPr>
      <w:numPr>
        <w:ilvl w:val="3"/>
        <w:numId w:val="37"/>
      </w:numPr>
      <w:outlineLvl w:val="3"/>
    </w:pPr>
    <w:rPr>
      <w:rFonts w:eastAsia="Times New Roman" w:cs="Times New Roman"/>
      <w:bCs/>
      <w:szCs w:val="28"/>
      <w:lang w:eastAsia="en-GB"/>
    </w:rPr>
  </w:style>
  <w:style w:type="paragraph" w:styleId="Heading5">
    <w:name w:val="heading 5"/>
    <w:basedOn w:val="Normal"/>
    <w:next w:val="Normal"/>
    <w:link w:val="Heading5Char"/>
    <w:unhideWhenUsed/>
    <w:qFormat/>
    <w:rsid w:val="00411DF4"/>
    <w:pPr>
      <w:numPr>
        <w:ilvl w:val="4"/>
        <w:numId w:val="37"/>
      </w:numPr>
      <w:outlineLvl w:val="4"/>
    </w:pPr>
    <w:rPr>
      <w:rFonts w:eastAsia="Times New Roman" w:cs="Times New Roman"/>
      <w:bCs/>
      <w:iCs/>
      <w:szCs w:val="26"/>
      <w:lang w:eastAsia="en-GB"/>
    </w:rPr>
  </w:style>
  <w:style w:type="paragraph" w:styleId="Heading6">
    <w:name w:val="heading 6"/>
    <w:basedOn w:val="Normal"/>
    <w:next w:val="Normal"/>
    <w:link w:val="Heading6Char"/>
    <w:unhideWhenUsed/>
    <w:qFormat/>
    <w:rsid w:val="00411DF4"/>
    <w:pPr>
      <w:numPr>
        <w:ilvl w:val="5"/>
        <w:numId w:val="37"/>
      </w:numPr>
      <w:outlineLvl w:val="5"/>
    </w:pPr>
    <w:rPr>
      <w:rFonts w:eastAsia="Times New Roman" w:cs="Times New Roman"/>
      <w:bCs/>
      <w:lang w:eastAsia="en-GB"/>
    </w:rPr>
  </w:style>
  <w:style w:type="paragraph" w:styleId="Heading7">
    <w:name w:val="heading 7"/>
    <w:basedOn w:val="Normal"/>
    <w:next w:val="Normal"/>
    <w:link w:val="Heading7Char"/>
    <w:unhideWhenUsed/>
    <w:qFormat/>
    <w:rsid w:val="00411DF4"/>
    <w:pPr>
      <w:numPr>
        <w:ilvl w:val="6"/>
        <w:numId w:val="37"/>
      </w:numPr>
      <w:outlineLvl w:val="6"/>
    </w:pPr>
    <w:rPr>
      <w:rFonts w:eastAsia="Times New Roman" w:cs="Times New Roman"/>
      <w:szCs w:val="24"/>
      <w:lang w:eastAsia="en-GB"/>
    </w:rPr>
  </w:style>
  <w:style w:type="paragraph" w:styleId="Heading8">
    <w:name w:val="heading 8"/>
    <w:basedOn w:val="Normal"/>
    <w:next w:val="Normal"/>
    <w:link w:val="Heading8Char"/>
    <w:unhideWhenUsed/>
    <w:qFormat/>
    <w:rsid w:val="00411DF4"/>
    <w:pPr>
      <w:numPr>
        <w:ilvl w:val="7"/>
        <w:numId w:val="37"/>
      </w:numPr>
      <w:outlineLvl w:val="7"/>
    </w:pPr>
    <w:rPr>
      <w:rFonts w:eastAsia="Times New Roman" w:cs="Times New Roman"/>
      <w:iCs/>
      <w:szCs w:val="24"/>
      <w:lang w:eastAsia="en-GB"/>
    </w:rPr>
  </w:style>
  <w:style w:type="paragraph" w:styleId="Heading9">
    <w:name w:val="heading 9"/>
    <w:basedOn w:val="Normal"/>
    <w:next w:val="Normal"/>
    <w:link w:val="Heading9Char"/>
    <w:unhideWhenUsed/>
    <w:qFormat/>
    <w:rsid w:val="00411DF4"/>
    <w:pPr>
      <w:numPr>
        <w:ilvl w:val="8"/>
        <w:numId w:val="37"/>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unhideWhenUsed/>
    <w:rsid w:val="00CF1782"/>
    <w:pPr>
      <w:tabs>
        <w:tab w:val="center" w:pos="4366"/>
        <w:tab w:val="right" w:pos="8732"/>
      </w:tabs>
    </w:pPr>
    <w:rPr>
      <w:rFonts w:eastAsia="Times New Roman" w:cs="Times New Roman"/>
      <w:kern w:val="20"/>
      <w:szCs w:val="24"/>
      <w:lang w:eastAsia="en-GB"/>
    </w:rPr>
  </w:style>
  <w:style w:type="character" w:customStyle="1" w:styleId="Heading1Char">
    <w:name w:val="Heading 1 Char"/>
    <w:basedOn w:val="DefaultParagraphFont"/>
    <w:link w:val="Heading1"/>
    <w:rsid w:val="00FE583B"/>
    <w:rPr>
      <w:rFonts w:ascii="Arial" w:eastAsia="Times New Roman" w:hAnsi="Arial" w:cs="Arial"/>
      <w:bCs/>
      <w:sz w:val="20"/>
      <w:szCs w:val="32"/>
      <w:lang w:eastAsia="en-GB"/>
    </w:rPr>
  </w:style>
  <w:style w:type="paragraph" w:styleId="Footer">
    <w:name w:val="footer"/>
    <w:basedOn w:val="Normal"/>
    <w:link w:val="FooterChar"/>
    <w:unhideWhenUsed/>
    <w:rsid w:val="00606BD0"/>
    <w:pPr>
      <w:spacing w:before="120" w:after="120" w:line="290" w:lineRule="auto"/>
      <w:jc w:val="both"/>
    </w:pPr>
    <w:rPr>
      <w:sz w:val="16"/>
    </w:rPr>
  </w:style>
  <w:style w:type="character" w:customStyle="1" w:styleId="FooterChar">
    <w:name w:val="Footer Char"/>
    <w:basedOn w:val="DefaultParagraphFont"/>
    <w:link w:val="Footer"/>
    <w:rsid w:val="00FE583B"/>
    <w:rPr>
      <w:rFonts w:ascii="Arial" w:hAnsi="Arial"/>
      <w:sz w:val="16"/>
    </w:rPr>
  </w:style>
  <w:style w:type="paragraph" w:customStyle="1" w:styleId="alpha1">
    <w:name w:val="alpha 1"/>
    <w:basedOn w:val="Normal"/>
    <w:rsid w:val="00D23A38"/>
    <w:pPr>
      <w:numPr>
        <w:numId w:val="41"/>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41"/>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41"/>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41"/>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41"/>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41"/>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4"/>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4"/>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4"/>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4"/>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4"/>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4"/>
      </w:numPr>
      <w:spacing w:after="140" w:line="290" w:lineRule="auto"/>
      <w:jc w:val="both"/>
      <w:outlineLvl w:val="5"/>
    </w:pPr>
    <w:rPr>
      <w:rFonts w:cs="Times New Roman"/>
      <w:kern w:val="20"/>
    </w:rPr>
  </w:style>
  <w:style w:type="paragraph" w:customStyle="1" w:styleId="CellBody">
    <w:name w:val="CellBody"/>
    <w:basedOn w:val="Normal"/>
    <w:rsid w:val="00C453D6"/>
    <w:pPr>
      <w:spacing w:before="60" w:after="60" w:line="290" w:lineRule="auto"/>
      <w:jc w:val="both"/>
    </w:pPr>
    <w:rPr>
      <w:rFonts w:cs="Times New Roman"/>
      <w:kern w:val="20"/>
      <w:lang w:eastAsia="ja-JP"/>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42"/>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42"/>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42"/>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42"/>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42"/>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42"/>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6"/>
      </w:numPr>
      <w:spacing w:after="140" w:line="290" w:lineRule="auto"/>
    </w:pPr>
    <w:rPr>
      <w:rFonts w:cs="Times New Roman"/>
      <w:b/>
      <w:sz w:val="13"/>
    </w:rPr>
  </w:style>
  <w:style w:type="paragraph" w:customStyle="1" w:styleId="engageL2">
    <w:name w:val="engage_L2"/>
    <w:basedOn w:val="Normal"/>
    <w:qFormat/>
    <w:rsid w:val="00D23A38"/>
    <w:pPr>
      <w:numPr>
        <w:ilvl w:val="1"/>
        <w:numId w:val="46"/>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3"/>
      </w:numPr>
      <w:spacing w:before="280" w:after="140" w:line="290" w:lineRule="auto"/>
      <w:jc w:val="both"/>
      <w:outlineLvl w:val="0"/>
    </w:pPr>
    <w:rPr>
      <w:rFonts w:cs="Times New Roman"/>
      <w:b/>
      <w:bCs/>
      <w:kern w:val="20"/>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3"/>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3"/>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3"/>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3"/>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3"/>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3"/>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3"/>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3"/>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8"/>
      </w:numPr>
      <w:spacing w:after="140" w:line="290" w:lineRule="auto"/>
      <w:jc w:val="both"/>
      <w:outlineLvl w:val="0"/>
    </w:pPr>
    <w:rPr>
      <w:rFonts w:cs="Times New Roman"/>
      <w:kern w:val="20"/>
    </w:rPr>
  </w:style>
  <w:style w:type="paragraph" w:customStyle="1" w:styleId="Parties">
    <w:name w:val="Parties"/>
    <w:basedOn w:val="Normal"/>
    <w:rsid w:val="008B1D97"/>
    <w:pPr>
      <w:numPr>
        <w:numId w:val="49"/>
      </w:numPr>
      <w:spacing w:after="140" w:line="290" w:lineRule="auto"/>
      <w:jc w:val="both"/>
    </w:pPr>
    <w:rPr>
      <w:rFonts w:cs="Times New Roman"/>
      <w:kern w:val="20"/>
    </w:rPr>
  </w:style>
  <w:style w:type="paragraph" w:customStyle="1" w:styleId="Recitals">
    <w:name w:val="Recitals"/>
    <w:basedOn w:val="Normal"/>
    <w:rsid w:val="008B1D97"/>
    <w:pPr>
      <w:numPr>
        <w:numId w:val="50"/>
      </w:numPr>
      <w:spacing w:after="140" w:line="290" w:lineRule="auto"/>
      <w:jc w:val="both"/>
    </w:pPr>
    <w:rPr>
      <w:rFonts w:cs="Times New Roman"/>
      <w:kern w:val="20"/>
    </w:rPr>
  </w:style>
  <w:style w:type="paragraph" w:customStyle="1" w:styleId="roman1">
    <w:name w:val="roman 1"/>
    <w:basedOn w:val="Normal"/>
    <w:rsid w:val="008B1D97"/>
    <w:pPr>
      <w:numPr>
        <w:numId w:val="51"/>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51"/>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51"/>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51"/>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51"/>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51"/>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52"/>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52"/>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52"/>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52"/>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52"/>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52"/>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53"/>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54"/>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54"/>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54"/>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54"/>
      </w:numPr>
      <w:spacing w:after="140" w:line="290" w:lineRule="auto"/>
      <w:jc w:val="both"/>
      <w:outlineLvl w:val="3"/>
    </w:pPr>
    <w:rPr>
      <w:rFonts w:cs="Times New Roman"/>
      <w:kern w:val="20"/>
    </w:rPr>
  </w:style>
  <w:style w:type="paragraph" w:customStyle="1" w:styleId="Table1">
    <w:name w:val="Table 1"/>
    <w:basedOn w:val="Normal"/>
    <w:rsid w:val="008B1D97"/>
    <w:pPr>
      <w:numPr>
        <w:numId w:val="55"/>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5"/>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5"/>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5"/>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5"/>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5"/>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6"/>
      </w:numPr>
    </w:pPr>
  </w:style>
  <w:style w:type="paragraph" w:customStyle="1" w:styleId="Tablebullet">
    <w:name w:val="Table bullet"/>
    <w:basedOn w:val="Normal"/>
    <w:rsid w:val="00A170EE"/>
    <w:pPr>
      <w:numPr>
        <w:numId w:val="24"/>
      </w:numPr>
      <w:spacing w:before="60" w:after="60" w:line="290" w:lineRule="auto"/>
    </w:pPr>
    <w:rPr>
      <w:rFonts w:cs="Times New Roman"/>
      <w:kern w:val="20"/>
    </w:rPr>
  </w:style>
  <w:style w:type="paragraph" w:customStyle="1" w:styleId="Tableroman">
    <w:name w:val="Table roman"/>
    <w:basedOn w:val="CellBody"/>
    <w:rsid w:val="008B1D97"/>
    <w:pPr>
      <w:numPr>
        <w:numId w:val="57"/>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line="290" w:lineRule="auto"/>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8"/>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8"/>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8"/>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8"/>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8"/>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8"/>
      </w:numPr>
      <w:spacing w:after="140" w:line="290" w:lineRule="auto"/>
      <w:jc w:val="both"/>
      <w:outlineLvl w:val="5"/>
    </w:pPr>
    <w:rPr>
      <w:rFonts w:cs="Times New Roman"/>
      <w:kern w:val="20"/>
    </w:rPr>
  </w:style>
  <w:style w:type="paragraph" w:customStyle="1" w:styleId="UCRoman1">
    <w:name w:val="UCRoman 1"/>
    <w:basedOn w:val="Normal"/>
    <w:rsid w:val="00A34CE2"/>
    <w:pPr>
      <w:numPr>
        <w:numId w:val="59"/>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9"/>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9"/>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9"/>
      </w:numPr>
      <w:spacing w:after="140" w:line="290" w:lineRule="auto"/>
      <w:jc w:val="both"/>
      <w:outlineLvl w:val="3"/>
    </w:pPr>
    <w:rPr>
      <w:rFonts w:cs="Times New Roman"/>
    </w:rPr>
  </w:style>
  <w:style w:type="paragraph" w:customStyle="1" w:styleId="UCRoman5">
    <w:name w:val="UCRoman 5"/>
    <w:basedOn w:val="Normal"/>
    <w:rsid w:val="00A34CE2"/>
    <w:pPr>
      <w:numPr>
        <w:ilvl w:val="4"/>
        <w:numId w:val="59"/>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9"/>
      </w:numPr>
      <w:spacing w:after="140" w:line="290" w:lineRule="auto"/>
      <w:jc w:val="both"/>
      <w:outlineLvl w:val="5"/>
    </w:pPr>
    <w:rPr>
      <w:rFonts w:cs="Times New Roman"/>
      <w:kern w:val="20"/>
    </w:rPr>
  </w:style>
  <w:style w:type="paragraph" w:styleId="FootnoteText">
    <w:name w:val="footnote text"/>
    <w:basedOn w:val="Normal"/>
    <w:link w:val="FootnoteTextChar"/>
    <w:unhideWhenUsed/>
    <w:qFormat/>
    <w:rsid w:val="00606BD0"/>
    <w:pPr>
      <w:spacing w:after="60" w:line="200" w:lineRule="atLeast"/>
      <w:ind w:left="227" w:hanging="227"/>
      <w:jc w:val="both"/>
    </w:pPr>
    <w:rPr>
      <w:sz w:val="16"/>
      <w:szCs w:val="20"/>
    </w:rPr>
  </w:style>
  <w:style w:type="character" w:customStyle="1" w:styleId="FootnoteTextChar">
    <w:name w:val="Footnote Text Char"/>
    <w:basedOn w:val="DefaultParagraphFont"/>
    <w:link w:val="FootnoteText"/>
    <w:rsid w:val="00FE583B"/>
    <w:rPr>
      <w:rFonts w:ascii="Arial" w:hAnsi="Arial"/>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8B1D97"/>
    <w:pPr>
      <w:numPr>
        <w:numId w:val="15"/>
      </w:numPr>
    </w:pPr>
  </w:style>
  <w:style w:type="numbering" w:customStyle="1" w:styleId="LLTablebullet">
    <w:name w:val="LL_Table bullet"/>
    <w:uiPriority w:val="99"/>
    <w:rsid w:val="00A170EE"/>
    <w:pPr>
      <w:numPr>
        <w:numId w:val="16"/>
      </w:numPr>
    </w:pPr>
  </w:style>
  <w:style w:type="numbering" w:customStyle="1" w:styleId="LLTableroman">
    <w:name w:val="LL_Table roman"/>
    <w:uiPriority w:val="99"/>
    <w:rsid w:val="008B1D97"/>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Arial" w:eastAsia="Times New Roman" w:hAnsi="Arial" w:cs="Arial"/>
      <w:bCs/>
      <w:iCs/>
      <w:sz w:val="20"/>
      <w:szCs w:val="28"/>
      <w:lang w:eastAsia="en-GB"/>
    </w:rPr>
  </w:style>
  <w:style w:type="character" w:customStyle="1" w:styleId="Heading3Char">
    <w:name w:val="Heading 3 Char"/>
    <w:basedOn w:val="DefaultParagraphFont"/>
    <w:link w:val="Heading3"/>
    <w:rsid w:val="00FE583B"/>
    <w:rPr>
      <w:rFonts w:ascii="Arial" w:eastAsia="Times New Roman" w:hAnsi="Arial" w:cs="Arial"/>
      <w:bCs/>
      <w:sz w:val="20"/>
      <w:szCs w:val="26"/>
      <w:lang w:eastAsia="en-GB"/>
    </w:rPr>
  </w:style>
  <w:style w:type="character" w:customStyle="1" w:styleId="Heading4Char">
    <w:name w:val="Heading 4 Char"/>
    <w:basedOn w:val="DefaultParagraphFont"/>
    <w:link w:val="Heading4"/>
    <w:rsid w:val="00FE583B"/>
    <w:rPr>
      <w:rFonts w:ascii="Arial" w:eastAsia="Times New Roman" w:hAnsi="Arial" w:cs="Times New Roman"/>
      <w:bCs/>
      <w:sz w:val="20"/>
      <w:szCs w:val="28"/>
      <w:lang w:eastAsia="en-GB"/>
    </w:rPr>
  </w:style>
  <w:style w:type="character" w:customStyle="1" w:styleId="Heading5Char">
    <w:name w:val="Heading 5 Char"/>
    <w:basedOn w:val="DefaultParagraphFont"/>
    <w:link w:val="Heading5"/>
    <w:rsid w:val="00FE583B"/>
    <w:rPr>
      <w:rFonts w:ascii="Arial" w:eastAsia="Times New Roman" w:hAnsi="Arial" w:cs="Times New Roman"/>
      <w:bCs/>
      <w:iCs/>
      <w:sz w:val="20"/>
      <w:szCs w:val="26"/>
      <w:lang w:eastAsia="en-GB"/>
    </w:rPr>
  </w:style>
  <w:style w:type="character" w:customStyle="1" w:styleId="Heading6Char">
    <w:name w:val="Heading 6 Char"/>
    <w:basedOn w:val="DefaultParagraphFont"/>
    <w:link w:val="Heading6"/>
    <w:rsid w:val="00FE583B"/>
    <w:rPr>
      <w:rFonts w:ascii="Arial" w:eastAsia="Times New Roman" w:hAnsi="Arial" w:cs="Times New Roman"/>
      <w:bCs/>
      <w:sz w:val="20"/>
      <w:lang w:eastAsia="en-GB"/>
    </w:rPr>
  </w:style>
  <w:style w:type="character" w:customStyle="1" w:styleId="Heading7Char">
    <w:name w:val="Heading 7 Char"/>
    <w:basedOn w:val="DefaultParagraphFont"/>
    <w:link w:val="Heading7"/>
    <w:rsid w:val="00FE583B"/>
    <w:rPr>
      <w:rFonts w:ascii="Arial" w:eastAsia="Times New Roman" w:hAnsi="Arial" w:cs="Times New Roman"/>
      <w:sz w:val="20"/>
      <w:szCs w:val="24"/>
      <w:lang w:eastAsia="en-GB"/>
    </w:rPr>
  </w:style>
  <w:style w:type="character" w:customStyle="1" w:styleId="Heading8Char">
    <w:name w:val="Heading 8 Char"/>
    <w:basedOn w:val="DefaultParagraphFont"/>
    <w:link w:val="Heading8"/>
    <w:rsid w:val="00FE583B"/>
    <w:rPr>
      <w:rFonts w:ascii="Arial" w:eastAsia="Times New Roman" w:hAnsi="Arial" w:cs="Times New Roman"/>
      <w:iCs/>
      <w:sz w:val="20"/>
      <w:szCs w:val="24"/>
      <w:lang w:eastAsia="en-GB"/>
    </w:rPr>
  </w:style>
  <w:style w:type="character" w:customStyle="1" w:styleId="Heading9Char">
    <w:name w:val="Heading 9 Char"/>
    <w:basedOn w:val="DefaultParagraphFont"/>
    <w:link w:val="Heading9"/>
    <w:rsid w:val="00FE583B"/>
    <w:rPr>
      <w:rFonts w:ascii="Arial" w:eastAsia="Times New Roman" w:hAnsi="Arial" w:cs="Arial"/>
      <w:sz w:val="20"/>
      <w:lang w:eastAsia="en-GB"/>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nhideWhenUsed/>
    <w:qFormat/>
    <w:rsid w:val="00F978CE"/>
    <w:pPr>
      <w:spacing w:after="120"/>
    </w:pPr>
  </w:style>
  <w:style w:type="character" w:customStyle="1" w:styleId="BodyTextChar">
    <w:name w:val="Body Text Char"/>
    <w:basedOn w:val="DefaultParagraphFont"/>
    <w:link w:val="BodyText"/>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rPr>
      <w:szCs w:val="20"/>
    </w:rPr>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rPr>
      <w:szCs w:val="20"/>
    </w:rPr>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szCs w:val="20"/>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8"/>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40"/>
      </w:numPr>
      <w:spacing w:after="140" w:line="290" w:lineRule="auto"/>
    </w:pPr>
    <w:rPr>
      <w:rFonts w:eastAsiaTheme="minorEastAsia" w:cs="Times New Roman"/>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2D4C0F"/>
    <w:pPr>
      <w:numPr>
        <w:numId w:val="61"/>
      </w:numPr>
      <w:spacing w:after="140" w:line="290" w:lineRule="auto"/>
      <w:jc w:val="both"/>
    </w:pPr>
    <w:rPr>
      <w:rFonts w:eastAsia="Times New Roman" w:cs="Times New Roman"/>
      <w:kern w:val="20"/>
      <w:szCs w:val="20"/>
    </w:rPr>
  </w:style>
  <w:style w:type="table" w:customStyle="1" w:styleId="TableGrid10">
    <w:name w:val="Table Grid1"/>
    <w:basedOn w:val="TableNormal"/>
    <w:next w:val="TableGrid"/>
    <w:rsid w:val="002D4C0F"/>
    <w:pPr>
      <w:spacing w:after="140" w:line="29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CorpHyperlinkStyle">
    <w:name w:val="DocsCorpHyperlinkStyle"/>
    <w:basedOn w:val="DefaultParagraphFont"/>
    <w:uiPriority w:val="99"/>
    <w:unhideWhenUsed/>
    <w:rsid w:val="00746FB5"/>
    <w:rPr>
      <w:color w:val="D985B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a.org/a/KlzTE/Supplement-75-to-the-2006-ISDA-Definitions-Compounding-and-Averag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da.org/a/KlzTE/Supplement-75-to-the-2006-ISDA-Definitions-Compounding-and-Averag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8076E-5E65-4799-8891-1CE37760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4665</TotalTime>
  <Pages>18</Pages>
  <Words>3889</Words>
  <Characters>19836</Characters>
  <Application>Microsoft Office Word</Application>
  <DocSecurity>0</DocSecurity>
  <Lines>793</Lines>
  <Paragraphs>197</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75</cp:revision>
  <cp:lastPrinted>2019-05-22T09:35:00Z</cp:lastPrinted>
  <dcterms:created xsi:type="dcterms:W3CDTF">2021-06-17T20:03:00Z</dcterms:created>
  <dcterms:modified xsi:type="dcterms:W3CDTF">2021-11-29T17:10:00Z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11.0</vt:lpwstr>
  </op:property>
  <op:property fmtid="{D5CDD505-2E9C-101B-9397-08002B2CF9AE}" pid="3" name="Document Number">
    <vt:lpwstr>A45342482</vt:lpwstr>
  </op:property>
  <op:property fmtid="{D5CDD505-2E9C-101B-9397-08002B2CF9AE}" pid="4" name="Last Modified">
    <vt:lpwstr>29 Nov 2021</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10029737</vt:lpwstr>
  </op:property>
  <op:property fmtid="{D5CDD505-2E9C-101B-9397-08002B2CF9AE}" pid="20" name="DEDocumentLocation">
    <vt:lpwstr>C:\Users\ayaggarw\AppData\Local\Linklaters\DocExplorer\Attachments\Template IV-A Lookback_LSTA Daily Simple SOFR_Supplement 75 to the 2006 Defs.docx</vt:lpwstr>
  </op:property>
  <op:property fmtid="{D5CDD505-2E9C-101B-9397-08002B2CF9AE}" pid="21" name="Matter Number">
    <vt:lpwstr>L-254085</vt:lpwstr>
  </op:property>
  <op:property fmtid="{D5CDD505-2E9C-101B-9397-08002B2CF9AE}" pid="22" name="Mode">
    <vt:lpwstr>SendAs</vt:lpwstr>
  </op:property>
  <op:property fmtid="{D5CDD505-2E9C-101B-9397-08002B2CF9AE}" pid="23" name="ObjectID">
    <vt:lpwstr>09001dc8966ac067</vt:lpwstr>
  </op:property>
  <op:property fmtid="{D5CDD505-2E9C-101B-9397-08002B2CF9AE}" pid="24" name="_MarkAsFinal">
    <vt:bool>false</vt:bool>
  </op:property>
</op:Properties>
</file>