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4374" w14:textId="42F8614B" w:rsidR="0067575F" w:rsidRPr="00621C21" w:rsidRDefault="008F653C" w:rsidP="0067575F">
      <w:pPr>
        <w:pStyle w:val="Head-C"/>
        <w:rPr>
          <w:sz w:val="24"/>
          <w:szCs w:val="24"/>
        </w:rPr>
      </w:pPr>
      <w:r>
        <w:rPr>
          <w:sz w:val="24"/>
          <w:szCs w:val="24"/>
        </w:rPr>
        <w:t>2021 ISDA Interest Rate Derivatives Definitions FRO Mapping Tables</w:t>
      </w:r>
    </w:p>
    <w:p w14:paraId="125F8111" w14:textId="77777777" w:rsidR="00B27419" w:rsidRDefault="00B27419" w:rsidP="00B27419">
      <w:pPr>
        <w:pStyle w:val="Body"/>
      </w:pPr>
      <w:bookmarkStart w:id="0" w:name="_Toc403639318"/>
      <w:bookmarkStart w:id="1" w:name="_Toc505342007"/>
    </w:p>
    <w:p w14:paraId="3F053A9B" w14:textId="77777777" w:rsidR="008F653C" w:rsidRPr="00F056B2" w:rsidRDefault="008F653C" w:rsidP="008F653C">
      <w:pPr>
        <w:pStyle w:val="Body"/>
        <w:rPr>
          <w:b/>
          <w:bCs/>
          <w:sz w:val="22"/>
          <w:szCs w:val="22"/>
        </w:rPr>
      </w:pPr>
      <w:r w:rsidRPr="00F056B2">
        <w:rPr>
          <w:b/>
          <w:bCs/>
          <w:sz w:val="22"/>
          <w:szCs w:val="22"/>
        </w:rPr>
        <w:t>Disclaimers and Points to Note</w:t>
      </w:r>
    </w:p>
    <w:p w14:paraId="46A62852" w14:textId="77777777" w:rsidR="008F653C" w:rsidRPr="00F056B2" w:rsidRDefault="008F653C" w:rsidP="008F653C">
      <w:pPr>
        <w:pStyle w:val="Body"/>
        <w:numPr>
          <w:ilvl w:val="0"/>
          <w:numId w:val="63"/>
        </w:numPr>
        <w:rPr>
          <w:sz w:val="22"/>
          <w:szCs w:val="22"/>
        </w:rPr>
      </w:pPr>
      <w:r w:rsidRPr="00F056B2">
        <w:rPr>
          <w:sz w:val="22"/>
          <w:szCs w:val="22"/>
        </w:rPr>
        <w:t>This document is provided for information purposes only. No representation has been made as to its completeness, accuracy or suitability.  Readers of this document are advised to consult the original source documentation for a complete and accurate understanding of the subject</w:t>
      </w:r>
      <w:r>
        <w:rPr>
          <w:sz w:val="22"/>
          <w:szCs w:val="22"/>
        </w:rPr>
        <w:t>-</w:t>
      </w:r>
      <w:r w:rsidRPr="00F056B2">
        <w:rPr>
          <w:sz w:val="22"/>
          <w:szCs w:val="22"/>
        </w:rPr>
        <w:t>matter and to notify ISDA of any inaccuracies th</w:t>
      </w:r>
      <w:r>
        <w:rPr>
          <w:sz w:val="22"/>
          <w:szCs w:val="22"/>
        </w:rPr>
        <w:t>ey</w:t>
      </w:r>
      <w:r w:rsidRPr="00F056B2">
        <w:rPr>
          <w:sz w:val="22"/>
          <w:szCs w:val="22"/>
        </w:rPr>
        <w:t xml:space="preserve"> identif</w:t>
      </w:r>
      <w:r>
        <w:rPr>
          <w:sz w:val="22"/>
          <w:szCs w:val="22"/>
        </w:rPr>
        <w:t>y</w:t>
      </w:r>
      <w:r w:rsidRPr="00F056B2">
        <w:rPr>
          <w:sz w:val="22"/>
          <w:szCs w:val="22"/>
        </w:rPr>
        <w:t xml:space="preserve"> in this document. </w:t>
      </w:r>
      <w:r w:rsidRPr="003D4BC9">
        <w:rPr>
          <w:sz w:val="22"/>
          <w:szCs w:val="22"/>
        </w:rPr>
        <w:t>ISDA, its directors, staff and agents accept no responsibility for any inaccuracy or loss incurred by any party as a result of any use to which it may be put.</w:t>
      </w:r>
    </w:p>
    <w:p w14:paraId="6F65ADB9" w14:textId="2FF60566" w:rsidR="008F653C" w:rsidRPr="003D4BC9" w:rsidRDefault="008F653C" w:rsidP="008F653C">
      <w:pPr>
        <w:pStyle w:val="Body"/>
        <w:numPr>
          <w:ilvl w:val="0"/>
          <w:numId w:val="63"/>
        </w:numPr>
        <w:rPr>
          <w:sz w:val="22"/>
          <w:szCs w:val="22"/>
        </w:rPr>
      </w:pPr>
      <w:r w:rsidRPr="003D4BC9">
        <w:rPr>
          <w:sz w:val="22"/>
          <w:szCs w:val="22"/>
        </w:rPr>
        <w:t>The first table in this document indicates where Floating Rate Options under the 2006 ISDA Definitions</w:t>
      </w:r>
      <w:r w:rsidR="008A71D0">
        <w:rPr>
          <w:sz w:val="22"/>
          <w:szCs w:val="22"/>
        </w:rPr>
        <w:t xml:space="preserve"> (the ‘2006 Definitions’)</w:t>
      </w:r>
      <w:r w:rsidRPr="003D4BC9">
        <w:rPr>
          <w:sz w:val="22"/>
          <w:szCs w:val="22"/>
        </w:rPr>
        <w:t xml:space="preserve"> map to Floating Rate Options under the 2021 ISDA Interest Rate </w:t>
      </w:r>
      <w:r>
        <w:rPr>
          <w:sz w:val="22"/>
          <w:szCs w:val="22"/>
        </w:rPr>
        <w:t xml:space="preserve">Derivatives </w:t>
      </w:r>
      <w:r w:rsidRPr="003D4BC9">
        <w:rPr>
          <w:sz w:val="22"/>
          <w:szCs w:val="22"/>
        </w:rPr>
        <w:t>Definitions</w:t>
      </w:r>
      <w:r w:rsidR="008A71D0">
        <w:rPr>
          <w:sz w:val="22"/>
          <w:szCs w:val="22"/>
        </w:rPr>
        <w:t xml:space="preserve"> (the ‘2021 Definitions’)</w:t>
      </w:r>
      <w:r w:rsidRPr="003D4BC9">
        <w:rPr>
          <w:sz w:val="22"/>
          <w:szCs w:val="22"/>
        </w:rPr>
        <w:t>.  In this context, ‘mapping‘ means that the Floating Rate Options share a common underlying benchmark, not that the Floating Rates Options are identical - there are important differences between Floating Rate Options under the 2006 Definitions and those under the 2021 Definitions, including that Floating Rate Options under the 2021 Definitions are generally pric</w:t>
      </w:r>
      <w:r w:rsidR="008A71D0">
        <w:rPr>
          <w:sz w:val="22"/>
          <w:szCs w:val="22"/>
        </w:rPr>
        <w:t>e-</w:t>
      </w:r>
      <w:r w:rsidRPr="003D4BC9">
        <w:rPr>
          <w:sz w:val="22"/>
          <w:szCs w:val="22"/>
        </w:rPr>
        <w:t>source agnostic; may (in order to reflect more up to date information provided by the relevant Administrator (for example, as part of the benchmark methodology documentation)) have different fixing days and times or use different business day calendars; may have different correction cut-off times and may have different fallback provisions.   Readers should refer to the relevant provisions in the two definitional booklets for a definitive understanding of those differences. Where ISDA has been unable to map between Floating Rate Options, a note has been included to that effect and consumers of this document will need to draw their own conclusions as to whether such Floating Rate Options map.</w:t>
      </w:r>
    </w:p>
    <w:p w14:paraId="2AC68D8A" w14:textId="0C39DF11" w:rsidR="008F653C" w:rsidRDefault="008F653C" w:rsidP="008F653C">
      <w:pPr>
        <w:pStyle w:val="Body"/>
        <w:numPr>
          <w:ilvl w:val="0"/>
          <w:numId w:val="63"/>
        </w:numPr>
        <w:rPr>
          <w:sz w:val="22"/>
          <w:szCs w:val="22"/>
        </w:rPr>
      </w:pPr>
      <w:r>
        <w:rPr>
          <w:sz w:val="22"/>
          <w:szCs w:val="22"/>
        </w:rPr>
        <w:t xml:space="preserve">The second table in this document indicates where Floating Rate Options under the 2006 ISDA Definitions do </w:t>
      </w:r>
      <w:r>
        <w:rPr>
          <w:sz w:val="22"/>
          <w:szCs w:val="22"/>
          <w:u w:val="single"/>
        </w:rPr>
        <w:t>not</w:t>
      </w:r>
      <w:r>
        <w:rPr>
          <w:sz w:val="22"/>
          <w:szCs w:val="22"/>
        </w:rPr>
        <w:t xml:space="preserve"> map to Floating Rate Options under the 2021 ISDA Interest Rate Derivatives Definitions. Th</w:t>
      </w:r>
      <w:r w:rsidR="00B07FC8">
        <w:rPr>
          <w:sz w:val="22"/>
          <w:szCs w:val="22"/>
        </w:rPr>
        <w:t>ere may be a number of reasons why mapping Floating Rate Options were not included in the 2021 Definitions, including, without limitation that: (</w:t>
      </w:r>
      <w:proofErr w:type="spellStart"/>
      <w:r w:rsidR="00B07FC8">
        <w:rPr>
          <w:sz w:val="22"/>
          <w:szCs w:val="22"/>
        </w:rPr>
        <w:t>i</w:t>
      </w:r>
      <w:proofErr w:type="spellEnd"/>
      <w:r w:rsidR="00B07FC8">
        <w:rPr>
          <w:sz w:val="22"/>
          <w:szCs w:val="22"/>
        </w:rPr>
        <w:t>) there was no member support for their inclusion (ii) ISDA determined that the underlying benchmark was no longer published; (iii) ISDA determined the underlying benchmark was not used for the purposes of determining Floating Amounts under interest rate derivatives bu</w:t>
      </w:r>
      <w:r w:rsidR="00A03ADA">
        <w:rPr>
          <w:sz w:val="22"/>
          <w:szCs w:val="22"/>
        </w:rPr>
        <w:t xml:space="preserve">t was used for alternative purposes and will therefore be included in the Broker Rate Source instead (once published). </w:t>
      </w:r>
    </w:p>
    <w:p w14:paraId="1E30C060" w14:textId="7635A439" w:rsidR="008F653C" w:rsidRPr="003D4BC9" w:rsidRDefault="008F653C" w:rsidP="008F653C">
      <w:pPr>
        <w:pStyle w:val="Body"/>
        <w:numPr>
          <w:ilvl w:val="0"/>
          <w:numId w:val="63"/>
        </w:numPr>
        <w:rPr>
          <w:sz w:val="22"/>
          <w:szCs w:val="22"/>
        </w:rPr>
      </w:pPr>
      <w:r w:rsidRPr="003D4BC9">
        <w:rPr>
          <w:sz w:val="22"/>
          <w:szCs w:val="22"/>
        </w:rPr>
        <w:t xml:space="preserve">ISDA may </w:t>
      </w:r>
      <w:r w:rsidR="00B07FC8">
        <w:rPr>
          <w:sz w:val="22"/>
          <w:szCs w:val="22"/>
        </w:rPr>
        <w:t xml:space="preserve">(but shall not be obliged to) </w:t>
      </w:r>
      <w:r w:rsidRPr="003D4BC9">
        <w:rPr>
          <w:sz w:val="22"/>
          <w:szCs w:val="22"/>
        </w:rPr>
        <w:t>publish updated versions of this document from time to time.</w:t>
      </w:r>
    </w:p>
    <w:p w14:paraId="4F50E32A" w14:textId="77777777" w:rsidR="008F653C" w:rsidRPr="003D4BC9" w:rsidRDefault="008F653C" w:rsidP="008F653C">
      <w:pPr>
        <w:pStyle w:val="ListParagraph"/>
        <w:numPr>
          <w:ilvl w:val="0"/>
          <w:numId w:val="63"/>
        </w:numPr>
        <w:spacing w:after="160" w:line="259" w:lineRule="auto"/>
        <w:rPr>
          <w:color w:val="000000"/>
          <w:sz w:val="24"/>
          <w:szCs w:val="24"/>
          <w:highlight w:val="white"/>
          <w:lang w:val="en-US"/>
        </w:rPr>
      </w:pPr>
      <w:r w:rsidRPr="003D4BC9">
        <w:rPr>
          <w:color w:val="000000"/>
          <w:sz w:val="24"/>
          <w:szCs w:val="24"/>
          <w:highlight w:val="white"/>
          <w:lang w:val="en-US"/>
        </w:rPr>
        <w:br w:type="page"/>
      </w:r>
    </w:p>
    <w:p w14:paraId="49E0BB63" w14:textId="702622BF" w:rsidR="00667BE6" w:rsidRPr="008F653C" w:rsidRDefault="008F653C" w:rsidP="008F653C">
      <w:pPr>
        <w:pStyle w:val="Body"/>
        <w:ind w:left="720"/>
        <w:jc w:val="center"/>
        <w:rPr>
          <w:color w:val="000000"/>
          <w:sz w:val="24"/>
          <w:szCs w:val="24"/>
          <w:highlight w:val="white"/>
          <w:lang w:val="en-US"/>
        </w:rPr>
      </w:pPr>
      <w:r>
        <w:rPr>
          <w:b/>
          <w:bCs/>
          <w:lang w:val="en-US"/>
        </w:rPr>
        <w:lastRenderedPageBreak/>
        <w:t xml:space="preserve">TABLE 1 – MAPPING BETWEEN </w:t>
      </w:r>
      <w:r w:rsidR="008A71D0">
        <w:rPr>
          <w:b/>
          <w:bCs/>
          <w:lang w:val="en-US"/>
        </w:rPr>
        <w:t xml:space="preserve">FROs UNDER THE </w:t>
      </w:r>
      <w:r>
        <w:rPr>
          <w:b/>
          <w:bCs/>
          <w:lang w:val="en-US"/>
        </w:rPr>
        <w:t xml:space="preserve">2006 </w:t>
      </w:r>
      <w:r w:rsidR="008A71D0">
        <w:rPr>
          <w:b/>
          <w:bCs/>
          <w:lang w:val="en-US"/>
        </w:rPr>
        <w:t xml:space="preserve">DEFINITIONS </w:t>
      </w:r>
      <w:r>
        <w:rPr>
          <w:b/>
          <w:bCs/>
          <w:lang w:val="en-US"/>
        </w:rPr>
        <w:t>AND FROs</w:t>
      </w:r>
      <w:r w:rsidR="008A71D0">
        <w:rPr>
          <w:b/>
          <w:bCs/>
          <w:lang w:val="en-US"/>
        </w:rPr>
        <w:t xml:space="preserve"> UNDER THE 2021 DEFINITIONS</w:t>
      </w:r>
    </w:p>
    <w:tbl>
      <w:tblPr>
        <w:tblW w:w="9918" w:type="dxa"/>
        <w:jc w:val="center"/>
        <w:tblLook w:val="04A0" w:firstRow="1" w:lastRow="0" w:firstColumn="1" w:lastColumn="0" w:noHBand="0" w:noVBand="1"/>
      </w:tblPr>
      <w:tblGrid>
        <w:gridCol w:w="4815"/>
        <w:gridCol w:w="5103"/>
      </w:tblGrid>
      <w:tr w:rsidR="00BD4334" w:rsidRPr="00BD4334" w14:paraId="54E02EB2" w14:textId="77777777" w:rsidTr="00BD4334">
        <w:trPr>
          <w:trHeight w:val="285"/>
          <w:jc w:val="center"/>
        </w:trPr>
        <w:tc>
          <w:tcPr>
            <w:tcW w:w="4815"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11BF30A" w14:textId="1AD9B356" w:rsidR="00BD4334" w:rsidRPr="00BD4334" w:rsidRDefault="00BD4334" w:rsidP="00BD4334">
            <w:pPr>
              <w:spacing w:after="0" w:line="240" w:lineRule="auto"/>
              <w:jc w:val="center"/>
              <w:rPr>
                <w:b/>
                <w:bCs/>
                <w:color w:val="000000"/>
                <w:kern w:val="0"/>
                <w:sz w:val="22"/>
                <w:szCs w:val="22"/>
                <w:lang w:eastAsia="en-GB"/>
              </w:rPr>
            </w:pPr>
            <w:r w:rsidRPr="00BD4334">
              <w:rPr>
                <w:b/>
                <w:bCs/>
                <w:color w:val="000000"/>
                <w:kern w:val="0"/>
                <w:sz w:val="22"/>
                <w:szCs w:val="22"/>
                <w:lang w:eastAsia="en-GB"/>
              </w:rPr>
              <w:t>2006</w:t>
            </w:r>
            <w:r w:rsidR="008A71D0">
              <w:rPr>
                <w:b/>
                <w:bCs/>
                <w:color w:val="000000"/>
                <w:kern w:val="0"/>
                <w:sz w:val="22"/>
                <w:szCs w:val="22"/>
                <w:lang w:eastAsia="en-GB"/>
              </w:rPr>
              <w:t xml:space="preserve"> Definitions</w:t>
            </w:r>
            <w:r w:rsidRPr="00BD4334">
              <w:rPr>
                <w:b/>
                <w:bCs/>
                <w:color w:val="000000"/>
                <w:kern w:val="0"/>
                <w:sz w:val="22"/>
                <w:szCs w:val="22"/>
                <w:lang w:eastAsia="en-GB"/>
              </w:rPr>
              <w:t xml:space="preserve"> FRO name</w:t>
            </w:r>
          </w:p>
        </w:tc>
        <w:tc>
          <w:tcPr>
            <w:tcW w:w="5103" w:type="dxa"/>
            <w:tcBorders>
              <w:top w:val="single" w:sz="4" w:space="0" w:color="auto"/>
              <w:left w:val="nil"/>
              <w:bottom w:val="single" w:sz="4" w:space="0" w:color="auto"/>
              <w:right w:val="single" w:sz="4" w:space="0" w:color="auto"/>
            </w:tcBorders>
            <w:shd w:val="clear" w:color="000000" w:fill="8EA9DB"/>
            <w:vAlign w:val="center"/>
            <w:hideMark/>
          </w:tcPr>
          <w:p w14:paraId="5847C868" w14:textId="3A26270C" w:rsidR="00BD4334" w:rsidRPr="00BD4334" w:rsidRDefault="00BD4334" w:rsidP="00BD4334">
            <w:pPr>
              <w:spacing w:after="0" w:line="240" w:lineRule="auto"/>
              <w:jc w:val="center"/>
              <w:rPr>
                <w:b/>
                <w:bCs/>
                <w:color w:val="000000"/>
                <w:kern w:val="0"/>
                <w:sz w:val="22"/>
                <w:szCs w:val="22"/>
                <w:lang w:eastAsia="en-GB"/>
              </w:rPr>
            </w:pPr>
            <w:r w:rsidRPr="00BD4334">
              <w:rPr>
                <w:b/>
                <w:bCs/>
                <w:color w:val="000000"/>
                <w:kern w:val="0"/>
                <w:sz w:val="22"/>
                <w:szCs w:val="22"/>
                <w:lang w:eastAsia="en-GB"/>
              </w:rPr>
              <w:t xml:space="preserve">2021 </w:t>
            </w:r>
            <w:r w:rsidR="008A71D0">
              <w:rPr>
                <w:b/>
                <w:bCs/>
                <w:color w:val="000000"/>
                <w:kern w:val="0"/>
                <w:sz w:val="22"/>
                <w:szCs w:val="22"/>
                <w:lang w:eastAsia="en-GB"/>
              </w:rPr>
              <w:t xml:space="preserve">Definitions </w:t>
            </w:r>
            <w:r w:rsidRPr="00BD4334">
              <w:rPr>
                <w:b/>
                <w:bCs/>
                <w:color w:val="000000"/>
                <w:kern w:val="0"/>
                <w:sz w:val="22"/>
                <w:szCs w:val="22"/>
                <w:lang w:eastAsia="en-GB"/>
              </w:rPr>
              <w:t>FRO name</w:t>
            </w:r>
          </w:p>
        </w:tc>
      </w:tr>
      <w:tr w:rsidR="00BD4334" w:rsidRPr="00BD4334" w14:paraId="74DF682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76C589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AED-EBOR-Reuters</w:t>
            </w:r>
          </w:p>
        </w:tc>
        <w:tc>
          <w:tcPr>
            <w:tcW w:w="5103" w:type="dxa"/>
            <w:tcBorders>
              <w:top w:val="nil"/>
              <w:left w:val="nil"/>
              <w:bottom w:val="single" w:sz="4" w:space="0" w:color="auto"/>
              <w:right w:val="single" w:sz="4" w:space="0" w:color="auto"/>
            </w:tcBorders>
            <w:shd w:val="clear" w:color="auto" w:fill="auto"/>
            <w:vAlign w:val="bottom"/>
            <w:hideMark/>
          </w:tcPr>
          <w:p w14:paraId="528FE20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AED-EIBOR</w:t>
            </w:r>
          </w:p>
        </w:tc>
      </w:tr>
      <w:tr w:rsidR="00BD4334" w:rsidRPr="00BD4334" w14:paraId="177B963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9ABAE2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 xml:space="preserve">AUD-AONIA </w:t>
            </w:r>
          </w:p>
        </w:tc>
        <w:tc>
          <w:tcPr>
            <w:tcW w:w="5103" w:type="dxa"/>
            <w:tcBorders>
              <w:top w:val="nil"/>
              <w:left w:val="nil"/>
              <w:bottom w:val="single" w:sz="4" w:space="0" w:color="auto"/>
              <w:right w:val="single" w:sz="4" w:space="0" w:color="auto"/>
            </w:tcBorders>
            <w:shd w:val="clear" w:color="auto" w:fill="auto"/>
            <w:vAlign w:val="bottom"/>
            <w:hideMark/>
          </w:tcPr>
          <w:p w14:paraId="0A45167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 xml:space="preserve">AUD-AONIA </w:t>
            </w:r>
          </w:p>
        </w:tc>
      </w:tr>
      <w:tr w:rsidR="00BD4334" w:rsidRPr="00BD4334" w14:paraId="7AB81F1B"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3EA4A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AUD-AONIA-OIS-COMPOUND</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2D3F915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AUD-AONIA-OIS Compound</w:t>
            </w:r>
          </w:p>
        </w:tc>
      </w:tr>
      <w:tr w:rsidR="00BD4334" w:rsidRPr="00BD4334" w14:paraId="122C5FA3" w14:textId="77777777" w:rsidTr="00BD4334">
        <w:trPr>
          <w:trHeight w:val="85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48E40D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AUD-AONIA-OIS-COMPOUND-</w:t>
            </w:r>
            <w:proofErr w:type="spellStart"/>
            <w:r w:rsidRPr="00BD4334">
              <w:rPr>
                <w:color w:val="000000"/>
                <w:kern w:val="0"/>
                <w:sz w:val="22"/>
                <w:szCs w:val="22"/>
                <w:lang w:eastAsia="en-GB"/>
              </w:rPr>
              <w:t>SwapMarker</w:t>
            </w:r>
            <w:proofErr w:type="spellEnd"/>
          </w:p>
        </w:tc>
        <w:tc>
          <w:tcPr>
            <w:tcW w:w="5103" w:type="dxa"/>
            <w:vMerge/>
            <w:tcBorders>
              <w:top w:val="nil"/>
              <w:left w:val="single" w:sz="4" w:space="0" w:color="auto"/>
              <w:bottom w:val="single" w:sz="4" w:space="0" w:color="000000"/>
              <w:right w:val="single" w:sz="4" w:space="0" w:color="auto"/>
            </w:tcBorders>
            <w:vAlign w:val="center"/>
            <w:hideMark/>
          </w:tcPr>
          <w:p w14:paraId="605AB05A" w14:textId="77777777" w:rsidR="00BD4334" w:rsidRPr="00BD4334" w:rsidRDefault="00BD4334" w:rsidP="00BD4334">
            <w:pPr>
              <w:spacing w:after="0" w:line="240" w:lineRule="auto"/>
              <w:rPr>
                <w:kern w:val="0"/>
                <w:sz w:val="22"/>
                <w:szCs w:val="22"/>
                <w:lang w:eastAsia="en-GB"/>
              </w:rPr>
            </w:pPr>
          </w:p>
        </w:tc>
      </w:tr>
      <w:tr w:rsidR="00BD4334" w:rsidRPr="00BD4334" w14:paraId="27ED983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B5DBC1E"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AUD-BBR-AUBBSW</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606A4CF"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AUD-BBSW</w:t>
            </w:r>
          </w:p>
        </w:tc>
      </w:tr>
      <w:tr w:rsidR="00BD4334" w:rsidRPr="00BD4334" w14:paraId="4CC9AF5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0F4D82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AUD-BBR-BBSW</w:t>
            </w:r>
          </w:p>
        </w:tc>
        <w:tc>
          <w:tcPr>
            <w:tcW w:w="5103" w:type="dxa"/>
            <w:vMerge/>
            <w:tcBorders>
              <w:top w:val="nil"/>
              <w:left w:val="single" w:sz="4" w:space="0" w:color="auto"/>
              <w:bottom w:val="single" w:sz="4" w:space="0" w:color="000000"/>
              <w:right w:val="single" w:sz="4" w:space="0" w:color="auto"/>
            </w:tcBorders>
            <w:vAlign w:val="center"/>
            <w:hideMark/>
          </w:tcPr>
          <w:p w14:paraId="2C156B7F" w14:textId="77777777" w:rsidR="00BD4334" w:rsidRPr="00BD4334" w:rsidRDefault="00BD4334" w:rsidP="00BD4334">
            <w:pPr>
              <w:spacing w:after="0" w:line="240" w:lineRule="auto"/>
              <w:rPr>
                <w:kern w:val="0"/>
                <w:sz w:val="22"/>
                <w:szCs w:val="22"/>
                <w:lang w:eastAsia="en-GB"/>
              </w:rPr>
            </w:pPr>
          </w:p>
        </w:tc>
      </w:tr>
      <w:tr w:rsidR="00BD4334" w:rsidRPr="00BD4334" w14:paraId="33E1B0FC"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05986E2"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AUD-BBR-BBSW-Bloomberg</w:t>
            </w:r>
          </w:p>
        </w:tc>
        <w:tc>
          <w:tcPr>
            <w:tcW w:w="5103" w:type="dxa"/>
            <w:vMerge/>
            <w:tcBorders>
              <w:top w:val="nil"/>
              <w:left w:val="single" w:sz="4" w:space="0" w:color="auto"/>
              <w:bottom w:val="single" w:sz="4" w:space="0" w:color="000000"/>
              <w:right w:val="single" w:sz="4" w:space="0" w:color="auto"/>
            </w:tcBorders>
            <w:vAlign w:val="center"/>
            <w:hideMark/>
          </w:tcPr>
          <w:p w14:paraId="35986EDC" w14:textId="77777777" w:rsidR="00BD4334" w:rsidRPr="00BD4334" w:rsidRDefault="00BD4334" w:rsidP="00BD4334">
            <w:pPr>
              <w:spacing w:after="0" w:line="240" w:lineRule="auto"/>
              <w:rPr>
                <w:kern w:val="0"/>
                <w:sz w:val="22"/>
                <w:szCs w:val="22"/>
                <w:lang w:eastAsia="en-GB"/>
              </w:rPr>
            </w:pPr>
          </w:p>
        </w:tc>
      </w:tr>
      <w:tr w:rsidR="00BD4334" w:rsidRPr="00BD4334" w14:paraId="1CC03CD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44F7CD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AUD-BBR-BBSY (BID)</w:t>
            </w:r>
          </w:p>
        </w:tc>
        <w:tc>
          <w:tcPr>
            <w:tcW w:w="5103" w:type="dxa"/>
            <w:tcBorders>
              <w:top w:val="nil"/>
              <w:left w:val="nil"/>
              <w:bottom w:val="single" w:sz="4" w:space="0" w:color="auto"/>
              <w:right w:val="single" w:sz="4" w:space="0" w:color="auto"/>
            </w:tcBorders>
            <w:shd w:val="clear" w:color="auto" w:fill="auto"/>
            <w:vAlign w:val="center"/>
            <w:hideMark/>
          </w:tcPr>
          <w:p w14:paraId="28749D38"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AUD-BBSY Bid</w:t>
            </w:r>
          </w:p>
        </w:tc>
      </w:tr>
      <w:tr w:rsidR="00BD4334" w:rsidRPr="00BD4334" w14:paraId="36251B8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EAF999"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AUD-Quarterly Swap Rate-ICAP</w:t>
            </w:r>
          </w:p>
        </w:tc>
        <w:tc>
          <w:tcPr>
            <w:tcW w:w="5103" w:type="dxa"/>
            <w:tcBorders>
              <w:top w:val="nil"/>
              <w:left w:val="nil"/>
              <w:bottom w:val="single" w:sz="4" w:space="0" w:color="auto"/>
              <w:right w:val="single" w:sz="4" w:space="0" w:color="auto"/>
            </w:tcBorders>
            <w:shd w:val="clear" w:color="auto" w:fill="auto"/>
            <w:vAlign w:val="center"/>
            <w:hideMark/>
          </w:tcPr>
          <w:p w14:paraId="72760EDD"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AUD-BBSW Quarterly Swap Rate ICAP</w:t>
            </w:r>
          </w:p>
        </w:tc>
      </w:tr>
      <w:tr w:rsidR="00BD4334" w:rsidRPr="00BD4334" w14:paraId="27386A4E"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89E3C4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AUD-Semi-annual Swap Rate-ICAP</w:t>
            </w:r>
          </w:p>
        </w:tc>
        <w:tc>
          <w:tcPr>
            <w:tcW w:w="5103" w:type="dxa"/>
            <w:tcBorders>
              <w:top w:val="nil"/>
              <w:left w:val="nil"/>
              <w:bottom w:val="single" w:sz="4" w:space="0" w:color="auto"/>
              <w:right w:val="single" w:sz="4" w:space="0" w:color="auto"/>
            </w:tcBorders>
            <w:shd w:val="clear" w:color="auto" w:fill="auto"/>
            <w:vAlign w:val="center"/>
            <w:hideMark/>
          </w:tcPr>
          <w:p w14:paraId="797C0E2A"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AUD-BBSW Semi Annual Swap Rate ICAP</w:t>
            </w:r>
          </w:p>
        </w:tc>
      </w:tr>
      <w:tr w:rsidR="00BD4334" w:rsidRPr="00BD4334" w14:paraId="7620B4B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A52EE5B"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1A8EDF7E"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BRL-CDI</w:t>
            </w:r>
          </w:p>
        </w:tc>
      </w:tr>
      <w:tr w:rsidR="00BD4334" w:rsidRPr="00BD4334" w14:paraId="7DCF01A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FC1EFC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CAD-BA-CDOR</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2E1885BA"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 xml:space="preserve">CAD-CDOR </w:t>
            </w:r>
          </w:p>
        </w:tc>
      </w:tr>
      <w:tr w:rsidR="00BD4334" w:rsidRPr="00BD4334" w14:paraId="0A07AFCD"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97EDEF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CAD-BA-CDOR-Bloomberg</w:t>
            </w:r>
          </w:p>
        </w:tc>
        <w:tc>
          <w:tcPr>
            <w:tcW w:w="5103" w:type="dxa"/>
            <w:vMerge/>
            <w:tcBorders>
              <w:top w:val="nil"/>
              <w:left w:val="single" w:sz="4" w:space="0" w:color="auto"/>
              <w:bottom w:val="single" w:sz="4" w:space="0" w:color="000000"/>
              <w:right w:val="single" w:sz="4" w:space="0" w:color="auto"/>
            </w:tcBorders>
            <w:vAlign w:val="center"/>
            <w:hideMark/>
          </w:tcPr>
          <w:p w14:paraId="633BD92E" w14:textId="77777777" w:rsidR="00BD4334" w:rsidRPr="00BD4334" w:rsidRDefault="00BD4334" w:rsidP="00BD4334">
            <w:pPr>
              <w:spacing w:after="0" w:line="240" w:lineRule="auto"/>
              <w:rPr>
                <w:kern w:val="0"/>
                <w:sz w:val="22"/>
                <w:szCs w:val="22"/>
                <w:lang w:eastAsia="en-GB"/>
              </w:rPr>
            </w:pPr>
          </w:p>
        </w:tc>
      </w:tr>
      <w:tr w:rsidR="00BD4334" w:rsidRPr="00BD4334" w14:paraId="083261C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3F0092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CAD-BA-Reuters</w:t>
            </w:r>
          </w:p>
        </w:tc>
        <w:tc>
          <w:tcPr>
            <w:tcW w:w="5103" w:type="dxa"/>
            <w:vMerge/>
            <w:tcBorders>
              <w:top w:val="nil"/>
              <w:left w:val="single" w:sz="4" w:space="0" w:color="auto"/>
              <w:bottom w:val="single" w:sz="4" w:space="0" w:color="000000"/>
              <w:right w:val="single" w:sz="4" w:space="0" w:color="auto"/>
            </w:tcBorders>
            <w:vAlign w:val="center"/>
            <w:hideMark/>
          </w:tcPr>
          <w:p w14:paraId="0A9B705D" w14:textId="77777777" w:rsidR="00BD4334" w:rsidRPr="00BD4334" w:rsidRDefault="00BD4334" w:rsidP="00BD4334">
            <w:pPr>
              <w:spacing w:after="0" w:line="240" w:lineRule="auto"/>
              <w:rPr>
                <w:kern w:val="0"/>
                <w:sz w:val="22"/>
                <w:szCs w:val="22"/>
                <w:lang w:eastAsia="en-GB"/>
              </w:rPr>
            </w:pPr>
          </w:p>
        </w:tc>
      </w:tr>
      <w:tr w:rsidR="00BD4334" w:rsidRPr="00BD4334" w14:paraId="1442FB4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FDEA9ED"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CAD-CORRA</w:t>
            </w:r>
          </w:p>
        </w:tc>
        <w:tc>
          <w:tcPr>
            <w:tcW w:w="5103" w:type="dxa"/>
            <w:tcBorders>
              <w:top w:val="nil"/>
              <w:left w:val="nil"/>
              <w:bottom w:val="single" w:sz="4" w:space="0" w:color="auto"/>
              <w:right w:val="single" w:sz="4" w:space="0" w:color="auto"/>
            </w:tcBorders>
            <w:shd w:val="clear" w:color="auto" w:fill="auto"/>
            <w:vAlign w:val="center"/>
            <w:hideMark/>
          </w:tcPr>
          <w:p w14:paraId="6C29A244"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CAD-CORRA</w:t>
            </w:r>
          </w:p>
        </w:tc>
      </w:tr>
      <w:tr w:rsidR="00BD4334" w:rsidRPr="00BD4334" w14:paraId="24790B89"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8AD732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CAD-CORRA-OIS-COMPOUND</w:t>
            </w:r>
          </w:p>
        </w:tc>
        <w:tc>
          <w:tcPr>
            <w:tcW w:w="5103" w:type="dxa"/>
            <w:tcBorders>
              <w:top w:val="nil"/>
              <w:left w:val="nil"/>
              <w:bottom w:val="single" w:sz="4" w:space="0" w:color="auto"/>
              <w:right w:val="single" w:sz="4" w:space="0" w:color="auto"/>
            </w:tcBorders>
            <w:shd w:val="clear" w:color="auto" w:fill="auto"/>
            <w:vAlign w:val="center"/>
            <w:hideMark/>
          </w:tcPr>
          <w:p w14:paraId="6126B19F" w14:textId="77777777" w:rsidR="00BD4334" w:rsidRPr="00BD4334" w:rsidRDefault="00BD4334" w:rsidP="00BD4334">
            <w:pPr>
              <w:spacing w:after="0" w:line="240" w:lineRule="auto"/>
              <w:jc w:val="both"/>
              <w:rPr>
                <w:kern w:val="0"/>
                <w:sz w:val="22"/>
                <w:szCs w:val="22"/>
                <w:lang w:eastAsia="en-GB"/>
              </w:rPr>
            </w:pPr>
            <w:r w:rsidRPr="00BD4334">
              <w:rPr>
                <w:kern w:val="0"/>
                <w:sz w:val="22"/>
                <w:szCs w:val="22"/>
                <w:lang w:eastAsia="en-GB"/>
              </w:rPr>
              <w:t>CAD-CORRA-OIS Compound</w:t>
            </w:r>
          </w:p>
        </w:tc>
      </w:tr>
      <w:tr w:rsidR="00BD4334" w:rsidRPr="00BD4334" w14:paraId="3E9F3E6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2BC5A6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CHF-LIBOR-BBA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1EE47D1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CHF-LIBOR</w:t>
            </w:r>
          </w:p>
        </w:tc>
      </w:tr>
      <w:tr w:rsidR="00BD4334" w:rsidRPr="00BD4334" w14:paraId="19944432"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2AFDD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CHF-LIBOR-BBA-Bloomberg</w:t>
            </w:r>
          </w:p>
        </w:tc>
        <w:tc>
          <w:tcPr>
            <w:tcW w:w="5103" w:type="dxa"/>
            <w:vMerge/>
            <w:tcBorders>
              <w:top w:val="nil"/>
              <w:left w:val="single" w:sz="4" w:space="0" w:color="auto"/>
              <w:bottom w:val="single" w:sz="4" w:space="0" w:color="000000"/>
              <w:right w:val="single" w:sz="4" w:space="0" w:color="auto"/>
            </w:tcBorders>
            <w:vAlign w:val="center"/>
            <w:hideMark/>
          </w:tcPr>
          <w:p w14:paraId="52581E6E" w14:textId="77777777" w:rsidR="00BD4334" w:rsidRPr="00BD4334" w:rsidRDefault="00BD4334" w:rsidP="00BD4334">
            <w:pPr>
              <w:spacing w:after="0" w:line="240" w:lineRule="auto"/>
              <w:rPr>
                <w:kern w:val="0"/>
                <w:sz w:val="22"/>
                <w:szCs w:val="22"/>
                <w:lang w:eastAsia="en-GB"/>
              </w:rPr>
            </w:pPr>
          </w:p>
        </w:tc>
      </w:tr>
      <w:tr w:rsidR="00BD4334" w:rsidRPr="00BD4334" w14:paraId="7C24A54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808EAA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CHF-SARON</w:t>
            </w:r>
          </w:p>
        </w:tc>
        <w:tc>
          <w:tcPr>
            <w:tcW w:w="5103" w:type="dxa"/>
            <w:tcBorders>
              <w:top w:val="nil"/>
              <w:left w:val="nil"/>
              <w:bottom w:val="single" w:sz="4" w:space="0" w:color="auto"/>
              <w:right w:val="single" w:sz="4" w:space="0" w:color="auto"/>
            </w:tcBorders>
            <w:shd w:val="clear" w:color="auto" w:fill="auto"/>
            <w:vAlign w:val="center"/>
            <w:hideMark/>
          </w:tcPr>
          <w:p w14:paraId="391F2D9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CHF-SARON</w:t>
            </w:r>
          </w:p>
        </w:tc>
      </w:tr>
      <w:tr w:rsidR="00BD4334" w:rsidRPr="00BD4334" w14:paraId="627B606F"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E6D56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CHF-SARON-OIS-COMPOUND</w:t>
            </w:r>
          </w:p>
        </w:tc>
        <w:tc>
          <w:tcPr>
            <w:tcW w:w="5103" w:type="dxa"/>
            <w:tcBorders>
              <w:top w:val="nil"/>
              <w:left w:val="nil"/>
              <w:bottom w:val="single" w:sz="4" w:space="0" w:color="auto"/>
              <w:right w:val="single" w:sz="4" w:space="0" w:color="auto"/>
            </w:tcBorders>
            <w:shd w:val="clear" w:color="auto" w:fill="auto"/>
            <w:vAlign w:val="center"/>
            <w:hideMark/>
          </w:tcPr>
          <w:p w14:paraId="46952363"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CHF-SARON-OIS Compound</w:t>
            </w:r>
          </w:p>
        </w:tc>
      </w:tr>
      <w:tr w:rsidR="00BD4334" w:rsidRPr="00BD4334" w14:paraId="765A8C63" w14:textId="77777777" w:rsidTr="00BD4334">
        <w:trPr>
          <w:trHeight w:val="3420"/>
          <w:jc w:val="center"/>
        </w:trPr>
        <w:tc>
          <w:tcPr>
            <w:tcW w:w="4815" w:type="dxa"/>
            <w:tcBorders>
              <w:top w:val="nil"/>
              <w:left w:val="single" w:sz="4" w:space="0" w:color="auto"/>
              <w:bottom w:val="single" w:sz="4" w:space="0" w:color="auto"/>
              <w:right w:val="single" w:sz="4" w:space="0" w:color="auto"/>
            </w:tcBorders>
            <w:shd w:val="clear" w:color="000000" w:fill="ED7D31"/>
            <w:vAlign w:val="center"/>
            <w:hideMark/>
          </w:tcPr>
          <w:p w14:paraId="322F698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CL-CLICP-Bloomberg</w:t>
            </w:r>
          </w:p>
        </w:tc>
        <w:tc>
          <w:tcPr>
            <w:tcW w:w="5103" w:type="dxa"/>
            <w:tcBorders>
              <w:top w:val="nil"/>
              <w:left w:val="nil"/>
              <w:bottom w:val="single" w:sz="4" w:space="0" w:color="auto"/>
              <w:right w:val="single" w:sz="4" w:space="0" w:color="auto"/>
            </w:tcBorders>
            <w:shd w:val="clear" w:color="000000" w:fill="ED7D31"/>
            <w:vAlign w:val="center"/>
            <w:hideMark/>
          </w:tcPr>
          <w:p w14:paraId="5FEF31E8" w14:textId="32E1F8F4" w:rsidR="00BD4334" w:rsidRPr="00BD4334" w:rsidRDefault="00BD4334" w:rsidP="00BD4334">
            <w:pPr>
              <w:spacing w:after="0" w:line="240" w:lineRule="auto"/>
              <w:rPr>
                <w:kern w:val="0"/>
                <w:sz w:val="22"/>
                <w:szCs w:val="22"/>
                <w:lang w:eastAsia="en-GB"/>
              </w:rPr>
            </w:pPr>
            <w:r w:rsidRPr="00BD4334">
              <w:rPr>
                <w:kern w:val="0"/>
                <w:sz w:val="22"/>
                <w:szCs w:val="22"/>
                <w:lang w:eastAsia="en-GB"/>
              </w:rPr>
              <w:t xml:space="preserve">Note ISDA understands that the ICP index level (which is the underlying benchmark for the CL-ICP FRO in the 2021 Definitions) also appears on the Bloomberg page referenced in the CL-CLICP-Bloomberg 2006 Definitions FRO. </w:t>
            </w:r>
            <w:proofErr w:type="spellStart"/>
            <w:r w:rsidR="008F653C">
              <w:rPr>
                <w:kern w:val="0"/>
                <w:sz w:val="22"/>
                <w:szCs w:val="22"/>
                <w:lang w:eastAsia="en-GB"/>
              </w:rPr>
              <w:t>However</w:t>
            </w:r>
            <w:r w:rsidRPr="00BD4334">
              <w:rPr>
                <w:kern w:val="0"/>
                <w:sz w:val="22"/>
                <w:szCs w:val="22"/>
                <w:lang w:eastAsia="en-GB"/>
              </w:rPr>
              <w:t>r</w:t>
            </w:r>
            <w:proofErr w:type="spellEnd"/>
            <w:r w:rsidR="008F653C">
              <w:rPr>
                <w:kern w:val="0"/>
                <w:sz w:val="22"/>
                <w:szCs w:val="22"/>
                <w:lang w:eastAsia="en-GB"/>
              </w:rPr>
              <w:t>,</w:t>
            </w:r>
            <w:r w:rsidRPr="00BD4334">
              <w:rPr>
                <w:kern w:val="0"/>
                <w:sz w:val="22"/>
                <w:szCs w:val="22"/>
                <w:lang w:eastAsia="en-GB"/>
              </w:rPr>
              <w:t xml:space="preserve"> the definition of CL-CLICP-Bloomberg refers to a Designated Maturity, which implies that the FRO is describing a term rate calculated by reference to the ICP index level (though ISDA has been unable to establish the reason for this).  Because of this, market participants are encouraged to perform their own due diligence on these FROs in order to determine whether they map. </w:t>
            </w:r>
          </w:p>
        </w:tc>
      </w:tr>
      <w:tr w:rsidR="00BD4334" w:rsidRPr="00BD4334" w14:paraId="408F64F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C89C8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CNH-HIBOR-TMA</w:t>
            </w:r>
          </w:p>
        </w:tc>
        <w:tc>
          <w:tcPr>
            <w:tcW w:w="5103" w:type="dxa"/>
            <w:tcBorders>
              <w:top w:val="nil"/>
              <w:left w:val="nil"/>
              <w:bottom w:val="single" w:sz="4" w:space="0" w:color="auto"/>
              <w:right w:val="single" w:sz="4" w:space="0" w:color="auto"/>
            </w:tcBorders>
            <w:shd w:val="clear" w:color="auto" w:fill="auto"/>
            <w:vAlign w:val="center"/>
            <w:hideMark/>
          </w:tcPr>
          <w:p w14:paraId="4D2932D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CNH-HIBOR</w:t>
            </w:r>
          </w:p>
        </w:tc>
      </w:tr>
      <w:tr w:rsidR="00BD4334" w:rsidRPr="00BD4334" w14:paraId="120AA19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21979F"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CNY-CNREPOFIX=CFXS-Reuters</w:t>
            </w:r>
          </w:p>
        </w:tc>
        <w:tc>
          <w:tcPr>
            <w:tcW w:w="5103" w:type="dxa"/>
            <w:tcBorders>
              <w:top w:val="nil"/>
              <w:left w:val="nil"/>
              <w:bottom w:val="single" w:sz="4" w:space="0" w:color="auto"/>
              <w:right w:val="single" w:sz="4" w:space="0" w:color="auto"/>
            </w:tcBorders>
            <w:shd w:val="clear" w:color="auto" w:fill="auto"/>
            <w:vAlign w:val="center"/>
            <w:hideMark/>
          </w:tcPr>
          <w:p w14:paraId="1BC28F9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CNY-Fixing Repo Rate</w:t>
            </w:r>
          </w:p>
        </w:tc>
      </w:tr>
      <w:tr w:rsidR="00BD4334" w:rsidRPr="00BD4334" w14:paraId="47CA07B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CE5F79F"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5D59597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CNY-LPR</w:t>
            </w:r>
          </w:p>
        </w:tc>
      </w:tr>
      <w:tr w:rsidR="00BD4334" w:rsidRPr="00BD4334" w14:paraId="64BEB9E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C97D1E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CNY-PBOCB-Reuters</w:t>
            </w:r>
          </w:p>
        </w:tc>
        <w:tc>
          <w:tcPr>
            <w:tcW w:w="5103" w:type="dxa"/>
            <w:tcBorders>
              <w:top w:val="nil"/>
              <w:left w:val="nil"/>
              <w:bottom w:val="single" w:sz="4" w:space="0" w:color="auto"/>
              <w:right w:val="single" w:sz="4" w:space="0" w:color="auto"/>
            </w:tcBorders>
            <w:shd w:val="clear" w:color="auto" w:fill="auto"/>
            <w:vAlign w:val="bottom"/>
            <w:hideMark/>
          </w:tcPr>
          <w:p w14:paraId="575B4DA6"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CNY-Deposit Rate</w:t>
            </w:r>
          </w:p>
        </w:tc>
      </w:tr>
      <w:tr w:rsidR="00BD4334" w:rsidRPr="00BD4334" w14:paraId="562ED59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3EE187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CNY-SHIBOR-Reuters</w:t>
            </w:r>
          </w:p>
        </w:tc>
        <w:tc>
          <w:tcPr>
            <w:tcW w:w="5103" w:type="dxa"/>
            <w:tcBorders>
              <w:top w:val="nil"/>
              <w:left w:val="nil"/>
              <w:bottom w:val="single" w:sz="4" w:space="0" w:color="auto"/>
              <w:right w:val="single" w:sz="4" w:space="0" w:color="auto"/>
            </w:tcBorders>
            <w:shd w:val="clear" w:color="auto" w:fill="auto"/>
            <w:vAlign w:val="center"/>
            <w:hideMark/>
          </w:tcPr>
          <w:p w14:paraId="602DC01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CNY-SHIBOR</w:t>
            </w:r>
          </w:p>
        </w:tc>
      </w:tr>
      <w:tr w:rsidR="00BD4334" w:rsidRPr="00BD4334" w14:paraId="478524C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DC42A1D"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CNY-</w:t>
            </w:r>
            <w:proofErr w:type="spellStart"/>
            <w:r w:rsidRPr="00BD4334">
              <w:rPr>
                <w:color w:val="000000"/>
                <w:kern w:val="0"/>
                <w:sz w:val="22"/>
                <w:szCs w:val="22"/>
                <w:lang w:eastAsia="en-GB"/>
              </w:rPr>
              <w:t>Shibor</w:t>
            </w:r>
            <w:proofErr w:type="spellEnd"/>
            <w:r w:rsidRPr="00BD4334">
              <w:rPr>
                <w:color w:val="000000"/>
                <w:kern w:val="0"/>
                <w:sz w:val="22"/>
                <w:szCs w:val="22"/>
                <w:lang w:eastAsia="en-GB"/>
              </w:rPr>
              <w:t>-OIS-Compounding</w:t>
            </w:r>
          </w:p>
        </w:tc>
        <w:tc>
          <w:tcPr>
            <w:tcW w:w="5103" w:type="dxa"/>
            <w:tcBorders>
              <w:top w:val="nil"/>
              <w:left w:val="nil"/>
              <w:bottom w:val="single" w:sz="4" w:space="0" w:color="auto"/>
              <w:right w:val="single" w:sz="4" w:space="0" w:color="auto"/>
            </w:tcBorders>
            <w:shd w:val="clear" w:color="auto" w:fill="auto"/>
            <w:vAlign w:val="center"/>
            <w:hideMark/>
          </w:tcPr>
          <w:p w14:paraId="49907FD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 xml:space="preserve">CNY-SHIBOR-OIS Compound </w:t>
            </w:r>
          </w:p>
        </w:tc>
      </w:tr>
      <w:tr w:rsidR="00BD4334" w:rsidRPr="00BD4334" w14:paraId="0036A889" w14:textId="77777777" w:rsidTr="00BD4334">
        <w:trPr>
          <w:trHeight w:val="85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9E0158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CNY-Quarterly 7 day Repo Non Deliverable Swap Rate-TRADITION</w:t>
            </w:r>
          </w:p>
        </w:tc>
        <w:tc>
          <w:tcPr>
            <w:tcW w:w="5103" w:type="dxa"/>
            <w:tcBorders>
              <w:top w:val="nil"/>
              <w:left w:val="nil"/>
              <w:bottom w:val="single" w:sz="4" w:space="0" w:color="auto"/>
              <w:right w:val="single" w:sz="4" w:space="0" w:color="auto"/>
            </w:tcBorders>
            <w:shd w:val="clear" w:color="auto" w:fill="auto"/>
            <w:vAlign w:val="center"/>
            <w:hideMark/>
          </w:tcPr>
          <w:p w14:paraId="04A6708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CNY-Quarterly 7D Repo NDS Rate Tradition</w:t>
            </w:r>
          </w:p>
        </w:tc>
      </w:tr>
      <w:tr w:rsidR="00BD4334" w:rsidRPr="00BD4334" w14:paraId="6311C0E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4BEC2E9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COP-IBR-OIS-COMPOUND</w:t>
            </w:r>
          </w:p>
        </w:tc>
        <w:tc>
          <w:tcPr>
            <w:tcW w:w="5103" w:type="dxa"/>
            <w:tcBorders>
              <w:top w:val="nil"/>
              <w:left w:val="nil"/>
              <w:bottom w:val="single" w:sz="4" w:space="0" w:color="auto"/>
              <w:right w:val="single" w:sz="4" w:space="0" w:color="auto"/>
            </w:tcBorders>
            <w:shd w:val="clear" w:color="000000" w:fill="FFFFFF"/>
            <w:vAlign w:val="center"/>
            <w:hideMark/>
          </w:tcPr>
          <w:p w14:paraId="3EC33D4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COP-IBR-OIS Compound</w:t>
            </w:r>
          </w:p>
        </w:tc>
      </w:tr>
      <w:tr w:rsidR="00BD4334" w:rsidRPr="00BD4334" w14:paraId="47467F1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22330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2A0CC74C"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CZK-CZEONIA</w:t>
            </w:r>
          </w:p>
        </w:tc>
      </w:tr>
      <w:tr w:rsidR="00BD4334" w:rsidRPr="00BD4334" w14:paraId="13AD948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686259D"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135DE1D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CZK-CZEONIA-OIS Compound</w:t>
            </w:r>
          </w:p>
        </w:tc>
      </w:tr>
      <w:tr w:rsidR="00BD4334" w:rsidRPr="00BD4334" w14:paraId="5F30F82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526D07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CZK-PRIBOR-PRBO</w:t>
            </w:r>
          </w:p>
        </w:tc>
        <w:tc>
          <w:tcPr>
            <w:tcW w:w="5103" w:type="dxa"/>
            <w:tcBorders>
              <w:top w:val="nil"/>
              <w:left w:val="nil"/>
              <w:bottom w:val="single" w:sz="4" w:space="0" w:color="auto"/>
              <w:right w:val="single" w:sz="4" w:space="0" w:color="auto"/>
            </w:tcBorders>
            <w:shd w:val="clear" w:color="auto" w:fill="auto"/>
            <w:vAlign w:val="center"/>
            <w:hideMark/>
          </w:tcPr>
          <w:p w14:paraId="3D18102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CZK-PRIBOR</w:t>
            </w:r>
          </w:p>
        </w:tc>
      </w:tr>
      <w:tr w:rsidR="00BD4334" w:rsidRPr="00BD4334" w14:paraId="2871658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4AD6C7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DKK-CIBOR-DKNA13</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3C26680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DKK-CIBOR</w:t>
            </w:r>
          </w:p>
        </w:tc>
      </w:tr>
      <w:tr w:rsidR="00BD4334" w:rsidRPr="00BD4334" w14:paraId="3DA7AE6D"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151B4FB"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DKK-CIBOR-DKNA13-Bloomberg</w:t>
            </w:r>
          </w:p>
        </w:tc>
        <w:tc>
          <w:tcPr>
            <w:tcW w:w="5103" w:type="dxa"/>
            <w:vMerge/>
            <w:tcBorders>
              <w:top w:val="nil"/>
              <w:left w:val="single" w:sz="4" w:space="0" w:color="auto"/>
              <w:bottom w:val="single" w:sz="4" w:space="0" w:color="000000"/>
              <w:right w:val="single" w:sz="4" w:space="0" w:color="auto"/>
            </w:tcBorders>
            <w:vAlign w:val="center"/>
            <w:hideMark/>
          </w:tcPr>
          <w:p w14:paraId="5698C418" w14:textId="77777777" w:rsidR="00BD4334" w:rsidRPr="00BD4334" w:rsidRDefault="00BD4334" w:rsidP="00BD4334">
            <w:pPr>
              <w:spacing w:after="0" w:line="240" w:lineRule="auto"/>
              <w:rPr>
                <w:kern w:val="0"/>
                <w:sz w:val="22"/>
                <w:szCs w:val="22"/>
                <w:lang w:eastAsia="en-GB"/>
              </w:rPr>
            </w:pPr>
          </w:p>
        </w:tc>
      </w:tr>
      <w:tr w:rsidR="00BD4334" w:rsidRPr="00BD4334" w14:paraId="5ABD19A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4DB600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DKK-CIBOR2-DKNA13</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4F0054AC"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DKK-CIBOR2</w:t>
            </w:r>
          </w:p>
        </w:tc>
      </w:tr>
      <w:tr w:rsidR="00BD4334" w:rsidRPr="00BD4334" w14:paraId="60544C6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8F283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DKK-CIBOR2-Bloomberg</w:t>
            </w:r>
          </w:p>
        </w:tc>
        <w:tc>
          <w:tcPr>
            <w:tcW w:w="5103" w:type="dxa"/>
            <w:vMerge/>
            <w:tcBorders>
              <w:top w:val="nil"/>
              <w:left w:val="single" w:sz="4" w:space="0" w:color="auto"/>
              <w:bottom w:val="single" w:sz="4" w:space="0" w:color="000000"/>
              <w:right w:val="single" w:sz="4" w:space="0" w:color="auto"/>
            </w:tcBorders>
            <w:vAlign w:val="center"/>
            <w:hideMark/>
          </w:tcPr>
          <w:p w14:paraId="46059C91" w14:textId="77777777" w:rsidR="00BD4334" w:rsidRPr="00BD4334" w:rsidRDefault="00BD4334" w:rsidP="00BD4334">
            <w:pPr>
              <w:spacing w:after="0" w:line="240" w:lineRule="auto"/>
              <w:rPr>
                <w:kern w:val="0"/>
                <w:sz w:val="22"/>
                <w:szCs w:val="22"/>
                <w:lang w:eastAsia="en-GB"/>
              </w:rPr>
            </w:pPr>
          </w:p>
        </w:tc>
      </w:tr>
      <w:tr w:rsidR="00BD4334" w:rsidRPr="00BD4334" w14:paraId="736B6E6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04E51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DKK-CITA-DKNA14-COMPOUND</w:t>
            </w:r>
          </w:p>
        </w:tc>
        <w:tc>
          <w:tcPr>
            <w:tcW w:w="5103" w:type="dxa"/>
            <w:tcBorders>
              <w:top w:val="nil"/>
              <w:left w:val="nil"/>
              <w:bottom w:val="single" w:sz="4" w:space="0" w:color="auto"/>
              <w:right w:val="single" w:sz="4" w:space="0" w:color="auto"/>
            </w:tcBorders>
            <w:shd w:val="clear" w:color="auto" w:fill="auto"/>
            <w:vAlign w:val="center"/>
            <w:hideMark/>
          </w:tcPr>
          <w:p w14:paraId="5FD46D2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DKK-CITA</w:t>
            </w:r>
          </w:p>
        </w:tc>
      </w:tr>
      <w:tr w:rsidR="00BD4334" w:rsidRPr="00BD4334" w14:paraId="2EF5AD8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77DA2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DKK-DKKOIS-OIS-COMPOUND</w:t>
            </w:r>
          </w:p>
        </w:tc>
        <w:tc>
          <w:tcPr>
            <w:tcW w:w="5103" w:type="dxa"/>
            <w:tcBorders>
              <w:top w:val="nil"/>
              <w:left w:val="nil"/>
              <w:bottom w:val="single" w:sz="4" w:space="0" w:color="auto"/>
              <w:right w:val="single" w:sz="4" w:space="0" w:color="auto"/>
            </w:tcBorders>
            <w:shd w:val="clear" w:color="000000" w:fill="FFFFFF"/>
            <w:vAlign w:val="center"/>
            <w:hideMark/>
          </w:tcPr>
          <w:p w14:paraId="3FF82D7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DKK-Tom Next-OIS Compound</w:t>
            </w:r>
          </w:p>
        </w:tc>
      </w:tr>
      <w:tr w:rsidR="00BD4334" w:rsidRPr="00BD4334" w14:paraId="204E33A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20E4EA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19EC7B9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EUR-EONIA</w:t>
            </w:r>
          </w:p>
        </w:tc>
      </w:tr>
      <w:tr w:rsidR="00BD4334" w:rsidRPr="00BD4334" w14:paraId="74A2C73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320B22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EUR-EONIA-AVERAGE</w:t>
            </w:r>
          </w:p>
        </w:tc>
        <w:tc>
          <w:tcPr>
            <w:tcW w:w="5103" w:type="dxa"/>
            <w:tcBorders>
              <w:top w:val="nil"/>
              <w:left w:val="nil"/>
              <w:bottom w:val="single" w:sz="4" w:space="0" w:color="auto"/>
              <w:right w:val="single" w:sz="4" w:space="0" w:color="auto"/>
            </w:tcBorders>
            <w:shd w:val="clear" w:color="auto" w:fill="auto"/>
            <w:vAlign w:val="center"/>
            <w:hideMark/>
          </w:tcPr>
          <w:p w14:paraId="485EB71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EUR-EONIA-Average</w:t>
            </w:r>
          </w:p>
        </w:tc>
      </w:tr>
      <w:tr w:rsidR="00BD4334" w:rsidRPr="00BD4334" w14:paraId="4F35EF5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C09AD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EUR-EONIA-OIS-COMPOUND</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2F00DD4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EUR-EONIA-OIS Compound</w:t>
            </w:r>
          </w:p>
        </w:tc>
      </w:tr>
      <w:tr w:rsidR="00BD4334" w:rsidRPr="00BD4334" w14:paraId="33CCCADE"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32AE04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EUR-EONIA-OIS-COMPOUND-Bloomberg</w:t>
            </w:r>
          </w:p>
        </w:tc>
        <w:tc>
          <w:tcPr>
            <w:tcW w:w="5103" w:type="dxa"/>
            <w:vMerge/>
            <w:tcBorders>
              <w:top w:val="nil"/>
              <w:left w:val="single" w:sz="4" w:space="0" w:color="auto"/>
              <w:bottom w:val="single" w:sz="4" w:space="0" w:color="000000"/>
              <w:right w:val="single" w:sz="4" w:space="0" w:color="auto"/>
            </w:tcBorders>
            <w:vAlign w:val="center"/>
            <w:hideMark/>
          </w:tcPr>
          <w:p w14:paraId="7EEBB6B2" w14:textId="77777777" w:rsidR="00BD4334" w:rsidRPr="00BD4334" w:rsidRDefault="00BD4334" w:rsidP="00BD4334">
            <w:pPr>
              <w:spacing w:after="0" w:line="240" w:lineRule="auto"/>
              <w:rPr>
                <w:kern w:val="0"/>
                <w:sz w:val="22"/>
                <w:szCs w:val="22"/>
                <w:lang w:eastAsia="en-GB"/>
              </w:rPr>
            </w:pPr>
          </w:p>
        </w:tc>
      </w:tr>
      <w:tr w:rsidR="00BD4334" w:rsidRPr="00BD4334" w14:paraId="62EB0BD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28F786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EUR-EURIBOR-Reuters</w:t>
            </w:r>
          </w:p>
        </w:tc>
        <w:tc>
          <w:tcPr>
            <w:tcW w:w="5103" w:type="dxa"/>
            <w:tcBorders>
              <w:top w:val="nil"/>
              <w:left w:val="nil"/>
              <w:bottom w:val="single" w:sz="4" w:space="0" w:color="auto"/>
              <w:right w:val="single" w:sz="4" w:space="0" w:color="auto"/>
            </w:tcBorders>
            <w:shd w:val="clear" w:color="auto" w:fill="auto"/>
            <w:vAlign w:val="center"/>
            <w:hideMark/>
          </w:tcPr>
          <w:p w14:paraId="650A9B0C"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EUR-EURIBOR</w:t>
            </w:r>
          </w:p>
        </w:tc>
      </w:tr>
      <w:tr w:rsidR="00BD4334" w:rsidRPr="00BD4334" w14:paraId="35637AE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E31902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EUR-ISDA-EURIBOR Swap Rate-11:00</w:t>
            </w:r>
          </w:p>
        </w:tc>
        <w:tc>
          <w:tcPr>
            <w:tcW w:w="5103" w:type="dxa"/>
            <w:tcBorders>
              <w:top w:val="nil"/>
              <w:left w:val="nil"/>
              <w:bottom w:val="single" w:sz="4" w:space="0" w:color="auto"/>
              <w:right w:val="single" w:sz="4" w:space="0" w:color="auto"/>
            </w:tcBorders>
            <w:shd w:val="clear" w:color="auto" w:fill="auto"/>
            <w:vAlign w:val="center"/>
            <w:hideMark/>
          </w:tcPr>
          <w:p w14:paraId="7E73A3E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EUR-EURIBOR ICE Swap Rate-11:00</w:t>
            </w:r>
          </w:p>
        </w:tc>
      </w:tr>
      <w:tr w:rsidR="00BD4334" w:rsidRPr="00BD4334" w14:paraId="678AD2F7"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46EF3B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EUR-ISDA-EURIBOR Swap Rate-12:00</w:t>
            </w:r>
          </w:p>
        </w:tc>
        <w:tc>
          <w:tcPr>
            <w:tcW w:w="5103" w:type="dxa"/>
            <w:tcBorders>
              <w:top w:val="nil"/>
              <w:left w:val="nil"/>
              <w:bottom w:val="single" w:sz="4" w:space="0" w:color="auto"/>
              <w:right w:val="single" w:sz="4" w:space="0" w:color="auto"/>
            </w:tcBorders>
            <w:shd w:val="clear" w:color="auto" w:fill="auto"/>
            <w:vAlign w:val="center"/>
            <w:hideMark/>
          </w:tcPr>
          <w:p w14:paraId="6F88A0B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EUR-EURIBOR ICE Swap Rate-12:00</w:t>
            </w:r>
          </w:p>
        </w:tc>
      </w:tr>
      <w:tr w:rsidR="00BD4334" w:rsidRPr="00BD4334" w14:paraId="45EBFB1B"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3CC2E0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EUR-EURONIA-OIS-COMPOUND</w:t>
            </w:r>
          </w:p>
        </w:tc>
        <w:tc>
          <w:tcPr>
            <w:tcW w:w="5103" w:type="dxa"/>
            <w:tcBorders>
              <w:top w:val="nil"/>
              <w:left w:val="nil"/>
              <w:bottom w:val="single" w:sz="4" w:space="0" w:color="auto"/>
              <w:right w:val="single" w:sz="4" w:space="0" w:color="auto"/>
            </w:tcBorders>
            <w:shd w:val="clear" w:color="auto" w:fill="auto"/>
            <w:vAlign w:val="center"/>
            <w:hideMark/>
          </w:tcPr>
          <w:p w14:paraId="5B0E129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EUR-EURONIA-OIS Compound</w:t>
            </w:r>
          </w:p>
        </w:tc>
      </w:tr>
      <w:tr w:rsidR="00BD4334" w:rsidRPr="00BD4334" w14:paraId="2802492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90D02E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EUR-EuroSTR</w:t>
            </w:r>
          </w:p>
        </w:tc>
        <w:tc>
          <w:tcPr>
            <w:tcW w:w="5103" w:type="dxa"/>
            <w:tcBorders>
              <w:top w:val="nil"/>
              <w:left w:val="nil"/>
              <w:bottom w:val="single" w:sz="4" w:space="0" w:color="auto"/>
              <w:right w:val="single" w:sz="4" w:space="0" w:color="auto"/>
            </w:tcBorders>
            <w:shd w:val="clear" w:color="auto" w:fill="auto"/>
            <w:vAlign w:val="center"/>
            <w:hideMark/>
          </w:tcPr>
          <w:p w14:paraId="5334B4A0"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EUR-EuroSTR</w:t>
            </w:r>
          </w:p>
        </w:tc>
      </w:tr>
      <w:tr w:rsidR="00BD4334" w:rsidRPr="00BD4334" w14:paraId="01CA0A0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ABC12C9"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EUR-EuroSTR-COMPOUND</w:t>
            </w:r>
          </w:p>
        </w:tc>
        <w:tc>
          <w:tcPr>
            <w:tcW w:w="5103" w:type="dxa"/>
            <w:tcBorders>
              <w:top w:val="nil"/>
              <w:left w:val="nil"/>
              <w:bottom w:val="single" w:sz="4" w:space="0" w:color="auto"/>
              <w:right w:val="single" w:sz="4" w:space="0" w:color="auto"/>
            </w:tcBorders>
            <w:shd w:val="clear" w:color="auto" w:fill="auto"/>
            <w:vAlign w:val="center"/>
            <w:hideMark/>
          </w:tcPr>
          <w:p w14:paraId="1C2991C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EUR-EuroSTR-OIS Compound</w:t>
            </w:r>
          </w:p>
        </w:tc>
      </w:tr>
      <w:tr w:rsidR="00BD4334" w:rsidRPr="00BD4334" w14:paraId="68FECA2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EEEC79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96BD60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EUR-LIBOR</w:t>
            </w:r>
          </w:p>
        </w:tc>
      </w:tr>
      <w:tr w:rsidR="00BD4334" w:rsidRPr="00BD4334" w14:paraId="6696E7B5"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19DD419"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EUR-LIBOR-BBA-Bloomberg</w:t>
            </w:r>
          </w:p>
        </w:tc>
        <w:tc>
          <w:tcPr>
            <w:tcW w:w="5103" w:type="dxa"/>
            <w:vMerge/>
            <w:tcBorders>
              <w:top w:val="nil"/>
              <w:left w:val="single" w:sz="4" w:space="0" w:color="auto"/>
              <w:bottom w:val="single" w:sz="4" w:space="0" w:color="000000"/>
              <w:right w:val="single" w:sz="4" w:space="0" w:color="auto"/>
            </w:tcBorders>
            <w:vAlign w:val="center"/>
            <w:hideMark/>
          </w:tcPr>
          <w:p w14:paraId="6EDE70B6" w14:textId="77777777" w:rsidR="00BD4334" w:rsidRPr="00BD4334" w:rsidRDefault="00BD4334" w:rsidP="00BD4334">
            <w:pPr>
              <w:spacing w:after="0" w:line="240" w:lineRule="auto"/>
              <w:rPr>
                <w:kern w:val="0"/>
                <w:sz w:val="22"/>
                <w:szCs w:val="22"/>
                <w:lang w:eastAsia="en-GB"/>
              </w:rPr>
            </w:pPr>
          </w:p>
        </w:tc>
      </w:tr>
      <w:tr w:rsidR="00BD4334" w:rsidRPr="00BD4334" w14:paraId="220503A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643F2AE"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EUR-TEC10-CNO</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37C1D494"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EUR-CNO TEC10</w:t>
            </w:r>
          </w:p>
        </w:tc>
      </w:tr>
      <w:tr w:rsidR="00BD4334" w:rsidRPr="00BD4334" w14:paraId="687F5822"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6A58B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EUR-TEC10-CNO-SwapMarker</w:t>
            </w:r>
          </w:p>
        </w:tc>
        <w:tc>
          <w:tcPr>
            <w:tcW w:w="5103" w:type="dxa"/>
            <w:vMerge/>
            <w:tcBorders>
              <w:top w:val="nil"/>
              <w:left w:val="single" w:sz="4" w:space="0" w:color="auto"/>
              <w:bottom w:val="single" w:sz="4" w:space="0" w:color="000000"/>
              <w:right w:val="single" w:sz="4" w:space="0" w:color="auto"/>
            </w:tcBorders>
            <w:vAlign w:val="center"/>
            <w:hideMark/>
          </w:tcPr>
          <w:p w14:paraId="4BD9402A" w14:textId="77777777" w:rsidR="00BD4334" w:rsidRPr="00BD4334" w:rsidRDefault="00BD4334" w:rsidP="00BD4334">
            <w:pPr>
              <w:spacing w:after="0" w:line="240" w:lineRule="auto"/>
              <w:rPr>
                <w:kern w:val="0"/>
                <w:sz w:val="22"/>
                <w:szCs w:val="22"/>
                <w:lang w:eastAsia="en-GB"/>
              </w:rPr>
            </w:pPr>
          </w:p>
        </w:tc>
      </w:tr>
      <w:tr w:rsidR="00BD4334" w:rsidRPr="00BD4334" w14:paraId="2CAE8A0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864F82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GBP-LIBOR-BBA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548FD36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GBP-LIBOR</w:t>
            </w:r>
          </w:p>
        </w:tc>
      </w:tr>
      <w:tr w:rsidR="00BD4334" w:rsidRPr="00BD4334" w14:paraId="275F5CF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EF15C46"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GBP-LIBOR-BBA-Bloomberg</w:t>
            </w:r>
          </w:p>
        </w:tc>
        <w:tc>
          <w:tcPr>
            <w:tcW w:w="5103" w:type="dxa"/>
            <w:vMerge/>
            <w:tcBorders>
              <w:top w:val="nil"/>
              <w:left w:val="single" w:sz="4" w:space="0" w:color="auto"/>
              <w:bottom w:val="single" w:sz="4" w:space="0" w:color="000000"/>
              <w:right w:val="single" w:sz="4" w:space="0" w:color="auto"/>
            </w:tcBorders>
            <w:vAlign w:val="center"/>
            <w:hideMark/>
          </w:tcPr>
          <w:p w14:paraId="4C6DB256" w14:textId="77777777" w:rsidR="00BD4334" w:rsidRPr="00BD4334" w:rsidRDefault="00BD4334" w:rsidP="00BD4334">
            <w:pPr>
              <w:spacing w:after="0" w:line="240" w:lineRule="auto"/>
              <w:rPr>
                <w:kern w:val="0"/>
                <w:sz w:val="22"/>
                <w:szCs w:val="22"/>
                <w:lang w:eastAsia="en-GB"/>
              </w:rPr>
            </w:pPr>
          </w:p>
        </w:tc>
      </w:tr>
      <w:tr w:rsidR="00BD4334" w:rsidRPr="00BD4334" w14:paraId="58A35BA3" w14:textId="77777777" w:rsidTr="00BD4334">
        <w:trPr>
          <w:trHeight w:val="285"/>
          <w:jc w:val="center"/>
        </w:trPr>
        <w:tc>
          <w:tcPr>
            <w:tcW w:w="4815" w:type="dxa"/>
            <w:tcBorders>
              <w:top w:val="nil"/>
              <w:left w:val="single" w:sz="4" w:space="0" w:color="auto"/>
              <w:bottom w:val="nil"/>
              <w:right w:val="single" w:sz="4" w:space="0" w:color="auto"/>
            </w:tcBorders>
            <w:shd w:val="clear" w:color="auto" w:fill="auto"/>
            <w:vAlign w:val="center"/>
            <w:hideMark/>
          </w:tcPr>
          <w:p w14:paraId="107E53C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GBP-ISDA-Swap Rate</w:t>
            </w:r>
          </w:p>
        </w:tc>
        <w:tc>
          <w:tcPr>
            <w:tcW w:w="5103" w:type="dxa"/>
            <w:tcBorders>
              <w:top w:val="nil"/>
              <w:left w:val="nil"/>
              <w:bottom w:val="nil"/>
              <w:right w:val="single" w:sz="4" w:space="0" w:color="auto"/>
            </w:tcBorders>
            <w:shd w:val="clear" w:color="auto" w:fill="auto"/>
            <w:vAlign w:val="center"/>
            <w:hideMark/>
          </w:tcPr>
          <w:p w14:paraId="5960261F"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GBP-LIBOR ICE Swap Rate</w:t>
            </w:r>
          </w:p>
        </w:tc>
      </w:tr>
      <w:tr w:rsidR="00BD4334" w:rsidRPr="00BD4334" w14:paraId="69DCD471" w14:textId="77777777" w:rsidTr="00BD4334">
        <w:trPr>
          <w:trHeight w:val="285"/>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570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7BA8714"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GBP-RONIA</w:t>
            </w:r>
          </w:p>
        </w:tc>
      </w:tr>
      <w:tr w:rsidR="00BD4334" w:rsidRPr="00BD4334" w14:paraId="0EA64DC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7CEEC82"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GBP-WMBA-RONIA-COMPOUND</w:t>
            </w:r>
          </w:p>
        </w:tc>
        <w:tc>
          <w:tcPr>
            <w:tcW w:w="5103" w:type="dxa"/>
            <w:tcBorders>
              <w:top w:val="nil"/>
              <w:left w:val="nil"/>
              <w:bottom w:val="single" w:sz="4" w:space="0" w:color="auto"/>
              <w:right w:val="single" w:sz="4" w:space="0" w:color="auto"/>
            </w:tcBorders>
            <w:shd w:val="clear" w:color="auto" w:fill="auto"/>
            <w:vAlign w:val="center"/>
            <w:hideMark/>
          </w:tcPr>
          <w:p w14:paraId="385421ED"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GBP-RONIA-OIS Compound</w:t>
            </w:r>
          </w:p>
        </w:tc>
      </w:tr>
      <w:tr w:rsidR="00BD4334" w:rsidRPr="00BD4334" w14:paraId="05D15E9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0191A0"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GBP-SONIA</w:t>
            </w:r>
          </w:p>
        </w:tc>
        <w:tc>
          <w:tcPr>
            <w:tcW w:w="5103" w:type="dxa"/>
            <w:tcBorders>
              <w:top w:val="nil"/>
              <w:left w:val="nil"/>
              <w:bottom w:val="single" w:sz="4" w:space="0" w:color="auto"/>
              <w:right w:val="single" w:sz="4" w:space="0" w:color="auto"/>
            </w:tcBorders>
            <w:shd w:val="clear" w:color="auto" w:fill="auto"/>
            <w:vAlign w:val="center"/>
            <w:hideMark/>
          </w:tcPr>
          <w:p w14:paraId="603C568E"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GBP-SONIA</w:t>
            </w:r>
          </w:p>
        </w:tc>
      </w:tr>
      <w:tr w:rsidR="00BD4334" w:rsidRPr="00BD4334" w14:paraId="2460CE80"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C270BB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GBP-SONIA Compounded Index</w:t>
            </w:r>
          </w:p>
        </w:tc>
        <w:tc>
          <w:tcPr>
            <w:tcW w:w="5103" w:type="dxa"/>
            <w:tcBorders>
              <w:top w:val="nil"/>
              <w:left w:val="nil"/>
              <w:bottom w:val="single" w:sz="4" w:space="0" w:color="auto"/>
              <w:right w:val="single" w:sz="4" w:space="0" w:color="auto"/>
            </w:tcBorders>
            <w:shd w:val="clear" w:color="auto" w:fill="auto"/>
            <w:vAlign w:val="center"/>
            <w:hideMark/>
          </w:tcPr>
          <w:p w14:paraId="10F865A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GBP-SONIA Compounded Index</w:t>
            </w:r>
          </w:p>
        </w:tc>
      </w:tr>
      <w:tr w:rsidR="00BD4334" w:rsidRPr="00BD4334" w14:paraId="008AA83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0DED0A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GBP-SONIA Swap Rate</w:t>
            </w:r>
          </w:p>
        </w:tc>
        <w:tc>
          <w:tcPr>
            <w:tcW w:w="5103" w:type="dxa"/>
            <w:tcBorders>
              <w:top w:val="nil"/>
              <w:left w:val="nil"/>
              <w:bottom w:val="single" w:sz="4" w:space="0" w:color="auto"/>
              <w:right w:val="single" w:sz="4" w:space="0" w:color="auto"/>
            </w:tcBorders>
            <w:shd w:val="clear" w:color="auto" w:fill="auto"/>
            <w:vAlign w:val="center"/>
            <w:hideMark/>
          </w:tcPr>
          <w:p w14:paraId="6EF678F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GBP-SONIA ICE Swap Rate</w:t>
            </w:r>
          </w:p>
        </w:tc>
      </w:tr>
      <w:tr w:rsidR="00BD4334" w:rsidRPr="00BD4334" w14:paraId="188CBAE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263365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 xml:space="preserve">GBP-SONIA-COMPOUND           </w:t>
            </w:r>
          </w:p>
        </w:tc>
        <w:tc>
          <w:tcPr>
            <w:tcW w:w="5103" w:type="dxa"/>
            <w:tcBorders>
              <w:top w:val="nil"/>
              <w:left w:val="nil"/>
              <w:bottom w:val="single" w:sz="4" w:space="0" w:color="auto"/>
              <w:right w:val="single" w:sz="4" w:space="0" w:color="auto"/>
            </w:tcBorders>
            <w:shd w:val="clear" w:color="auto" w:fill="auto"/>
            <w:vAlign w:val="center"/>
            <w:hideMark/>
          </w:tcPr>
          <w:p w14:paraId="13289FF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GBP-SONIA-OIS Compound</w:t>
            </w:r>
          </w:p>
        </w:tc>
      </w:tr>
      <w:tr w:rsidR="00BD4334" w:rsidRPr="00BD4334" w14:paraId="2A0D30F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9EB7F1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UK Base Rate</w:t>
            </w:r>
          </w:p>
        </w:tc>
        <w:tc>
          <w:tcPr>
            <w:tcW w:w="5103" w:type="dxa"/>
            <w:tcBorders>
              <w:top w:val="nil"/>
              <w:left w:val="nil"/>
              <w:bottom w:val="single" w:sz="4" w:space="0" w:color="auto"/>
              <w:right w:val="single" w:sz="4" w:space="0" w:color="auto"/>
            </w:tcBorders>
            <w:shd w:val="clear" w:color="auto" w:fill="auto"/>
            <w:vAlign w:val="center"/>
            <w:hideMark/>
          </w:tcPr>
          <w:p w14:paraId="0A779EA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GBP-UK Base Rate</w:t>
            </w:r>
          </w:p>
        </w:tc>
      </w:tr>
      <w:tr w:rsidR="00BD4334" w:rsidRPr="00BD4334" w14:paraId="4C87BD1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71C99E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HKD-HIBOR-HKAB</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7F49C7ED"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HKD-HIBOR</w:t>
            </w:r>
          </w:p>
        </w:tc>
      </w:tr>
      <w:tr w:rsidR="00BD4334" w:rsidRPr="00BD4334" w14:paraId="45CF4ED5"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E6E0E1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HKD-HIBOR-HKAB-Bloomberg</w:t>
            </w:r>
          </w:p>
        </w:tc>
        <w:tc>
          <w:tcPr>
            <w:tcW w:w="5103" w:type="dxa"/>
            <w:vMerge/>
            <w:tcBorders>
              <w:top w:val="nil"/>
              <w:left w:val="single" w:sz="4" w:space="0" w:color="auto"/>
              <w:bottom w:val="single" w:sz="4" w:space="0" w:color="000000"/>
              <w:right w:val="single" w:sz="4" w:space="0" w:color="auto"/>
            </w:tcBorders>
            <w:vAlign w:val="center"/>
            <w:hideMark/>
          </w:tcPr>
          <w:p w14:paraId="2F1EA5E7" w14:textId="77777777" w:rsidR="00BD4334" w:rsidRPr="00BD4334" w:rsidRDefault="00BD4334" w:rsidP="00BD4334">
            <w:pPr>
              <w:spacing w:after="0" w:line="240" w:lineRule="auto"/>
              <w:rPr>
                <w:kern w:val="0"/>
                <w:sz w:val="22"/>
                <w:szCs w:val="22"/>
                <w:lang w:eastAsia="en-GB"/>
              </w:rPr>
            </w:pPr>
          </w:p>
        </w:tc>
      </w:tr>
      <w:tr w:rsidR="00BD4334" w:rsidRPr="00BD4334" w14:paraId="37D3713C"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D1018E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HKD-HONIA</w:t>
            </w:r>
          </w:p>
        </w:tc>
        <w:tc>
          <w:tcPr>
            <w:tcW w:w="5103" w:type="dxa"/>
            <w:tcBorders>
              <w:top w:val="nil"/>
              <w:left w:val="nil"/>
              <w:bottom w:val="single" w:sz="4" w:space="0" w:color="auto"/>
              <w:right w:val="single" w:sz="4" w:space="0" w:color="auto"/>
            </w:tcBorders>
            <w:shd w:val="clear" w:color="auto" w:fill="auto"/>
            <w:vAlign w:val="center"/>
            <w:hideMark/>
          </w:tcPr>
          <w:p w14:paraId="2D97E90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HKD-HONIA</w:t>
            </w:r>
          </w:p>
        </w:tc>
      </w:tr>
      <w:tr w:rsidR="00BD4334" w:rsidRPr="00BD4334" w14:paraId="2CF02DC0"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5ABCD6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HKD-HONIX-OIS-COMPOUND</w:t>
            </w:r>
          </w:p>
        </w:tc>
        <w:tc>
          <w:tcPr>
            <w:tcW w:w="5103" w:type="dxa"/>
            <w:tcBorders>
              <w:top w:val="nil"/>
              <w:left w:val="nil"/>
              <w:bottom w:val="single" w:sz="4" w:space="0" w:color="auto"/>
              <w:right w:val="single" w:sz="4" w:space="0" w:color="auto"/>
            </w:tcBorders>
            <w:shd w:val="clear" w:color="auto" w:fill="auto"/>
            <w:vAlign w:val="center"/>
            <w:hideMark/>
          </w:tcPr>
          <w:p w14:paraId="6AF3FAF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HKD-HONIA-OIS Compound</w:t>
            </w:r>
          </w:p>
        </w:tc>
      </w:tr>
      <w:tr w:rsidR="00BD4334" w:rsidRPr="00BD4334" w14:paraId="25A1B8C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17EC0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HUF-BUBOR-Reuters</w:t>
            </w:r>
          </w:p>
        </w:tc>
        <w:tc>
          <w:tcPr>
            <w:tcW w:w="5103" w:type="dxa"/>
            <w:tcBorders>
              <w:top w:val="nil"/>
              <w:left w:val="nil"/>
              <w:bottom w:val="single" w:sz="4" w:space="0" w:color="auto"/>
              <w:right w:val="single" w:sz="4" w:space="0" w:color="auto"/>
            </w:tcBorders>
            <w:shd w:val="clear" w:color="auto" w:fill="auto"/>
            <w:vAlign w:val="center"/>
            <w:hideMark/>
          </w:tcPr>
          <w:p w14:paraId="51C5A04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HUF-BUBOR</w:t>
            </w:r>
          </w:p>
        </w:tc>
      </w:tr>
      <w:tr w:rsidR="00BD4334" w:rsidRPr="00BD4334" w14:paraId="49A2148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83B6C7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2ABDACFC"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HUF-HUFONIA</w:t>
            </w:r>
          </w:p>
        </w:tc>
      </w:tr>
      <w:tr w:rsidR="00BD4334" w:rsidRPr="00BD4334" w14:paraId="2465B55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9F9E50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IDR-JIBOR-Reuters</w:t>
            </w:r>
          </w:p>
        </w:tc>
        <w:tc>
          <w:tcPr>
            <w:tcW w:w="5103" w:type="dxa"/>
            <w:tcBorders>
              <w:top w:val="nil"/>
              <w:left w:val="nil"/>
              <w:bottom w:val="single" w:sz="4" w:space="0" w:color="auto"/>
              <w:right w:val="single" w:sz="4" w:space="0" w:color="auto"/>
            </w:tcBorders>
            <w:shd w:val="clear" w:color="auto" w:fill="auto"/>
            <w:vAlign w:val="center"/>
            <w:hideMark/>
          </w:tcPr>
          <w:p w14:paraId="32D4AFB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IDR-JIBOR</w:t>
            </w:r>
          </w:p>
        </w:tc>
      </w:tr>
      <w:tr w:rsidR="00BD4334" w:rsidRPr="00BD4334" w14:paraId="657228F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CEB2E89"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ILS-TELBOR01-Reuters</w:t>
            </w:r>
          </w:p>
        </w:tc>
        <w:tc>
          <w:tcPr>
            <w:tcW w:w="5103" w:type="dxa"/>
            <w:tcBorders>
              <w:top w:val="nil"/>
              <w:left w:val="nil"/>
              <w:bottom w:val="single" w:sz="4" w:space="0" w:color="auto"/>
              <w:right w:val="single" w:sz="4" w:space="0" w:color="auto"/>
            </w:tcBorders>
            <w:shd w:val="clear" w:color="000000" w:fill="FFFFFF"/>
            <w:vAlign w:val="center"/>
            <w:hideMark/>
          </w:tcPr>
          <w:p w14:paraId="15652CBE"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ILS-TELBOR</w:t>
            </w:r>
          </w:p>
        </w:tc>
      </w:tr>
      <w:tr w:rsidR="00BD4334" w:rsidRPr="00BD4334" w14:paraId="7655E750"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799C76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INR-FBIL-MIBOR-OIS-COMPOUND</w:t>
            </w:r>
          </w:p>
        </w:tc>
        <w:tc>
          <w:tcPr>
            <w:tcW w:w="5103" w:type="dxa"/>
            <w:tcBorders>
              <w:top w:val="nil"/>
              <w:left w:val="nil"/>
              <w:bottom w:val="single" w:sz="4" w:space="0" w:color="auto"/>
              <w:right w:val="single" w:sz="4" w:space="0" w:color="auto"/>
            </w:tcBorders>
            <w:shd w:val="clear" w:color="auto" w:fill="auto"/>
            <w:vAlign w:val="center"/>
            <w:hideMark/>
          </w:tcPr>
          <w:p w14:paraId="118354B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INR-MIBOR-OIS Compound</w:t>
            </w:r>
          </w:p>
        </w:tc>
      </w:tr>
      <w:tr w:rsidR="00BD4334" w:rsidRPr="00BD4334" w14:paraId="41E05D8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97EB6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INR-MIFOR</w:t>
            </w:r>
          </w:p>
        </w:tc>
        <w:tc>
          <w:tcPr>
            <w:tcW w:w="5103" w:type="dxa"/>
            <w:tcBorders>
              <w:top w:val="nil"/>
              <w:left w:val="nil"/>
              <w:bottom w:val="single" w:sz="4" w:space="0" w:color="auto"/>
              <w:right w:val="single" w:sz="4" w:space="0" w:color="auto"/>
            </w:tcBorders>
            <w:shd w:val="clear" w:color="auto" w:fill="auto"/>
            <w:vAlign w:val="center"/>
            <w:hideMark/>
          </w:tcPr>
          <w:p w14:paraId="572F0504"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INR-MIFOR</w:t>
            </w:r>
          </w:p>
        </w:tc>
      </w:tr>
      <w:tr w:rsidR="00BD4334" w:rsidRPr="00BD4334" w14:paraId="7A2FBD6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7717756"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INR-MIOIS</w:t>
            </w:r>
          </w:p>
        </w:tc>
        <w:tc>
          <w:tcPr>
            <w:tcW w:w="5103" w:type="dxa"/>
            <w:tcBorders>
              <w:top w:val="nil"/>
              <w:left w:val="nil"/>
              <w:bottom w:val="single" w:sz="4" w:space="0" w:color="auto"/>
              <w:right w:val="single" w:sz="4" w:space="0" w:color="auto"/>
            </w:tcBorders>
            <w:shd w:val="clear" w:color="auto" w:fill="auto"/>
            <w:vAlign w:val="center"/>
            <w:hideMark/>
          </w:tcPr>
          <w:p w14:paraId="36FBEFE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INR-MIBOR OIS</w:t>
            </w:r>
          </w:p>
        </w:tc>
      </w:tr>
      <w:tr w:rsidR="00BD4334" w:rsidRPr="00BD4334" w14:paraId="177E97A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481C04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ISK-REIBOR-Reuters</w:t>
            </w:r>
          </w:p>
        </w:tc>
        <w:tc>
          <w:tcPr>
            <w:tcW w:w="5103" w:type="dxa"/>
            <w:tcBorders>
              <w:top w:val="nil"/>
              <w:left w:val="nil"/>
              <w:bottom w:val="single" w:sz="4" w:space="0" w:color="auto"/>
              <w:right w:val="single" w:sz="4" w:space="0" w:color="auto"/>
            </w:tcBorders>
            <w:shd w:val="clear" w:color="auto" w:fill="auto"/>
            <w:vAlign w:val="center"/>
            <w:hideMark/>
          </w:tcPr>
          <w:p w14:paraId="50BA55E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ISK-REIBOR</w:t>
            </w:r>
          </w:p>
        </w:tc>
      </w:tr>
      <w:tr w:rsidR="00BD4334" w:rsidRPr="00BD4334" w14:paraId="0FFD6183"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E8B8FA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7B12817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JPY-LIBOR</w:t>
            </w:r>
          </w:p>
        </w:tc>
      </w:tr>
      <w:tr w:rsidR="00BD4334" w:rsidRPr="00BD4334" w14:paraId="23597EAC"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692A9BF"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JPY-LIBOR-BBA-Bloomberg</w:t>
            </w:r>
          </w:p>
        </w:tc>
        <w:tc>
          <w:tcPr>
            <w:tcW w:w="5103" w:type="dxa"/>
            <w:vMerge/>
            <w:tcBorders>
              <w:top w:val="nil"/>
              <w:left w:val="single" w:sz="4" w:space="0" w:color="auto"/>
              <w:bottom w:val="single" w:sz="4" w:space="0" w:color="000000"/>
              <w:right w:val="single" w:sz="4" w:space="0" w:color="auto"/>
            </w:tcBorders>
            <w:vAlign w:val="center"/>
            <w:hideMark/>
          </w:tcPr>
          <w:p w14:paraId="4386BEFB" w14:textId="77777777" w:rsidR="00BD4334" w:rsidRPr="00BD4334" w:rsidRDefault="00BD4334" w:rsidP="00BD4334">
            <w:pPr>
              <w:spacing w:after="0" w:line="240" w:lineRule="auto"/>
              <w:rPr>
                <w:kern w:val="0"/>
                <w:sz w:val="22"/>
                <w:szCs w:val="22"/>
                <w:lang w:eastAsia="en-GB"/>
              </w:rPr>
            </w:pPr>
          </w:p>
        </w:tc>
      </w:tr>
      <w:tr w:rsidR="00BD4334" w:rsidRPr="00BD4334" w14:paraId="0D1A412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5D5E02"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JPY-LIBOR-FRASETT</w:t>
            </w:r>
          </w:p>
        </w:tc>
        <w:tc>
          <w:tcPr>
            <w:tcW w:w="5103" w:type="dxa"/>
            <w:vMerge/>
            <w:tcBorders>
              <w:top w:val="nil"/>
              <w:left w:val="single" w:sz="4" w:space="0" w:color="auto"/>
              <w:bottom w:val="single" w:sz="4" w:space="0" w:color="000000"/>
              <w:right w:val="single" w:sz="4" w:space="0" w:color="auto"/>
            </w:tcBorders>
            <w:vAlign w:val="center"/>
            <w:hideMark/>
          </w:tcPr>
          <w:p w14:paraId="07EC3E2F" w14:textId="77777777" w:rsidR="00BD4334" w:rsidRPr="00BD4334" w:rsidRDefault="00BD4334" w:rsidP="00BD4334">
            <w:pPr>
              <w:spacing w:after="0" w:line="240" w:lineRule="auto"/>
              <w:rPr>
                <w:kern w:val="0"/>
                <w:sz w:val="22"/>
                <w:szCs w:val="22"/>
                <w:lang w:eastAsia="en-GB"/>
              </w:rPr>
            </w:pPr>
          </w:p>
        </w:tc>
      </w:tr>
      <w:tr w:rsidR="00BD4334" w:rsidRPr="00BD4334" w14:paraId="250BA13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3434CB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JPY-TSR-Reuters-10:00</w:t>
            </w:r>
          </w:p>
        </w:tc>
        <w:tc>
          <w:tcPr>
            <w:tcW w:w="5103" w:type="dxa"/>
            <w:tcBorders>
              <w:top w:val="nil"/>
              <w:left w:val="nil"/>
              <w:bottom w:val="single" w:sz="4" w:space="0" w:color="auto"/>
              <w:right w:val="single" w:sz="4" w:space="0" w:color="auto"/>
            </w:tcBorders>
            <w:shd w:val="clear" w:color="auto" w:fill="auto"/>
            <w:vAlign w:val="center"/>
            <w:hideMark/>
          </w:tcPr>
          <w:p w14:paraId="07E2DB8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JPY-LIBOR TSR-10:00</w:t>
            </w:r>
          </w:p>
        </w:tc>
      </w:tr>
      <w:tr w:rsidR="00BD4334" w:rsidRPr="00BD4334" w14:paraId="21B1831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A35253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JPY-TSR-Reuters-15:00</w:t>
            </w:r>
          </w:p>
        </w:tc>
        <w:tc>
          <w:tcPr>
            <w:tcW w:w="5103" w:type="dxa"/>
            <w:tcBorders>
              <w:top w:val="nil"/>
              <w:left w:val="nil"/>
              <w:bottom w:val="single" w:sz="4" w:space="0" w:color="auto"/>
              <w:right w:val="single" w:sz="4" w:space="0" w:color="auto"/>
            </w:tcBorders>
            <w:shd w:val="clear" w:color="auto" w:fill="auto"/>
            <w:vAlign w:val="center"/>
            <w:hideMark/>
          </w:tcPr>
          <w:p w14:paraId="73E134BF"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JPY-LIBOR TSR-15:00</w:t>
            </w:r>
          </w:p>
        </w:tc>
      </w:tr>
      <w:tr w:rsidR="00BD4334" w:rsidRPr="00BD4334" w14:paraId="1FD1942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1FDEA6F"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JPY-LTPR-MHCB</w:t>
            </w:r>
          </w:p>
        </w:tc>
        <w:tc>
          <w:tcPr>
            <w:tcW w:w="5103" w:type="dxa"/>
            <w:tcBorders>
              <w:top w:val="nil"/>
              <w:left w:val="nil"/>
              <w:bottom w:val="single" w:sz="4" w:space="0" w:color="auto"/>
              <w:right w:val="single" w:sz="4" w:space="0" w:color="auto"/>
            </w:tcBorders>
            <w:shd w:val="clear" w:color="auto" w:fill="auto"/>
            <w:vAlign w:val="center"/>
            <w:hideMark/>
          </w:tcPr>
          <w:p w14:paraId="7517743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JPY-LTPR MHBK</w:t>
            </w:r>
          </w:p>
        </w:tc>
      </w:tr>
      <w:tr w:rsidR="00BD4334" w:rsidRPr="00BD4334" w14:paraId="733BBACC" w14:textId="77777777" w:rsidTr="00BD4334">
        <w:trPr>
          <w:trHeight w:val="1140"/>
          <w:jc w:val="center"/>
        </w:trPr>
        <w:tc>
          <w:tcPr>
            <w:tcW w:w="4815" w:type="dxa"/>
            <w:tcBorders>
              <w:top w:val="nil"/>
              <w:left w:val="single" w:sz="4" w:space="0" w:color="auto"/>
              <w:bottom w:val="single" w:sz="4" w:space="0" w:color="auto"/>
              <w:right w:val="single" w:sz="4" w:space="0" w:color="auto"/>
            </w:tcBorders>
            <w:shd w:val="clear" w:color="000000" w:fill="ED7D31"/>
            <w:vAlign w:val="center"/>
            <w:hideMark/>
          </w:tcPr>
          <w:p w14:paraId="462C9A7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JPY-LTPR-TBC</w:t>
            </w:r>
          </w:p>
        </w:tc>
        <w:tc>
          <w:tcPr>
            <w:tcW w:w="5103" w:type="dxa"/>
            <w:tcBorders>
              <w:top w:val="nil"/>
              <w:left w:val="nil"/>
              <w:bottom w:val="single" w:sz="4" w:space="0" w:color="auto"/>
              <w:right w:val="single" w:sz="4" w:space="0" w:color="auto"/>
            </w:tcBorders>
            <w:shd w:val="clear" w:color="000000" w:fill="ED7D31"/>
            <w:vAlign w:val="center"/>
            <w:hideMark/>
          </w:tcPr>
          <w:p w14:paraId="382EB753" w14:textId="3CD25567" w:rsidR="00BD4334" w:rsidRPr="00BD4334" w:rsidRDefault="00BD4334" w:rsidP="00BD4334">
            <w:pPr>
              <w:spacing w:after="0" w:line="240" w:lineRule="auto"/>
              <w:rPr>
                <w:kern w:val="0"/>
                <w:sz w:val="22"/>
                <w:szCs w:val="22"/>
                <w:lang w:eastAsia="en-GB"/>
              </w:rPr>
            </w:pPr>
            <w:r w:rsidRPr="00BD4334">
              <w:rPr>
                <w:kern w:val="0"/>
                <w:sz w:val="22"/>
                <w:szCs w:val="22"/>
                <w:lang w:eastAsia="en-GB"/>
              </w:rPr>
              <w:t>Not carried over as a stand</w:t>
            </w:r>
            <w:r w:rsidR="008F653C">
              <w:rPr>
                <w:kern w:val="0"/>
                <w:sz w:val="22"/>
                <w:szCs w:val="22"/>
                <w:lang w:eastAsia="en-GB"/>
              </w:rPr>
              <w:t>-</w:t>
            </w:r>
            <w:r w:rsidRPr="00BD4334">
              <w:rPr>
                <w:kern w:val="0"/>
                <w:sz w:val="22"/>
                <w:szCs w:val="22"/>
                <w:lang w:eastAsia="en-GB"/>
              </w:rPr>
              <w:t>alone FRO into the 2021 Definitions but incorporated as a Temporary Non-Publication Fallback for JPY-LTPR-MHCB in the 2021 ISDA Definitions</w:t>
            </w:r>
          </w:p>
        </w:tc>
      </w:tr>
      <w:tr w:rsidR="00BD4334" w:rsidRPr="00BD4334" w14:paraId="4D13A8BA" w14:textId="77777777" w:rsidTr="00BD4334">
        <w:trPr>
          <w:trHeight w:val="1140"/>
          <w:jc w:val="center"/>
        </w:trPr>
        <w:tc>
          <w:tcPr>
            <w:tcW w:w="4815" w:type="dxa"/>
            <w:tcBorders>
              <w:top w:val="nil"/>
              <w:left w:val="single" w:sz="4" w:space="0" w:color="auto"/>
              <w:bottom w:val="single" w:sz="4" w:space="0" w:color="auto"/>
              <w:right w:val="single" w:sz="4" w:space="0" w:color="auto"/>
            </w:tcBorders>
            <w:shd w:val="clear" w:color="000000" w:fill="ED7D31"/>
            <w:vAlign w:val="center"/>
            <w:hideMark/>
          </w:tcPr>
          <w:p w14:paraId="557A278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JPY-Quoting Banks-LIBOR</w:t>
            </w:r>
          </w:p>
        </w:tc>
        <w:tc>
          <w:tcPr>
            <w:tcW w:w="5103" w:type="dxa"/>
            <w:tcBorders>
              <w:top w:val="nil"/>
              <w:left w:val="nil"/>
              <w:bottom w:val="single" w:sz="4" w:space="0" w:color="auto"/>
              <w:right w:val="single" w:sz="4" w:space="0" w:color="auto"/>
            </w:tcBorders>
            <w:shd w:val="clear" w:color="000000" w:fill="ED7D31"/>
            <w:vAlign w:val="center"/>
            <w:hideMark/>
          </w:tcPr>
          <w:p w14:paraId="4A4B7D53" w14:textId="1D0A6CCA" w:rsidR="00BD4334" w:rsidRPr="00BD4334" w:rsidRDefault="00BD4334" w:rsidP="00BD4334">
            <w:pPr>
              <w:spacing w:after="0" w:line="240" w:lineRule="auto"/>
              <w:rPr>
                <w:kern w:val="0"/>
                <w:sz w:val="22"/>
                <w:szCs w:val="22"/>
                <w:lang w:eastAsia="en-GB"/>
              </w:rPr>
            </w:pPr>
            <w:r w:rsidRPr="00BD4334">
              <w:rPr>
                <w:kern w:val="0"/>
                <w:sz w:val="22"/>
                <w:szCs w:val="22"/>
                <w:lang w:eastAsia="en-GB"/>
              </w:rPr>
              <w:t>Not carried over as a stand</w:t>
            </w:r>
            <w:r w:rsidR="008F653C">
              <w:rPr>
                <w:kern w:val="0"/>
                <w:sz w:val="22"/>
                <w:szCs w:val="22"/>
                <w:lang w:eastAsia="en-GB"/>
              </w:rPr>
              <w:t>-</w:t>
            </w:r>
            <w:r w:rsidRPr="00BD4334">
              <w:rPr>
                <w:kern w:val="0"/>
                <w:sz w:val="22"/>
                <w:szCs w:val="22"/>
                <w:lang w:eastAsia="en-GB"/>
              </w:rPr>
              <w:t>alone FRO into the 2021 Definitions but incorporated as a Temporary Non-Publication Fallback for JPY-STPR-Quoting Banks in the 2021 ISDA Definitions</w:t>
            </w:r>
          </w:p>
        </w:tc>
      </w:tr>
      <w:tr w:rsidR="00BD4334" w:rsidRPr="00BD4334" w14:paraId="66E93EC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63CBDAB"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JPY-STPR-Quoting Banks</w:t>
            </w:r>
          </w:p>
        </w:tc>
        <w:tc>
          <w:tcPr>
            <w:tcW w:w="5103" w:type="dxa"/>
            <w:tcBorders>
              <w:top w:val="nil"/>
              <w:left w:val="nil"/>
              <w:bottom w:val="single" w:sz="4" w:space="0" w:color="auto"/>
              <w:right w:val="single" w:sz="4" w:space="0" w:color="auto"/>
            </w:tcBorders>
            <w:shd w:val="clear" w:color="auto" w:fill="auto"/>
            <w:vAlign w:val="center"/>
            <w:hideMark/>
          </w:tcPr>
          <w:p w14:paraId="6344F14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JPY-STPR-Quoting Banks</w:t>
            </w:r>
          </w:p>
        </w:tc>
      </w:tr>
      <w:tr w:rsidR="00BD4334" w:rsidRPr="00BD4334" w14:paraId="3C090DE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1A608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JPY-TIBOR-17097</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17F563F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JPY-TIBOR</w:t>
            </w:r>
          </w:p>
        </w:tc>
      </w:tr>
      <w:tr w:rsidR="00BD4334" w:rsidRPr="00BD4334" w14:paraId="4FCD1D9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266B3C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JPY-TIBOR-TIBM (All Banks)-Bloomberg</w:t>
            </w:r>
          </w:p>
        </w:tc>
        <w:tc>
          <w:tcPr>
            <w:tcW w:w="5103" w:type="dxa"/>
            <w:vMerge/>
            <w:tcBorders>
              <w:top w:val="nil"/>
              <w:left w:val="single" w:sz="4" w:space="0" w:color="auto"/>
              <w:bottom w:val="single" w:sz="4" w:space="0" w:color="000000"/>
              <w:right w:val="single" w:sz="4" w:space="0" w:color="auto"/>
            </w:tcBorders>
            <w:vAlign w:val="center"/>
            <w:hideMark/>
          </w:tcPr>
          <w:p w14:paraId="790BABDC" w14:textId="77777777" w:rsidR="00BD4334" w:rsidRPr="00BD4334" w:rsidRDefault="00BD4334" w:rsidP="00BD4334">
            <w:pPr>
              <w:spacing w:after="0" w:line="240" w:lineRule="auto"/>
              <w:rPr>
                <w:kern w:val="0"/>
                <w:sz w:val="22"/>
                <w:szCs w:val="22"/>
                <w:lang w:eastAsia="en-GB"/>
              </w:rPr>
            </w:pPr>
          </w:p>
        </w:tc>
      </w:tr>
      <w:tr w:rsidR="00BD4334" w:rsidRPr="00BD4334" w14:paraId="38890A8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F42D4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JPY-TONA</w:t>
            </w:r>
          </w:p>
        </w:tc>
        <w:tc>
          <w:tcPr>
            <w:tcW w:w="5103" w:type="dxa"/>
            <w:tcBorders>
              <w:top w:val="nil"/>
              <w:left w:val="nil"/>
              <w:bottom w:val="single" w:sz="4" w:space="0" w:color="auto"/>
              <w:right w:val="single" w:sz="4" w:space="0" w:color="auto"/>
            </w:tcBorders>
            <w:shd w:val="clear" w:color="auto" w:fill="auto"/>
            <w:vAlign w:val="center"/>
            <w:hideMark/>
          </w:tcPr>
          <w:p w14:paraId="5478C77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JPY-TONA</w:t>
            </w:r>
          </w:p>
        </w:tc>
      </w:tr>
      <w:tr w:rsidR="00BD4334" w:rsidRPr="00BD4334" w14:paraId="3EA31AA3"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C66B9C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JPY-TONA-OIS-COMPOUND</w:t>
            </w:r>
          </w:p>
        </w:tc>
        <w:tc>
          <w:tcPr>
            <w:tcW w:w="5103" w:type="dxa"/>
            <w:tcBorders>
              <w:top w:val="nil"/>
              <w:left w:val="nil"/>
              <w:bottom w:val="single" w:sz="4" w:space="0" w:color="auto"/>
              <w:right w:val="single" w:sz="4" w:space="0" w:color="auto"/>
            </w:tcBorders>
            <w:shd w:val="clear" w:color="auto" w:fill="auto"/>
            <w:vAlign w:val="center"/>
            <w:hideMark/>
          </w:tcPr>
          <w:p w14:paraId="0BF12EF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JPY-TONA-OIS Compound</w:t>
            </w:r>
          </w:p>
        </w:tc>
      </w:tr>
      <w:tr w:rsidR="00BD4334" w:rsidRPr="00BD4334" w14:paraId="08DD863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241AA72"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JPY-TIBOR-ZTIBOR</w:t>
            </w:r>
          </w:p>
        </w:tc>
        <w:tc>
          <w:tcPr>
            <w:tcW w:w="5103" w:type="dxa"/>
            <w:tcBorders>
              <w:top w:val="nil"/>
              <w:left w:val="nil"/>
              <w:bottom w:val="single" w:sz="4" w:space="0" w:color="auto"/>
              <w:right w:val="single" w:sz="4" w:space="0" w:color="auto"/>
            </w:tcBorders>
            <w:shd w:val="clear" w:color="auto" w:fill="auto"/>
            <w:vAlign w:val="center"/>
            <w:hideMark/>
          </w:tcPr>
          <w:p w14:paraId="7C3498F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JPY-Euroyen TIBOR</w:t>
            </w:r>
          </w:p>
        </w:tc>
      </w:tr>
      <w:tr w:rsidR="00BD4334" w:rsidRPr="00BD4334" w14:paraId="14466BF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71B17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KRW-CD-3220</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5B2B7E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KRW-CD 91D</w:t>
            </w:r>
          </w:p>
        </w:tc>
      </w:tr>
      <w:tr w:rsidR="00BD4334" w:rsidRPr="00BD4334" w14:paraId="676B718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CA9BCE6"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KRW-CD-KSDA-Bloomberg</w:t>
            </w:r>
          </w:p>
        </w:tc>
        <w:tc>
          <w:tcPr>
            <w:tcW w:w="5103" w:type="dxa"/>
            <w:vMerge/>
            <w:tcBorders>
              <w:top w:val="nil"/>
              <w:left w:val="single" w:sz="4" w:space="0" w:color="auto"/>
              <w:bottom w:val="single" w:sz="4" w:space="0" w:color="000000"/>
              <w:right w:val="single" w:sz="4" w:space="0" w:color="auto"/>
            </w:tcBorders>
            <w:vAlign w:val="center"/>
            <w:hideMark/>
          </w:tcPr>
          <w:p w14:paraId="46C0A449" w14:textId="77777777" w:rsidR="00BD4334" w:rsidRPr="00BD4334" w:rsidRDefault="00BD4334" w:rsidP="00BD4334">
            <w:pPr>
              <w:spacing w:after="0" w:line="240" w:lineRule="auto"/>
              <w:rPr>
                <w:kern w:val="0"/>
                <w:sz w:val="22"/>
                <w:szCs w:val="22"/>
                <w:lang w:eastAsia="en-GB"/>
              </w:rPr>
            </w:pPr>
          </w:p>
        </w:tc>
      </w:tr>
      <w:tr w:rsidR="00BD4334" w:rsidRPr="00BD4334" w14:paraId="1F22274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FEF9FFD"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MXN-TIIE-</w:t>
            </w:r>
            <w:proofErr w:type="spellStart"/>
            <w:r w:rsidRPr="00BD4334">
              <w:rPr>
                <w:color w:val="000000"/>
                <w:kern w:val="0"/>
                <w:sz w:val="22"/>
                <w:szCs w:val="22"/>
                <w:lang w:eastAsia="en-GB"/>
              </w:rPr>
              <w:t>Banxico</w:t>
            </w:r>
            <w:proofErr w:type="spellEnd"/>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46D9731E"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MXN-TIIE</w:t>
            </w:r>
          </w:p>
        </w:tc>
      </w:tr>
      <w:tr w:rsidR="00BD4334" w:rsidRPr="00BD4334" w14:paraId="6C8626EB"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C4ABA4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MXN-TIIE-</w:t>
            </w:r>
            <w:proofErr w:type="spellStart"/>
            <w:r w:rsidRPr="00BD4334">
              <w:rPr>
                <w:color w:val="000000"/>
                <w:kern w:val="0"/>
                <w:sz w:val="22"/>
                <w:szCs w:val="22"/>
                <w:lang w:eastAsia="en-GB"/>
              </w:rPr>
              <w:t>Banxico</w:t>
            </w:r>
            <w:proofErr w:type="spellEnd"/>
            <w:r w:rsidRPr="00BD4334">
              <w:rPr>
                <w:color w:val="000000"/>
                <w:kern w:val="0"/>
                <w:sz w:val="22"/>
                <w:szCs w:val="22"/>
                <w:lang w:eastAsia="en-GB"/>
              </w:rPr>
              <w:t>-Bloomberg</w:t>
            </w:r>
          </w:p>
        </w:tc>
        <w:tc>
          <w:tcPr>
            <w:tcW w:w="5103" w:type="dxa"/>
            <w:vMerge/>
            <w:tcBorders>
              <w:top w:val="nil"/>
              <w:left w:val="single" w:sz="4" w:space="0" w:color="auto"/>
              <w:bottom w:val="single" w:sz="4" w:space="0" w:color="000000"/>
              <w:right w:val="single" w:sz="4" w:space="0" w:color="auto"/>
            </w:tcBorders>
            <w:vAlign w:val="center"/>
            <w:hideMark/>
          </w:tcPr>
          <w:p w14:paraId="59D8C839" w14:textId="77777777" w:rsidR="00BD4334" w:rsidRPr="00BD4334" w:rsidRDefault="00BD4334" w:rsidP="00BD4334">
            <w:pPr>
              <w:spacing w:after="0" w:line="240" w:lineRule="auto"/>
              <w:rPr>
                <w:kern w:val="0"/>
                <w:sz w:val="22"/>
                <w:szCs w:val="22"/>
                <w:lang w:eastAsia="en-GB"/>
              </w:rPr>
            </w:pPr>
          </w:p>
        </w:tc>
      </w:tr>
      <w:tr w:rsidR="00BD4334" w:rsidRPr="00BD4334" w14:paraId="1EF0E18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18FFB0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MYR-KLIBOR-BNM</w:t>
            </w:r>
          </w:p>
        </w:tc>
        <w:tc>
          <w:tcPr>
            <w:tcW w:w="5103" w:type="dxa"/>
            <w:tcBorders>
              <w:top w:val="nil"/>
              <w:left w:val="nil"/>
              <w:bottom w:val="single" w:sz="4" w:space="0" w:color="auto"/>
              <w:right w:val="single" w:sz="4" w:space="0" w:color="auto"/>
            </w:tcBorders>
            <w:shd w:val="clear" w:color="auto" w:fill="auto"/>
            <w:vAlign w:val="center"/>
            <w:hideMark/>
          </w:tcPr>
          <w:p w14:paraId="3B9D5C7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MYR-KLIBOR</w:t>
            </w:r>
          </w:p>
        </w:tc>
      </w:tr>
      <w:tr w:rsidR="00BD4334" w:rsidRPr="00BD4334" w14:paraId="10EE373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08B68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NOK-NIBOR-OIBOR</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5B4F6BF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NOK-NIBOR</w:t>
            </w:r>
          </w:p>
        </w:tc>
      </w:tr>
      <w:tr w:rsidR="00BD4334" w:rsidRPr="00BD4334" w14:paraId="4176D661"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C98B0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NOK-NIBOR-NIBR-Bloomberg</w:t>
            </w:r>
          </w:p>
        </w:tc>
        <w:tc>
          <w:tcPr>
            <w:tcW w:w="5103" w:type="dxa"/>
            <w:vMerge/>
            <w:tcBorders>
              <w:top w:val="nil"/>
              <w:left w:val="single" w:sz="4" w:space="0" w:color="auto"/>
              <w:bottom w:val="single" w:sz="4" w:space="0" w:color="000000"/>
              <w:right w:val="single" w:sz="4" w:space="0" w:color="auto"/>
            </w:tcBorders>
            <w:vAlign w:val="center"/>
            <w:hideMark/>
          </w:tcPr>
          <w:p w14:paraId="57E68485" w14:textId="77777777" w:rsidR="00BD4334" w:rsidRPr="00BD4334" w:rsidRDefault="00BD4334" w:rsidP="00BD4334">
            <w:pPr>
              <w:spacing w:after="0" w:line="240" w:lineRule="auto"/>
              <w:rPr>
                <w:kern w:val="0"/>
                <w:sz w:val="22"/>
                <w:szCs w:val="22"/>
                <w:lang w:eastAsia="en-GB"/>
              </w:rPr>
            </w:pPr>
          </w:p>
        </w:tc>
      </w:tr>
      <w:tr w:rsidR="00BD4334" w:rsidRPr="00BD4334" w14:paraId="57CBCF5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70B2EF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NOK-NOWA</w:t>
            </w:r>
          </w:p>
        </w:tc>
        <w:tc>
          <w:tcPr>
            <w:tcW w:w="5103" w:type="dxa"/>
            <w:tcBorders>
              <w:top w:val="nil"/>
              <w:left w:val="nil"/>
              <w:bottom w:val="single" w:sz="4" w:space="0" w:color="auto"/>
              <w:right w:val="single" w:sz="4" w:space="0" w:color="auto"/>
            </w:tcBorders>
            <w:shd w:val="clear" w:color="auto" w:fill="auto"/>
            <w:vAlign w:val="center"/>
            <w:hideMark/>
          </w:tcPr>
          <w:p w14:paraId="53149603"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NOK-NOWA</w:t>
            </w:r>
          </w:p>
        </w:tc>
      </w:tr>
      <w:tr w:rsidR="00BD4334" w:rsidRPr="00BD4334" w14:paraId="70729E3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0DE768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NOK-NOWA-OIS Compound</w:t>
            </w:r>
          </w:p>
        </w:tc>
        <w:tc>
          <w:tcPr>
            <w:tcW w:w="5103" w:type="dxa"/>
            <w:tcBorders>
              <w:top w:val="nil"/>
              <w:left w:val="nil"/>
              <w:bottom w:val="single" w:sz="4" w:space="0" w:color="auto"/>
              <w:right w:val="single" w:sz="4" w:space="0" w:color="auto"/>
            </w:tcBorders>
            <w:shd w:val="clear" w:color="auto" w:fill="auto"/>
            <w:vAlign w:val="center"/>
            <w:hideMark/>
          </w:tcPr>
          <w:p w14:paraId="3174FF4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NOK-NOWA-OIS Compound</w:t>
            </w:r>
          </w:p>
        </w:tc>
      </w:tr>
      <w:tr w:rsidR="00BD4334" w:rsidRPr="00BD4334" w14:paraId="470F426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82C5FC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NZD-BBR-BID</w:t>
            </w:r>
          </w:p>
        </w:tc>
        <w:tc>
          <w:tcPr>
            <w:tcW w:w="5103" w:type="dxa"/>
            <w:tcBorders>
              <w:top w:val="nil"/>
              <w:left w:val="nil"/>
              <w:bottom w:val="single" w:sz="4" w:space="0" w:color="auto"/>
              <w:right w:val="single" w:sz="4" w:space="0" w:color="auto"/>
            </w:tcBorders>
            <w:shd w:val="clear" w:color="auto" w:fill="auto"/>
            <w:vAlign w:val="center"/>
            <w:hideMark/>
          </w:tcPr>
          <w:p w14:paraId="596306F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NZD-BKBM Bid</w:t>
            </w:r>
          </w:p>
        </w:tc>
      </w:tr>
      <w:tr w:rsidR="00BD4334" w:rsidRPr="00BD4334" w14:paraId="4A0DD9E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F73D30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NZD-BBR-FRA</w:t>
            </w:r>
          </w:p>
        </w:tc>
        <w:tc>
          <w:tcPr>
            <w:tcW w:w="5103" w:type="dxa"/>
            <w:tcBorders>
              <w:top w:val="nil"/>
              <w:left w:val="nil"/>
              <w:bottom w:val="single" w:sz="4" w:space="0" w:color="auto"/>
              <w:right w:val="single" w:sz="4" w:space="0" w:color="auto"/>
            </w:tcBorders>
            <w:shd w:val="clear" w:color="auto" w:fill="auto"/>
            <w:vAlign w:val="center"/>
            <w:hideMark/>
          </w:tcPr>
          <w:p w14:paraId="0974347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NZD-BKBM FRA</w:t>
            </w:r>
          </w:p>
        </w:tc>
      </w:tr>
      <w:tr w:rsidR="00BD4334" w:rsidRPr="00BD4334" w14:paraId="1FE13A9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06C510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NZD-Swap Rate-ICAP</w:t>
            </w:r>
          </w:p>
        </w:tc>
        <w:tc>
          <w:tcPr>
            <w:tcW w:w="5103" w:type="dxa"/>
            <w:tcBorders>
              <w:top w:val="nil"/>
              <w:left w:val="nil"/>
              <w:bottom w:val="single" w:sz="4" w:space="0" w:color="auto"/>
              <w:right w:val="single" w:sz="4" w:space="0" w:color="auto"/>
            </w:tcBorders>
            <w:shd w:val="clear" w:color="auto" w:fill="auto"/>
            <w:vAlign w:val="bottom"/>
            <w:hideMark/>
          </w:tcPr>
          <w:p w14:paraId="266C32AF"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NZD-BKBM FRA Swap Rate ICAP</w:t>
            </w:r>
          </w:p>
        </w:tc>
      </w:tr>
      <w:tr w:rsidR="00BD4334" w:rsidRPr="00BD4334" w14:paraId="069856F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E90A21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NZD-NZIONA</w:t>
            </w:r>
          </w:p>
        </w:tc>
        <w:tc>
          <w:tcPr>
            <w:tcW w:w="5103" w:type="dxa"/>
            <w:tcBorders>
              <w:top w:val="nil"/>
              <w:left w:val="nil"/>
              <w:bottom w:val="single" w:sz="4" w:space="0" w:color="auto"/>
              <w:right w:val="single" w:sz="4" w:space="0" w:color="auto"/>
            </w:tcBorders>
            <w:shd w:val="clear" w:color="auto" w:fill="auto"/>
            <w:vAlign w:val="center"/>
            <w:hideMark/>
          </w:tcPr>
          <w:p w14:paraId="2DA74F4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NZD-NZIONA</w:t>
            </w:r>
          </w:p>
        </w:tc>
      </w:tr>
      <w:tr w:rsidR="00BD4334" w:rsidRPr="00BD4334" w14:paraId="65B5A1B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4D203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NZD-NZIONA-OIS-COMPOUND</w:t>
            </w:r>
          </w:p>
        </w:tc>
        <w:tc>
          <w:tcPr>
            <w:tcW w:w="5103" w:type="dxa"/>
            <w:tcBorders>
              <w:top w:val="nil"/>
              <w:left w:val="nil"/>
              <w:bottom w:val="single" w:sz="4" w:space="0" w:color="auto"/>
              <w:right w:val="single" w:sz="4" w:space="0" w:color="auto"/>
            </w:tcBorders>
            <w:shd w:val="clear" w:color="auto" w:fill="auto"/>
            <w:vAlign w:val="center"/>
            <w:hideMark/>
          </w:tcPr>
          <w:p w14:paraId="32D9B9B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NZD-NZIONA-OIS Compound</w:t>
            </w:r>
          </w:p>
        </w:tc>
      </w:tr>
      <w:tr w:rsidR="00BD4334" w:rsidRPr="00BD4334" w14:paraId="75FDE75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40A420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PHP-PHIREF-Bloomberg</w:t>
            </w:r>
          </w:p>
        </w:tc>
        <w:tc>
          <w:tcPr>
            <w:tcW w:w="5103" w:type="dxa"/>
            <w:tcBorders>
              <w:top w:val="nil"/>
              <w:left w:val="nil"/>
              <w:bottom w:val="single" w:sz="4" w:space="0" w:color="auto"/>
              <w:right w:val="single" w:sz="4" w:space="0" w:color="auto"/>
            </w:tcBorders>
            <w:shd w:val="clear" w:color="auto" w:fill="auto"/>
            <w:vAlign w:val="center"/>
            <w:hideMark/>
          </w:tcPr>
          <w:p w14:paraId="1893B7C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PHP-PHIREF</w:t>
            </w:r>
          </w:p>
        </w:tc>
      </w:tr>
      <w:tr w:rsidR="00BD4334" w:rsidRPr="00BD4334" w14:paraId="1510D29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8A1E31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65915FB0"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PLN-POLONIA</w:t>
            </w:r>
          </w:p>
        </w:tc>
      </w:tr>
      <w:tr w:rsidR="00BD4334" w:rsidRPr="00BD4334" w14:paraId="7EC08E7D"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16B6A5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PLN-POLONIA-OIS-COMPOUND</w:t>
            </w:r>
          </w:p>
        </w:tc>
        <w:tc>
          <w:tcPr>
            <w:tcW w:w="5103" w:type="dxa"/>
            <w:tcBorders>
              <w:top w:val="nil"/>
              <w:left w:val="nil"/>
              <w:bottom w:val="single" w:sz="4" w:space="0" w:color="auto"/>
              <w:right w:val="single" w:sz="4" w:space="0" w:color="auto"/>
            </w:tcBorders>
            <w:shd w:val="clear" w:color="auto" w:fill="auto"/>
            <w:vAlign w:val="center"/>
            <w:hideMark/>
          </w:tcPr>
          <w:p w14:paraId="50DB0E4D"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PLN-POLONIA-OIS Compound</w:t>
            </w:r>
          </w:p>
        </w:tc>
      </w:tr>
      <w:tr w:rsidR="00BD4334" w:rsidRPr="00BD4334" w14:paraId="63D6545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C274E8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4AFCEB2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PLN-WIBID</w:t>
            </w:r>
          </w:p>
        </w:tc>
      </w:tr>
      <w:tr w:rsidR="00BD4334" w:rsidRPr="00BD4334" w14:paraId="3848C6E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06F772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PLN-WIBOR-WIBO</w:t>
            </w:r>
          </w:p>
        </w:tc>
        <w:tc>
          <w:tcPr>
            <w:tcW w:w="5103" w:type="dxa"/>
            <w:tcBorders>
              <w:top w:val="nil"/>
              <w:left w:val="nil"/>
              <w:bottom w:val="single" w:sz="4" w:space="0" w:color="auto"/>
              <w:right w:val="single" w:sz="4" w:space="0" w:color="auto"/>
            </w:tcBorders>
            <w:shd w:val="clear" w:color="auto" w:fill="auto"/>
            <w:vAlign w:val="center"/>
            <w:hideMark/>
          </w:tcPr>
          <w:p w14:paraId="3F3A3D2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PLN-WIBOR</w:t>
            </w:r>
          </w:p>
        </w:tc>
      </w:tr>
      <w:tr w:rsidR="00BD4334" w:rsidRPr="00BD4334" w14:paraId="01751C4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B04500E"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4F8020BF"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RON-ROBID</w:t>
            </w:r>
          </w:p>
        </w:tc>
      </w:tr>
      <w:tr w:rsidR="00BD4334" w:rsidRPr="00BD4334" w14:paraId="6332ED8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4CB7272"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RON-RBOR-Reuters</w:t>
            </w:r>
          </w:p>
        </w:tc>
        <w:tc>
          <w:tcPr>
            <w:tcW w:w="5103" w:type="dxa"/>
            <w:tcBorders>
              <w:top w:val="nil"/>
              <w:left w:val="nil"/>
              <w:bottom w:val="single" w:sz="4" w:space="0" w:color="auto"/>
              <w:right w:val="single" w:sz="4" w:space="0" w:color="auto"/>
            </w:tcBorders>
            <w:shd w:val="clear" w:color="auto" w:fill="auto"/>
            <w:vAlign w:val="center"/>
            <w:hideMark/>
          </w:tcPr>
          <w:p w14:paraId="0BF222EF"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RON-ROBOR</w:t>
            </w:r>
          </w:p>
        </w:tc>
      </w:tr>
      <w:tr w:rsidR="00BD4334" w:rsidRPr="00BD4334" w14:paraId="5728D5F0"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3CFC95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bottom"/>
            <w:hideMark/>
          </w:tcPr>
          <w:p w14:paraId="456BE479"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RUB-Key Rate CBRF</w:t>
            </w:r>
          </w:p>
        </w:tc>
      </w:tr>
      <w:tr w:rsidR="00BD4334" w:rsidRPr="00BD4334" w14:paraId="4FE65B36"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4A44C2D"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RUB-MOSPRIME-NFEA</w:t>
            </w:r>
          </w:p>
        </w:tc>
        <w:tc>
          <w:tcPr>
            <w:tcW w:w="5103" w:type="dxa"/>
            <w:tcBorders>
              <w:top w:val="nil"/>
              <w:left w:val="nil"/>
              <w:bottom w:val="single" w:sz="4" w:space="0" w:color="auto"/>
              <w:right w:val="single" w:sz="4" w:space="0" w:color="auto"/>
            </w:tcBorders>
            <w:shd w:val="clear" w:color="auto" w:fill="auto"/>
            <w:vAlign w:val="center"/>
            <w:hideMark/>
          </w:tcPr>
          <w:p w14:paraId="3E0B3B1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RUB-</w:t>
            </w:r>
            <w:proofErr w:type="spellStart"/>
            <w:r w:rsidRPr="00BD4334">
              <w:rPr>
                <w:kern w:val="0"/>
                <w:sz w:val="22"/>
                <w:szCs w:val="22"/>
                <w:lang w:eastAsia="en-GB"/>
              </w:rPr>
              <w:t>MosPrime</w:t>
            </w:r>
            <w:proofErr w:type="spellEnd"/>
          </w:p>
        </w:tc>
      </w:tr>
      <w:tr w:rsidR="00BD4334" w:rsidRPr="00BD4334" w14:paraId="49469FD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346048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w:t>
            </w:r>
          </w:p>
        </w:tc>
        <w:tc>
          <w:tcPr>
            <w:tcW w:w="5103" w:type="dxa"/>
            <w:tcBorders>
              <w:top w:val="nil"/>
              <w:left w:val="nil"/>
              <w:bottom w:val="single" w:sz="4" w:space="0" w:color="auto"/>
              <w:right w:val="single" w:sz="4" w:space="0" w:color="auto"/>
            </w:tcBorders>
            <w:shd w:val="clear" w:color="auto" w:fill="auto"/>
            <w:vAlign w:val="center"/>
            <w:hideMark/>
          </w:tcPr>
          <w:p w14:paraId="4027933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RUB-RUONIA</w:t>
            </w:r>
          </w:p>
        </w:tc>
      </w:tr>
      <w:tr w:rsidR="00BD4334" w:rsidRPr="00BD4334" w14:paraId="27986A45"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6E90D6"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RUB-RUONIA-OIS-COMPOUND</w:t>
            </w:r>
          </w:p>
        </w:tc>
        <w:tc>
          <w:tcPr>
            <w:tcW w:w="5103" w:type="dxa"/>
            <w:tcBorders>
              <w:top w:val="nil"/>
              <w:left w:val="nil"/>
              <w:bottom w:val="single" w:sz="4" w:space="0" w:color="auto"/>
              <w:right w:val="single" w:sz="4" w:space="0" w:color="auto"/>
            </w:tcBorders>
            <w:shd w:val="clear" w:color="auto" w:fill="auto"/>
            <w:vAlign w:val="center"/>
            <w:hideMark/>
          </w:tcPr>
          <w:p w14:paraId="6DB72F24"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RUB-RUONIA-OIS Compound</w:t>
            </w:r>
          </w:p>
        </w:tc>
      </w:tr>
      <w:tr w:rsidR="00BD4334" w:rsidRPr="00BD4334" w14:paraId="54B93F1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D31AC0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SAR-SRIOR-SUAA</w:t>
            </w:r>
          </w:p>
        </w:tc>
        <w:tc>
          <w:tcPr>
            <w:tcW w:w="5103" w:type="dxa"/>
            <w:tcBorders>
              <w:top w:val="nil"/>
              <w:left w:val="nil"/>
              <w:bottom w:val="single" w:sz="4" w:space="0" w:color="auto"/>
              <w:right w:val="single" w:sz="4" w:space="0" w:color="auto"/>
            </w:tcBorders>
            <w:shd w:val="clear" w:color="auto" w:fill="auto"/>
            <w:vAlign w:val="center"/>
            <w:hideMark/>
          </w:tcPr>
          <w:p w14:paraId="15A0CBD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SAR-SAIBOR</w:t>
            </w:r>
          </w:p>
        </w:tc>
      </w:tr>
      <w:tr w:rsidR="00BD4334" w:rsidRPr="00BD4334" w14:paraId="60B0EA64"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1B6277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SEK-SIOR-OIS-COMPOUND</w:t>
            </w:r>
          </w:p>
        </w:tc>
        <w:tc>
          <w:tcPr>
            <w:tcW w:w="5103" w:type="dxa"/>
            <w:tcBorders>
              <w:top w:val="nil"/>
              <w:left w:val="nil"/>
              <w:bottom w:val="single" w:sz="4" w:space="0" w:color="auto"/>
              <w:right w:val="single" w:sz="4" w:space="0" w:color="auto"/>
            </w:tcBorders>
            <w:shd w:val="clear" w:color="auto" w:fill="auto"/>
            <w:vAlign w:val="center"/>
            <w:hideMark/>
          </w:tcPr>
          <w:p w14:paraId="2415502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SEK-STIBOR-OIS Compound</w:t>
            </w:r>
          </w:p>
        </w:tc>
      </w:tr>
      <w:tr w:rsidR="00042981" w:rsidRPr="00BD4334" w14:paraId="428572EE" w14:textId="77777777" w:rsidTr="001C22BF">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1CF2B0" w14:textId="77777777" w:rsidR="00042981" w:rsidRPr="00BD4334" w:rsidRDefault="00042981" w:rsidP="00BD4334">
            <w:pPr>
              <w:spacing w:after="0" w:line="240" w:lineRule="auto"/>
              <w:rPr>
                <w:color w:val="000000"/>
                <w:kern w:val="0"/>
                <w:sz w:val="22"/>
                <w:szCs w:val="22"/>
                <w:lang w:eastAsia="en-GB"/>
              </w:rPr>
            </w:pPr>
            <w:r w:rsidRPr="00BD4334">
              <w:rPr>
                <w:color w:val="000000"/>
                <w:kern w:val="0"/>
                <w:sz w:val="22"/>
                <w:szCs w:val="22"/>
                <w:lang w:eastAsia="en-GB"/>
              </w:rPr>
              <w:t>SEK-STIBOR-Bloomberg</w:t>
            </w:r>
          </w:p>
        </w:tc>
        <w:tc>
          <w:tcPr>
            <w:tcW w:w="5103" w:type="dxa"/>
            <w:vMerge w:val="restart"/>
            <w:tcBorders>
              <w:top w:val="nil"/>
              <w:left w:val="nil"/>
              <w:right w:val="single" w:sz="4" w:space="0" w:color="auto"/>
            </w:tcBorders>
            <w:shd w:val="clear" w:color="auto" w:fill="auto"/>
            <w:vAlign w:val="center"/>
            <w:hideMark/>
          </w:tcPr>
          <w:p w14:paraId="37974D83" w14:textId="01B54485" w:rsidR="00042981" w:rsidRPr="00BD4334" w:rsidRDefault="00042981" w:rsidP="00BD4334">
            <w:pPr>
              <w:spacing w:after="0" w:line="240" w:lineRule="auto"/>
              <w:rPr>
                <w:kern w:val="0"/>
                <w:sz w:val="22"/>
                <w:szCs w:val="22"/>
                <w:lang w:eastAsia="en-GB"/>
              </w:rPr>
            </w:pPr>
            <w:r w:rsidRPr="00BD4334">
              <w:rPr>
                <w:kern w:val="0"/>
                <w:sz w:val="22"/>
                <w:szCs w:val="22"/>
                <w:lang w:eastAsia="en-GB"/>
              </w:rPr>
              <w:t>SEK-STIBOR</w:t>
            </w:r>
          </w:p>
        </w:tc>
      </w:tr>
      <w:tr w:rsidR="00042981" w:rsidRPr="00BD4334" w14:paraId="42722DB2" w14:textId="77777777" w:rsidTr="001C22BF">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496F439" w14:textId="77777777" w:rsidR="00042981" w:rsidRPr="00BD4334" w:rsidRDefault="00042981" w:rsidP="00BD4334">
            <w:pPr>
              <w:spacing w:after="0" w:line="240" w:lineRule="auto"/>
              <w:rPr>
                <w:color w:val="000000"/>
                <w:kern w:val="0"/>
                <w:sz w:val="22"/>
                <w:szCs w:val="22"/>
                <w:lang w:eastAsia="en-GB"/>
              </w:rPr>
            </w:pPr>
            <w:r w:rsidRPr="00BD4334">
              <w:rPr>
                <w:color w:val="000000"/>
                <w:kern w:val="0"/>
                <w:sz w:val="22"/>
                <w:szCs w:val="22"/>
                <w:lang w:eastAsia="en-GB"/>
              </w:rPr>
              <w:t>SEK-STIBOR-SIDE</w:t>
            </w:r>
          </w:p>
        </w:tc>
        <w:tc>
          <w:tcPr>
            <w:tcW w:w="5103" w:type="dxa"/>
            <w:vMerge/>
            <w:tcBorders>
              <w:left w:val="nil"/>
              <w:bottom w:val="single" w:sz="4" w:space="0" w:color="auto"/>
              <w:right w:val="single" w:sz="4" w:space="0" w:color="auto"/>
            </w:tcBorders>
            <w:shd w:val="clear" w:color="auto" w:fill="auto"/>
            <w:vAlign w:val="center"/>
            <w:hideMark/>
          </w:tcPr>
          <w:p w14:paraId="7E23E76D" w14:textId="5E24BF70" w:rsidR="00042981" w:rsidRPr="00BD4334" w:rsidRDefault="00042981" w:rsidP="00BD4334">
            <w:pPr>
              <w:spacing w:after="0" w:line="240" w:lineRule="auto"/>
              <w:rPr>
                <w:kern w:val="0"/>
                <w:sz w:val="22"/>
                <w:szCs w:val="22"/>
                <w:lang w:eastAsia="en-GB"/>
              </w:rPr>
            </w:pPr>
          </w:p>
        </w:tc>
      </w:tr>
      <w:tr w:rsidR="00BD4334" w:rsidRPr="00BD4334" w14:paraId="20FBC3E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14FCB2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SGD-SIBOR-Reuters</w:t>
            </w:r>
          </w:p>
        </w:tc>
        <w:tc>
          <w:tcPr>
            <w:tcW w:w="5103" w:type="dxa"/>
            <w:tcBorders>
              <w:top w:val="nil"/>
              <w:left w:val="nil"/>
              <w:bottom w:val="single" w:sz="4" w:space="0" w:color="auto"/>
              <w:right w:val="single" w:sz="4" w:space="0" w:color="auto"/>
            </w:tcBorders>
            <w:shd w:val="clear" w:color="auto" w:fill="auto"/>
            <w:vAlign w:val="center"/>
            <w:hideMark/>
          </w:tcPr>
          <w:p w14:paraId="5D304CB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SGD-SIBOR</w:t>
            </w:r>
          </w:p>
        </w:tc>
      </w:tr>
      <w:tr w:rsidR="00BD4334" w:rsidRPr="00BD4334" w14:paraId="6A7784F4"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59729F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SGD-SOR-VWAP</w:t>
            </w:r>
          </w:p>
        </w:tc>
        <w:tc>
          <w:tcPr>
            <w:tcW w:w="5103" w:type="dxa"/>
            <w:tcBorders>
              <w:top w:val="nil"/>
              <w:left w:val="nil"/>
              <w:bottom w:val="single" w:sz="4" w:space="0" w:color="auto"/>
              <w:right w:val="single" w:sz="4" w:space="0" w:color="auto"/>
            </w:tcBorders>
            <w:shd w:val="clear" w:color="auto" w:fill="auto"/>
            <w:vAlign w:val="center"/>
            <w:hideMark/>
          </w:tcPr>
          <w:p w14:paraId="4331D9A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SGD-SOR</w:t>
            </w:r>
          </w:p>
        </w:tc>
      </w:tr>
      <w:tr w:rsidR="00BD4334" w:rsidRPr="00BD4334" w14:paraId="494C53B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63461B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SGD-SORA</w:t>
            </w:r>
          </w:p>
        </w:tc>
        <w:tc>
          <w:tcPr>
            <w:tcW w:w="5103" w:type="dxa"/>
            <w:tcBorders>
              <w:top w:val="nil"/>
              <w:left w:val="nil"/>
              <w:bottom w:val="single" w:sz="4" w:space="0" w:color="auto"/>
              <w:right w:val="single" w:sz="4" w:space="0" w:color="auto"/>
            </w:tcBorders>
            <w:shd w:val="clear" w:color="auto" w:fill="auto"/>
            <w:vAlign w:val="center"/>
            <w:hideMark/>
          </w:tcPr>
          <w:p w14:paraId="229500CC"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SGD-SORA</w:t>
            </w:r>
          </w:p>
        </w:tc>
      </w:tr>
      <w:tr w:rsidR="00BD4334" w:rsidRPr="00BD4334" w14:paraId="2D00FDDB"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035A4B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SGD-SORA-COMPOUND</w:t>
            </w:r>
          </w:p>
        </w:tc>
        <w:tc>
          <w:tcPr>
            <w:tcW w:w="5103" w:type="dxa"/>
            <w:tcBorders>
              <w:top w:val="nil"/>
              <w:left w:val="nil"/>
              <w:bottom w:val="single" w:sz="4" w:space="0" w:color="auto"/>
              <w:right w:val="single" w:sz="4" w:space="0" w:color="auto"/>
            </w:tcBorders>
            <w:shd w:val="clear" w:color="auto" w:fill="auto"/>
            <w:vAlign w:val="center"/>
            <w:hideMark/>
          </w:tcPr>
          <w:p w14:paraId="74FD1AF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SGD-SORA-OIS Compound</w:t>
            </w:r>
          </w:p>
        </w:tc>
      </w:tr>
      <w:tr w:rsidR="00BD4334" w:rsidRPr="00BD4334" w14:paraId="4855FAF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1778F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THB-THBFIX-Reuters</w:t>
            </w:r>
          </w:p>
        </w:tc>
        <w:tc>
          <w:tcPr>
            <w:tcW w:w="5103" w:type="dxa"/>
            <w:tcBorders>
              <w:top w:val="nil"/>
              <w:left w:val="nil"/>
              <w:bottom w:val="single" w:sz="4" w:space="0" w:color="auto"/>
              <w:right w:val="single" w:sz="4" w:space="0" w:color="auto"/>
            </w:tcBorders>
            <w:shd w:val="clear" w:color="auto" w:fill="auto"/>
            <w:vAlign w:val="center"/>
            <w:hideMark/>
          </w:tcPr>
          <w:p w14:paraId="1188CE10"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THB-THBFIX</w:t>
            </w:r>
          </w:p>
        </w:tc>
      </w:tr>
      <w:tr w:rsidR="00BD4334" w:rsidRPr="00BD4334" w14:paraId="174B97AE"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58A276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THB-THOR</w:t>
            </w:r>
          </w:p>
        </w:tc>
        <w:tc>
          <w:tcPr>
            <w:tcW w:w="5103" w:type="dxa"/>
            <w:tcBorders>
              <w:top w:val="nil"/>
              <w:left w:val="nil"/>
              <w:bottom w:val="single" w:sz="4" w:space="0" w:color="auto"/>
              <w:right w:val="single" w:sz="4" w:space="0" w:color="auto"/>
            </w:tcBorders>
            <w:shd w:val="clear" w:color="auto" w:fill="auto"/>
            <w:vAlign w:val="center"/>
            <w:hideMark/>
          </w:tcPr>
          <w:p w14:paraId="401596E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THB-THOR</w:t>
            </w:r>
          </w:p>
        </w:tc>
      </w:tr>
      <w:tr w:rsidR="00BD4334" w:rsidRPr="00BD4334" w14:paraId="58BA9E9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A06ADAD"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THB-THOR-COMPOUND</w:t>
            </w:r>
          </w:p>
        </w:tc>
        <w:tc>
          <w:tcPr>
            <w:tcW w:w="5103" w:type="dxa"/>
            <w:tcBorders>
              <w:top w:val="nil"/>
              <w:left w:val="nil"/>
              <w:bottom w:val="single" w:sz="4" w:space="0" w:color="auto"/>
              <w:right w:val="single" w:sz="4" w:space="0" w:color="auto"/>
            </w:tcBorders>
            <w:shd w:val="clear" w:color="auto" w:fill="auto"/>
            <w:vAlign w:val="center"/>
            <w:hideMark/>
          </w:tcPr>
          <w:p w14:paraId="7D4199E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THB-THOR-OIS Compound</w:t>
            </w:r>
          </w:p>
        </w:tc>
      </w:tr>
      <w:tr w:rsidR="00BD4334" w:rsidRPr="00BD4334" w14:paraId="080D1FDE"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62048F"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TRY-TLREF-OIS-COMPOUND</w:t>
            </w:r>
          </w:p>
        </w:tc>
        <w:tc>
          <w:tcPr>
            <w:tcW w:w="5103" w:type="dxa"/>
            <w:tcBorders>
              <w:top w:val="nil"/>
              <w:left w:val="nil"/>
              <w:bottom w:val="single" w:sz="4" w:space="0" w:color="auto"/>
              <w:right w:val="single" w:sz="4" w:space="0" w:color="auto"/>
            </w:tcBorders>
            <w:shd w:val="clear" w:color="auto" w:fill="auto"/>
            <w:vAlign w:val="center"/>
            <w:hideMark/>
          </w:tcPr>
          <w:p w14:paraId="6D559A4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TRY-TLREF-OIS Compound</w:t>
            </w:r>
          </w:p>
        </w:tc>
      </w:tr>
      <w:tr w:rsidR="00BD4334" w:rsidRPr="00BD4334" w14:paraId="0B8F40B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A8C3B6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TRY-TRYIBOR-Reuters</w:t>
            </w:r>
          </w:p>
        </w:tc>
        <w:tc>
          <w:tcPr>
            <w:tcW w:w="5103" w:type="dxa"/>
            <w:tcBorders>
              <w:top w:val="nil"/>
              <w:left w:val="nil"/>
              <w:bottom w:val="single" w:sz="4" w:space="0" w:color="auto"/>
              <w:right w:val="single" w:sz="4" w:space="0" w:color="auto"/>
            </w:tcBorders>
            <w:shd w:val="clear" w:color="auto" w:fill="auto"/>
            <w:vAlign w:val="center"/>
            <w:hideMark/>
          </w:tcPr>
          <w:p w14:paraId="70D08BC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TRY-TRLIBOR</w:t>
            </w:r>
          </w:p>
        </w:tc>
      </w:tr>
      <w:tr w:rsidR="00042981" w:rsidRPr="00BD4334" w14:paraId="32D2478D" w14:textId="77777777" w:rsidTr="0019021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1B263DB" w14:textId="77777777" w:rsidR="00042981" w:rsidRPr="00BD4334" w:rsidRDefault="00042981" w:rsidP="00BD4334">
            <w:pPr>
              <w:spacing w:after="0" w:line="240" w:lineRule="auto"/>
              <w:rPr>
                <w:color w:val="000000"/>
                <w:kern w:val="0"/>
                <w:sz w:val="22"/>
                <w:szCs w:val="22"/>
                <w:lang w:eastAsia="en-GB"/>
              </w:rPr>
            </w:pPr>
            <w:r w:rsidRPr="00BD4334">
              <w:rPr>
                <w:color w:val="000000"/>
                <w:kern w:val="0"/>
                <w:sz w:val="22"/>
                <w:szCs w:val="22"/>
                <w:lang w:eastAsia="en-GB"/>
              </w:rPr>
              <w:t>TWD-TAIBOR-Bloomberg</w:t>
            </w:r>
          </w:p>
        </w:tc>
        <w:tc>
          <w:tcPr>
            <w:tcW w:w="5103" w:type="dxa"/>
            <w:vMerge w:val="restart"/>
            <w:tcBorders>
              <w:top w:val="nil"/>
              <w:left w:val="nil"/>
              <w:right w:val="single" w:sz="4" w:space="0" w:color="auto"/>
            </w:tcBorders>
            <w:shd w:val="clear" w:color="auto" w:fill="auto"/>
            <w:vAlign w:val="center"/>
            <w:hideMark/>
          </w:tcPr>
          <w:p w14:paraId="03AD84F4" w14:textId="3F56196D" w:rsidR="00042981" w:rsidRPr="00BD4334" w:rsidRDefault="00042981" w:rsidP="00BD4334">
            <w:pPr>
              <w:spacing w:after="0" w:line="240" w:lineRule="auto"/>
              <w:rPr>
                <w:kern w:val="0"/>
                <w:sz w:val="22"/>
                <w:szCs w:val="22"/>
                <w:lang w:eastAsia="en-GB"/>
              </w:rPr>
            </w:pPr>
            <w:r w:rsidRPr="00BD4334">
              <w:rPr>
                <w:kern w:val="0"/>
                <w:sz w:val="22"/>
                <w:szCs w:val="22"/>
                <w:lang w:eastAsia="en-GB"/>
              </w:rPr>
              <w:t>TWD-TAIBOR</w:t>
            </w:r>
          </w:p>
        </w:tc>
      </w:tr>
      <w:tr w:rsidR="00042981" w:rsidRPr="00BD4334" w14:paraId="60424DF4" w14:textId="77777777" w:rsidTr="00190215">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80FCDEE" w14:textId="77777777" w:rsidR="00042981" w:rsidRPr="00BD4334" w:rsidRDefault="00042981" w:rsidP="00BD4334">
            <w:pPr>
              <w:spacing w:after="0" w:line="240" w:lineRule="auto"/>
              <w:rPr>
                <w:color w:val="000000"/>
                <w:kern w:val="0"/>
                <w:sz w:val="22"/>
                <w:szCs w:val="22"/>
                <w:lang w:eastAsia="en-GB"/>
              </w:rPr>
            </w:pPr>
            <w:r w:rsidRPr="00BD4334">
              <w:rPr>
                <w:color w:val="000000"/>
                <w:kern w:val="0"/>
                <w:sz w:val="22"/>
                <w:szCs w:val="22"/>
                <w:lang w:eastAsia="en-GB"/>
              </w:rPr>
              <w:t>TWD-TAIBOR-Reuters</w:t>
            </w:r>
          </w:p>
        </w:tc>
        <w:tc>
          <w:tcPr>
            <w:tcW w:w="5103" w:type="dxa"/>
            <w:vMerge/>
            <w:tcBorders>
              <w:left w:val="nil"/>
              <w:bottom w:val="single" w:sz="4" w:space="0" w:color="auto"/>
              <w:right w:val="single" w:sz="4" w:space="0" w:color="auto"/>
            </w:tcBorders>
            <w:shd w:val="clear" w:color="auto" w:fill="auto"/>
            <w:vAlign w:val="center"/>
            <w:hideMark/>
          </w:tcPr>
          <w:p w14:paraId="215BF7E8" w14:textId="53FDB85C" w:rsidR="00042981" w:rsidRPr="00BD4334" w:rsidRDefault="00042981" w:rsidP="00BD4334">
            <w:pPr>
              <w:spacing w:after="0" w:line="240" w:lineRule="auto"/>
              <w:rPr>
                <w:kern w:val="0"/>
                <w:sz w:val="22"/>
                <w:szCs w:val="22"/>
                <w:lang w:eastAsia="en-GB"/>
              </w:rPr>
            </w:pPr>
          </w:p>
        </w:tc>
      </w:tr>
      <w:tr w:rsidR="00BD4334" w:rsidRPr="00BD4334" w14:paraId="0A3B82FF"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AB57F33"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TWD-TAIBIR01</w:t>
            </w:r>
          </w:p>
        </w:tc>
        <w:tc>
          <w:tcPr>
            <w:tcW w:w="5103" w:type="dxa"/>
            <w:tcBorders>
              <w:top w:val="nil"/>
              <w:left w:val="nil"/>
              <w:bottom w:val="single" w:sz="4" w:space="0" w:color="auto"/>
              <w:right w:val="single" w:sz="4" w:space="0" w:color="auto"/>
            </w:tcBorders>
            <w:shd w:val="clear" w:color="auto" w:fill="auto"/>
            <w:vAlign w:val="center"/>
            <w:hideMark/>
          </w:tcPr>
          <w:p w14:paraId="4FDDC78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TWD-TAIBIR01</w:t>
            </w:r>
          </w:p>
        </w:tc>
      </w:tr>
      <w:tr w:rsidR="00BD4334" w:rsidRPr="00BD4334" w14:paraId="58BE154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81D300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TWD-TAIBIR02</w:t>
            </w:r>
          </w:p>
        </w:tc>
        <w:tc>
          <w:tcPr>
            <w:tcW w:w="5103" w:type="dxa"/>
            <w:tcBorders>
              <w:top w:val="nil"/>
              <w:left w:val="nil"/>
              <w:bottom w:val="single" w:sz="4" w:space="0" w:color="auto"/>
              <w:right w:val="single" w:sz="4" w:space="0" w:color="auto"/>
            </w:tcBorders>
            <w:shd w:val="clear" w:color="auto" w:fill="auto"/>
            <w:vAlign w:val="center"/>
            <w:hideMark/>
          </w:tcPr>
          <w:p w14:paraId="02C849A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TWD-TAIBIR02</w:t>
            </w:r>
          </w:p>
        </w:tc>
      </w:tr>
      <w:tr w:rsidR="00BD4334" w:rsidRPr="00BD4334" w14:paraId="4A87B646"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F42686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w:t>
            </w:r>
          </w:p>
        </w:tc>
        <w:tc>
          <w:tcPr>
            <w:tcW w:w="5103" w:type="dxa"/>
            <w:tcBorders>
              <w:top w:val="nil"/>
              <w:left w:val="nil"/>
              <w:bottom w:val="single" w:sz="4" w:space="0" w:color="auto"/>
              <w:right w:val="single" w:sz="4" w:space="0" w:color="auto"/>
            </w:tcBorders>
            <w:shd w:val="clear" w:color="auto" w:fill="auto"/>
            <w:vAlign w:val="center"/>
            <w:hideMark/>
          </w:tcPr>
          <w:p w14:paraId="01AC500D"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w:t>
            </w:r>
          </w:p>
        </w:tc>
      </w:tr>
      <w:tr w:rsidR="00BD4334" w:rsidRPr="00BD4334" w14:paraId="67F36B18"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368741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 Average 30D</w:t>
            </w:r>
          </w:p>
        </w:tc>
        <w:tc>
          <w:tcPr>
            <w:tcW w:w="5103" w:type="dxa"/>
            <w:tcBorders>
              <w:top w:val="nil"/>
              <w:left w:val="nil"/>
              <w:bottom w:val="single" w:sz="4" w:space="0" w:color="auto"/>
              <w:right w:val="single" w:sz="4" w:space="0" w:color="auto"/>
            </w:tcBorders>
            <w:shd w:val="clear" w:color="auto" w:fill="auto"/>
            <w:vAlign w:val="center"/>
            <w:hideMark/>
          </w:tcPr>
          <w:p w14:paraId="6939C2CF"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 Average 30D</w:t>
            </w:r>
          </w:p>
        </w:tc>
      </w:tr>
      <w:tr w:rsidR="00BD4334" w:rsidRPr="00BD4334" w14:paraId="719349A9"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0606724"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 Average 90D</w:t>
            </w:r>
          </w:p>
        </w:tc>
        <w:tc>
          <w:tcPr>
            <w:tcW w:w="5103" w:type="dxa"/>
            <w:tcBorders>
              <w:top w:val="nil"/>
              <w:left w:val="nil"/>
              <w:bottom w:val="single" w:sz="4" w:space="0" w:color="auto"/>
              <w:right w:val="single" w:sz="4" w:space="0" w:color="auto"/>
            </w:tcBorders>
            <w:shd w:val="clear" w:color="auto" w:fill="auto"/>
            <w:vAlign w:val="center"/>
            <w:hideMark/>
          </w:tcPr>
          <w:p w14:paraId="0D61876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 Average 90D</w:t>
            </w:r>
          </w:p>
        </w:tc>
      </w:tr>
      <w:tr w:rsidR="00BD4334" w:rsidRPr="00BD4334" w14:paraId="3CEB27D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A7DD428"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 Term</w:t>
            </w:r>
          </w:p>
        </w:tc>
        <w:tc>
          <w:tcPr>
            <w:tcW w:w="5103" w:type="dxa"/>
            <w:tcBorders>
              <w:top w:val="nil"/>
              <w:left w:val="nil"/>
              <w:bottom w:val="single" w:sz="4" w:space="0" w:color="auto"/>
              <w:right w:val="single" w:sz="4" w:space="0" w:color="auto"/>
            </w:tcBorders>
            <w:shd w:val="clear" w:color="auto" w:fill="auto"/>
            <w:vAlign w:val="center"/>
            <w:hideMark/>
          </w:tcPr>
          <w:p w14:paraId="0840E704"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USD-AMERIBOR Term</w:t>
            </w:r>
          </w:p>
        </w:tc>
      </w:tr>
      <w:tr w:rsidR="00BD4334" w:rsidRPr="00BD4334" w14:paraId="4689E7A7"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46372F1"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USD-BSBY</w:t>
            </w:r>
          </w:p>
        </w:tc>
        <w:tc>
          <w:tcPr>
            <w:tcW w:w="5103" w:type="dxa"/>
            <w:tcBorders>
              <w:top w:val="nil"/>
              <w:left w:val="nil"/>
              <w:bottom w:val="single" w:sz="4" w:space="0" w:color="auto"/>
              <w:right w:val="single" w:sz="4" w:space="0" w:color="auto"/>
            </w:tcBorders>
            <w:shd w:val="clear" w:color="auto" w:fill="auto"/>
            <w:vAlign w:val="center"/>
            <w:hideMark/>
          </w:tcPr>
          <w:p w14:paraId="163D3E40"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USD-BSBY</w:t>
            </w:r>
          </w:p>
        </w:tc>
      </w:tr>
      <w:tr w:rsidR="00BD4334" w:rsidRPr="00BD4334" w14:paraId="14757D48"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388D9AB"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USD-CMT-T7051</w:t>
            </w:r>
          </w:p>
        </w:tc>
        <w:tc>
          <w:tcPr>
            <w:tcW w:w="5103" w:type="dxa"/>
            <w:tcBorders>
              <w:top w:val="nil"/>
              <w:left w:val="nil"/>
              <w:bottom w:val="single" w:sz="4" w:space="0" w:color="auto"/>
              <w:right w:val="single" w:sz="4" w:space="0" w:color="auto"/>
            </w:tcBorders>
            <w:shd w:val="clear" w:color="auto" w:fill="auto"/>
            <w:vAlign w:val="center"/>
            <w:hideMark/>
          </w:tcPr>
          <w:p w14:paraId="2413537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USD-CMT</w:t>
            </w:r>
          </w:p>
        </w:tc>
      </w:tr>
      <w:tr w:rsidR="00BD4334" w:rsidRPr="00BD4334" w14:paraId="504F39AC"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A53FB75"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USD-CMT-T7052</w:t>
            </w:r>
          </w:p>
        </w:tc>
        <w:tc>
          <w:tcPr>
            <w:tcW w:w="5103" w:type="dxa"/>
            <w:tcBorders>
              <w:top w:val="nil"/>
              <w:left w:val="nil"/>
              <w:bottom w:val="single" w:sz="4" w:space="0" w:color="auto"/>
              <w:right w:val="single" w:sz="4" w:space="0" w:color="auto"/>
            </w:tcBorders>
            <w:shd w:val="clear" w:color="auto" w:fill="auto"/>
            <w:vAlign w:val="center"/>
            <w:hideMark/>
          </w:tcPr>
          <w:p w14:paraId="02E2C293"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USD-CMT Average 1W</w:t>
            </w:r>
          </w:p>
        </w:tc>
      </w:tr>
      <w:tr w:rsidR="00BD4334" w:rsidRPr="00BD4334" w14:paraId="4102914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64652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USD-COF11-FHLBSF</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4888BE8A"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USD-COFI</w:t>
            </w:r>
          </w:p>
        </w:tc>
      </w:tr>
      <w:tr w:rsidR="00BD4334" w:rsidRPr="00BD4334" w14:paraId="5B7D526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A8BD57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USD-COF11-Reuters</w:t>
            </w:r>
          </w:p>
        </w:tc>
        <w:tc>
          <w:tcPr>
            <w:tcW w:w="5103" w:type="dxa"/>
            <w:vMerge/>
            <w:tcBorders>
              <w:top w:val="nil"/>
              <w:left w:val="single" w:sz="4" w:space="0" w:color="auto"/>
              <w:bottom w:val="single" w:sz="4" w:space="0" w:color="000000"/>
              <w:right w:val="single" w:sz="4" w:space="0" w:color="auto"/>
            </w:tcBorders>
            <w:vAlign w:val="center"/>
            <w:hideMark/>
          </w:tcPr>
          <w:p w14:paraId="01880D92" w14:textId="77777777" w:rsidR="00BD4334" w:rsidRPr="00BD4334" w:rsidRDefault="00BD4334" w:rsidP="00BD4334">
            <w:pPr>
              <w:spacing w:after="0" w:line="240" w:lineRule="auto"/>
              <w:rPr>
                <w:kern w:val="0"/>
                <w:sz w:val="22"/>
                <w:szCs w:val="22"/>
                <w:lang w:eastAsia="en-GB"/>
              </w:rPr>
            </w:pPr>
          </w:p>
        </w:tc>
      </w:tr>
      <w:tr w:rsidR="00BD4334" w:rsidRPr="00BD4334" w14:paraId="701308A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1CE6A38"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USD-CP-H.15</w:t>
            </w:r>
          </w:p>
        </w:tc>
        <w:tc>
          <w:tcPr>
            <w:tcW w:w="5103" w:type="dxa"/>
            <w:tcBorders>
              <w:top w:val="nil"/>
              <w:left w:val="nil"/>
              <w:bottom w:val="single" w:sz="4" w:space="0" w:color="auto"/>
              <w:right w:val="single" w:sz="4" w:space="0" w:color="auto"/>
            </w:tcBorders>
            <w:shd w:val="clear" w:color="auto" w:fill="auto"/>
            <w:vAlign w:val="center"/>
            <w:hideMark/>
          </w:tcPr>
          <w:p w14:paraId="16CDCBE0"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USD-CP-Money Market Yield</w:t>
            </w:r>
          </w:p>
        </w:tc>
      </w:tr>
      <w:tr w:rsidR="00042981" w:rsidRPr="00BD4334" w14:paraId="19566B94" w14:textId="77777777" w:rsidTr="00251982">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53F8B98" w14:textId="77777777" w:rsidR="00042981" w:rsidRPr="00BD4334" w:rsidRDefault="00042981" w:rsidP="00BD4334">
            <w:pPr>
              <w:spacing w:after="0" w:line="240" w:lineRule="auto"/>
              <w:rPr>
                <w:color w:val="000000"/>
                <w:kern w:val="0"/>
                <w:sz w:val="22"/>
                <w:szCs w:val="22"/>
                <w:lang w:eastAsia="en-GB"/>
              </w:rPr>
            </w:pPr>
            <w:r w:rsidRPr="00BD4334">
              <w:rPr>
                <w:color w:val="000000"/>
                <w:kern w:val="0"/>
                <w:sz w:val="22"/>
                <w:szCs w:val="22"/>
                <w:lang w:eastAsia="en-GB"/>
              </w:rPr>
              <w:t>USD-Federal Funds-H.15</w:t>
            </w:r>
          </w:p>
        </w:tc>
        <w:tc>
          <w:tcPr>
            <w:tcW w:w="5103" w:type="dxa"/>
            <w:vMerge w:val="restart"/>
            <w:tcBorders>
              <w:top w:val="nil"/>
              <w:left w:val="nil"/>
              <w:right w:val="single" w:sz="4" w:space="0" w:color="auto"/>
            </w:tcBorders>
            <w:shd w:val="clear" w:color="auto" w:fill="auto"/>
            <w:vAlign w:val="center"/>
            <w:hideMark/>
          </w:tcPr>
          <w:p w14:paraId="11DAFE31" w14:textId="76A2FA4E" w:rsidR="00042981" w:rsidRPr="00BD4334" w:rsidRDefault="00042981" w:rsidP="00BD4334">
            <w:pPr>
              <w:spacing w:after="0" w:line="240" w:lineRule="auto"/>
              <w:rPr>
                <w:kern w:val="0"/>
                <w:sz w:val="22"/>
                <w:szCs w:val="22"/>
                <w:lang w:eastAsia="en-GB"/>
              </w:rPr>
            </w:pPr>
            <w:r w:rsidRPr="00BD4334">
              <w:rPr>
                <w:kern w:val="0"/>
                <w:sz w:val="22"/>
                <w:szCs w:val="22"/>
                <w:lang w:eastAsia="en-GB"/>
              </w:rPr>
              <w:t>USD-Federal Funds</w:t>
            </w:r>
          </w:p>
        </w:tc>
      </w:tr>
      <w:tr w:rsidR="00042981" w:rsidRPr="00BD4334" w14:paraId="1B834129" w14:textId="77777777" w:rsidTr="00251982">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69D513" w14:textId="77777777" w:rsidR="00042981" w:rsidRPr="00BD4334" w:rsidRDefault="00042981" w:rsidP="00BD4334">
            <w:pPr>
              <w:spacing w:after="0" w:line="240" w:lineRule="auto"/>
              <w:rPr>
                <w:color w:val="000000"/>
                <w:kern w:val="0"/>
                <w:sz w:val="22"/>
                <w:szCs w:val="22"/>
                <w:lang w:eastAsia="en-GB"/>
              </w:rPr>
            </w:pPr>
            <w:r w:rsidRPr="00BD4334">
              <w:rPr>
                <w:color w:val="000000"/>
                <w:kern w:val="0"/>
                <w:sz w:val="22"/>
                <w:szCs w:val="22"/>
                <w:lang w:eastAsia="en-GB"/>
              </w:rPr>
              <w:t>USD-Federal Funds-H.15-Bloomberg</w:t>
            </w:r>
          </w:p>
        </w:tc>
        <w:tc>
          <w:tcPr>
            <w:tcW w:w="5103" w:type="dxa"/>
            <w:vMerge/>
            <w:tcBorders>
              <w:left w:val="nil"/>
              <w:bottom w:val="single" w:sz="4" w:space="0" w:color="auto"/>
              <w:right w:val="single" w:sz="4" w:space="0" w:color="auto"/>
            </w:tcBorders>
            <w:shd w:val="clear" w:color="auto" w:fill="auto"/>
            <w:vAlign w:val="center"/>
            <w:hideMark/>
          </w:tcPr>
          <w:p w14:paraId="2E1FF83E" w14:textId="22498B0F" w:rsidR="00042981" w:rsidRPr="00BD4334" w:rsidRDefault="00042981" w:rsidP="00BD4334">
            <w:pPr>
              <w:spacing w:after="0" w:line="240" w:lineRule="auto"/>
              <w:rPr>
                <w:kern w:val="0"/>
                <w:sz w:val="22"/>
                <w:szCs w:val="22"/>
                <w:lang w:eastAsia="en-GB"/>
              </w:rPr>
            </w:pPr>
          </w:p>
        </w:tc>
      </w:tr>
      <w:tr w:rsidR="00BD4334" w:rsidRPr="00BD4334" w14:paraId="56A11E64"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567852F"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USD-Federal Funds-H.15-OIS-COMPOUND</w:t>
            </w:r>
          </w:p>
        </w:tc>
        <w:tc>
          <w:tcPr>
            <w:tcW w:w="5103" w:type="dxa"/>
            <w:tcBorders>
              <w:top w:val="nil"/>
              <w:left w:val="nil"/>
              <w:bottom w:val="single" w:sz="4" w:space="0" w:color="auto"/>
              <w:right w:val="single" w:sz="4" w:space="0" w:color="auto"/>
            </w:tcBorders>
            <w:shd w:val="clear" w:color="auto" w:fill="auto"/>
            <w:vAlign w:val="center"/>
            <w:hideMark/>
          </w:tcPr>
          <w:p w14:paraId="3F6D13E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USD-Federal Funds-OIS Compound</w:t>
            </w:r>
          </w:p>
        </w:tc>
      </w:tr>
      <w:tr w:rsidR="00BD4334" w:rsidRPr="00BD4334" w14:paraId="3A30875D"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E17D93C"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USD-ISDA-Swap Rate</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73F5DD1D"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USD-LIBOR ICE Swap Rate-11:00</w:t>
            </w:r>
          </w:p>
        </w:tc>
      </w:tr>
      <w:tr w:rsidR="00BD4334" w:rsidRPr="00BD4334" w14:paraId="079B2EF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2C5CEED"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USD-ISDAFIX3-Swap Rate</w:t>
            </w:r>
          </w:p>
        </w:tc>
        <w:tc>
          <w:tcPr>
            <w:tcW w:w="5103" w:type="dxa"/>
            <w:vMerge/>
            <w:tcBorders>
              <w:top w:val="nil"/>
              <w:left w:val="single" w:sz="4" w:space="0" w:color="auto"/>
              <w:bottom w:val="single" w:sz="4" w:space="0" w:color="000000"/>
              <w:right w:val="single" w:sz="4" w:space="0" w:color="auto"/>
            </w:tcBorders>
            <w:vAlign w:val="center"/>
            <w:hideMark/>
          </w:tcPr>
          <w:p w14:paraId="29A059A1" w14:textId="77777777" w:rsidR="00BD4334" w:rsidRPr="00BD4334" w:rsidRDefault="00BD4334" w:rsidP="00BD4334">
            <w:pPr>
              <w:spacing w:after="0" w:line="240" w:lineRule="auto"/>
              <w:rPr>
                <w:kern w:val="0"/>
                <w:sz w:val="22"/>
                <w:szCs w:val="22"/>
                <w:lang w:eastAsia="en-GB"/>
              </w:rPr>
            </w:pPr>
          </w:p>
        </w:tc>
      </w:tr>
      <w:tr w:rsidR="00BD4334" w:rsidRPr="00BD4334" w14:paraId="13A410A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765530E"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USD-ISDA-Swap Rate-3:00</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35302910"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USD-LIBOR ICE Swap Rate-15:00</w:t>
            </w:r>
          </w:p>
        </w:tc>
      </w:tr>
      <w:tr w:rsidR="00BD4334" w:rsidRPr="00BD4334" w14:paraId="0E11C4B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81F6EDF"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USD-ISDAFIX3-Swap Rate-3:00</w:t>
            </w:r>
          </w:p>
        </w:tc>
        <w:tc>
          <w:tcPr>
            <w:tcW w:w="5103" w:type="dxa"/>
            <w:vMerge/>
            <w:tcBorders>
              <w:top w:val="nil"/>
              <w:left w:val="single" w:sz="4" w:space="0" w:color="auto"/>
              <w:bottom w:val="single" w:sz="4" w:space="0" w:color="000000"/>
              <w:right w:val="single" w:sz="4" w:space="0" w:color="auto"/>
            </w:tcBorders>
            <w:vAlign w:val="center"/>
            <w:hideMark/>
          </w:tcPr>
          <w:p w14:paraId="08ED2E31" w14:textId="77777777" w:rsidR="00BD4334" w:rsidRPr="00BD4334" w:rsidRDefault="00BD4334" w:rsidP="00BD4334">
            <w:pPr>
              <w:spacing w:after="0" w:line="240" w:lineRule="auto"/>
              <w:rPr>
                <w:kern w:val="0"/>
                <w:sz w:val="22"/>
                <w:szCs w:val="22"/>
                <w:lang w:eastAsia="en-GB"/>
              </w:rPr>
            </w:pPr>
          </w:p>
        </w:tc>
      </w:tr>
      <w:tr w:rsidR="00BD4334" w:rsidRPr="00BD4334" w14:paraId="34C0E35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AB4CC84"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USD-LIBOR-BBA</w:t>
            </w:r>
          </w:p>
        </w:tc>
        <w:tc>
          <w:tcPr>
            <w:tcW w:w="5103" w:type="dxa"/>
            <w:vMerge w:val="restart"/>
            <w:tcBorders>
              <w:top w:val="nil"/>
              <w:left w:val="single" w:sz="4" w:space="0" w:color="auto"/>
              <w:bottom w:val="single" w:sz="4" w:space="0" w:color="000000"/>
              <w:right w:val="single" w:sz="4" w:space="0" w:color="auto"/>
            </w:tcBorders>
            <w:shd w:val="clear" w:color="auto" w:fill="auto"/>
            <w:vAlign w:val="center"/>
            <w:hideMark/>
          </w:tcPr>
          <w:p w14:paraId="6516BF97"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USD-LIBOR</w:t>
            </w:r>
          </w:p>
        </w:tc>
      </w:tr>
      <w:tr w:rsidR="00BD4334" w:rsidRPr="00BD4334" w14:paraId="14361F4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6DD5DA2"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USD-LIBOR-BBA-Bloomberg</w:t>
            </w:r>
          </w:p>
        </w:tc>
        <w:tc>
          <w:tcPr>
            <w:tcW w:w="5103" w:type="dxa"/>
            <w:vMerge/>
            <w:tcBorders>
              <w:top w:val="nil"/>
              <w:left w:val="single" w:sz="4" w:space="0" w:color="auto"/>
              <w:bottom w:val="single" w:sz="4" w:space="0" w:color="000000"/>
              <w:right w:val="single" w:sz="4" w:space="0" w:color="auto"/>
            </w:tcBorders>
            <w:vAlign w:val="center"/>
            <w:hideMark/>
          </w:tcPr>
          <w:p w14:paraId="555E0D6E" w14:textId="77777777" w:rsidR="00BD4334" w:rsidRPr="00BD4334" w:rsidRDefault="00BD4334" w:rsidP="00BD4334">
            <w:pPr>
              <w:spacing w:after="0" w:line="240" w:lineRule="auto"/>
              <w:rPr>
                <w:kern w:val="0"/>
                <w:sz w:val="22"/>
                <w:szCs w:val="22"/>
                <w:lang w:eastAsia="en-GB"/>
              </w:rPr>
            </w:pPr>
          </w:p>
        </w:tc>
      </w:tr>
      <w:tr w:rsidR="00BD4334" w:rsidRPr="00BD4334" w14:paraId="1B579A4A"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B5B03B1"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USD-SIFMA Municipal Swap Index</w:t>
            </w:r>
          </w:p>
        </w:tc>
        <w:tc>
          <w:tcPr>
            <w:tcW w:w="5103" w:type="dxa"/>
            <w:tcBorders>
              <w:top w:val="nil"/>
              <w:left w:val="nil"/>
              <w:bottom w:val="single" w:sz="4" w:space="0" w:color="auto"/>
              <w:right w:val="single" w:sz="4" w:space="0" w:color="auto"/>
            </w:tcBorders>
            <w:shd w:val="clear" w:color="auto" w:fill="auto"/>
            <w:vAlign w:val="center"/>
            <w:hideMark/>
          </w:tcPr>
          <w:p w14:paraId="6DA984C6"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USD-Municipal Swap Index</w:t>
            </w:r>
          </w:p>
        </w:tc>
      </w:tr>
      <w:tr w:rsidR="00BD4334" w:rsidRPr="00BD4334" w14:paraId="5509E657"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AC6D43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USD-Overnight Bank Funding Rate</w:t>
            </w:r>
          </w:p>
        </w:tc>
        <w:tc>
          <w:tcPr>
            <w:tcW w:w="5103" w:type="dxa"/>
            <w:tcBorders>
              <w:top w:val="nil"/>
              <w:left w:val="nil"/>
              <w:bottom w:val="single" w:sz="4" w:space="0" w:color="auto"/>
              <w:right w:val="single" w:sz="4" w:space="0" w:color="auto"/>
            </w:tcBorders>
            <w:shd w:val="clear" w:color="auto" w:fill="auto"/>
            <w:vAlign w:val="bottom"/>
            <w:hideMark/>
          </w:tcPr>
          <w:p w14:paraId="08C6FDF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USD-Overnight Bank Funding Rate</w:t>
            </w:r>
          </w:p>
        </w:tc>
      </w:tr>
      <w:tr w:rsidR="00BD4334" w:rsidRPr="00BD4334" w14:paraId="1B3B0281"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7D669E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USD-Prime-H.15</w:t>
            </w:r>
          </w:p>
        </w:tc>
        <w:tc>
          <w:tcPr>
            <w:tcW w:w="5103" w:type="dxa"/>
            <w:tcBorders>
              <w:top w:val="nil"/>
              <w:left w:val="nil"/>
              <w:bottom w:val="single" w:sz="4" w:space="0" w:color="auto"/>
              <w:right w:val="single" w:sz="4" w:space="0" w:color="auto"/>
            </w:tcBorders>
            <w:shd w:val="clear" w:color="auto" w:fill="auto"/>
            <w:vAlign w:val="center"/>
            <w:hideMark/>
          </w:tcPr>
          <w:p w14:paraId="77A8A125"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USD-Prime</w:t>
            </w:r>
          </w:p>
        </w:tc>
      </w:tr>
      <w:tr w:rsidR="00BD4334" w:rsidRPr="00BD4334" w14:paraId="38E90816"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1DBBE4B"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USD-S&amp;P Index-High Grade</w:t>
            </w:r>
          </w:p>
        </w:tc>
        <w:tc>
          <w:tcPr>
            <w:tcW w:w="5103" w:type="dxa"/>
            <w:tcBorders>
              <w:top w:val="nil"/>
              <w:left w:val="nil"/>
              <w:bottom w:val="single" w:sz="4" w:space="0" w:color="auto"/>
              <w:right w:val="single" w:sz="4" w:space="0" w:color="auto"/>
            </w:tcBorders>
            <w:shd w:val="clear" w:color="auto" w:fill="auto"/>
            <w:vAlign w:val="center"/>
            <w:hideMark/>
          </w:tcPr>
          <w:p w14:paraId="26201C43"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w:t>
            </w:r>
            <w:proofErr w:type="spellStart"/>
            <w:r w:rsidRPr="00BD4334">
              <w:rPr>
                <w:kern w:val="0"/>
                <w:sz w:val="22"/>
                <w:szCs w:val="22"/>
                <w:lang w:eastAsia="en-GB"/>
              </w:rPr>
              <w:t>SandP</w:t>
            </w:r>
            <w:proofErr w:type="spellEnd"/>
            <w:r w:rsidRPr="00BD4334">
              <w:rPr>
                <w:kern w:val="0"/>
                <w:sz w:val="22"/>
                <w:szCs w:val="22"/>
                <w:lang w:eastAsia="en-GB"/>
              </w:rPr>
              <w:t xml:space="preserve"> Index High Grade</w:t>
            </w:r>
          </w:p>
        </w:tc>
      </w:tr>
      <w:tr w:rsidR="00BD4334" w:rsidRPr="00BD4334" w14:paraId="2116A69A"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EE8145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USD-SOFR</w:t>
            </w:r>
          </w:p>
        </w:tc>
        <w:tc>
          <w:tcPr>
            <w:tcW w:w="5103" w:type="dxa"/>
            <w:tcBorders>
              <w:top w:val="nil"/>
              <w:left w:val="nil"/>
              <w:bottom w:val="single" w:sz="4" w:space="0" w:color="auto"/>
              <w:right w:val="single" w:sz="4" w:space="0" w:color="auto"/>
            </w:tcBorders>
            <w:shd w:val="clear" w:color="auto" w:fill="auto"/>
            <w:vAlign w:val="center"/>
            <w:hideMark/>
          </w:tcPr>
          <w:p w14:paraId="08618ACE"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USD-SOFR</w:t>
            </w:r>
          </w:p>
        </w:tc>
      </w:tr>
      <w:tr w:rsidR="00BD4334" w:rsidRPr="00BD4334" w14:paraId="3ADFEC35"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D022A66"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USD-SOFR-COMPOUND</w:t>
            </w:r>
          </w:p>
        </w:tc>
        <w:tc>
          <w:tcPr>
            <w:tcW w:w="5103" w:type="dxa"/>
            <w:tcBorders>
              <w:top w:val="nil"/>
              <w:left w:val="nil"/>
              <w:bottom w:val="single" w:sz="4" w:space="0" w:color="auto"/>
              <w:right w:val="single" w:sz="4" w:space="0" w:color="auto"/>
            </w:tcBorders>
            <w:shd w:val="clear" w:color="auto" w:fill="auto"/>
            <w:vAlign w:val="center"/>
            <w:hideMark/>
          </w:tcPr>
          <w:p w14:paraId="57217DB2"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USD-SOFR-OIS Compound</w:t>
            </w:r>
          </w:p>
        </w:tc>
      </w:tr>
      <w:tr w:rsidR="00BD4334" w:rsidRPr="00BD4334" w14:paraId="51DEE832" w14:textId="77777777" w:rsidTr="00BD4334">
        <w:trPr>
          <w:trHeight w:val="57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B757F3A"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USD-TBILL-Secondary Market</w:t>
            </w:r>
          </w:p>
        </w:tc>
        <w:tc>
          <w:tcPr>
            <w:tcW w:w="5103" w:type="dxa"/>
            <w:tcBorders>
              <w:top w:val="nil"/>
              <w:left w:val="nil"/>
              <w:bottom w:val="single" w:sz="4" w:space="0" w:color="auto"/>
              <w:right w:val="single" w:sz="4" w:space="0" w:color="auto"/>
            </w:tcBorders>
            <w:shd w:val="clear" w:color="auto" w:fill="auto"/>
            <w:vAlign w:val="center"/>
            <w:hideMark/>
          </w:tcPr>
          <w:p w14:paraId="259EA2F9"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USD-TBILL Secondary Market-Bond Equivalent Yield</w:t>
            </w:r>
          </w:p>
        </w:tc>
      </w:tr>
      <w:tr w:rsidR="00BD4334" w:rsidRPr="00BD4334" w14:paraId="70BE3532"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F7EB9C7"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ZAR-JIBAR-SAFEX</w:t>
            </w:r>
          </w:p>
        </w:tc>
        <w:tc>
          <w:tcPr>
            <w:tcW w:w="5103" w:type="dxa"/>
            <w:tcBorders>
              <w:top w:val="nil"/>
              <w:left w:val="nil"/>
              <w:bottom w:val="single" w:sz="4" w:space="0" w:color="auto"/>
              <w:right w:val="single" w:sz="4" w:space="0" w:color="auto"/>
            </w:tcBorders>
            <w:shd w:val="clear" w:color="auto" w:fill="auto"/>
            <w:vAlign w:val="center"/>
            <w:hideMark/>
          </w:tcPr>
          <w:p w14:paraId="6BA9EB8B"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ZAR-JIBAR</w:t>
            </w:r>
          </w:p>
        </w:tc>
      </w:tr>
      <w:tr w:rsidR="00BD4334" w:rsidRPr="00BD4334" w14:paraId="5310A3E9" w14:textId="77777777" w:rsidTr="00BD4334">
        <w:trPr>
          <w:trHeight w:val="28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C0BA930" w14:textId="77777777" w:rsidR="00BD4334" w:rsidRPr="00BD4334" w:rsidRDefault="00BD4334" w:rsidP="00BD4334">
            <w:pPr>
              <w:spacing w:after="0" w:line="240" w:lineRule="auto"/>
              <w:rPr>
                <w:color w:val="000000"/>
                <w:kern w:val="0"/>
                <w:sz w:val="22"/>
                <w:szCs w:val="22"/>
                <w:lang w:eastAsia="en-GB"/>
              </w:rPr>
            </w:pPr>
            <w:r w:rsidRPr="00BD4334">
              <w:rPr>
                <w:color w:val="000000"/>
                <w:kern w:val="0"/>
                <w:sz w:val="22"/>
                <w:szCs w:val="22"/>
                <w:lang w:eastAsia="en-GB"/>
              </w:rPr>
              <w:t>ZAR-PRIME-AVERAGE</w:t>
            </w:r>
          </w:p>
        </w:tc>
        <w:tc>
          <w:tcPr>
            <w:tcW w:w="5103" w:type="dxa"/>
            <w:tcBorders>
              <w:top w:val="nil"/>
              <w:left w:val="nil"/>
              <w:bottom w:val="single" w:sz="4" w:space="0" w:color="auto"/>
              <w:right w:val="single" w:sz="4" w:space="0" w:color="auto"/>
            </w:tcBorders>
            <w:shd w:val="clear" w:color="auto" w:fill="auto"/>
            <w:vAlign w:val="center"/>
            <w:hideMark/>
          </w:tcPr>
          <w:p w14:paraId="7666712C" w14:textId="77777777" w:rsidR="00BD4334" w:rsidRPr="00BD4334" w:rsidRDefault="00BD4334" w:rsidP="00BD4334">
            <w:pPr>
              <w:spacing w:after="0" w:line="240" w:lineRule="auto"/>
              <w:rPr>
                <w:kern w:val="0"/>
                <w:sz w:val="22"/>
                <w:szCs w:val="22"/>
                <w:lang w:eastAsia="en-GB"/>
              </w:rPr>
            </w:pPr>
            <w:r w:rsidRPr="00BD4334">
              <w:rPr>
                <w:kern w:val="0"/>
                <w:sz w:val="22"/>
                <w:szCs w:val="22"/>
                <w:lang w:eastAsia="en-GB"/>
              </w:rPr>
              <w:t>ZAR-Prime Average</w:t>
            </w:r>
          </w:p>
        </w:tc>
      </w:tr>
    </w:tbl>
    <w:p w14:paraId="7ED32C3B" w14:textId="77777777" w:rsidR="00667BE6" w:rsidRDefault="00667BE6" w:rsidP="00B27419">
      <w:pPr>
        <w:pStyle w:val="Body"/>
      </w:pPr>
    </w:p>
    <w:p w14:paraId="1D3F5EDF" w14:textId="45821B25" w:rsidR="00E929C9" w:rsidRDefault="00E929C9">
      <w:pPr>
        <w:spacing w:after="160" w:line="259" w:lineRule="auto"/>
      </w:pPr>
      <w:r>
        <w:br w:type="page"/>
      </w:r>
    </w:p>
    <w:p w14:paraId="335588ED" w14:textId="740B6D24" w:rsidR="008F653C" w:rsidRPr="003D4BC9" w:rsidRDefault="008A71D0" w:rsidP="008F653C">
      <w:pPr>
        <w:pStyle w:val="Head-C"/>
        <w:rPr>
          <w:sz w:val="24"/>
          <w:szCs w:val="24"/>
        </w:rPr>
      </w:pPr>
      <w:r>
        <w:rPr>
          <w:sz w:val="24"/>
          <w:szCs w:val="24"/>
        </w:rPr>
        <w:t xml:space="preserve">TABLE 2 - FROs UNDER THE </w:t>
      </w:r>
      <w:r w:rsidR="008F653C" w:rsidRPr="00621C21">
        <w:rPr>
          <w:sz w:val="24"/>
          <w:szCs w:val="24"/>
        </w:rPr>
        <w:t>2006 D</w:t>
      </w:r>
      <w:r>
        <w:rPr>
          <w:sz w:val="24"/>
          <w:szCs w:val="24"/>
        </w:rPr>
        <w:t>EFINITIONS</w:t>
      </w:r>
      <w:r w:rsidR="008F653C" w:rsidRPr="00621C21">
        <w:rPr>
          <w:sz w:val="24"/>
          <w:szCs w:val="24"/>
        </w:rPr>
        <w:t xml:space="preserve"> </w:t>
      </w:r>
      <w:r>
        <w:rPr>
          <w:sz w:val="24"/>
          <w:szCs w:val="24"/>
        </w:rPr>
        <w:t xml:space="preserve">THAT DO </w:t>
      </w:r>
      <w:r w:rsidRPr="008A71D0">
        <w:rPr>
          <w:sz w:val="24"/>
          <w:szCs w:val="24"/>
        </w:rPr>
        <w:t>NOT</w:t>
      </w:r>
      <w:r>
        <w:rPr>
          <w:sz w:val="24"/>
          <w:szCs w:val="24"/>
        </w:rPr>
        <w:t xml:space="preserve"> MAP TO FROs UNDER THE </w:t>
      </w:r>
      <w:r w:rsidR="008F653C" w:rsidRPr="00621C21">
        <w:rPr>
          <w:sz w:val="24"/>
          <w:szCs w:val="24"/>
        </w:rPr>
        <w:t xml:space="preserve">2021 </w:t>
      </w:r>
      <w:r>
        <w:rPr>
          <w:sz w:val="24"/>
          <w:szCs w:val="24"/>
        </w:rPr>
        <w:t>DEFINITIONS</w:t>
      </w:r>
    </w:p>
    <w:p w14:paraId="450A2ED7" w14:textId="4C02A6B0" w:rsidR="00227E22" w:rsidRDefault="00A03ADA" w:rsidP="00817F9D">
      <w:pPr>
        <w:pStyle w:val="Body"/>
      </w:pPr>
      <w:r>
        <w:t xml:space="preserve">Please refer to the Disclaimers and Points to Note section for important information regarding this table.  Please also note that </w:t>
      </w:r>
      <w:r w:rsidR="008F653C">
        <w:t xml:space="preserve">FROs marked in italics </w:t>
      </w:r>
      <w:r>
        <w:t xml:space="preserve">were </w:t>
      </w:r>
      <w:r w:rsidR="008F653C">
        <w:t>removed from the 2006</w:t>
      </w:r>
      <w:r>
        <w:t xml:space="preserve"> Definitions prior to publication of this table.</w:t>
      </w:r>
    </w:p>
    <w:tbl>
      <w:tblPr>
        <w:tblW w:w="8784" w:type="dxa"/>
        <w:jc w:val="center"/>
        <w:tblLook w:val="04A0" w:firstRow="1" w:lastRow="0" w:firstColumn="1" w:lastColumn="0" w:noHBand="0" w:noVBand="1"/>
      </w:tblPr>
      <w:tblGrid>
        <w:gridCol w:w="8784"/>
      </w:tblGrid>
      <w:tr w:rsidR="009B5985" w:rsidRPr="00227E22" w14:paraId="412AC59C" w14:textId="77777777" w:rsidTr="009B5985">
        <w:trPr>
          <w:trHeight w:val="285"/>
          <w:jc w:val="center"/>
        </w:trPr>
        <w:tc>
          <w:tcPr>
            <w:tcW w:w="8784"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45E7D13" w14:textId="5913A371" w:rsidR="009B5985" w:rsidRPr="00227E22" w:rsidRDefault="008A71D0" w:rsidP="00227E22">
            <w:pPr>
              <w:spacing w:after="0" w:line="240" w:lineRule="auto"/>
              <w:jc w:val="center"/>
              <w:rPr>
                <w:b/>
                <w:bCs/>
                <w:color w:val="000000"/>
                <w:kern w:val="0"/>
                <w:sz w:val="22"/>
                <w:szCs w:val="22"/>
                <w:lang w:eastAsia="en-GB"/>
              </w:rPr>
            </w:pPr>
            <w:r w:rsidRPr="00BD4334">
              <w:rPr>
                <w:b/>
                <w:bCs/>
                <w:color w:val="000000"/>
                <w:kern w:val="0"/>
                <w:sz w:val="22"/>
                <w:szCs w:val="22"/>
                <w:lang w:eastAsia="en-GB"/>
              </w:rPr>
              <w:t>2006</w:t>
            </w:r>
            <w:r>
              <w:rPr>
                <w:b/>
                <w:bCs/>
                <w:color w:val="000000"/>
                <w:kern w:val="0"/>
                <w:sz w:val="22"/>
                <w:szCs w:val="22"/>
                <w:lang w:eastAsia="en-GB"/>
              </w:rPr>
              <w:t xml:space="preserve"> Definitions</w:t>
            </w:r>
            <w:r w:rsidRPr="00BD4334">
              <w:rPr>
                <w:b/>
                <w:bCs/>
                <w:color w:val="000000"/>
                <w:kern w:val="0"/>
                <w:sz w:val="22"/>
                <w:szCs w:val="22"/>
                <w:lang w:eastAsia="en-GB"/>
              </w:rPr>
              <w:t xml:space="preserve"> FRO name</w:t>
            </w:r>
          </w:p>
        </w:tc>
      </w:tr>
      <w:tr w:rsidR="009B5985" w:rsidRPr="00227E22" w14:paraId="1247913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0EBCD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AUD-LIBOR-BBA</w:t>
            </w:r>
          </w:p>
        </w:tc>
      </w:tr>
      <w:tr w:rsidR="009B5985" w:rsidRPr="00227E22" w14:paraId="1855942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E9AC1D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AUD-LIBOR-BBA-Bloomberg</w:t>
            </w:r>
          </w:p>
        </w:tc>
      </w:tr>
      <w:tr w:rsidR="009B5985" w:rsidRPr="00227E22" w14:paraId="5236590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6209BA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AUD-LIBOR-Reference Banks</w:t>
            </w:r>
          </w:p>
        </w:tc>
      </w:tr>
      <w:tr w:rsidR="009B5985" w:rsidRPr="00227E22" w14:paraId="5856177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032AC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AUD-Quarterly Swap Rate-ICAP-Reference Banks</w:t>
            </w:r>
          </w:p>
        </w:tc>
      </w:tr>
      <w:tr w:rsidR="009B5985" w:rsidRPr="00227E22" w14:paraId="17E9EC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9CFEC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AUD-Semi-Annual Swap Rate-11:00-BGCANTOR</w:t>
            </w:r>
          </w:p>
        </w:tc>
      </w:tr>
      <w:tr w:rsidR="009B5985" w:rsidRPr="00227E22" w14:paraId="349F698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34620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AUD-Semi-Annual Swap Rate-BGCANTOR-Reference Banks</w:t>
            </w:r>
          </w:p>
        </w:tc>
      </w:tr>
      <w:tr w:rsidR="009B5985" w:rsidRPr="00227E22" w14:paraId="4611AF7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2A0253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AUD-Semi-Annual Swap Rate-ICAP-Reference Banks</w:t>
            </w:r>
          </w:p>
        </w:tc>
      </w:tr>
      <w:tr w:rsidR="009B5985" w:rsidRPr="00227E22" w14:paraId="018F610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86750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AUD-Swap Rate-Reuters</w:t>
            </w:r>
          </w:p>
        </w:tc>
      </w:tr>
      <w:tr w:rsidR="009B5985" w:rsidRPr="00227E22" w14:paraId="5F1026E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8B24A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CAD-BA-Reference Banks</w:t>
            </w:r>
          </w:p>
        </w:tc>
      </w:tr>
      <w:tr w:rsidR="009B5985" w:rsidRPr="00227E22" w14:paraId="497C6AA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9B100E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CAD-ISDA-Swap Rate</w:t>
            </w:r>
          </w:p>
        </w:tc>
      </w:tr>
      <w:tr w:rsidR="009B5985" w:rsidRPr="00227E22" w14:paraId="4A75D29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153E0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CAD-LIBOR-BBA</w:t>
            </w:r>
          </w:p>
        </w:tc>
      </w:tr>
      <w:tr w:rsidR="009B5985" w:rsidRPr="00227E22" w14:paraId="6258633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1CAA3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CAD-LIBOR-BBA-Bloomberg</w:t>
            </w:r>
          </w:p>
        </w:tc>
      </w:tr>
      <w:tr w:rsidR="009B5985" w:rsidRPr="00227E22" w14:paraId="676A83F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E38B7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CAD-LIBOR-BBA-</w:t>
            </w:r>
            <w:proofErr w:type="spellStart"/>
            <w:r w:rsidRPr="00227E22">
              <w:rPr>
                <w:color w:val="000000"/>
                <w:kern w:val="0"/>
                <w:sz w:val="22"/>
                <w:szCs w:val="22"/>
                <w:lang w:eastAsia="en-GB"/>
              </w:rPr>
              <w:t>SwapMarker</w:t>
            </w:r>
            <w:proofErr w:type="spellEnd"/>
          </w:p>
        </w:tc>
      </w:tr>
      <w:tr w:rsidR="009B5985" w:rsidRPr="00227E22" w14:paraId="57C0D42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C55A6E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CAD-LIBOR-Reference Banks</w:t>
            </w:r>
          </w:p>
        </w:tc>
      </w:tr>
      <w:tr w:rsidR="009B5985" w:rsidRPr="00227E22" w14:paraId="089EC39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B98DA8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CAD-REPO-CORRA</w:t>
            </w:r>
          </w:p>
        </w:tc>
      </w:tr>
      <w:tr w:rsidR="009B5985" w:rsidRPr="00227E22" w14:paraId="21513F9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DC271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CAD-TBILL-Reference Banks</w:t>
            </w:r>
          </w:p>
        </w:tc>
      </w:tr>
      <w:tr w:rsidR="009B5985" w:rsidRPr="00227E22" w14:paraId="5768566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01C97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CAD-TBILL-Reuters</w:t>
            </w:r>
          </w:p>
        </w:tc>
      </w:tr>
      <w:tr w:rsidR="009B5985" w:rsidRPr="00227E22" w14:paraId="3E1CA82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8C7A3B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 USD-Basis Swaps-11:00-ICAP</w:t>
            </w:r>
          </w:p>
        </w:tc>
      </w:tr>
      <w:tr w:rsidR="009B5985" w:rsidRPr="00227E22" w14:paraId="2C565F7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C6B7D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SWAP-CME vs LCH-ICAP</w:t>
            </w:r>
          </w:p>
        </w:tc>
      </w:tr>
      <w:tr w:rsidR="009B5985" w:rsidRPr="00227E22" w14:paraId="022A4CE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89868A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SWAP-CME vs LCH-ICAP-Bloomberg</w:t>
            </w:r>
          </w:p>
        </w:tc>
      </w:tr>
      <w:tr w:rsidR="009B5985" w:rsidRPr="00227E22" w14:paraId="3C721A2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D524E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SWAP-EUREX vs LCH-ICAP</w:t>
            </w:r>
          </w:p>
        </w:tc>
      </w:tr>
      <w:tr w:rsidR="009B5985" w:rsidRPr="00227E22" w14:paraId="53FBBF6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62652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CHF-3M LIBOR SWAP-EUREX vs LCH-ICAP-Bloomberg</w:t>
            </w:r>
          </w:p>
        </w:tc>
      </w:tr>
      <w:tr w:rsidR="009B5985" w:rsidRPr="00227E22" w14:paraId="3DF54B9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EBCE3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 SWAP-CME vs LCH-ICAP</w:t>
            </w:r>
          </w:p>
        </w:tc>
      </w:tr>
      <w:tr w:rsidR="009B5985" w:rsidRPr="00227E22" w14:paraId="3CE1560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66099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 SWAP-EUREX vs LCH-ICAP</w:t>
            </w:r>
          </w:p>
        </w:tc>
      </w:tr>
      <w:tr w:rsidR="009B5985" w:rsidRPr="00227E22" w14:paraId="0B44AF8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AE507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 SWAP-EUREX vs LCH-ICAP-Bloomberg</w:t>
            </w:r>
          </w:p>
        </w:tc>
      </w:tr>
      <w:tr w:rsidR="009B5985" w:rsidRPr="00227E22" w14:paraId="17C948B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0EB8B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CHF-6M LIBORSWAP-CME vs LCH-ICAP-Bloomberg</w:t>
            </w:r>
          </w:p>
        </w:tc>
      </w:tr>
      <w:tr w:rsidR="009B5985" w:rsidRPr="00227E22" w14:paraId="506D635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F790A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CHF-Annual Swap Rate</w:t>
            </w:r>
          </w:p>
        </w:tc>
      </w:tr>
      <w:tr w:rsidR="009B5985" w:rsidRPr="00227E22" w14:paraId="1DFBC40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F886E6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CHF-Annual Swap Rate-11:00-ICAP</w:t>
            </w:r>
          </w:p>
        </w:tc>
      </w:tr>
      <w:tr w:rsidR="009B5985" w:rsidRPr="00227E22" w14:paraId="5D01F1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E9CCB7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CHF-Annual Swap Rate-Reference Banks</w:t>
            </w:r>
          </w:p>
        </w:tc>
      </w:tr>
      <w:tr w:rsidR="009B5985" w:rsidRPr="00227E22" w14:paraId="7362B98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A0BA8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CHF-Basis Swap-3m vs 6m-LIBOR-11:00-ICAP</w:t>
            </w:r>
          </w:p>
        </w:tc>
      </w:tr>
      <w:tr w:rsidR="009B5985" w:rsidRPr="00227E22" w14:paraId="034D7A2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D74FF9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CHF-ISDAFIX-Swap Rate</w:t>
            </w:r>
          </w:p>
        </w:tc>
      </w:tr>
      <w:tr w:rsidR="009B5985" w:rsidRPr="00227E22" w14:paraId="1F1F062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E54F8D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CHF-LIBOR-Reference Banks</w:t>
            </w:r>
          </w:p>
        </w:tc>
      </w:tr>
      <w:tr w:rsidR="009B5985" w:rsidRPr="00227E22" w14:paraId="7D636B5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3B2E9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CHF-OIS-11:00-ICAP</w:t>
            </w:r>
          </w:p>
        </w:tc>
      </w:tr>
      <w:tr w:rsidR="009B5985" w:rsidRPr="00227E22" w14:paraId="4106362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A1A4B9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CHF-TOIS-OIS-COMPOUND</w:t>
            </w:r>
          </w:p>
        </w:tc>
      </w:tr>
      <w:tr w:rsidR="009B5985" w:rsidRPr="00227E22" w14:paraId="2F1FCEB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658D4C8" w14:textId="77777777" w:rsidR="009B5985" w:rsidRPr="00227E22" w:rsidRDefault="009B5985" w:rsidP="00227E22">
            <w:pPr>
              <w:spacing w:after="0" w:line="240" w:lineRule="auto"/>
              <w:rPr>
                <w:kern w:val="0"/>
                <w:sz w:val="22"/>
                <w:szCs w:val="22"/>
                <w:lang w:eastAsia="en-GB"/>
              </w:rPr>
            </w:pPr>
            <w:r w:rsidRPr="00227E22">
              <w:rPr>
                <w:kern w:val="0"/>
                <w:sz w:val="22"/>
                <w:szCs w:val="22"/>
                <w:lang w:eastAsia="en-GB"/>
              </w:rPr>
              <w:t>CNH-HIBOR-Reference Banks</w:t>
            </w:r>
          </w:p>
        </w:tc>
      </w:tr>
      <w:tr w:rsidR="009B5985" w:rsidRPr="00227E22" w14:paraId="3F129D2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24982F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 7-Repo Compounding Date</w:t>
            </w:r>
          </w:p>
        </w:tc>
      </w:tr>
      <w:tr w:rsidR="009B5985" w:rsidRPr="00227E22" w14:paraId="441BB7A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236A0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CNY-Quarterly 7 day Repo Non Deliverable Swap Rate-TRADITION-Reference Banks</w:t>
            </w:r>
          </w:p>
        </w:tc>
      </w:tr>
      <w:tr w:rsidR="009B5985" w:rsidRPr="00227E22" w14:paraId="4951082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660C77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CNY-Semi-Annual Swap Rate-11:00-BGCANTOR</w:t>
            </w:r>
          </w:p>
        </w:tc>
      </w:tr>
      <w:tr w:rsidR="009B5985" w:rsidRPr="00227E22" w14:paraId="4897BF8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4B2444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CNY-Semi-Annual Swap Rate-Reference Banks</w:t>
            </w:r>
          </w:p>
        </w:tc>
      </w:tr>
      <w:tr w:rsidR="009B5985" w:rsidRPr="00227E22" w14:paraId="462F03E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9B65A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CZK-Annual Swap Rate-11:00-BGCANTOR</w:t>
            </w:r>
          </w:p>
        </w:tc>
      </w:tr>
      <w:tr w:rsidR="009B5985" w:rsidRPr="00227E22" w14:paraId="25F3B03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B50D3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CZK-Annual Swap Rate-Reference Banks</w:t>
            </w:r>
          </w:p>
        </w:tc>
      </w:tr>
      <w:tr w:rsidR="009B5985" w:rsidRPr="00227E22" w14:paraId="2F32F18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0BCE6C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CZK-PRIBOR-Reference Banks</w:t>
            </w:r>
          </w:p>
        </w:tc>
      </w:tr>
      <w:tr w:rsidR="009B5985" w:rsidRPr="00227E22" w14:paraId="69478C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684C6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DKK-CIBOR-Reference Banks</w:t>
            </w:r>
          </w:p>
        </w:tc>
      </w:tr>
      <w:tr w:rsidR="009B5985" w:rsidRPr="00227E22" w14:paraId="5EEF972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D57DA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Basis Swap-EONIA vs 3m EUR+IBOR Swap Rates-A/360-10:00-ICAP</w:t>
            </w:r>
          </w:p>
        </w:tc>
      </w:tr>
      <w:tr w:rsidR="009B5985" w:rsidRPr="00227E22" w14:paraId="5E8DACA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85C6D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EURIBOR-Annual Bond Swap vs 1m-11:00-ICAP</w:t>
            </w:r>
          </w:p>
        </w:tc>
      </w:tr>
      <w:tr w:rsidR="009B5985" w:rsidRPr="00227E22" w14:paraId="0244B07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C24E45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EURIBOR-Basis Swap-1m vs 3m-Euribor-11:00-ICAP</w:t>
            </w:r>
          </w:p>
        </w:tc>
      </w:tr>
      <w:tr w:rsidR="009B5985" w:rsidRPr="00227E22" w14:paraId="041B92D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032D4A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EURIBOR-Basis Swap-3m vs 6m-11:00-ICAP</w:t>
            </w:r>
          </w:p>
        </w:tc>
      </w:tr>
      <w:tr w:rsidR="009B5985" w:rsidRPr="00227E22" w14:paraId="33677D0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0DCE03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 USD-Basis Swaps-11:00-ICAP</w:t>
            </w:r>
          </w:p>
        </w:tc>
      </w:tr>
      <w:tr w:rsidR="009B5985" w:rsidRPr="00227E22" w14:paraId="04B23F9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43425B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SWAP-CME vs LCH-ICAP</w:t>
            </w:r>
          </w:p>
        </w:tc>
      </w:tr>
      <w:tr w:rsidR="009B5985" w:rsidRPr="00227E22" w14:paraId="52DE84A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3F27D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SWAP-CME vs LCH-ICAP-Bloomberg</w:t>
            </w:r>
          </w:p>
        </w:tc>
      </w:tr>
      <w:tr w:rsidR="009B5985" w:rsidRPr="00227E22" w14:paraId="2BA08C5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D93632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SWAP-EUREX vs LCH-ICAP</w:t>
            </w:r>
          </w:p>
        </w:tc>
      </w:tr>
      <w:tr w:rsidR="009B5985" w:rsidRPr="00227E22" w14:paraId="7D41BBE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935EF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EUR-3M EURIBOR SWAP-EUREX vs LCH-ICAP-Bloomberg</w:t>
            </w:r>
          </w:p>
        </w:tc>
      </w:tr>
      <w:tr w:rsidR="009B5985" w:rsidRPr="00227E22" w14:paraId="0578F6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DD2BF3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SWAP-CME vs LCH-ICAP</w:t>
            </w:r>
          </w:p>
        </w:tc>
      </w:tr>
      <w:tr w:rsidR="009B5985" w:rsidRPr="00227E22" w14:paraId="32C70AE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C84CD0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SWAP-CME vs LCH-ICAP-Bloomberg</w:t>
            </w:r>
          </w:p>
        </w:tc>
      </w:tr>
      <w:tr w:rsidR="009B5985" w:rsidRPr="00227E22" w14:paraId="22DFB97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8F9C8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SWAP-EUREX vs LCH-ICAP</w:t>
            </w:r>
          </w:p>
        </w:tc>
      </w:tr>
      <w:tr w:rsidR="009B5985" w:rsidRPr="00227E22" w14:paraId="5FDD22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DB7F2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EUR-6M EURIBOR SWAP-EUREX vs LCH-ICAP-Bloomberg</w:t>
            </w:r>
          </w:p>
        </w:tc>
      </w:tr>
      <w:tr w:rsidR="009B5985" w:rsidRPr="00227E22" w14:paraId="479B520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18843A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w:t>
            </w:r>
          </w:p>
        </w:tc>
      </w:tr>
      <w:tr w:rsidR="009B5985" w:rsidRPr="00227E22" w14:paraId="7A8F853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CA5ADB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Rate-10:00-BGCANTOR</w:t>
            </w:r>
          </w:p>
        </w:tc>
      </w:tr>
      <w:tr w:rsidR="009B5985" w:rsidRPr="00227E22" w14:paraId="0D2C508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F7C1A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Rate-10:00-Bloomberg</w:t>
            </w:r>
          </w:p>
        </w:tc>
      </w:tr>
      <w:tr w:rsidR="009B5985" w:rsidRPr="00227E22" w14:paraId="256D1E8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1A669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Rate-10:00-ICAP</w:t>
            </w:r>
          </w:p>
        </w:tc>
      </w:tr>
      <w:tr w:rsidR="009B5985" w:rsidRPr="00227E22" w14:paraId="3DE1976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63825B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Rate-10:00-SwapMarker</w:t>
            </w:r>
          </w:p>
        </w:tc>
      </w:tr>
      <w:tr w:rsidR="009B5985" w:rsidRPr="00227E22" w14:paraId="2780A36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279612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Rate-10:00-TRADITION</w:t>
            </w:r>
          </w:p>
        </w:tc>
      </w:tr>
      <w:tr w:rsidR="009B5985" w:rsidRPr="00227E22" w14:paraId="21BB6DB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D09B0E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w:t>
            </w:r>
          </w:p>
        </w:tc>
      </w:tr>
      <w:tr w:rsidR="009B5985" w:rsidRPr="00227E22" w14:paraId="6373C86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6DA07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Rate-11:00-Bloomberg</w:t>
            </w:r>
          </w:p>
        </w:tc>
      </w:tr>
      <w:tr w:rsidR="009B5985" w:rsidRPr="00227E22" w14:paraId="7DB0B0C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DB52E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Rate-11:00-ICAP</w:t>
            </w:r>
          </w:p>
        </w:tc>
      </w:tr>
      <w:tr w:rsidR="009B5985" w:rsidRPr="00227E22" w14:paraId="6940DA1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E7B655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Rate-11:00-SwapMarker</w:t>
            </w:r>
          </w:p>
        </w:tc>
      </w:tr>
      <w:tr w:rsidR="009B5985" w:rsidRPr="00227E22" w14:paraId="1C7B848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7FAE88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Rate-3 Month</w:t>
            </w:r>
          </w:p>
        </w:tc>
      </w:tr>
      <w:tr w:rsidR="009B5985" w:rsidRPr="00227E22" w14:paraId="45B34F3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998FD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Rate-3 Month-</w:t>
            </w:r>
            <w:proofErr w:type="spellStart"/>
            <w:r w:rsidRPr="00227E22">
              <w:rPr>
                <w:color w:val="000000"/>
                <w:kern w:val="0"/>
                <w:sz w:val="22"/>
                <w:szCs w:val="22"/>
                <w:lang w:eastAsia="en-GB"/>
              </w:rPr>
              <w:t>SwapMarker</w:t>
            </w:r>
            <w:proofErr w:type="spellEnd"/>
          </w:p>
        </w:tc>
      </w:tr>
      <w:tr w:rsidR="009B5985" w:rsidRPr="00227E22" w14:paraId="39DFBAA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F32E4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Rate-4:15-TRADITION</w:t>
            </w:r>
          </w:p>
        </w:tc>
      </w:tr>
      <w:tr w:rsidR="009B5985" w:rsidRPr="00227E22" w14:paraId="43E4C24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08FEC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EUR-Annual Swap Rate-Reference Banks</w:t>
            </w:r>
          </w:p>
        </w:tc>
      </w:tr>
      <w:tr w:rsidR="009B5985" w:rsidRPr="00227E22" w14:paraId="666AB0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FD83B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EUR-EONIA-OIS-10:00-BGCANTOR</w:t>
            </w:r>
          </w:p>
        </w:tc>
      </w:tr>
      <w:tr w:rsidR="009B5985" w:rsidRPr="00227E22" w14:paraId="7F7ADDB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F6F81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EUR-EONIA-OIS-10:00-ICAP</w:t>
            </w:r>
          </w:p>
        </w:tc>
      </w:tr>
      <w:tr w:rsidR="009B5985" w:rsidRPr="00227E22" w14:paraId="2BAB47C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798A81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EUR-EONIA-OIS-10:00-TRADITION</w:t>
            </w:r>
          </w:p>
        </w:tc>
      </w:tr>
      <w:tr w:rsidR="009B5985" w:rsidRPr="00227E22" w14:paraId="740F0CB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4EE9F1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EUR-EONIA-OIS-11:00-ICAP</w:t>
            </w:r>
          </w:p>
        </w:tc>
      </w:tr>
      <w:tr w:rsidR="009B5985" w:rsidRPr="00227E22" w14:paraId="65AE4F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66A03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EUR-EONIA-OIS-4:15-TRADITION</w:t>
            </w:r>
          </w:p>
        </w:tc>
      </w:tr>
      <w:tr w:rsidR="009B5985" w:rsidRPr="00227E22" w14:paraId="782C2FF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330ED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EUR-EONIA-Swap-Index</w:t>
            </w:r>
          </w:p>
        </w:tc>
      </w:tr>
      <w:tr w:rsidR="009B5985" w:rsidRPr="00227E22" w14:paraId="0565EC1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2395AE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EUR-EURIBOR-Act/365</w:t>
            </w:r>
          </w:p>
        </w:tc>
      </w:tr>
      <w:tr w:rsidR="009B5985" w:rsidRPr="00227E22" w14:paraId="1A9D42E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21F62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EUR-EURIBOR-Act/365-Bloomberg</w:t>
            </w:r>
          </w:p>
        </w:tc>
      </w:tr>
      <w:tr w:rsidR="009B5985" w:rsidRPr="00227E22" w14:paraId="1FB74CE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E1D67F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EUR-EURIBOR-Reference Banks</w:t>
            </w:r>
          </w:p>
        </w:tc>
      </w:tr>
      <w:tr w:rsidR="009B5985" w:rsidRPr="00227E22" w14:paraId="05B68C2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0E7EA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EUR-ISDA-LIBOR Swap Rate-10:00</w:t>
            </w:r>
          </w:p>
        </w:tc>
      </w:tr>
      <w:tr w:rsidR="009B5985" w:rsidRPr="00227E22" w14:paraId="20C9AB1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72C3FB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EUR-ISDA-LIBOR Swap Rate-11:00</w:t>
            </w:r>
          </w:p>
        </w:tc>
      </w:tr>
      <w:tr w:rsidR="009B5985" w:rsidRPr="00227E22" w14:paraId="17D7D30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B5B2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EUR-LIBOR-Reference Banks</w:t>
            </w:r>
          </w:p>
        </w:tc>
      </w:tr>
      <w:tr w:rsidR="009B5985" w:rsidRPr="00227E22" w14:paraId="4D004C5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DC6D4AF" w14:textId="77777777" w:rsidR="009B5985" w:rsidRPr="00227E22" w:rsidRDefault="009B5985" w:rsidP="00227E22">
            <w:pPr>
              <w:spacing w:after="0" w:line="240" w:lineRule="auto"/>
              <w:rPr>
                <w:kern w:val="0"/>
                <w:sz w:val="22"/>
                <w:szCs w:val="22"/>
                <w:lang w:eastAsia="en-GB"/>
              </w:rPr>
            </w:pPr>
            <w:r w:rsidRPr="00227E22">
              <w:rPr>
                <w:kern w:val="0"/>
                <w:sz w:val="22"/>
                <w:szCs w:val="22"/>
                <w:lang w:eastAsia="en-GB"/>
              </w:rPr>
              <w:t>EUR-TEC10-Reference Banks</w:t>
            </w:r>
          </w:p>
        </w:tc>
      </w:tr>
      <w:tr w:rsidR="009B5985" w:rsidRPr="00227E22" w14:paraId="44DF945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7D4AB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EUR-TEC5-CNO</w:t>
            </w:r>
          </w:p>
        </w:tc>
      </w:tr>
      <w:tr w:rsidR="009B5985" w:rsidRPr="00227E22" w14:paraId="2666AB6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4B3A1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EUR-TEC5-CNO-SwapMarker</w:t>
            </w:r>
          </w:p>
        </w:tc>
      </w:tr>
      <w:tr w:rsidR="009B5985" w:rsidRPr="00227E22" w14:paraId="1936FD3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BCAADC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EUR-TEC5-Reference Banks</w:t>
            </w:r>
          </w:p>
        </w:tc>
      </w:tr>
      <w:tr w:rsidR="009B5985" w:rsidRPr="00227E22" w14:paraId="3DDD7B5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D9D910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 USD-Basis Swaps-11:00-ICAP</w:t>
            </w:r>
          </w:p>
        </w:tc>
      </w:tr>
      <w:tr w:rsidR="009B5985" w:rsidRPr="00227E22" w14:paraId="714D5A9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D245E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SWAP-CME vs LCH-ICAP</w:t>
            </w:r>
          </w:p>
        </w:tc>
      </w:tr>
      <w:tr w:rsidR="009B5985" w:rsidRPr="00227E22" w14:paraId="3E6881A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F995D5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SWAP-CME vs LCH-ICAP-Bloomberg</w:t>
            </w:r>
          </w:p>
        </w:tc>
      </w:tr>
      <w:tr w:rsidR="009B5985" w:rsidRPr="00227E22" w14:paraId="35C57FD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A437ED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SWAP-EUREX vs LCH-ICAP</w:t>
            </w:r>
          </w:p>
        </w:tc>
      </w:tr>
      <w:tr w:rsidR="009B5985" w:rsidRPr="00227E22" w14:paraId="1747290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C6CA4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GBP-6M LIBOR SWAP-EUREX vs LCH-ICAP-Bloomberg</w:t>
            </w:r>
          </w:p>
        </w:tc>
      </w:tr>
      <w:tr w:rsidR="009B5985" w:rsidRPr="00227E22" w14:paraId="1DA3E1C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FE985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GBP-LIBOR-Reference Banks</w:t>
            </w:r>
          </w:p>
        </w:tc>
      </w:tr>
      <w:tr w:rsidR="009B5985" w:rsidRPr="00227E22" w14:paraId="77CE03D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3199F1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 Annual Swap Rate-11:00-TRADITION</w:t>
            </w:r>
          </w:p>
        </w:tc>
      </w:tr>
      <w:tr w:rsidR="009B5985" w:rsidRPr="00227E22" w14:paraId="7A18B7E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766B5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 Annual Swap Rate-4:15-TRADITION</w:t>
            </w:r>
          </w:p>
        </w:tc>
      </w:tr>
      <w:tr w:rsidR="009B5985" w:rsidRPr="00227E22" w14:paraId="00DCDB6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15315D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w:t>
            </w:r>
          </w:p>
        </w:tc>
      </w:tr>
      <w:tr w:rsidR="009B5985" w:rsidRPr="00227E22" w14:paraId="6D3C954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3D95D8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Rate-11:00-ICAP</w:t>
            </w:r>
          </w:p>
        </w:tc>
      </w:tr>
      <w:tr w:rsidR="009B5985" w:rsidRPr="00227E22" w14:paraId="13A9106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3814E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Rate-Reference Banks</w:t>
            </w:r>
          </w:p>
        </w:tc>
      </w:tr>
      <w:tr w:rsidR="009B5985" w:rsidRPr="00227E22" w14:paraId="7350C07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E7A1C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GBP-Semi-Annual Swap Rate-SwapMarker26</w:t>
            </w:r>
          </w:p>
        </w:tc>
      </w:tr>
      <w:tr w:rsidR="009B5985" w:rsidRPr="00227E22" w14:paraId="17D0487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F51B6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GBP-SONIA-OIS-11:00-ICAP</w:t>
            </w:r>
          </w:p>
        </w:tc>
      </w:tr>
      <w:tr w:rsidR="009B5985" w:rsidRPr="00227E22" w14:paraId="3122450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C79531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GBP-SONIA-OIS-11:00-TRADITION</w:t>
            </w:r>
          </w:p>
        </w:tc>
      </w:tr>
      <w:tr w:rsidR="009B5985" w:rsidRPr="00227E22" w14:paraId="1482D2D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BFFE8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GBP-SONIA-OIS-4:15-TRADITION</w:t>
            </w:r>
          </w:p>
        </w:tc>
      </w:tr>
      <w:tr w:rsidR="009B5985" w:rsidRPr="00227E22" w14:paraId="52C74A9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9DEE8A1"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GBP-WMBA-SONIA-COMPOUND (Supp 55)</w:t>
            </w:r>
          </w:p>
        </w:tc>
      </w:tr>
      <w:tr w:rsidR="009B5985" w:rsidRPr="00227E22" w14:paraId="5222E39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285AB8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HKD-HIBOR-HIBOR=</w:t>
            </w:r>
          </w:p>
        </w:tc>
      </w:tr>
      <w:tr w:rsidR="009B5985" w:rsidRPr="00227E22" w14:paraId="1A1C6F5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82B06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HKD-HIBOR-HIBOR-Bloomberg</w:t>
            </w:r>
          </w:p>
        </w:tc>
      </w:tr>
      <w:tr w:rsidR="009B5985" w:rsidRPr="00227E22" w14:paraId="0C4F677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FE9584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HKD-HIBOR-Reference Banks</w:t>
            </w:r>
          </w:p>
        </w:tc>
      </w:tr>
      <w:tr w:rsidR="009B5985" w:rsidRPr="00227E22" w14:paraId="3BE8FEA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D412C2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HKD-ISDA-Swap Rate-11:00</w:t>
            </w:r>
          </w:p>
        </w:tc>
      </w:tr>
      <w:tr w:rsidR="009B5985" w:rsidRPr="00227E22" w14:paraId="74474C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7E4ED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HKD-ISDA-Swap Rate-4:00</w:t>
            </w:r>
          </w:p>
        </w:tc>
      </w:tr>
      <w:tr w:rsidR="009B5985" w:rsidRPr="00227E22" w14:paraId="2FB76ED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40193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Rate-11:00-BGCANTOR</w:t>
            </w:r>
          </w:p>
        </w:tc>
      </w:tr>
      <w:tr w:rsidR="009B5985" w:rsidRPr="00227E22" w14:paraId="06D99A5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23F1B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Rate-11:00-TRADITION</w:t>
            </w:r>
          </w:p>
        </w:tc>
      </w:tr>
      <w:tr w:rsidR="009B5985" w:rsidRPr="00227E22" w14:paraId="1D6568D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03671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Rate-4:00-BGCANTOR</w:t>
            </w:r>
          </w:p>
        </w:tc>
      </w:tr>
      <w:tr w:rsidR="009B5985" w:rsidRPr="00227E22" w14:paraId="43C359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73810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HKD-Quarterly-Annual Swap Rate-Reference Banks</w:t>
            </w:r>
          </w:p>
        </w:tc>
      </w:tr>
      <w:tr w:rsidR="009B5985" w:rsidRPr="00227E22" w14:paraId="5CFE381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853ACA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HKD-Quarterly-Quarterly Swap Rate-11:00-ICAP</w:t>
            </w:r>
          </w:p>
        </w:tc>
      </w:tr>
      <w:tr w:rsidR="009B5985" w:rsidRPr="00227E22" w14:paraId="1775ED7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BAF99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HKD-Quarterly-Quarterly Swap Rate-4:00-ICAP</w:t>
            </w:r>
          </w:p>
        </w:tc>
      </w:tr>
      <w:tr w:rsidR="009B5985" w:rsidRPr="00227E22" w14:paraId="0118A0A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224A7B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HKD-Quarterly-Quarterly Swap Rate-Reference Banks</w:t>
            </w:r>
          </w:p>
        </w:tc>
      </w:tr>
      <w:tr w:rsidR="009B5985" w:rsidRPr="00227E22" w14:paraId="5A9468A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D7615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HUF-BUBOR-Reference Banks</w:t>
            </w:r>
          </w:p>
        </w:tc>
      </w:tr>
      <w:tr w:rsidR="009B5985" w:rsidRPr="00227E22" w14:paraId="6902142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A809BA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IDR-IDMA-Bloomberg</w:t>
            </w:r>
          </w:p>
        </w:tc>
      </w:tr>
      <w:tr w:rsidR="009B5985" w:rsidRPr="00227E22" w14:paraId="1B56FD0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FCBB81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IDR-IDRFIX</w:t>
            </w:r>
          </w:p>
        </w:tc>
      </w:tr>
      <w:tr w:rsidR="009B5985" w:rsidRPr="00227E22" w14:paraId="5622926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36CE9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IDR-SBI-Reuters</w:t>
            </w:r>
          </w:p>
        </w:tc>
      </w:tr>
      <w:tr w:rsidR="009B5985" w:rsidRPr="00227E22" w14:paraId="21A316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757EB2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IDR-Semi Annual Swap Rate–Non-deliverable–16:00–Tullett Prebon</w:t>
            </w:r>
          </w:p>
        </w:tc>
      </w:tr>
      <w:tr w:rsidR="009B5985" w:rsidRPr="00227E22" w14:paraId="64E8447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89276E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IDR-Semi-Annual Swap Rate-11:00-BGCANTOR</w:t>
            </w:r>
          </w:p>
        </w:tc>
      </w:tr>
      <w:tr w:rsidR="009B5985" w:rsidRPr="00227E22" w14:paraId="7FFDC30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D9742D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IDR-Semi-Annual Swap Rate-Reference Banks</w:t>
            </w:r>
          </w:p>
        </w:tc>
      </w:tr>
      <w:tr w:rsidR="009B5985" w:rsidRPr="00227E22" w14:paraId="4A04CC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2F83D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IDR-SOR-Reference Banks</w:t>
            </w:r>
          </w:p>
        </w:tc>
      </w:tr>
      <w:tr w:rsidR="009B5985" w:rsidRPr="00227E22" w14:paraId="68165FF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2C4CA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IDR-SOR-Reuters (Supp 34)</w:t>
            </w:r>
          </w:p>
        </w:tc>
      </w:tr>
      <w:tr w:rsidR="009B5985" w:rsidRPr="00227E22" w14:paraId="1092412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D6BF32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ILS-TELBOR-Reference Banks</w:t>
            </w:r>
          </w:p>
        </w:tc>
      </w:tr>
      <w:tr w:rsidR="009B5985" w:rsidRPr="00227E22" w14:paraId="0DE96A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5D9C67D"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INR-BMK (Supp 54)</w:t>
            </w:r>
          </w:p>
        </w:tc>
      </w:tr>
      <w:tr w:rsidR="009B5985" w:rsidRPr="00227E22" w14:paraId="1808625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EAD8533"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INR-CMT (Supp 54)</w:t>
            </w:r>
          </w:p>
        </w:tc>
      </w:tr>
      <w:tr w:rsidR="009B5985" w:rsidRPr="00227E22" w14:paraId="6F86A1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B0C606"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INR-INBMK-REUTERS (Supp 54)</w:t>
            </w:r>
          </w:p>
        </w:tc>
      </w:tr>
      <w:tr w:rsidR="009B5985" w:rsidRPr="00227E22" w14:paraId="4169049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ADCCE7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INR-MIBOR-OIS-COMPOUND</w:t>
            </w:r>
          </w:p>
        </w:tc>
      </w:tr>
      <w:tr w:rsidR="009B5985" w:rsidRPr="00227E22" w14:paraId="25CF68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E16E44"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INR-MITOR-OIS-COMPOUND (Supp 54)</w:t>
            </w:r>
          </w:p>
        </w:tc>
      </w:tr>
      <w:tr w:rsidR="009B5985" w:rsidRPr="00227E22" w14:paraId="3020B22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0D6F98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INR-Reference Banks</w:t>
            </w:r>
          </w:p>
        </w:tc>
      </w:tr>
      <w:tr w:rsidR="009B5985" w:rsidRPr="00227E22" w14:paraId="7D6F810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15F6EE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INR-Semi Annual Swap Rate-Non-deliverable-16:00-Tullett Prebon</w:t>
            </w:r>
          </w:p>
        </w:tc>
      </w:tr>
      <w:tr w:rsidR="009B5985" w:rsidRPr="00227E22" w14:paraId="1F1D617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B64A8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INR-Semi-Annual Swap Rate-11:30-BGCANTOR</w:t>
            </w:r>
          </w:p>
        </w:tc>
      </w:tr>
      <w:tr w:rsidR="009B5985" w:rsidRPr="00227E22" w14:paraId="2BFA215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30343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INR-Semi-Annual Swap Rate-Reference Banks</w:t>
            </w:r>
          </w:p>
        </w:tc>
      </w:tr>
      <w:tr w:rsidR="009B5985" w:rsidRPr="00227E22" w14:paraId="5AFA5D4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DD165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ISK-REIBOR-Reference Banks</w:t>
            </w:r>
          </w:p>
        </w:tc>
      </w:tr>
      <w:tr w:rsidR="009B5985" w:rsidRPr="00227E22" w14:paraId="6EBD97D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1D8BAF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 USD-Basis Swaps-11:00-ICAP</w:t>
            </w:r>
          </w:p>
        </w:tc>
      </w:tr>
      <w:tr w:rsidR="009B5985" w:rsidRPr="00227E22" w14:paraId="325B7F9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A7832C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JPY-Annual Swap Rate-11:00-TRADITION</w:t>
            </w:r>
          </w:p>
        </w:tc>
      </w:tr>
      <w:tr w:rsidR="009B5985" w:rsidRPr="00227E22" w14:paraId="6E47810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3BB46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JPY-Annual Swap Rate-3:00-TRADITION</w:t>
            </w:r>
          </w:p>
        </w:tc>
      </w:tr>
      <w:tr w:rsidR="009B5985" w:rsidRPr="00227E22" w14:paraId="740546E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2E92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JPY-BBSF-Bloomberg-10:00</w:t>
            </w:r>
          </w:p>
        </w:tc>
      </w:tr>
      <w:tr w:rsidR="009B5985" w:rsidRPr="00227E22" w14:paraId="4D3170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97DCFB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JPY-BBSF-Bloomberg-15:00</w:t>
            </w:r>
          </w:p>
        </w:tc>
      </w:tr>
      <w:tr w:rsidR="009B5985" w:rsidRPr="00227E22" w14:paraId="68B022A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CAA96A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JPY-ISDA-Swap Rate-10:00</w:t>
            </w:r>
          </w:p>
        </w:tc>
      </w:tr>
      <w:tr w:rsidR="009B5985" w:rsidRPr="00227E22" w14:paraId="557E583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2D6D6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JPY-ISDA-Swap Rate-15:00</w:t>
            </w:r>
          </w:p>
        </w:tc>
      </w:tr>
      <w:tr w:rsidR="009B5985" w:rsidRPr="00227E22" w14:paraId="5C2A449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0A752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JPY-LIBOR-Reference Banks</w:t>
            </w:r>
          </w:p>
        </w:tc>
      </w:tr>
      <w:tr w:rsidR="009B5985" w:rsidRPr="00227E22" w14:paraId="771103ED" w14:textId="77777777" w:rsidTr="009B5985">
        <w:trPr>
          <w:trHeight w:val="271"/>
          <w:jc w:val="center"/>
        </w:trPr>
        <w:tc>
          <w:tcPr>
            <w:tcW w:w="8784" w:type="dxa"/>
            <w:tcBorders>
              <w:top w:val="nil"/>
              <w:left w:val="single" w:sz="4" w:space="0" w:color="auto"/>
              <w:bottom w:val="single" w:sz="4" w:space="0" w:color="auto"/>
              <w:right w:val="single" w:sz="4" w:space="0" w:color="auto"/>
            </w:tcBorders>
            <w:shd w:val="clear" w:color="000000" w:fill="ED7D31"/>
            <w:vAlign w:val="center"/>
            <w:hideMark/>
          </w:tcPr>
          <w:p w14:paraId="5C95B7EF" w14:textId="62211E27" w:rsidR="009B5985" w:rsidRPr="00227E22" w:rsidRDefault="009B5985" w:rsidP="00227E22">
            <w:pPr>
              <w:spacing w:after="0" w:line="240" w:lineRule="auto"/>
              <w:rPr>
                <w:kern w:val="0"/>
                <w:sz w:val="22"/>
                <w:szCs w:val="22"/>
                <w:lang w:eastAsia="en-GB"/>
              </w:rPr>
            </w:pPr>
            <w:r w:rsidRPr="00227E22">
              <w:rPr>
                <w:kern w:val="0"/>
                <w:sz w:val="22"/>
                <w:szCs w:val="22"/>
                <w:lang w:eastAsia="en-GB"/>
              </w:rPr>
              <w:t>JPY-LTPR-TBC</w:t>
            </w:r>
            <w:r>
              <w:rPr>
                <w:rStyle w:val="FootnoteReference"/>
                <w:kern w:val="0"/>
                <w:sz w:val="22"/>
                <w:szCs w:val="22"/>
                <w:lang w:eastAsia="en-GB"/>
              </w:rPr>
              <w:footnoteReference w:id="1"/>
            </w:r>
          </w:p>
        </w:tc>
      </w:tr>
      <w:tr w:rsidR="009B5985" w:rsidRPr="00227E22" w14:paraId="0C8A88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2D0A3B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JPY-MUTANCALL-TONAR</w:t>
            </w:r>
          </w:p>
        </w:tc>
      </w:tr>
      <w:tr w:rsidR="009B5985" w:rsidRPr="00227E22" w14:paraId="35C937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B4ECD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JPY-OIS-11:00-ICAP</w:t>
            </w:r>
          </w:p>
        </w:tc>
      </w:tr>
      <w:tr w:rsidR="009B5985" w:rsidRPr="00227E22" w14:paraId="59D18DD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374B77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JPY-OIS-11:00-TRADITION</w:t>
            </w:r>
          </w:p>
        </w:tc>
      </w:tr>
      <w:tr w:rsidR="009B5985" w:rsidRPr="00227E22" w14:paraId="2440278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3B0CD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JPY-OIS-3:00-TRADITION</w:t>
            </w:r>
          </w:p>
        </w:tc>
      </w:tr>
      <w:tr w:rsidR="009B5985" w:rsidRPr="00227E22" w14:paraId="199F659B" w14:textId="77777777" w:rsidTr="009B5985">
        <w:trPr>
          <w:trHeight w:val="284"/>
          <w:jc w:val="center"/>
        </w:trPr>
        <w:tc>
          <w:tcPr>
            <w:tcW w:w="8784" w:type="dxa"/>
            <w:tcBorders>
              <w:top w:val="nil"/>
              <w:left w:val="single" w:sz="4" w:space="0" w:color="auto"/>
              <w:bottom w:val="single" w:sz="4" w:space="0" w:color="auto"/>
              <w:right w:val="single" w:sz="4" w:space="0" w:color="auto"/>
            </w:tcBorders>
            <w:shd w:val="clear" w:color="000000" w:fill="ED7D31"/>
            <w:vAlign w:val="center"/>
            <w:hideMark/>
          </w:tcPr>
          <w:p w14:paraId="4C390A3C" w14:textId="09F944B1" w:rsidR="009B5985" w:rsidRPr="00227E22" w:rsidRDefault="009B5985" w:rsidP="00227E22">
            <w:pPr>
              <w:spacing w:after="0" w:line="240" w:lineRule="auto"/>
              <w:rPr>
                <w:kern w:val="0"/>
                <w:sz w:val="22"/>
                <w:szCs w:val="22"/>
                <w:lang w:eastAsia="en-GB"/>
              </w:rPr>
            </w:pPr>
            <w:r w:rsidRPr="00227E22">
              <w:rPr>
                <w:kern w:val="0"/>
                <w:sz w:val="22"/>
                <w:szCs w:val="22"/>
                <w:lang w:eastAsia="en-GB"/>
              </w:rPr>
              <w:t>JPY-Quoting Banks-LIBOR</w:t>
            </w:r>
            <w:r>
              <w:rPr>
                <w:rStyle w:val="FootnoteReference"/>
                <w:kern w:val="0"/>
                <w:sz w:val="22"/>
                <w:szCs w:val="22"/>
                <w:lang w:eastAsia="en-GB"/>
              </w:rPr>
              <w:footnoteReference w:id="2"/>
            </w:r>
          </w:p>
        </w:tc>
      </w:tr>
      <w:tr w:rsidR="009B5985" w:rsidRPr="00227E22" w14:paraId="48DEF03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309B9D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JPY-TIBOR-17096</w:t>
            </w:r>
          </w:p>
        </w:tc>
      </w:tr>
      <w:tr w:rsidR="009B5985" w:rsidRPr="00227E22" w14:paraId="783EBE1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BB276E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JPY-TIBOR-TIBM</w:t>
            </w:r>
          </w:p>
        </w:tc>
      </w:tr>
      <w:tr w:rsidR="009B5985" w:rsidRPr="00227E22" w14:paraId="6A08156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A0F721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JPY-TIBOR-TIBM (10 Banks) (Supp 47)</w:t>
            </w:r>
          </w:p>
        </w:tc>
      </w:tr>
      <w:tr w:rsidR="009B5985" w:rsidRPr="00227E22" w14:paraId="4EAFF2C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32AC6D8"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JPY-TIBOR-TIBM (5 Banks) (Supp 47)</w:t>
            </w:r>
          </w:p>
        </w:tc>
      </w:tr>
      <w:tr w:rsidR="009B5985" w:rsidRPr="00227E22" w14:paraId="360FB8A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F02B3D5"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JPY-TIBOR-TIBM (All Banks) (Supp 47)</w:t>
            </w:r>
          </w:p>
        </w:tc>
      </w:tr>
      <w:tr w:rsidR="009B5985" w:rsidRPr="00227E22" w14:paraId="345374B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2C4F6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JPY-TIBOR-TIBM-Reference Banks</w:t>
            </w:r>
          </w:p>
        </w:tc>
      </w:tr>
      <w:tr w:rsidR="009B5985" w:rsidRPr="00227E22" w14:paraId="27A6133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0B25E8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JPY-TSR-Reference Banks</w:t>
            </w:r>
          </w:p>
        </w:tc>
      </w:tr>
      <w:tr w:rsidR="009B5985" w:rsidRPr="00227E22" w14:paraId="6A38EA8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3C6BE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KRW-Bond-3222</w:t>
            </w:r>
          </w:p>
        </w:tc>
      </w:tr>
      <w:tr w:rsidR="009B5985" w:rsidRPr="00227E22" w14:paraId="63619D3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48B6CE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KRW-Quarterly Annual Swap Rate-3:30-ICAP</w:t>
            </w:r>
          </w:p>
        </w:tc>
      </w:tr>
      <w:tr w:rsidR="009B5985" w:rsidRPr="00227E22" w14:paraId="1124302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2D86BA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MXN-TIIE-Reference Banks</w:t>
            </w:r>
          </w:p>
        </w:tc>
      </w:tr>
      <w:tr w:rsidR="009B5985" w:rsidRPr="00227E22" w14:paraId="2F519BA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457656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MYR-KLIBOR-Reference Banks</w:t>
            </w:r>
          </w:p>
        </w:tc>
      </w:tr>
      <w:tr w:rsidR="009B5985" w:rsidRPr="00227E22" w14:paraId="55D9155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8CCE74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MYR-Quarterly Swap Rate-11:00-TRADITION</w:t>
            </w:r>
          </w:p>
        </w:tc>
      </w:tr>
      <w:tr w:rsidR="009B5985" w:rsidRPr="00227E22" w14:paraId="3D7C768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14B5A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MYR-Quarterly Swap Rate-TRADITION-Reference Banks</w:t>
            </w:r>
          </w:p>
        </w:tc>
      </w:tr>
      <w:tr w:rsidR="009B5985" w:rsidRPr="00227E22" w14:paraId="7B8C001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ADCB70B"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NOK-NIBOR-NIBR (Supp 49)</w:t>
            </w:r>
          </w:p>
        </w:tc>
      </w:tr>
      <w:tr w:rsidR="009B5985" w:rsidRPr="00227E22" w14:paraId="2EC3C1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4EBBCD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NOK-NIBOR-Reference Banks</w:t>
            </w:r>
          </w:p>
        </w:tc>
      </w:tr>
      <w:tr w:rsidR="009B5985" w:rsidRPr="00227E22" w14:paraId="3926EE0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6D1487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NZD-BBR-ISDC</w:t>
            </w:r>
          </w:p>
        </w:tc>
      </w:tr>
      <w:tr w:rsidR="009B5985" w:rsidRPr="00227E22" w14:paraId="3A41067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85B777" w14:textId="77777777" w:rsidR="009B5985" w:rsidRPr="00227E22" w:rsidRDefault="009B5985" w:rsidP="00227E22">
            <w:pPr>
              <w:spacing w:after="0" w:line="240" w:lineRule="auto"/>
              <w:rPr>
                <w:kern w:val="0"/>
                <w:sz w:val="22"/>
                <w:szCs w:val="22"/>
                <w:lang w:eastAsia="en-GB"/>
              </w:rPr>
            </w:pPr>
            <w:r w:rsidRPr="00227E22">
              <w:rPr>
                <w:kern w:val="0"/>
                <w:sz w:val="22"/>
                <w:szCs w:val="22"/>
                <w:lang w:eastAsia="en-GB"/>
              </w:rPr>
              <w:t>NZD-BBR-Reference Banks</w:t>
            </w:r>
          </w:p>
        </w:tc>
      </w:tr>
      <w:tr w:rsidR="009B5985" w:rsidRPr="00227E22" w14:paraId="7BFE36C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BA20B3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NZD-Semi-Annual Swap Rate-11:00-BGCANTOR</w:t>
            </w:r>
          </w:p>
        </w:tc>
      </w:tr>
      <w:tr w:rsidR="009B5985" w:rsidRPr="00227E22" w14:paraId="717A352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289599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NZD-Semi-Annual Swap Rate-BGCANTOR-Reference Banks</w:t>
            </w:r>
          </w:p>
        </w:tc>
      </w:tr>
      <w:tr w:rsidR="009B5985" w:rsidRPr="00227E22" w14:paraId="5D96FF3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5720A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NZD-Swap Rate-ICAP-Reference Banks</w:t>
            </w:r>
          </w:p>
        </w:tc>
      </w:tr>
      <w:tr w:rsidR="009B5985" w:rsidRPr="00227E22" w14:paraId="32E4C2C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4C924B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PHP-PHIREF-BAP (Supp 45)</w:t>
            </w:r>
          </w:p>
        </w:tc>
      </w:tr>
      <w:tr w:rsidR="009B5985" w:rsidRPr="00227E22" w14:paraId="45EEA3D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D106B9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PHP-PHIREF-Reference Banks</w:t>
            </w:r>
          </w:p>
        </w:tc>
      </w:tr>
      <w:tr w:rsidR="009B5985" w:rsidRPr="00227E22" w14:paraId="68B2758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F0F716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PHP-Semi-Annual Swap Rate-11:00-BGCANTOR</w:t>
            </w:r>
          </w:p>
        </w:tc>
      </w:tr>
      <w:tr w:rsidR="009B5985" w:rsidRPr="00227E22" w14:paraId="098B9B6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15340D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PHP-Semi-Annual Swap Rate-Reference Banks</w:t>
            </w:r>
          </w:p>
        </w:tc>
      </w:tr>
      <w:tr w:rsidR="009B5985" w:rsidRPr="00227E22" w14:paraId="5E090C6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BD622E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PLN-WIBOR-Reference Banks</w:t>
            </w:r>
          </w:p>
        </w:tc>
      </w:tr>
      <w:tr w:rsidR="009B5985" w:rsidRPr="00227E22" w14:paraId="4E0C4CE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C2E5C1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REPOFUNDS RATE-FRANCE-OIS-COMPOUND</w:t>
            </w:r>
          </w:p>
        </w:tc>
      </w:tr>
      <w:tr w:rsidR="009B5985" w:rsidRPr="00227E22" w14:paraId="1C841ED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EF74A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REPOFUNDS RATE-GERMANY-OIS-COMPOUND</w:t>
            </w:r>
          </w:p>
        </w:tc>
      </w:tr>
      <w:tr w:rsidR="009B5985" w:rsidRPr="00227E22" w14:paraId="518FA5A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39F449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REPOFUNDS RATE-ITALY-OIS-COMPOUND</w:t>
            </w:r>
          </w:p>
        </w:tc>
      </w:tr>
      <w:tr w:rsidR="009B5985" w:rsidRPr="00227E22" w14:paraId="6EB88A0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ED21DE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RON-Annual Swap Rate-11:00-BGCANTOR</w:t>
            </w:r>
          </w:p>
        </w:tc>
      </w:tr>
      <w:tr w:rsidR="009B5985" w:rsidRPr="00227E22" w14:paraId="6B41CB7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893ED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RON-Annual Swap Rate-Reference Banks</w:t>
            </w:r>
          </w:p>
        </w:tc>
      </w:tr>
      <w:tr w:rsidR="009B5985" w:rsidRPr="00227E22" w14:paraId="1E68450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2855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Rate-11:00-BGCANTOR</w:t>
            </w:r>
          </w:p>
        </w:tc>
      </w:tr>
      <w:tr w:rsidR="009B5985" w:rsidRPr="00227E22" w14:paraId="5FE27FF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12CEE6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Rate-12:45-TRADITION</w:t>
            </w:r>
          </w:p>
        </w:tc>
      </w:tr>
      <w:tr w:rsidR="009B5985" w:rsidRPr="00227E22" w14:paraId="305595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F53082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Rate-4:15-TRADITION</w:t>
            </w:r>
          </w:p>
        </w:tc>
      </w:tr>
      <w:tr w:rsidR="009B5985" w:rsidRPr="00227E22" w14:paraId="0C20251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E66BE6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Rate-Reference Banks</w:t>
            </w:r>
          </w:p>
        </w:tc>
      </w:tr>
      <w:tr w:rsidR="009B5985" w:rsidRPr="00227E22" w14:paraId="68F5224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83C16E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RUB-Annual Swap Rate-TRADITION-Reference Banks</w:t>
            </w:r>
          </w:p>
        </w:tc>
      </w:tr>
      <w:tr w:rsidR="009B5985" w:rsidRPr="00227E22" w14:paraId="6BBDAB4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F30004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RUB-MOSPRIME-Reference Banks</w:t>
            </w:r>
          </w:p>
        </w:tc>
      </w:tr>
      <w:tr w:rsidR="009B5985" w:rsidRPr="00227E22" w14:paraId="02052C9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6619B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SAR-SRIOR-Reference Banks</w:t>
            </w:r>
          </w:p>
        </w:tc>
      </w:tr>
      <w:tr w:rsidR="009B5985" w:rsidRPr="00227E22" w14:paraId="615B001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B8D4EF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SEK-Annual Swap Rate</w:t>
            </w:r>
          </w:p>
        </w:tc>
      </w:tr>
      <w:tr w:rsidR="009B5985" w:rsidRPr="00227E22" w14:paraId="09E7020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1F3E8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SEK-Annual Swap Rate-SESWFI</w:t>
            </w:r>
          </w:p>
        </w:tc>
      </w:tr>
      <w:tr w:rsidR="009B5985" w:rsidRPr="00227E22" w14:paraId="46D9105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E45C3B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SEK-STIBOR-Reference Banks</w:t>
            </w:r>
          </w:p>
        </w:tc>
      </w:tr>
      <w:tr w:rsidR="009B5985" w:rsidRPr="00227E22" w14:paraId="4D5963F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0558CF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Currency Basis Swap Rate-11:00-Tullett Prebon</w:t>
            </w:r>
          </w:p>
        </w:tc>
      </w:tr>
      <w:tr w:rsidR="009B5985" w:rsidRPr="00227E22" w14:paraId="18AA831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95D497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Currency Basis Swap Rate-16:00-Tullett Prebon</w:t>
            </w:r>
          </w:p>
        </w:tc>
      </w:tr>
      <w:tr w:rsidR="009B5985" w:rsidRPr="00227E22" w14:paraId="27644EA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073EE8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Rate-11.00-TRADITION</w:t>
            </w:r>
          </w:p>
        </w:tc>
      </w:tr>
      <w:tr w:rsidR="009B5985" w:rsidRPr="00227E22" w14:paraId="15CB792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E290A3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Rate-11:00-BGCANTOR</w:t>
            </w:r>
          </w:p>
        </w:tc>
      </w:tr>
      <w:tr w:rsidR="009B5985" w:rsidRPr="00227E22" w14:paraId="47CC625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9F42F7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Rate-11:00-Tullett Prebon</w:t>
            </w:r>
          </w:p>
        </w:tc>
      </w:tr>
      <w:tr w:rsidR="009B5985" w:rsidRPr="00227E22" w14:paraId="7758F67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6E58FE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Rate-16:00-Tullett Prebon</w:t>
            </w:r>
          </w:p>
        </w:tc>
      </w:tr>
      <w:tr w:rsidR="009B5985" w:rsidRPr="00227E22" w14:paraId="0FB6DA4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AF4D0B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Rate-ICAP</w:t>
            </w:r>
          </w:p>
        </w:tc>
      </w:tr>
      <w:tr w:rsidR="009B5985" w:rsidRPr="00227E22" w14:paraId="475F5A2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E0622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Rate-ICAP-Reference Banks</w:t>
            </w:r>
          </w:p>
        </w:tc>
      </w:tr>
      <w:tr w:rsidR="009B5985" w:rsidRPr="00227E22" w14:paraId="276B48B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011481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Rate-Reference Banks</w:t>
            </w:r>
          </w:p>
        </w:tc>
      </w:tr>
      <w:tr w:rsidR="009B5985" w:rsidRPr="00227E22" w14:paraId="49A3BE5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9D1AF5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SGD-Semi-Annual Swap Rate-TRADITION-Reference Banks</w:t>
            </w:r>
          </w:p>
        </w:tc>
      </w:tr>
      <w:tr w:rsidR="009B5985" w:rsidRPr="00227E22" w14:paraId="19BA29B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CA633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SGD-SIBOR-Reference Banks</w:t>
            </w:r>
          </w:p>
        </w:tc>
      </w:tr>
      <w:tr w:rsidR="009B5985" w:rsidRPr="00227E22" w14:paraId="03537E8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5DEF453"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SGD-SONAR-OIS-COMPOUND (Supp 35)</w:t>
            </w:r>
          </w:p>
        </w:tc>
      </w:tr>
      <w:tr w:rsidR="009B5985" w:rsidRPr="00227E22" w14:paraId="2F4F899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292F5F"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SGD-SONAR-OIS-VWAP-COMPOUND (Supp 62)</w:t>
            </w:r>
          </w:p>
        </w:tc>
      </w:tr>
      <w:tr w:rsidR="009B5985" w:rsidRPr="00227E22" w14:paraId="139D81A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95E6A2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SGD-SOR-Reference Banks (Supp 35)</w:t>
            </w:r>
          </w:p>
        </w:tc>
      </w:tr>
      <w:tr w:rsidR="009B5985" w:rsidRPr="00227E22" w14:paraId="67DDD4B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C832D0C"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SGD-SOR-Reuters (Supp 35)</w:t>
            </w:r>
          </w:p>
        </w:tc>
      </w:tr>
      <w:tr w:rsidR="009B5985" w:rsidRPr="00227E22" w14:paraId="7EF864A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437784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SGD-SOR-VWAP-Reference Banks</w:t>
            </w:r>
          </w:p>
        </w:tc>
      </w:tr>
      <w:tr w:rsidR="009B5985" w:rsidRPr="00227E22" w14:paraId="71C5FB9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A3950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SKK-BRIBOR-Bloomberg</w:t>
            </w:r>
          </w:p>
        </w:tc>
      </w:tr>
      <w:tr w:rsidR="009B5985" w:rsidRPr="00227E22" w14:paraId="7B14C5D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352AC7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SKK-BRIBOR-NBSK07</w:t>
            </w:r>
          </w:p>
        </w:tc>
      </w:tr>
      <w:tr w:rsidR="009B5985" w:rsidRPr="00227E22" w14:paraId="5BEF34E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6F7225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SKK-BRIBOR-Reference Banks</w:t>
            </w:r>
          </w:p>
        </w:tc>
      </w:tr>
      <w:tr w:rsidR="009B5985" w:rsidRPr="00227E22" w14:paraId="4F8BAB5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2CC7CED"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THB-Semi-Annual Swap Rate-11:00-BGCANTOR (Supp 38)</w:t>
            </w:r>
          </w:p>
        </w:tc>
      </w:tr>
      <w:tr w:rsidR="009B5985" w:rsidRPr="00227E22" w14:paraId="0F2C184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C39F25E"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THB-Semi-Annual Swap Rate-Reference Banks (Supp 38)</w:t>
            </w:r>
          </w:p>
        </w:tc>
      </w:tr>
      <w:tr w:rsidR="009B5985" w:rsidRPr="00227E22" w14:paraId="267BCAF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AC8116"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THB-SOR-Reference Banks (Supp 38)</w:t>
            </w:r>
          </w:p>
        </w:tc>
      </w:tr>
      <w:tr w:rsidR="009B5985" w:rsidRPr="00227E22" w14:paraId="4989C2E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62653F2"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THB-SOR-Reuters (Supp 35)</w:t>
            </w:r>
          </w:p>
        </w:tc>
      </w:tr>
      <w:tr w:rsidR="009B5985" w:rsidRPr="00227E22" w14:paraId="0FEFBE21"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07805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THB-THBFIX-Reference Banks</w:t>
            </w:r>
          </w:p>
        </w:tc>
      </w:tr>
      <w:tr w:rsidR="009B5985" w:rsidRPr="00227E22" w14:paraId="225B98B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B5DB64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 Annual Swap Rate-11:00-TRADITION</w:t>
            </w:r>
          </w:p>
        </w:tc>
      </w:tr>
      <w:tr w:rsidR="009B5985" w:rsidRPr="00227E22" w14:paraId="5EFF591B"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FE69D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TRY-Annual Swap Rate-11:15-BGCANTOR</w:t>
            </w:r>
          </w:p>
        </w:tc>
      </w:tr>
      <w:tr w:rsidR="009B5985" w:rsidRPr="00227E22" w14:paraId="3C69C57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50A3BD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TRY-Annual Swap Rate-Reference Banks</w:t>
            </w:r>
          </w:p>
        </w:tc>
      </w:tr>
      <w:tr w:rsidR="009B5985" w:rsidRPr="00227E22" w14:paraId="0264C11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0C9142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TRY-Semi-Annual Swap Rate-TRADITION-Reference Banks</w:t>
            </w:r>
          </w:p>
        </w:tc>
      </w:tr>
      <w:tr w:rsidR="009B5985" w:rsidRPr="00227E22" w14:paraId="7526D77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4FF53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TRY-TRYIBOR-Reference Banks</w:t>
            </w:r>
          </w:p>
        </w:tc>
      </w:tr>
      <w:tr w:rsidR="009B5985" w:rsidRPr="00227E22" w14:paraId="6A7DFBA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E24B7D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TWD-Quarterly-Annual Swap Rate-11:00-BGCANTOR</w:t>
            </w:r>
          </w:p>
        </w:tc>
      </w:tr>
      <w:tr w:rsidR="009B5985" w:rsidRPr="00227E22" w14:paraId="0E470DA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E2BFC8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TWD-Quarterly-Annual Swap Rate-Reference Banks</w:t>
            </w:r>
          </w:p>
        </w:tc>
      </w:tr>
      <w:tr w:rsidR="009B5985" w:rsidRPr="00227E22" w14:paraId="786863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E4B5C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TWD-Reference Dealers</w:t>
            </w:r>
          </w:p>
        </w:tc>
      </w:tr>
      <w:tr w:rsidR="009B5985" w:rsidRPr="00227E22" w14:paraId="46B9DD2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AF6C6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TWD-Reuters-6165</w:t>
            </w:r>
          </w:p>
        </w:tc>
      </w:tr>
      <w:tr w:rsidR="009B5985" w:rsidRPr="00227E22" w14:paraId="337A2E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36543E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TWD-TWCPBA</w:t>
            </w:r>
          </w:p>
        </w:tc>
      </w:tr>
      <w:tr w:rsidR="009B5985" w:rsidRPr="00227E22" w14:paraId="34300E9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15D031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 Swap Rate-BCMP1</w:t>
            </w:r>
          </w:p>
        </w:tc>
      </w:tr>
      <w:tr w:rsidR="009B5985" w:rsidRPr="00227E22" w14:paraId="6B13C6F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2AC91D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 Treasury Rate-BCMP1</w:t>
            </w:r>
          </w:p>
        </w:tc>
      </w:tr>
      <w:tr w:rsidR="009B5985" w:rsidRPr="00227E22" w14:paraId="4A5D6D5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0C5D21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USD-3M LIBOR SWAP-CME vs LCH-ICAP</w:t>
            </w:r>
          </w:p>
        </w:tc>
      </w:tr>
      <w:tr w:rsidR="009B5985" w:rsidRPr="00227E22" w14:paraId="282EFCF3"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D3855C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USD-3M LIBOR SWAP-CME vs LCH-ICAP-Bloomberg</w:t>
            </w:r>
          </w:p>
        </w:tc>
      </w:tr>
      <w:tr w:rsidR="009B5985" w:rsidRPr="00227E22" w14:paraId="544711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DAAD10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USD-6M LIBOR SWAP-CME vs LCH-ICAP</w:t>
            </w:r>
          </w:p>
        </w:tc>
      </w:tr>
      <w:tr w:rsidR="009B5985" w:rsidRPr="00227E22" w14:paraId="0C83CBA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687E9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USD-6M LIBOR SWAP-CME vs LCH-ICAP-Bloomberg</w:t>
            </w:r>
          </w:p>
        </w:tc>
      </w:tr>
      <w:tr w:rsidR="009B5985" w:rsidRPr="00227E22" w14:paraId="66D9BCD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728BD08"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USD-Annual Swap Rate-11:00-BGCANTOR</w:t>
            </w:r>
          </w:p>
        </w:tc>
      </w:tr>
      <w:tr w:rsidR="009B5985" w:rsidRPr="00227E22" w14:paraId="1CDA117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A2F590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USD-Annual Swap Rate-11:00-TRADITION</w:t>
            </w:r>
          </w:p>
        </w:tc>
      </w:tr>
      <w:tr w:rsidR="009B5985" w:rsidRPr="00227E22" w14:paraId="165871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DDF8C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USD-Annual Swap Rate-4:00-TRADITION</w:t>
            </w:r>
          </w:p>
        </w:tc>
      </w:tr>
      <w:tr w:rsidR="009B5985" w:rsidRPr="00227E22" w14:paraId="1DA926D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A0DDA3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USD-BA-H.15</w:t>
            </w:r>
          </w:p>
        </w:tc>
      </w:tr>
      <w:tr w:rsidR="009B5985" w:rsidRPr="00227E22" w14:paraId="02E1322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D441C1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USD-BA-Reference Dealers</w:t>
            </w:r>
          </w:p>
        </w:tc>
      </w:tr>
      <w:tr w:rsidR="009B5985" w:rsidRPr="00227E22" w14:paraId="723445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44E1E0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USD-CD-H.15</w:t>
            </w:r>
          </w:p>
        </w:tc>
      </w:tr>
      <w:tr w:rsidR="009B5985" w:rsidRPr="00227E22" w14:paraId="7ECE89A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A4C929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USD-CD-Reference Dealers</w:t>
            </w:r>
          </w:p>
        </w:tc>
      </w:tr>
      <w:tr w:rsidR="009B5985" w:rsidRPr="00227E22" w14:paraId="10EDF4D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484B2CC" w14:textId="77777777" w:rsidR="009B5985" w:rsidRPr="00227E22" w:rsidRDefault="009B5985" w:rsidP="00227E22">
            <w:pPr>
              <w:spacing w:after="0" w:line="240" w:lineRule="auto"/>
              <w:rPr>
                <w:color w:val="002060"/>
                <w:kern w:val="0"/>
                <w:sz w:val="22"/>
                <w:szCs w:val="22"/>
                <w:lang w:eastAsia="en-GB"/>
              </w:rPr>
            </w:pPr>
            <w:r w:rsidRPr="00227E22">
              <w:rPr>
                <w:color w:val="002060"/>
                <w:kern w:val="0"/>
                <w:sz w:val="22"/>
                <w:szCs w:val="22"/>
                <w:lang w:eastAsia="en-GB"/>
              </w:rPr>
              <w:t>USD-CMS-Reference Banks</w:t>
            </w:r>
          </w:p>
        </w:tc>
      </w:tr>
      <w:tr w:rsidR="009B5985" w:rsidRPr="00227E22" w14:paraId="3EDE43C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3D769C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USD-CMS-Reference Banks-ICAP SwapPX</w:t>
            </w:r>
          </w:p>
        </w:tc>
      </w:tr>
      <w:tr w:rsidR="009B5985" w:rsidRPr="00227E22" w14:paraId="36D1A3E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FDABC6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USD-CMS-Reuters</w:t>
            </w:r>
          </w:p>
        </w:tc>
      </w:tr>
      <w:tr w:rsidR="009B5985" w:rsidRPr="00227E22" w14:paraId="1208BC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38ADB9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USD-CP-Reference Dealers</w:t>
            </w:r>
          </w:p>
        </w:tc>
      </w:tr>
      <w:tr w:rsidR="009B5985" w:rsidRPr="00227E22" w14:paraId="65D88C1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29137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USD-Federal Funds-Reference Dealers</w:t>
            </w:r>
          </w:p>
        </w:tc>
      </w:tr>
      <w:tr w:rsidR="009B5985" w:rsidRPr="00227E22" w14:paraId="52180B1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F84251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USD-FFCB-DISCO</w:t>
            </w:r>
          </w:p>
        </w:tc>
      </w:tr>
      <w:tr w:rsidR="009B5985" w:rsidRPr="00227E22" w14:paraId="7B74F4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F6F70E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USD-LIBOR-LIBO</w:t>
            </w:r>
          </w:p>
        </w:tc>
      </w:tr>
      <w:tr w:rsidR="009B5985" w:rsidRPr="00227E22" w14:paraId="366EB5B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DB9E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USD-LIBOR-Reference Banks</w:t>
            </w:r>
          </w:p>
        </w:tc>
      </w:tr>
      <w:tr w:rsidR="009B5985" w:rsidRPr="00227E22" w14:paraId="27EBA0F2"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03DC66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USD-Municipal Swap Libor Ratio-11:00-ICAP</w:t>
            </w:r>
          </w:p>
        </w:tc>
      </w:tr>
      <w:tr w:rsidR="009B5985" w:rsidRPr="00227E22" w14:paraId="043D08D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58A20AF"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USD-Municipal Swap Rate-11:00-ICAP</w:t>
            </w:r>
          </w:p>
        </w:tc>
      </w:tr>
      <w:tr w:rsidR="009B5985" w:rsidRPr="00227E22" w14:paraId="0127DEE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488A9C6"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USD-OIS-11:00-BGCANTOR</w:t>
            </w:r>
          </w:p>
        </w:tc>
      </w:tr>
      <w:tr w:rsidR="009B5985" w:rsidRPr="00227E22" w14:paraId="3F0FE195"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19DF47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USD-OIS-11:00-LON-ICAP</w:t>
            </w:r>
          </w:p>
        </w:tc>
      </w:tr>
      <w:tr w:rsidR="009B5985" w:rsidRPr="00227E22" w14:paraId="2E3C2C14" w14:textId="77777777" w:rsidTr="009B5985">
        <w:trPr>
          <w:trHeight w:val="24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F4DE7E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USD-OIS-11:00-NY-ICAP</w:t>
            </w:r>
          </w:p>
        </w:tc>
      </w:tr>
      <w:tr w:rsidR="009B5985" w:rsidRPr="00227E22" w14:paraId="653BE56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573BA21"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USD-OIS-11:00-TRADITION</w:t>
            </w:r>
          </w:p>
        </w:tc>
      </w:tr>
      <w:tr w:rsidR="009B5985" w:rsidRPr="00227E22" w14:paraId="6DA3FCAE"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5DDB42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USD-OIS-3:00-BGCANTOR</w:t>
            </w:r>
          </w:p>
        </w:tc>
      </w:tr>
      <w:tr w:rsidR="009B5985" w:rsidRPr="00227E22" w14:paraId="00754B1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721904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USD-OIS-3:00-NY-ICAP</w:t>
            </w:r>
          </w:p>
        </w:tc>
      </w:tr>
      <w:tr w:rsidR="009B5985" w:rsidRPr="00227E22" w14:paraId="128A79E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ECD499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USD-OIS-4:00-TRADITION</w:t>
            </w:r>
          </w:p>
        </w:tc>
      </w:tr>
      <w:tr w:rsidR="009B5985" w:rsidRPr="00227E22" w14:paraId="168FE70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73997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USD-Prime-Reference Banks</w:t>
            </w:r>
          </w:p>
        </w:tc>
      </w:tr>
      <w:tr w:rsidR="009B5985" w:rsidRPr="00227E22" w14:paraId="2EDF2A6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99E3C47"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USD-SIBOR-Reference Banks</w:t>
            </w:r>
          </w:p>
        </w:tc>
      </w:tr>
      <w:tr w:rsidR="009B5985" w:rsidRPr="00227E22" w14:paraId="6ED7ACE9"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26A6F02" w14:textId="77777777" w:rsidR="009B5985" w:rsidRPr="00227E22" w:rsidRDefault="009B5985" w:rsidP="00227E22">
            <w:pPr>
              <w:spacing w:after="0" w:line="240" w:lineRule="auto"/>
              <w:rPr>
                <w:i/>
                <w:iCs/>
                <w:color w:val="000000"/>
                <w:kern w:val="0"/>
                <w:sz w:val="22"/>
                <w:szCs w:val="22"/>
                <w:lang w:eastAsia="en-GB"/>
              </w:rPr>
            </w:pPr>
            <w:r w:rsidRPr="00227E22">
              <w:rPr>
                <w:i/>
                <w:iCs/>
                <w:color w:val="000000"/>
                <w:kern w:val="0"/>
                <w:sz w:val="22"/>
                <w:szCs w:val="22"/>
                <w:lang w:eastAsia="en-GB"/>
              </w:rPr>
              <w:t>USD-SIBOR-SIBO (Supp 36)</w:t>
            </w:r>
          </w:p>
        </w:tc>
      </w:tr>
      <w:tr w:rsidR="009B5985" w:rsidRPr="00227E22" w14:paraId="6289B13F"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3116772"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USD-TBILL-H.15</w:t>
            </w:r>
          </w:p>
        </w:tc>
      </w:tr>
      <w:tr w:rsidR="009B5985" w:rsidRPr="00227E22" w14:paraId="2650768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761B15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USD-TBILL-H.15-Bloomberg</w:t>
            </w:r>
          </w:p>
        </w:tc>
      </w:tr>
      <w:tr w:rsidR="009B5985" w:rsidRPr="00227E22" w14:paraId="012B664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7DFA79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USD-TIBOR-Reference Banks</w:t>
            </w:r>
          </w:p>
        </w:tc>
      </w:tr>
      <w:tr w:rsidR="009B5985" w:rsidRPr="00227E22" w14:paraId="0F817B1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8FF8E1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 xml:space="preserve">USD-Treasury Rate-ICAP </w:t>
            </w:r>
            <w:proofErr w:type="spellStart"/>
            <w:r w:rsidRPr="00227E22">
              <w:rPr>
                <w:color w:val="000000"/>
                <w:kern w:val="0"/>
                <w:sz w:val="22"/>
                <w:szCs w:val="22"/>
                <w:lang w:eastAsia="en-GB"/>
              </w:rPr>
              <w:t>BrokerTec</w:t>
            </w:r>
            <w:proofErr w:type="spellEnd"/>
          </w:p>
        </w:tc>
      </w:tr>
      <w:tr w:rsidR="009B5985" w:rsidRPr="00227E22" w14:paraId="5940CB3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55B687B"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Rate-SwapMarker100</w:t>
            </w:r>
          </w:p>
        </w:tc>
      </w:tr>
      <w:tr w:rsidR="009B5985" w:rsidRPr="00227E22" w14:paraId="3FD47F7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5C0C690"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Rate-SwapMarker99</w:t>
            </w:r>
          </w:p>
        </w:tc>
      </w:tr>
      <w:tr w:rsidR="009B5985" w:rsidRPr="00227E22" w14:paraId="64B256B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62B81B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Rate-T19901</w:t>
            </w:r>
          </w:p>
        </w:tc>
      </w:tr>
      <w:tr w:rsidR="009B5985" w:rsidRPr="00227E22" w14:paraId="57D6445D"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B5C13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 Rate-T500</w:t>
            </w:r>
          </w:p>
        </w:tc>
      </w:tr>
      <w:tr w:rsidR="009B5985" w:rsidRPr="00227E22" w14:paraId="091227D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209960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USD-Treasury-19901-3:00-ICAP</w:t>
            </w:r>
          </w:p>
        </w:tc>
      </w:tr>
      <w:tr w:rsidR="009B5985" w:rsidRPr="00227E22" w14:paraId="7D5FF5A0"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88FD1D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VND-Semi-Annual Swap Rate-11:00-BGCANTOR</w:t>
            </w:r>
          </w:p>
        </w:tc>
      </w:tr>
      <w:tr w:rsidR="009B5985" w:rsidRPr="00227E22" w14:paraId="1AF1480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55EFF39"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VND-Semi-Annual Swap Rate-Reference Banks</w:t>
            </w:r>
          </w:p>
        </w:tc>
      </w:tr>
      <w:tr w:rsidR="009B5985" w:rsidRPr="00227E22" w14:paraId="595AC04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56478AD"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ZAR-DEPOSIT-Reference Banks</w:t>
            </w:r>
          </w:p>
        </w:tc>
      </w:tr>
      <w:tr w:rsidR="009B5985" w:rsidRPr="00227E22" w14:paraId="1CF80EAA"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98F1E64"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ZAR-DEPOSIT-SAFEX</w:t>
            </w:r>
          </w:p>
        </w:tc>
      </w:tr>
      <w:tr w:rsidR="009B5985" w:rsidRPr="00227E22" w14:paraId="7FC40024"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3575B35"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ZAR-JIBAR-Reference Banks</w:t>
            </w:r>
          </w:p>
        </w:tc>
      </w:tr>
      <w:tr w:rsidR="009B5985" w:rsidRPr="00227E22" w14:paraId="1E02CFC8"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1D466C7A"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ZAR-PRIME-AVERAGE-Reference Banks</w:t>
            </w:r>
          </w:p>
        </w:tc>
      </w:tr>
      <w:tr w:rsidR="009B5985" w:rsidRPr="00227E22" w14:paraId="75D2870C"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6CE9F35C"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ZAR-Quarterly Swap Rate-1:00-TRADITION</w:t>
            </w:r>
          </w:p>
        </w:tc>
      </w:tr>
      <w:tr w:rsidR="009B5985" w:rsidRPr="00227E22" w14:paraId="18B8CFF7"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893BE03"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ZAR-Quarterly Swap Rate-5:30-TRADITION</w:t>
            </w:r>
          </w:p>
        </w:tc>
      </w:tr>
      <w:tr w:rsidR="009B5985" w:rsidRPr="00227E22" w14:paraId="3172D4F6" w14:textId="77777777" w:rsidTr="009B5985">
        <w:trPr>
          <w:trHeight w:val="285"/>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50EF00E" w14:textId="77777777" w:rsidR="009B5985" w:rsidRPr="00227E22" w:rsidRDefault="009B5985" w:rsidP="00227E22">
            <w:pPr>
              <w:spacing w:after="0" w:line="240" w:lineRule="auto"/>
              <w:rPr>
                <w:color w:val="000000"/>
                <w:kern w:val="0"/>
                <w:sz w:val="22"/>
                <w:szCs w:val="22"/>
                <w:lang w:eastAsia="en-GB"/>
              </w:rPr>
            </w:pPr>
            <w:r w:rsidRPr="00227E22">
              <w:rPr>
                <w:color w:val="000000"/>
                <w:kern w:val="0"/>
                <w:sz w:val="22"/>
                <w:szCs w:val="22"/>
                <w:lang w:eastAsia="en-GB"/>
              </w:rPr>
              <w:t>ZAR-Quarterly Swap Rate-TRADITION-Reference Banks</w:t>
            </w:r>
          </w:p>
        </w:tc>
      </w:tr>
    </w:tbl>
    <w:p w14:paraId="358EC626" w14:textId="77777777" w:rsidR="00227E22" w:rsidRPr="00817F9D" w:rsidRDefault="00227E22" w:rsidP="00817F9D">
      <w:pPr>
        <w:pStyle w:val="Body"/>
      </w:pPr>
    </w:p>
    <w:bookmarkEnd w:id="0"/>
    <w:bookmarkEnd w:id="1"/>
    <w:p w14:paraId="2B5842D1" w14:textId="77777777" w:rsidR="00240899" w:rsidRDefault="00240899" w:rsidP="00B27419">
      <w:pPr>
        <w:pStyle w:val="Body"/>
      </w:pPr>
    </w:p>
    <w:sectPr w:rsidR="00240899" w:rsidSect="008F08D7">
      <w:footerReference w:type="default" r:id="rId11"/>
      <w:headerReference w:type="first" r:id="rId12"/>
      <w:footnotePr>
        <w:numRestart w:val="eachSect"/>
      </w:footnotePr>
      <w:pgSz w:w="11907" w:h="16840" w:code="9"/>
      <w:pgMar w:top="1412" w:right="1107" w:bottom="1985" w:left="1281" w:header="1049" w:footer="8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15EA" w14:textId="77777777" w:rsidR="00C4308B" w:rsidRDefault="00C4308B" w:rsidP="00C82590">
      <w:r>
        <w:separator/>
      </w:r>
    </w:p>
  </w:endnote>
  <w:endnote w:type="continuationSeparator" w:id="0">
    <w:p w14:paraId="52F7C3EA" w14:textId="77777777" w:rsidR="00C4308B" w:rsidRDefault="00C4308B"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13C0" w14:textId="0182F4D6" w:rsidR="007D1E0B" w:rsidRDefault="007D1E0B" w:rsidP="00D76285">
    <w:pPr>
      <w:pStyle w:val="DocExCode"/>
      <w:pBdr>
        <w:top w:val="none" w:sz="0" w:space="0" w:color="auto"/>
      </w:pBdr>
    </w:pPr>
  </w:p>
  <w:p w14:paraId="0BC766D3" w14:textId="77C98D42" w:rsidR="007D1E0B" w:rsidRDefault="003B62B0" w:rsidP="00D76285">
    <w:pPr>
      <w:pStyle w:val="DocExCode"/>
      <w:pBdr>
        <w:top w:val="none" w:sz="0" w:space="0" w:color="auto"/>
      </w:pBdr>
      <w:tabs>
        <w:tab w:val="left" w:pos="4493"/>
        <w:tab w:val="center" w:pos="4759"/>
      </w:tabs>
      <w:rPr>
        <w:rStyle w:val="PageNumber"/>
        <w:kern w:val="17"/>
      </w:rPr>
    </w:pPr>
    <w:r>
      <w:rPr>
        <w:rStyle w:val="PageNumber"/>
        <w:kern w:val="17"/>
      </w:rPr>
      <w:tab/>
    </w:r>
    <w:r>
      <w:rPr>
        <w:rStyle w:val="PageNumber"/>
        <w:kern w:val="17"/>
      </w:rPr>
      <w:tab/>
    </w:r>
    <w:r w:rsidR="007D1E0B">
      <w:rPr>
        <w:rStyle w:val="PageNumber"/>
        <w:kern w:val="17"/>
      </w:rPr>
      <w:fldChar w:fldCharType="begin"/>
    </w:r>
    <w:r w:rsidR="007D1E0B">
      <w:rPr>
        <w:rStyle w:val="PageNumber"/>
        <w:kern w:val="17"/>
      </w:rPr>
      <w:instrText xml:space="preserve"> PAGE </w:instrText>
    </w:r>
    <w:r w:rsidR="007D1E0B">
      <w:rPr>
        <w:rStyle w:val="PageNumber"/>
        <w:kern w:val="17"/>
      </w:rPr>
      <w:fldChar w:fldCharType="separate"/>
    </w:r>
    <w:r w:rsidR="007D1E0B">
      <w:rPr>
        <w:rStyle w:val="PageNumber"/>
        <w:kern w:val="17"/>
      </w:rPr>
      <w:t>1</w:t>
    </w:r>
    <w:r w:rsidR="007D1E0B">
      <w:rPr>
        <w:rStyle w:val="PageNumber"/>
        <w:kern w:val="17"/>
      </w:rPr>
      <w:fldChar w:fldCharType="end"/>
    </w:r>
  </w:p>
  <w:p w14:paraId="097B1BCC" w14:textId="0298939A" w:rsidR="00D756EF" w:rsidRPr="00D756EF" w:rsidRDefault="00D756EF" w:rsidP="00D756EF">
    <w:pPr>
      <w:pStyle w:val="Footer"/>
      <w:jc w:val="center"/>
      <w:rPr>
        <w:sz w:val="17"/>
        <w:szCs w:val="17"/>
      </w:rPr>
    </w:pPr>
    <w:r>
      <w:rPr>
        <w:szCs w:val="17"/>
      </w:rPr>
      <w:t>Copyright © 2021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3628" w14:textId="77777777" w:rsidR="00C4308B" w:rsidRDefault="00C4308B" w:rsidP="00C82590">
      <w:r>
        <w:separator/>
      </w:r>
    </w:p>
  </w:footnote>
  <w:footnote w:type="continuationSeparator" w:id="0">
    <w:p w14:paraId="4F74857A" w14:textId="77777777" w:rsidR="00C4308B" w:rsidRDefault="00C4308B" w:rsidP="00C82590">
      <w:r>
        <w:continuationSeparator/>
      </w:r>
    </w:p>
  </w:footnote>
  <w:footnote w:id="1">
    <w:p w14:paraId="2B8E9E4E" w14:textId="10DA6C0F" w:rsidR="009B5985" w:rsidRPr="009B5985" w:rsidRDefault="009B5985" w:rsidP="009B5985">
      <w:pPr>
        <w:rPr>
          <w:sz w:val="18"/>
          <w:szCs w:val="18"/>
        </w:rPr>
      </w:pPr>
      <w:r w:rsidRPr="009B5985">
        <w:rPr>
          <w:rStyle w:val="FootnoteReference"/>
          <w:sz w:val="18"/>
          <w:szCs w:val="18"/>
        </w:rPr>
        <w:footnoteRef/>
      </w:r>
      <w:r w:rsidRPr="009B5985">
        <w:rPr>
          <w:sz w:val="18"/>
          <w:szCs w:val="18"/>
        </w:rPr>
        <w:t xml:space="preserve"> </w:t>
      </w:r>
      <w:r w:rsidRPr="00343E45">
        <w:rPr>
          <w:kern w:val="0"/>
          <w:sz w:val="18"/>
          <w:szCs w:val="18"/>
          <w:lang w:eastAsia="en-GB"/>
        </w:rPr>
        <w:t xml:space="preserve">Not carried over as a </w:t>
      </w:r>
      <w:proofErr w:type="spellStart"/>
      <w:r w:rsidRPr="00343E45">
        <w:rPr>
          <w:kern w:val="0"/>
          <w:sz w:val="18"/>
          <w:szCs w:val="18"/>
          <w:lang w:eastAsia="en-GB"/>
        </w:rPr>
        <w:t>stand alone</w:t>
      </w:r>
      <w:proofErr w:type="spellEnd"/>
      <w:r w:rsidRPr="00343E45">
        <w:rPr>
          <w:kern w:val="0"/>
          <w:sz w:val="18"/>
          <w:szCs w:val="18"/>
          <w:lang w:eastAsia="en-GB"/>
        </w:rPr>
        <w:t xml:space="preserve"> </w:t>
      </w:r>
      <w:r w:rsidRPr="009B5985">
        <w:rPr>
          <w:sz w:val="18"/>
          <w:szCs w:val="18"/>
        </w:rPr>
        <w:t>FRO into the 2021 Definitions but incorporated as a Temporary Non-Publication Fallback for JPY-LTPR-MHCB in the 2021 ISDA Definitions</w:t>
      </w:r>
    </w:p>
  </w:footnote>
  <w:footnote w:id="2">
    <w:p w14:paraId="3221520D" w14:textId="77777777" w:rsidR="009B5985" w:rsidRPr="00343E45" w:rsidRDefault="009B5985" w:rsidP="009B5985">
      <w:pPr>
        <w:rPr>
          <w:sz w:val="18"/>
          <w:szCs w:val="18"/>
        </w:rPr>
      </w:pPr>
      <w:r>
        <w:rPr>
          <w:rStyle w:val="FootnoteReference"/>
        </w:rPr>
        <w:footnoteRef/>
      </w:r>
      <w:r>
        <w:t xml:space="preserve"> </w:t>
      </w:r>
      <w:r w:rsidRPr="00343E45">
        <w:rPr>
          <w:kern w:val="0"/>
          <w:sz w:val="18"/>
          <w:szCs w:val="18"/>
          <w:lang w:eastAsia="en-GB"/>
        </w:rPr>
        <w:t xml:space="preserve">Not carried over as a </w:t>
      </w:r>
      <w:proofErr w:type="spellStart"/>
      <w:r w:rsidRPr="00343E45">
        <w:rPr>
          <w:kern w:val="0"/>
          <w:sz w:val="18"/>
          <w:szCs w:val="18"/>
          <w:lang w:eastAsia="en-GB"/>
        </w:rPr>
        <w:t>stand alone</w:t>
      </w:r>
      <w:proofErr w:type="spellEnd"/>
      <w:r w:rsidRPr="00343E45">
        <w:rPr>
          <w:kern w:val="0"/>
          <w:sz w:val="18"/>
          <w:szCs w:val="18"/>
          <w:lang w:eastAsia="en-GB"/>
        </w:rPr>
        <w:t xml:space="preserve"> FRO into the 2021 Definitions but incorporated as a Temporary Non-Publication Fallback for JPY-STPR-Quoting Banks in the 2021 ISDA Definitions</w:t>
      </w:r>
    </w:p>
    <w:p w14:paraId="3ACCEBFB" w14:textId="4355870D" w:rsidR="009B5985" w:rsidRDefault="009B59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F6AE" w14:textId="5A4E90AE" w:rsidR="008F08D7" w:rsidRDefault="008F08D7">
    <w:pPr>
      <w:pStyle w:val="Header"/>
    </w:pPr>
    <w:r>
      <w:rPr>
        <w:noProof/>
      </w:rPr>
      <w:drawing>
        <wp:inline distT="0" distB="0" distL="0" distR="0" wp14:anchorId="0F145F46" wp14:editId="1B97AFDD">
          <wp:extent cx="1285875" cy="402590"/>
          <wp:effectExtent l="0" t="0" r="9525" b="0"/>
          <wp:docPr id="3" name="Picture 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875" cy="402590"/>
                  </a:xfrm>
                  <a:prstGeom prst="rect">
                    <a:avLst/>
                  </a:prstGeom>
                </pic:spPr>
              </pic:pic>
            </a:graphicData>
          </a:graphic>
        </wp:inline>
      </w:drawing>
    </w:r>
    <w:r w:rsidR="008F653C">
      <w:tab/>
      <w:t>Version 1: 19/07/2021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1F33A25"/>
    <w:multiLevelType w:val="multilevel"/>
    <w:tmpl w:val="E5326E0C"/>
    <w:styleLink w:val="LLHead"/>
    <w:lvl w:ilvl="0">
      <w:start w:val="1"/>
      <w:numFmt w:val="none"/>
      <w:pStyle w:val="Head"/>
      <w:lvlText w:val=""/>
      <w:lvlJc w:val="left"/>
      <w:pPr>
        <w:ind w:left="0" w:firstLine="0"/>
      </w:pPr>
      <w:rPr>
        <w:rFonts w:hAnsi="Arial" w:cs="Times New Roman" w:hint="default"/>
      </w:rPr>
    </w:lvl>
    <w:lvl w:ilvl="1">
      <w:start w:val="1"/>
      <w:numFmt w:val="none"/>
      <w:pStyle w:val="Head1"/>
      <w:lvlText w:val=""/>
      <w:lvlJc w:val="left"/>
      <w:pPr>
        <w:ind w:left="680" w:firstLine="0"/>
      </w:pPr>
      <w:rPr>
        <w:rFonts w:hint="default"/>
      </w:rPr>
    </w:lvl>
    <w:lvl w:ilvl="2">
      <w:start w:val="1"/>
      <w:numFmt w:val="none"/>
      <w:pStyle w:val="Head2"/>
      <w:lvlText w:val="%3"/>
      <w:lvlJc w:val="left"/>
      <w:pPr>
        <w:tabs>
          <w:tab w:val="num" w:pos="1361"/>
        </w:tabs>
        <w:ind w:left="1361" w:firstLine="0"/>
      </w:pPr>
      <w:rPr>
        <w:rFonts w:hint="default"/>
      </w:rPr>
    </w:lvl>
    <w:lvl w:ilvl="3">
      <w:start w:val="1"/>
      <w:numFmt w:val="none"/>
      <w:pStyle w:val="Head3"/>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25" w15:restartNumberingAfterBreak="0">
    <w:nsid w:val="148A18C7"/>
    <w:multiLevelType w:val="multilevel"/>
    <w:tmpl w:val="DE74C974"/>
    <w:lvl w:ilvl="0">
      <w:start w:val="1"/>
      <w:numFmt w:val="decimal"/>
      <w:lvlText w:val="%1"/>
      <w:lvlJc w:val="left"/>
      <w:pPr>
        <w:tabs>
          <w:tab w:val="num" w:pos="425"/>
        </w:tabs>
        <w:ind w:left="425" w:hanging="425"/>
      </w:pPr>
      <w:rPr>
        <w:rFonts w:hint="default"/>
        <w:b/>
        <w:i w:val="0"/>
        <w:color w:val="auto"/>
        <w:sz w:val="20"/>
        <w:szCs w:val="22"/>
      </w:rPr>
    </w:lvl>
    <w:lvl w:ilvl="1">
      <w:start w:val="1"/>
      <w:numFmt w:val="decimal"/>
      <w:lvlText w:val="%1.%2"/>
      <w:lvlJc w:val="left"/>
      <w:pPr>
        <w:tabs>
          <w:tab w:val="num" w:pos="1135"/>
        </w:tabs>
        <w:ind w:left="1135" w:hanging="567"/>
      </w:pPr>
      <w:rPr>
        <w:rFonts w:hint="default"/>
        <w:b w:val="0"/>
        <w:bCs/>
        <w:sz w:val="20"/>
      </w:rPr>
    </w:lvl>
    <w:lvl w:ilvl="2">
      <w:start w:val="1"/>
      <w:numFmt w:val="decimal"/>
      <w:lvlText w:val="%1.%2.%3"/>
      <w:lvlJc w:val="left"/>
      <w:pPr>
        <w:tabs>
          <w:tab w:val="num" w:pos="1559"/>
        </w:tabs>
        <w:ind w:left="1559" w:hanging="567"/>
      </w:pPr>
      <w:rPr>
        <w:rFonts w:hint="default"/>
        <w:sz w:val="17"/>
      </w:rPr>
    </w:lvl>
    <w:lvl w:ilvl="3">
      <w:start w:val="1"/>
      <w:numFmt w:val="lowerLetter"/>
      <w:lvlText w:val="(%4)"/>
      <w:lvlJc w:val="left"/>
      <w:pPr>
        <w:tabs>
          <w:tab w:val="num" w:pos="2126"/>
        </w:tabs>
        <w:ind w:left="2126" w:hanging="567"/>
      </w:pPr>
      <w:rPr>
        <w:rFonts w:hint="default"/>
        <w:sz w:val="19"/>
      </w:rPr>
    </w:lvl>
    <w:lvl w:ilvl="4">
      <w:start w:val="1"/>
      <w:numFmt w:val="upperRoman"/>
      <w:lvlText w:val="(%5)"/>
      <w:lvlJc w:val="left"/>
      <w:pPr>
        <w:tabs>
          <w:tab w:val="num" w:pos="2693"/>
        </w:tabs>
        <w:ind w:left="2693" w:hanging="567"/>
      </w:pPr>
      <w:rPr>
        <w:rFonts w:hint="default"/>
        <w:sz w:val="19"/>
      </w:rPr>
    </w:lvl>
    <w:lvl w:ilvl="5">
      <w:start w:val="1"/>
      <w:numFmt w:val="upperLetter"/>
      <w:lvlText w:val="(%6)"/>
      <w:lvlJc w:val="left"/>
      <w:pPr>
        <w:tabs>
          <w:tab w:val="num" w:pos="3260"/>
        </w:tabs>
        <w:ind w:left="3260" w:hanging="567"/>
      </w:pPr>
      <w:rPr>
        <w:rFonts w:hint="default"/>
        <w:sz w:val="19"/>
      </w:rPr>
    </w:lvl>
    <w:lvl w:ilvl="6">
      <w:start w:val="1"/>
      <w:numFmt w:val="decimal"/>
      <w:lvlText w:val="%1.%2.%3.%4.%5.%6.%7"/>
      <w:lvlJc w:val="left"/>
      <w:pPr>
        <w:tabs>
          <w:tab w:val="num" w:pos="3827"/>
        </w:tabs>
        <w:ind w:left="3827" w:hanging="382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6"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63A6B58"/>
    <w:multiLevelType w:val="multilevel"/>
    <w:tmpl w:val="09BA6932"/>
    <w:numStyleLink w:val="LLbullet"/>
  </w:abstractNum>
  <w:abstractNum w:abstractNumId="28"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umStyleLink w:val="LLParties"/>
  </w:abstractNum>
  <w:abstractNum w:abstractNumId="33"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4" w15:restartNumberingAfterBreak="0">
    <w:nsid w:val="21DF2964"/>
    <w:multiLevelType w:val="multilevel"/>
    <w:tmpl w:val="3F4E1D08"/>
    <w:numStyleLink w:val="LLTableroman"/>
  </w:abstractNum>
  <w:abstractNum w:abstractNumId="35" w15:restartNumberingAfterBreak="0">
    <w:nsid w:val="265C4397"/>
    <w:multiLevelType w:val="multilevel"/>
    <w:tmpl w:val="F5AA3B4C"/>
    <w:numStyleLink w:val="LLTOC"/>
  </w:abstractNum>
  <w:abstractNum w:abstractNumId="36"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27D30D05"/>
    <w:multiLevelType w:val="multilevel"/>
    <w:tmpl w:val="E5326E0C"/>
    <w:numStyleLink w:val="LLHead"/>
  </w:abstractNum>
  <w:abstractNum w:abstractNumId="38"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9"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0" w15:restartNumberingAfterBreak="0">
    <w:nsid w:val="325637B4"/>
    <w:multiLevelType w:val="multilevel"/>
    <w:tmpl w:val="5770BC38"/>
    <w:numStyleLink w:val="LLdoublealpha"/>
  </w:abstractNum>
  <w:abstractNum w:abstractNumId="41" w15:restartNumberingAfterBreak="0">
    <w:nsid w:val="337A093D"/>
    <w:multiLevelType w:val="multilevel"/>
    <w:tmpl w:val="75BC11A0"/>
    <w:numStyleLink w:val="LLUCAlpha"/>
  </w:abstractNum>
  <w:abstractNum w:abstractNumId="42"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3" w15:restartNumberingAfterBreak="0">
    <w:nsid w:val="3CC34357"/>
    <w:multiLevelType w:val="multilevel"/>
    <w:tmpl w:val="E49E12C0"/>
    <w:styleLink w:val="LLBody"/>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44"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3F6369D8"/>
    <w:multiLevelType w:val="multilevel"/>
    <w:tmpl w:val="D4A44AA8"/>
    <w:numStyleLink w:val="LLengage"/>
  </w:abstractNum>
  <w:abstractNum w:abstractNumId="46"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7" w15:restartNumberingAfterBreak="0">
    <w:nsid w:val="446B7576"/>
    <w:multiLevelType w:val="hybridMultilevel"/>
    <w:tmpl w:val="06681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9"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0"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1" w15:restartNumberingAfterBreak="0">
    <w:nsid w:val="4E6B342E"/>
    <w:multiLevelType w:val="hybridMultilevel"/>
    <w:tmpl w:val="4EEACF48"/>
    <w:lvl w:ilvl="0" w:tplc="9AC290C2">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2" w15:restartNumberingAfterBreak="0">
    <w:nsid w:val="53C20CF1"/>
    <w:multiLevelType w:val="multilevel"/>
    <w:tmpl w:val="579ECC4A"/>
    <w:numStyleLink w:val="LLroman"/>
  </w:abstractNum>
  <w:abstractNum w:abstractNumId="53"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4" w15:restartNumberingAfterBreak="0">
    <w:nsid w:val="56F71436"/>
    <w:multiLevelType w:val="multilevel"/>
    <w:tmpl w:val="383CCEC4"/>
    <w:numStyleLink w:val="LLdashbullet"/>
  </w:abstractNum>
  <w:abstractNum w:abstractNumId="55" w15:restartNumberingAfterBreak="0">
    <w:nsid w:val="5E547DDA"/>
    <w:multiLevelType w:val="multilevel"/>
    <w:tmpl w:val="C054F7D8"/>
    <w:numStyleLink w:val="LLTablebullet"/>
  </w:abstractNum>
  <w:abstractNum w:abstractNumId="56"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8" w15:restartNumberingAfterBreak="0">
    <w:nsid w:val="6B8A6CAF"/>
    <w:multiLevelType w:val="multilevel"/>
    <w:tmpl w:val="E49E12C0"/>
    <w:numStyleLink w:val="LLBody"/>
  </w:abstractNum>
  <w:abstractNum w:abstractNumId="59" w15:restartNumberingAfterBreak="0">
    <w:nsid w:val="6D8721FF"/>
    <w:multiLevelType w:val="multilevel"/>
    <w:tmpl w:val="FF669768"/>
    <w:numStyleLink w:val="LLTablealpha"/>
  </w:abstractNum>
  <w:abstractNum w:abstractNumId="60" w15:restartNumberingAfterBreak="0">
    <w:nsid w:val="720A2EA5"/>
    <w:multiLevelType w:val="multilevel"/>
    <w:tmpl w:val="CD34D7B6"/>
    <w:numStyleLink w:val="FormCOBody"/>
  </w:abstractNum>
  <w:abstractNum w:abstractNumId="61"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2" w15:restartNumberingAfterBreak="0">
    <w:nsid w:val="7C260529"/>
    <w:multiLevelType w:val="multilevel"/>
    <w:tmpl w:val="F49C9BD6"/>
    <w:numStyleLink w:val="LLUCRoman"/>
  </w:abstractNum>
  <w:num w:numId="1">
    <w:abstractNumId w:val="50"/>
  </w:num>
  <w:num w:numId="2">
    <w:abstractNumId w:val="61"/>
  </w:num>
  <w:num w:numId="3">
    <w:abstractNumId w:val="42"/>
  </w:num>
  <w:num w:numId="4">
    <w:abstractNumId w:val="33"/>
  </w:num>
  <w:num w:numId="5">
    <w:abstractNumId w:val="48"/>
  </w:num>
  <w:num w:numId="6">
    <w:abstractNumId w:val="24"/>
  </w:num>
  <w:num w:numId="7">
    <w:abstractNumId w:val="14"/>
  </w:num>
  <w:num w:numId="8">
    <w:abstractNumId w:val="39"/>
  </w:num>
  <w:num w:numId="9">
    <w:abstractNumId w:val="28"/>
  </w:num>
  <w:num w:numId="10">
    <w:abstractNumId w:val="57"/>
  </w:num>
  <w:num w:numId="11">
    <w:abstractNumId w:val="22"/>
  </w:num>
  <w:num w:numId="12">
    <w:abstractNumId w:val="49"/>
  </w:num>
  <w:num w:numId="13">
    <w:abstractNumId w:val="20"/>
  </w:num>
  <w:num w:numId="14">
    <w:abstractNumId w:val="53"/>
  </w:num>
  <w:num w:numId="15">
    <w:abstractNumId w:val="31"/>
  </w:num>
  <w:num w:numId="16">
    <w:abstractNumId w:val="12"/>
  </w:num>
  <w:num w:numId="17">
    <w:abstractNumId w:val="46"/>
  </w:num>
  <w:num w:numId="18">
    <w:abstractNumId w:val="44"/>
  </w:num>
  <w:num w:numId="19">
    <w:abstractNumId w:val="17"/>
  </w:num>
  <w:num w:numId="20">
    <w:abstractNumId w:val="30"/>
  </w:num>
  <w:num w:numId="21">
    <w:abstractNumId w:val="35"/>
  </w:num>
  <w:num w:numId="22">
    <w:abstractNumId w:val="43"/>
  </w:num>
  <w:num w:numId="23">
    <w:abstractNumId w:val="16"/>
  </w:num>
  <w:num w:numId="24">
    <w:abstractNumId w:val="5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56"/>
  </w:num>
  <w:num w:numId="36">
    <w:abstractNumId w:val="26"/>
  </w:num>
  <w:num w:numId="37">
    <w:abstractNumId w:val="36"/>
  </w:num>
  <w:num w:numId="38">
    <w:abstractNumId w:val="29"/>
  </w:num>
  <w:num w:numId="39">
    <w:abstractNumId w:val="38"/>
  </w:num>
  <w:num w:numId="40">
    <w:abstractNumId w:val="60"/>
  </w:num>
  <w:num w:numId="41">
    <w:abstractNumId w:val="18"/>
  </w:num>
  <w:num w:numId="42">
    <w:abstractNumId w:val="54"/>
  </w:num>
  <w:num w:numId="43">
    <w:abstractNumId w:val="58"/>
  </w:num>
  <w:num w:numId="44">
    <w:abstractNumId w:val="27"/>
  </w:num>
  <w:num w:numId="45">
    <w:abstractNumId w:val="40"/>
  </w:num>
  <w:num w:numId="46">
    <w:abstractNumId w:val="45"/>
  </w:num>
  <w:num w:numId="47">
    <w:abstractNumId w:val="37"/>
  </w:num>
  <w:num w:numId="48">
    <w:abstractNumId w:val="15"/>
  </w:num>
  <w:num w:numId="49">
    <w:abstractNumId w:val="32"/>
  </w:num>
  <w:num w:numId="50">
    <w:abstractNumId w:val="11"/>
  </w:num>
  <w:num w:numId="51">
    <w:abstractNumId w:val="52"/>
  </w:num>
  <w:num w:numId="52">
    <w:abstractNumId w:val="13"/>
  </w:num>
  <w:num w:numId="53">
    <w:abstractNumId w:val="23"/>
  </w:num>
  <w:num w:numId="54">
    <w:abstractNumId w:val="19"/>
  </w:num>
  <w:num w:numId="55">
    <w:abstractNumId w:val="21"/>
  </w:num>
  <w:num w:numId="56">
    <w:abstractNumId w:val="59"/>
  </w:num>
  <w:num w:numId="57">
    <w:abstractNumId w:val="34"/>
  </w:num>
  <w:num w:numId="58">
    <w:abstractNumId w:val="41"/>
  </w:num>
  <w:num w:numId="59">
    <w:abstractNumId w:val="62"/>
  </w:num>
  <w:num w:numId="60">
    <w:abstractNumId w:val="10"/>
  </w:num>
  <w:num w:numId="61">
    <w:abstractNumId w:val="51"/>
  </w:num>
  <w:num w:numId="62">
    <w:abstractNumId w:val="25"/>
  </w:num>
  <w:num w:numId="63">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s>
  <w:rsids>
    <w:rsidRoot w:val="0067575F"/>
    <w:rsid w:val="00004861"/>
    <w:rsid w:val="00021833"/>
    <w:rsid w:val="0002770F"/>
    <w:rsid w:val="00037492"/>
    <w:rsid w:val="00042981"/>
    <w:rsid w:val="000508EF"/>
    <w:rsid w:val="00062A85"/>
    <w:rsid w:val="00072B06"/>
    <w:rsid w:val="00075BA9"/>
    <w:rsid w:val="0007706F"/>
    <w:rsid w:val="00081621"/>
    <w:rsid w:val="000921C6"/>
    <w:rsid w:val="00096B30"/>
    <w:rsid w:val="000B6312"/>
    <w:rsid w:val="000D5842"/>
    <w:rsid w:val="000E5B96"/>
    <w:rsid w:val="00112520"/>
    <w:rsid w:val="001163CC"/>
    <w:rsid w:val="00156A53"/>
    <w:rsid w:val="00160754"/>
    <w:rsid w:val="00160AA6"/>
    <w:rsid w:val="001824E6"/>
    <w:rsid w:val="001A3942"/>
    <w:rsid w:val="001B052B"/>
    <w:rsid w:val="001B27B2"/>
    <w:rsid w:val="001C6A07"/>
    <w:rsid w:val="001E155F"/>
    <w:rsid w:val="002063E8"/>
    <w:rsid w:val="00212E3B"/>
    <w:rsid w:val="00217242"/>
    <w:rsid w:val="00217AC6"/>
    <w:rsid w:val="00227E22"/>
    <w:rsid w:val="00234887"/>
    <w:rsid w:val="00240899"/>
    <w:rsid w:val="00244B87"/>
    <w:rsid w:val="00270EB9"/>
    <w:rsid w:val="002774DB"/>
    <w:rsid w:val="00282FCB"/>
    <w:rsid w:val="002A6A04"/>
    <w:rsid w:val="002B2A5F"/>
    <w:rsid w:val="002D0F1F"/>
    <w:rsid w:val="002F5B77"/>
    <w:rsid w:val="003001E5"/>
    <w:rsid w:val="00304CBF"/>
    <w:rsid w:val="00323FE9"/>
    <w:rsid w:val="00327787"/>
    <w:rsid w:val="00350E2D"/>
    <w:rsid w:val="00371AB7"/>
    <w:rsid w:val="003940E5"/>
    <w:rsid w:val="003A1BEE"/>
    <w:rsid w:val="003A2737"/>
    <w:rsid w:val="003A2AB7"/>
    <w:rsid w:val="003A4194"/>
    <w:rsid w:val="003A683A"/>
    <w:rsid w:val="003B0964"/>
    <w:rsid w:val="003B0B81"/>
    <w:rsid w:val="003B5271"/>
    <w:rsid w:val="003B62B0"/>
    <w:rsid w:val="003F7B2A"/>
    <w:rsid w:val="00406FFB"/>
    <w:rsid w:val="00411DF4"/>
    <w:rsid w:val="00414908"/>
    <w:rsid w:val="00485155"/>
    <w:rsid w:val="00485C95"/>
    <w:rsid w:val="0048643A"/>
    <w:rsid w:val="004B2229"/>
    <w:rsid w:val="004C1B6F"/>
    <w:rsid w:val="004C3271"/>
    <w:rsid w:val="004C3DA7"/>
    <w:rsid w:val="004C5DA6"/>
    <w:rsid w:val="004E018A"/>
    <w:rsid w:val="00502F67"/>
    <w:rsid w:val="005136B7"/>
    <w:rsid w:val="00514E78"/>
    <w:rsid w:val="005230D3"/>
    <w:rsid w:val="005832EE"/>
    <w:rsid w:val="00583717"/>
    <w:rsid w:val="00595D34"/>
    <w:rsid w:val="005D0D46"/>
    <w:rsid w:val="005E3920"/>
    <w:rsid w:val="005F726F"/>
    <w:rsid w:val="00600556"/>
    <w:rsid w:val="00606A61"/>
    <w:rsid w:val="00606BD0"/>
    <w:rsid w:val="00621C21"/>
    <w:rsid w:val="006362D6"/>
    <w:rsid w:val="00644326"/>
    <w:rsid w:val="00653618"/>
    <w:rsid w:val="00667BE6"/>
    <w:rsid w:val="0067575F"/>
    <w:rsid w:val="006912E0"/>
    <w:rsid w:val="006A7AEA"/>
    <w:rsid w:val="006B05C6"/>
    <w:rsid w:val="006B48F2"/>
    <w:rsid w:val="006D168C"/>
    <w:rsid w:val="006E52F9"/>
    <w:rsid w:val="00703610"/>
    <w:rsid w:val="00703AAF"/>
    <w:rsid w:val="0070783C"/>
    <w:rsid w:val="007147A3"/>
    <w:rsid w:val="00725E64"/>
    <w:rsid w:val="00762743"/>
    <w:rsid w:val="00782908"/>
    <w:rsid w:val="007939AF"/>
    <w:rsid w:val="007A03DD"/>
    <w:rsid w:val="007B17F3"/>
    <w:rsid w:val="007B1C4D"/>
    <w:rsid w:val="007D1E0B"/>
    <w:rsid w:val="007F5EC5"/>
    <w:rsid w:val="00817F9D"/>
    <w:rsid w:val="008328BD"/>
    <w:rsid w:val="00834AEC"/>
    <w:rsid w:val="00836E6A"/>
    <w:rsid w:val="0084230F"/>
    <w:rsid w:val="008843B2"/>
    <w:rsid w:val="00893677"/>
    <w:rsid w:val="008A71D0"/>
    <w:rsid w:val="008B1D97"/>
    <w:rsid w:val="008B2EBD"/>
    <w:rsid w:val="008C55B6"/>
    <w:rsid w:val="008D2E1E"/>
    <w:rsid w:val="008F08D7"/>
    <w:rsid w:val="008F653C"/>
    <w:rsid w:val="009111BE"/>
    <w:rsid w:val="0092720F"/>
    <w:rsid w:val="0093377B"/>
    <w:rsid w:val="009420B5"/>
    <w:rsid w:val="00955962"/>
    <w:rsid w:val="00956AFB"/>
    <w:rsid w:val="0098164B"/>
    <w:rsid w:val="00982898"/>
    <w:rsid w:val="009A7A10"/>
    <w:rsid w:val="009B5985"/>
    <w:rsid w:val="009C44A0"/>
    <w:rsid w:val="009C500A"/>
    <w:rsid w:val="009F02DB"/>
    <w:rsid w:val="00A03ADA"/>
    <w:rsid w:val="00A0455F"/>
    <w:rsid w:val="00A170EE"/>
    <w:rsid w:val="00A26219"/>
    <w:rsid w:val="00A34CE2"/>
    <w:rsid w:val="00A351AA"/>
    <w:rsid w:val="00A4240F"/>
    <w:rsid w:val="00A47253"/>
    <w:rsid w:val="00A6353E"/>
    <w:rsid w:val="00A6485C"/>
    <w:rsid w:val="00A649DE"/>
    <w:rsid w:val="00A87828"/>
    <w:rsid w:val="00A90873"/>
    <w:rsid w:val="00A95CA7"/>
    <w:rsid w:val="00AB1E95"/>
    <w:rsid w:val="00AB26A1"/>
    <w:rsid w:val="00AC08BF"/>
    <w:rsid w:val="00AC73A1"/>
    <w:rsid w:val="00AC7E95"/>
    <w:rsid w:val="00AF56D5"/>
    <w:rsid w:val="00AF69C6"/>
    <w:rsid w:val="00B07FC8"/>
    <w:rsid w:val="00B152C6"/>
    <w:rsid w:val="00B17CA9"/>
    <w:rsid w:val="00B20A88"/>
    <w:rsid w:val="00B242E7"/>
    <w:rsid w:val="00B2478C"/>
    <w:rsid w:val="00B27419"/>
    <w:rsid w:val="00B34F24"/>
    <w:rsid w:val="00B40FF7"/>
    <w:rsid w:val="00B416FE"/>
    <w:rsid w:val="00B510CB"/>
    <w:rsid w:val="00B71AA0"/>
    <w:rsid w:val="00B74550"/>
    <w:rsid w:val="00B77D72"/>
    <w:rsid w:val="00B87837"/>
    <w:rsid w:val="00B922A0"/>
    <w:rsid w:val="00BA0253"/>
    <w:rsid w:val="00BB0A00"/>
    <w:rsid w:val="00BB7A29"/>
    <w:rsid w:val="00BC1E1A"/>
    <w:rsid w:val="00BC5681"/>
    <w:rsid w:val="00BD164D"/>
    <w:rsid w:val="00BD1781"/>
    <w:rsid w:val="00BD1C1D"/>
    <w:rsid w:val="00BD4334"/>
    <w:rsid w:val="00BF116A"/>
    <w:rsid w:val="00C07CF6"/>
    <w:rsid w:val="00C35413"/>
    <w:rsid w:val="00C36F4B"/>
    <w:rsid w:val="00C41222"/>
    <w:rsid w:val="00C4308B"/>
    <w:rsid w:val="00C543FE"/>
    <w:rsid w:val="00C56D76"/>
    <w:rsid w:val="00C812E8"/>
    <w:rsid w:val="00C82590"/>
    <w:rsid w:val="00C85350"/>
    <w:rsid w:val="00CB60C1"/>
    <w:rsid w:val="00CC592F"/>
    <w:rsid w:val="00CC639B"/>
    <w:rsid w:val="00CE1FA5"/>
    <w:rsid w:val="00CE27E4"/>
    <w:rsid w:val="00CF1782"/>
    <w:rsid w:val="00CF562E"/>
    <w:rsid w:val="00D23A38"/>
    <w:rsid w:val="00D7347A"/>
    <w:rsid w:val="00D756EF"/>
    <w:rsid w:val="00D76285"/>
    <w:rsid w:val="00DB5A0B"/>
    <w:rsid w:val="00DD0C3A"/>
    <w:rsid w:val="00DD3BC6"/>
    <w:rsid w:val="00DD567D"/>
    <w:rsid w:val="00DE018B"/>
    <w:rsid w:val="00DE041E"/>
    <w:rsid w:val="00E02078"/>
    <w:rsid w:val="00E04A33"/>
    <w:rsid w:val="00E101A4"/>
    <w:rsid w:val="00E13E37"/>
    <w:rsid w:val="00E14543"/>
    <w:rsid w:val="00E257C1"/>
    <w:rsid w:val="00E30A7F"/>
    <w:rsid w:val="00E34498"/>
    <w:rsid w:val="00E55E44"/>
    <w:rsid w:val="00E767F1"/>
    <w:rsid w:val="00E929C9"/>
    <w:rsid w:val="00EB4A42"/>
    <w:rsid w:val="00EE41BE"/>
    <w:rsid w:val="00F056B2"/>
    <w:rsid w:val="00F12D94"/>
    <w:rsid w:val="00F13A3A"/>
    <w:rsid w:val="00F17C54"/>
    <w:rsid w:val="00F22D19"/>
    <w:rsid w:val="00F235F7"/>
    <w:rsid w:val="00F23C07"/>
    <w:rsid w:val="00F56BF5"/>
    <w:rsid w:val="00F9718A"/>
    <w:rsid w:val="00F978CE"/>
    <w:rsid w:val="00FA701E"/>
    <w:rsid w:val="00FB1D85"/>
    <w:rsid w:val="00FB27DD"/>
    <w:rsid w:val="00FC273F"/>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BCAFC"/>
  <w15:chartTrackingRefBased/>
  <w15:docId w15:val="{874560FF-20F2-4E21-8FAE-1994D3B1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5F"/>
    <w:pPr>
      <w:spacing w:after="140" w:line="290" w:lineRule="auto"/>
    </w:pPr>
    <w:rPr>
      <w:rFonts w:ascii="Times New Roman" w:eastAsia="Times New Roman" w:hAnsi="Times New Roman" w:cs="Times New Roman"/>
      <w:kern w:val="20"/>
      <w:sz w:val="20"/>
      <w:szCs w:val="20"/>
    </w:rPr>
  </w:style>
  <w:style w:type="paragraph" w:styleId="Heading1">
    <w:name w:val="heading 1"/>
    <w:basedOn w:val="Normal"/>
    <w:next w:val="Normal"/>
    <w:link w:val="Heading1Char"/>
    <w:unhideWhenUsed/>
    <w:rsid w:val="00411DF4"/>
    <w:pPr>
      <w:numPr>
        <w:numId w:val="37"/>
      </w:numPr>
      <w:outlineLvl w:val="0"/>
    </w:pPr>
    <w:rPr>
      <w:rFonts w:cs="Arial"/>
      <w:bCs/>
      <w:szCs w:val="32"/>
      <w:lang w:eastAsia="en-GB"/>
    </w:rPr>
  </w:style>
  <w:style w:type="paragraph" w:styleId="Heading2">
    <w:name w:val="heading 2"/>
    <w:basedOn w:val="Normal"/>
    <w:next w:val="Normal"/>
    <w:link w:val="Heading2Char"/>
    <w:unhideWhenUsed/>
    <w:qFormat/>
    <w:rsid w:val="00411DF4"/>
    <w:pPr>
      <w:numPr>
        <w:ilvl w:val="1"/>
        <w:numId w:val="37"/>
      </w:numPr>
      <w:outlineLvl w:val="1"/>
    </w:pPr>
    <w:rPr>
      <w:rFonts w:cs="Arial"/>
      <w:bCs/>
      <w:iCs/>
      <w:szCs w:val="28"/>
      <w:lang w:eastAsia="en-GB"/>
    </w:rPr>
  </w:style>
  <w:style w:type="paragraph" w:styleId="Heading3">
    <w:name w:val="heading 3"/>
    <w:basedOn w:val="Normal"/>
    <w:next w:val="Normal"/>
    <w:link w:val="Heading3Char"/>
    <w:unhideWhenUsed/>
    <w:qFormat/>
    <w:rsid w:val="00411DF4"/>
    <w:pPr>
      <w:numPr>
        <w:ilvl w:val="2"/>
        <w:numId w:val="37"/>
      </w:numPr>
      <w:outlineLvl w:val="2"/>
    </w:pPr>
    <w:rPr>
      <w:rFonts w:cs="Arial"/>
      <w:bCs/>
      <w:szCs w:val="26"/>
      <w:lang w:eastAsia="en-GB"/>
    </w:rPr>
  </w:style>
  <w:style w:type="paragraph" w:styleId="Heading4">
    <w:name w:val="heading 4"/>
    <w:basedOn w:val="Normal"/>
    <w:next w:val="Normal"/>
    <w:link w:val="Heading4Char"/>
    <w:unhideWhenUsed/>
    <w:qFormat/>
    <w:rsid w:val="00411DF4"/>
    <w:pPr>
      <w:numPr>
        <w:ilvl w:val="3"/>
        <w:numId w:val="37"/>
      </w:numPr>
      <w:outlineLvl w:val="3"/>
    </w:pPr>
    <w:rPr>
      <w:bCs/>
      <w:szCs w:val="28"/>
      <w:lang w:eastAsia="en-GB"/>
    </w:rPr>
  </w:style>
  <w:style w:type="paragraph" w:styleId="Heading5">
    <w:name w:val="heading 5"/>
    <w:basedOn w:val="Normal"/>
    <w:next w:val="Normal"/>
    <w:link w:val="Heading5Char"/>
    <w:unhideWhenUsed/>
    <w:qFormat/>
    <w:rsid w:val="00411DF4"/>
    <w:pPr>
      <w:numPr>
        <w:ilvl w:val="4"/>
        <w:numId w:val="37"/>
      </w:numPr>
      <w:outlineLvl w:val="4"/>
    </w:pPr>
    <w:rPr>
      <w:bCs/>
      <w:iCs/>
      <w:szCs w:val="26"/>
      <w:lang w:eastAsia="en-GB"/>
    </w:rPr>
  </w:style>
  <w:style w:type="paragraph" w:styleId="Heading6">
    <w:name w:val="heading 6"/>
    <w:basedOn w:val="Normal"/>
    <w:next w:val="Normal"/>
    <w:link w:val="Heading6Char"/>
    <w:unhideWhenUsed/>
    <w:qFormat/>
    <w:rsid w:val="00411DF4"/>
    <w:pPr>
      <w:numPr>
        <w:ilvl w:val="5"/>
        <w:numId w:val="37"/>
      </w:numPr>
      <w:outlineLvl w:val="5"/>
    </w:pPr>
    <w:rPr>
      <w:bCs/>
      <w:lang w:eastAsia="en-GB"/>
    </w:rPr>
  </w:style>
  <w:style w:type="paragraph" w:styleId="Heading7">
    <w:name w:val="heading 7"/>
    <w:basedOn w:val="Normal"/>
    <w:next w:val="Normal"/>
    <w:link w:val="Heading7Char"/>
    <w:unhideWhenUsed/>
    <w:qFormat/>
    <w:rsid w:val="00411DF4"/>
    <w:pPr>
      <w:numPr>
        <w:ilvl w:val="6"/>
        <w:numId w:val="37"/>
      </w:numPr>
      <w:outlineLvl w:val="6"/>
    </w:pPr>
    <w:rPr>
      <w:szCs w:val="24"/>
      <w:lang w:eastAsia="en-GB"/>
    </w:rPr>
  </w:style>
  <w:style w:type="paragraph" w:styleId="Heading8">
    <w:name w:val="heading 8"/>
    <w:basedOn w:val="Normal"/>
    <w:next w:val="Normal"/>
    <w:link w:val="Heading8Char"/>
    <w:unhideWhenUsed/>
    <w:qFormat/>
    <w:rsid w:val="00411DF4"/>
    <w:pPr>
      <w:numPr>
        <w:ilvl w:val="7"/>
        <w:numId w:val="37"/>
      </w:numPr>
      <w:outlineLvl w:val="7"/>
    </w:pPr>
    <w:rPr>
      <w:iCs/>
      <w:szCs w:val="24"/>
      <w:lang w:eastAsia="en-GB"/>
    </w:rPr>
  </w:style>
  <w:style w:type="paragraph" w:styleId="Heading9">
    <w:name w:val="heading 9"/>
    <w:basedOn w:val="Normal"/>
    <w:next w:val="Normal"/>
    <w:link w:val="Heading9Char"/>
    <w:unhideWhenUsed/>
    <w:qFormat/>
    <w:rsid w:val="00411DF4"/>
    <w:pPr>
      <w:numPr>
        <w:ilvl w:val="8"/>
        <w:numId w:val="37"/>
      </w:numPr>
      <w:outlineLvl w:val="8"/>
    </w:pPr>
    <w:rPr>
      <w:rFonts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style>
  <w:style w:type="paragraph" w:customStyle="1" w:styleId="zFSDate">
    <w:name w:val="zFSDate"/>
    <w:basedOn w:val="Normal"/>
    <w:uiPriority w:val="99"/>
    <w:semiHidden/>
    <w:unhideWhenUsed/>
    <w:rsid w:val="00AF69C6"/>
    <w:pPr>
      <w:spacing w:before="80" w:after="80"/>
    </w:pPr>
    <w:rPr>
      <w:sz w:val="24"/>
    </w:rPr>
  </w:style>
  <w:style w:type="paragraph" w:customStyle="1" w:styleId="zFSco-names">
    <w:name w:val="zFSco-names"/>
    <w:basedOn w:val="Normal"/>
    <w:next w:val="zFSand"/>
    <w:uiPriority w:val="99"/>
    <w:semiHidden/>
    <w:unhideWhenUsed/>
    <w:rsid w:val="0093377B"/>
    <w:pPr>
      <w:spacing w:before="120" w:after="120"/>
    </w:pPr>
    <w:rPr>
      <w:rFonts w:eastAsia="SimSu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pPr>
    <w:rPr>
      <w:rFonts w:eastAsia="SimSun"/>
    </w:rPr>
  </w:style>
  <w:style w:type="paragraph" w:customStyle="1" w:styleId="zFSNarrative">
    <w:name w:val="zFSNarrative"/>
    <w:basedOn w:val="Normal"/>
    <w:uiPriority w:val="99"/>
    <w:semiHidden/>
    <w:unhideWhenUsed/>
    <w:rsid w:val="00AF69C6"/>
    <w:pPr>
      <w:spacing w:before="60" w:after="60"/>
    </w:pPr>
    <w:rPr>
      <w:color w:val="000000" w:themeColor="text1"/>
      <w:sz w:val="24"/>
    </w:rPr>
  </w:style>
  <w:style w:type="paragraph" w:customStyle="1" w:styleId="zFSTitle">
    <w:name w:val="zFSTitle"/>
    <w:basedOn w:val="Normal"/>
    <w:uiPriority w:val="99"/>
    <w:semiHidden/>
    <w:unhideWhenUsed/>
    <w:rsid w:val="00AF69C6"/>
    <w:pPr>
      <w:spacing w:before="60" w:after="60"/>
    </w:pPr>
    <w:rPr>
      <w:color w:val="AF005F" w:themeColor="text2"/>
      <w:sz w:val="36"/>
      <w:szCs w:val="32"/>
    </w:rPr>
  </w:style>
  <w:style w:type="paragraph" w:customStyle="1" w:styleId="zFSAddress">
    <w:name w:val="zFSAddress"/>
    <w:basedOn w:val="Normal"/>
    <w:uiPriority w:val="99"/>
    <w:semiHidden/>
    <w:unhideWhenUsed/>
    <w:rsid w:val="00A6485C"/>
    <w:rPr>
      <w:kern w:val="16"/>
      <w:sz w:val="16"/>
    </w:rPr>
  </w:style>
  <w:style w:type="paragraph" w:customStyle="1" w:styleId="zFSTel">
    <w:name w:val="zFSTel"/>
    <w:basedOn w:val="Normal"/>
    <w:uiPriority w:val="99"/>
    <w:semiHidden/>
    <w:unhideWhenUsed/>
    <w:rsid w:val="00A6485C"/>
    <w:rPr>
      <w:kern w:val="16"/>
      <w:sz w:val="16"/>
    </w:rPr>
  </w:style>
  <w:style w:type="paragraph" w:customStyle="1" w:styleId="zFSFax">
    <w:name w:val="zFSFax"/>
    <w:basedOn w:val="Normal"/>
    <w:uiPriority w:val="99"/>
    <w:semiHidden/>
    <w:unhideWhenUsed/>
    <w:rsid w:val="00A6485C"/>
    <w:rPr>
      <w:kern w:val="16"/>
      <w:sz w:val="16"/>
    </w:rPr>
  </w:style>
  <w:style w:type="paragraph" w:customStyle="1" w:styleId="zSFRef">
    <w:name w:val="zSFRef"/>
    <w:basedOn w:val="Normal"/>
    <w:uiPriority w:val="99"/>
    <w:semiHidden/>
    <w:unhideWhenUsed/>
    <w:rsid w:val="00AF69C6"/>
    <w:rPr>
      <w:kern w:val="16"/>
      <w:sz w:val="16"/>
    </w:rPr>
  </w:style>
  <w:style w:type="paragraph" w:customStyle="1" w:styleId="zFSAddress2">
    <w:name w:val="zFSAddress2"/>
    <w:basedOn w:val="Normal"/>
    <w:uiPriority w:val="99"/>
    <w:semiHidden/>
    <w:unhideWhenUsed/>
    <w:rsid w:val="00A6485C"/>
    <w:rPr>
      <w:kern w:val="16"/>
      <w:sz w:val="16"/>
    </w:rPr>
  </w:style>
  <w:style w:type="paragraph" w:customStyle="1" w:styleId="Body">
    <w:name w:val="Body"/>
    <w:basedOn w:val="Normal"/>
    <w:rsid w:val="00BB7A29"/>
    <w:pPr>
      <w:jc w:val="both"/>
    </w:pPr>
  </w:style>
  <w:style w:type="paragraph" w:styleId="Header">
    <w:name w:val="header"/>
    <w:basedOn w:val="Normal"/>
    <w:link w:val="HeaderChar"/>
    <w:unhideWhenUsed/>
    <w:rsid w:val="00CF1782"/>
    <w:pPr>
      <w:tabs>
        <w:tab w:val="center" w:pos="4366"/>
        <w:tab w:val="right" w:pos="8732"/>
      </w:tabs>
    </w:pPr>
    <w:rPr>
      <w:szCs w:val="24"/>
      <w:lang w:eastAsia="en-GB"/>
    </w:rPr>
  </w:style>
  <w:style w:type="character" w:customStyle="1" w:styleId="Heading1Char">
    <w:name w:val="Heading 1 Char"/>
    <w:basedOn w:val="DefaultParagraphFont"/>
    <w:link w:val="Heading1"/>
    <w:rsid w:val="00FE583B"/>
    <w:rPr>
      <w:rFonts w:ascii="Arial" w:eastAsia="Times New Roman" w:hAnsi="Arial" w:cs="Arial"/>
      <w:bCs/>
      <w:sz w:val="20"/>
      <w:szCs w:val="32"/>
      <w:lang w:eastAsia="en-GB"/>
    </w:rPr>
  </w:style>
  <w:style w:type="paragraph" w:styleId="Footer">
    <w:name w:val="footer"/>
    <w:basedOn w:val="Normal"/>
    <w:link w:val="FooterChar"/>
    <w:uiPriority w:val="99"/>
    <w:unhideWhenUsed/>
    <w:rsid w:val="00606BD0"/>
    <w:pPr>
      <w:spacing w:before="120" w:after="120"/>
      <w:jc w:val="both"/>
    </w:pPr>
    <w:rPr>
      <w:sz w:val="16"/>
    </w:rPr>
  </w:style>
  <w:style w:type="character" w:customStyle="1" w:styleId="FooterChar">
    <w:name w:val="Footer Char"/>
    <w:basedOn w:val="DefaultParagraphFont"/>
    <w:link w:val="Footer"/>
    <w:uiPriority w:val="99"/>
    <w:rsid w:val="00FE583B"/>
    <w:rPr>
      <w:rFonts w:ascii="Arial" w:hAnsi="Arial"/>
      <w:sz w:val="16"/>
    </w:rPr>
  </w:style>
  <w:style w:type="paragraph" w:customStyle="1" w:styleId="alpha1">
    <w:name w:val="alpha 1"/>
    <w:basedOn w:val="Normal"/>
    <w:rsid w:val="00D23A38"/>
    <w:pPr>
      <w:numPr>
        <w:numId w:val="41"/>
      </w:numPr>
      <w:jc w:val="both"/>
      <w:outlineLvl w:val="0"/>
    </w:pPr>
  </w:style>
  <w:style w:type="paragraph" w:customStyle="1" w:styleId="alpha2">
    <w:name w:val="alpha 2"/>
    <w:basedOn w:val="Normal"/>
    <w:rsid w:val="00D23A38"/>
    <w:pPr>
      <w:numPr>
        <w:ilvl w:val="1"/>
        <w:numId w:val="41"/>
      </w:numPr>
      <w:jc w:val="both"/>
      <w:outlineLvl w:val="1"/>
    </w:pPr>
  </w:style>
  <w:style w:type="paragraph" w:customStyle="1" w:styleId="alpha3">
    <w:name w:val="alpha 3"/>
    <w:basedOn w:val="Normal"/>
    <w:rsid w:val="00D23A38"/>
    <w:pPr>
      <w:numPr>
        <w:ilvl w:val="2"/>
        <w:numId w:val="41"/>
      </w:numPr>
      <w:jc w:val="both"/>
      <w:outlineLvl w:val="2"/>
    </w:pPr>
  </w:style>
  <w:style w:type="paragraph" w:customStyle="1" w:styleId="alpha4">
    <w:name w:val="alpha 4"/>
    <w:basedOn w:val="Normal"/>
    <w:rsid w:val="00D23A38"/>
    <w:pPr>
      <w:numPr>
        <w:ilvl w:val="3"/>
        <w:numId w:val="41"/>
      </w:numPr>
      <w:jc w:val="both"/>
      <w:outlineLvl w:val="3"/>
    </w:pPr>
  </w:style>
  <w:style w:type="paragraph" w:customStyle="1" w:styleId="alpha5">
    <w:name w:val="alpha 5"/>
    <w:basedOn w:val="Normal"/>
    <w:rsid w:val="00D23A38"/>
    <w:pPr>
      <w:numPr>
        <w:ilvl w:val="4"/>
        <w:numId w:val="41"/>
      </w:numPr>
      <w:jc w:val="both"/>
      <w:outlineLvl w:val="4"/>
    </w:pPr>
  </w:style>
  <w:style w:type="paragraph" w:customStyle="1" w:styleId="alpha6">
    <w:name w:val="alpha 6"/>
    <w:basedOn w:val="Normal"/>
    <w:rsid w:val="00D23A38"/>
    <w:pPr>
      <w:numPr>
        <w:ilvl w:val="5"/>
        <w:numId w:val="41"/>
      </w:numPr>
      <w:jc w:val="both"/>
      <w:outlineLvl w:val="5"/>
    </w:pPr>
  </w:style>
  <w:style w:type="paragraph" w:customStyle="1" w:styleId="Body1">
    <w:name w:val="Body 1"/>
    <w:basedOn w:val="Normal"/>
    <w:rsid w:val="00BA0253"/>
    <w:pPr>
      <w:ind w:left="680"/>
      <w:jc w:val="both"/>
    </w:pPr>
  </w:style>
  <w:style w:type="paragraph" w:customStyle="1" w:styleId="Body2">
    <w:name w:val="Body 2"/>
    <w:basedOn w:val="Normal"/>
    <w:rsid w:val="00BA0253"/>
    <w:pPr>
      <w:ind w:left="680"/>
      <w:jc w:val="both"/>
    </w:pPr>
  </w:style>
  <w:style w:type="paragraph" w:customStyle="1" w:styleId="Body3">
    <w:name w:val="Body 3"/>
    <w:basedOn w:val="Normal"/>
    <w:rsid w:val="00BA0253"/>
    <w:pPr>
      <w:ind w:left="1361"/>
      <w:jc w:val="both"/>
    </w:pPr>
  </w:style>
  <w:style w:type="paragraph" w:customStyle="1" w:styleId="Body4">
    <w:name w:val="Body 4"/>
    <w:basedOn w:val="Normal"/>
    <w:rsid w:val="00BA0253"/>
    <w:pPr>
      <w:ind w:left="2041"/>
      <w:jc w:val="both"/>
    </w:pPr>
  </w:style>
  <w:style w:type="paragraph" w:customStyle="1" w:styleId="Body5">
    <w:name w:val="Body 5"/>
    <w:basedOn w:val="Normal"/>
    <w:rsid w:val="00BA0253"/>
    <w:pPr>
      <w:ind w:left="2722"/>
      <w:jc w:val="both"/>
    </w:pPr>
  </w:style>
  <w:style w:type="paragraph" w:customStyle="1" w:styleId="Body6">
    <w:name w:val="Body 6"/>
    <w:basedOn w:val="Normal"/>
    <w:rsid w:val="00BA0253"/>
    <w:pPr>
      <w:ind w:left="3402"/>
      <w:jc w:val="both"/>
    </w:pPr>
  </w:style>
  <w:style w:type="paragraph" w:customStyle="1" w:styleId="bullet1">
    <w:name w:val="bullet 1"/>
    <w:basedOn w:val="Normal"/>
    <w:rsid w:val="00D23A38"/>
    <w:pPr>
      <w:numPr>
        <w:numId w:val="44"/>
      </w:numPr>
      <w:jc w:val="both"/>
      <w:outlineLvl w:val="0"/>
    </w:pPr>
  </w:style>
  <w:style w:type="paragraph" w:customStyle="1" w:styleId="bullet2">
    <w:name w:val="bullet 2"/>
    <w:basedOn w:val="Normal"/>
    <w:rsid w:val="00D23A38"/>
    <w:pPr>
      <w:numPr>
        <w:ilvl w:val="1"/>
        <w:numId w:val="44"/>
      </w:numPr>
      <w:jc w:val="both"/>
      <w:outlineLvl w:val="1"/>
    </w:pPr>
  </w:style>
  <w:style w:type="paragraph" w:customStyle="1" w:styleId="bullet3">
    <w:name w:val="bullet 3"/>
    <w:basedOn w:val="Normal"/>
    <w:rsid w:val="00D23A38"/>
    <w:pPr>
      <w:numPr>
        <w:ilvl w:val="2"/>
        <w:numId w:val="44"/>
      </w:numPr>
      <w:jc w:val="both"/>
      <w:outlineLvl w:val="2"/>
    </w:pPr>
  </w:style>
  <w:style w:type="paragraph" w:customStyle="1" w:styleId="bullet4">
    <w:name w:val="bullet 4"/>
    <w:basedOn w:val="Normal"/>
    <w:rsid w:val="00D23A38"/>
    <w:pPr>
      <w:numPr>
        <w:ilvl w:val="3"/>
        <w:numId w:val="44"/>
      </w:numPr>
      <w:jc w:val="both"/>
      <w:outlineLvl w:val="3"/>
    </w:pPr>
  </w:style>
  <w:style w:type="paragraph" w:customStyle="1" w:styleId="bullet5">
    <w:name w:val="bullet 5"/>
    <w:basedOn w:val="Normal"/>
    <w:rsid w:val="00D23A38"/>
    <w:pPr>
      <w:numPr>
        <w:ilvl w:val="4"/>
        <w:numId w:val="44"/>
      </w:numPr>
      <w:jc w:val="both"/>
      <w:outlineLvl w:val="4"/>
    </w:pPr>
  </w:style>
  <w:style w:type="paragraph" w:customStyle="1" w:styleId="bullet6">
    <w:name w:val="bullet 6"/>
    <w:basedOn w:val="Normal"/>
    <w:rsid w:val="00D23A38"/>
    <w:pPr>
      <w:numPr>
        <w:ilvl w:val="5"/>
        <w:numId w:val="44"/>
      </w:numPr>
      <w:jc w:val="both"/>
      <w:outlineLvl w:val="5"/>
    </w:pPr>
  </w:style>
  <w:style w:type="paragraph" w:customStyle="1" w:styleId="CellBody">
    <w:name w:val="CellBody"/>
    <w:basedOn w:val="Normal"/>
    <w:rsid w:val="00502F67"/>
    <w:pPr>
      <w:spacing w:before="60" w:after="60"/>
    </w:pPr>
  </w:style>
  <w:style w:type="paragraph" w:customStyle="1" w:styleId="CellHead">
    <w:name w:val="CellHead"/>
    <w:basedOn w:val="Normal"/>
    <w:rsid w:val="00F978CE"/>
    <w:pPr>
      <w:keepNext/>
      <w:spacing w:before="60" w:after="60" w:line="259" w:lineRule="auto"/>
    </w:pPr>
    <w:rPr>
      <w:b/>
    </w:rPr>
  </w:style>
  <w:style w:type="paragraph" w:customStyle="1" w:styleId="dashbullet1">
    <w:name w:val="dash bullet 1"/>
    <w:basedOn w:val="Normal"/>
    <w:rsid w:val="00D23A38"/>
    <w:pPr>
      <w:numPr>
        <w:numId w:val="42"/>
      </w:numPr>
      <w:jc w:val="both"/>
      <w:outlineLvl w:val="0"/>
    </w:pPr>
  </w:style>
  <w:style w:type="paragraph" w:customStyle="1" w:styleId="dashbullet2">
    <w:name w:val="dash bullet 2"/>
    <w:basedOn w:val="Normal"/>
    <w:rsid w:val="00D23A38"/>
    <w:pPr>
      <w:numPr>
        <w:ilvl w:val="1"/>
        <w:numId w:val="42"/>
      </w:numPr>
      <w:jc w:val="both"/>
      <w:outlineLvl w:val="1"/>
    </w:pPr>
  </w:style>
  <w:style w:type="paragraph" w:customStyle="1" w:styleId="dashbullet3">
    <w:name w:val="dash bullet 3"/>
    <w:basedOn w:val="Normal"/>
    <w:rsid w:val="00D23A38"/>
    <w:pPr>
      <w:numPr>
        <w:ilvl w:val="2"/>
        <w:numId w:val="42"/>
      </w:numPr>
      <w:jc w:val="both"/>
      <w:outlineLvl w:val="2"/>
    </w:pPr>
  </w:style>
  <w:style w:type="paragraph" w:customStyle="1" w:styleId="dashbullet4">
    <w:name w:val="dash bullet 4"/>
    <w:basedOn w:val="Normal"/>
    <w:rsid w:val="00D23A38"/>
    <w:pPr>
      <w:numPr>
        <w:ilvl w:val="3"/>
        <w:numId w:val="42"/>
      </w:numPr>
      <w:jc w:val="both"/>
      <w:outlineLvl w:val="3"/>
    </w:pPr>
  </w:style>
  <w:style w:type="paragraph" w:customStyle="1" w:styleId="dashbullet5">
    <w:name w:val="dash bullet 5"/>
    <w:basedOn w:val="Normal"/>
    <w:rsid w:val="00D23A38"/>
    <w:pPr>
      <w:numPr>
        <w:ilvl w:val="4"/>
        <w:numId w:val="42"/>
      </w:numPr>
      <w:jc w:val="both"/>
      <w:outlineLvl w:val="4"/>
    </w:pPr>
  </w:style>
  <w:style w:type="paragraph" w:customStyle="1" w:styleId="dashbullet6">
    <w:name w:val="dash bullet 6"/>
    <w:basedOn w:val="Normal"/>
    <w:rsid w:val="00D23A38"/>
    <w:pPr>
      <w:numPr>
        <w:ilvl w:val="5"/>
        <w:numId w:val="42"/>
      </w:numPr>
      <w:jc w:val="both"/>
      <w:outlineLvl w:val="5"/>
    </w:pPr>
  </w:style>
  <w:style w:type="paragraph" w:customStyle="1" w:styleId="DocExCode">
    <w:name w:val="DocExCode"/>
    <w:basedOn w:val="Normal"/>
    <w:rsid w:val="0084230F"/>
    <w:pPr>
      <w:pBdr>
        <w:top w:val="single" w:sz="4" w:space="1" w:color="auto"/>
      </w:pBdr>
    </w:pPr>
    <w:rPr>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jc w:val="both"/>
    </w:pPr>
  </w:style>
  <w:style w:type="paragraph" w:customStyle="1" w:styleId="engageBody">
    <w:name w:val="engage_Body"/>
    <w:basedOn w:val="Normal"/>
    <w:rsid w:val="0084230F"/>
    <w:pPr>
      <w:jc w:val="both"/>
    </w:pPr>
    <w:rPr>
      <w:sz w:val="13"/>
    </w:rPr>
  </w:style>
  <w:style w:type="paragraph" w:customStyle="1" w:styleId="engageL1">
    <w:name w:val="engage_L1"/>
    <w:basedOn w:val="Normal"/>
    <w:rsid w:val="00725E64"/>
    <w:pPr>
      <w:keepNext/>
      <w:numPr>
        <w:numId w:val="46"/>
      </w:numPr>
    </w:pPr>
    <w:rPr>
      <w:b/>
      <w:sz w:val="13"/>
    </w:rPr>
  </w:style>
  <w:style w:type="paragraph" w:customStyle="1" w:styleId="engageL2">
    <w:name w:val="engage_L2"/>
    <w:basedOn w:val="Normal"/>
    <w:qFormat/>
    <w:rsid w:val="00D23A38"/>
    <w:pPr>
      <w:numPr>
        <w:ilvl w:val="1"/>
        <w:numId w:val="46"/>
      </w:numPr>
      <w:jc w:val="both"/>
    </w:pPr>
    <w:rPr>
      <w:sz w:val="13"/>
    </w:rPr>
  </w:style>
  <w:style w:type="paragraph" w:customStyle="1" w:styleId="engageTitle">
    <w:name w:val="engage_Title"/>
    <w:basedOn w:val="Normal"/>
    <w:next w:val="engageBody"/>
    <w:rsid w:val="0084230F"/>
    <w:pPr>
      <w:spacing w:after="240"/>
      <w:jc w:val="center"/>
    </w:pPr>
    <w:rPr>
      <w:b/>
    </w:rPr>
  </w:style>
  <w:style w:type="paragraph" w:customStyle="1" w:styleId="Level1">
    <w:name w:val="Level 1"/>
    <w:basedOn w:val="Normal"/>
    <w:next w:val="Body1"/>
    <w:rsid w:val="00A170EE"/>
    <w:pPr>
      <w:keepNext/>
      <w:numPr>
        <w:numId w:val="23"/>
      </w:numPr>
      <w:spacing w:before="280"/>
      <w:jc w:val="both"/>
      <w:outlineLvl w:val="0"/>
    </w:pPr>
    <w:rPr>
      <w:b/>
      <w:bCs/>
      <w:sz w:val="22"/>
      <w:szCs w:val="32"/>
    </w:rPr>
  </w:style>
  <w:style w:type="paragraph" w:customStyle="1" w:styleId="Head">
    <w:name w:val="Head"/>
    <w:basedOn w:val="Normal"/>
    <w:next w:val="Body"/>
    <w:rsid w:val="00725E64"/>
    <w:pPr>
      <w:keepNext/>
      <w:numPr>
        <w:numId w:val="47"/>
      </w:numPr>
      <w:spacing w:before="280"/>
      <w:jc w:val="both"/>
      <w:outlineLvl w:val="0"/>
    </w:pPr>
    <w:rPr>
      <w:b/>
      <w:kern w:val="28"/>
      <w:sz w:val="23"/>
    </w:rPr>
  </w:style>
  <w:style w:type="paragraph" w:customStyle="1" w:styleId="Head1">
    <w:name w:val="Head 1"/>
    <w:basedOn w:val="Normal"/>
    <w:next w:val="Body1"/>
    <w:qFormat/>
    <w:rsid w:val="00D23A38"/>
    <w:pPr>
      <w:keepNext/>
      <w:numPr>
        <w:ilvl w:val="1"/>
        <w:numId w:val="47"/>
      </w:numPr>
      <w:spacing w:before="280"/>
      <w:jc w:val="both"/>
      <w:outlineLvl w:val="0"/>
    </w:pPr>
    <w:rPr>
      <w:b/>
      <w:kern w:val="22"/>
      <w:sz w:val="22"/>
    </w:rPr>
  </w:style>
  <w:style w:type="paragraph" w:customStyle="1" w:styleId="Head2">
    <w:name w:val="Head 2"/>
    <w:basedOn w:val="Normal"/>
    <w:next w:val="Body3"/>
    <w:rsid w:val="00D23A38"/>
    <w:pPr>
      <w:keepNext/>
      <w:numPr>
        <w:ilvl w:val="2"/>
        <w:numId w:val="47"/>
      </w:numPr>
      <w:spacing w:before="280" w:after="60"/>
      <w:jc w:val="both"/>
      <w:outlineLvl w:val="1"/>
    </w:pPr>
    <w:rPr>
      <w:b/>
      <w:kern w:val="21"/>
      <w:sz w:val="21"/>
    </w:rPr>
  </w:style>
  <w:style w:type="paragraph" w:customStyle="1" w:styleId="Head3">
    <w:name w:val="Head 3"/>
    <w:basedOn w:val="Normal"/>
    <w:next w:val="Body4"/>
    <w:rsid w:val="00D23A38"/>
    <w:pPr>
      <w:keepNext/>
      <w:numPr>
        <w:ilvl w:val="3"/>
        <w:numId w:val="47"/>
      </w:numPr>
      <w:spacing w:before="280" w:after="40"/>
      <w:jc w:val="both"/>
      <w:outlineLvl w:val="2"/>
    </w:pPr>
    <w:rPr>
      <w:b/>
    </w:rPr>
  </w:style>
  <w:style w:type="paragraph" w:customStyle="1" w:styleId="Level2">
    <w:name w:val="Level 2"/>
    <w:basedOn w:val="Normal"/>
    <w:qFormat/>
    <w:rsid w:val="00B77D72"/>
    <w:pPr>
      <w:numPr>
        <w:ilvl w:val="1"/>
        <w:numId w:val="23"/>
      </w:numPr>
      <w:jc w:val="both"/>
      <w:outlineLvl w:val="1"/>
    </w:pPr>
    <w:rPr>
      <w:szCs w:val="28"/>
    </w:rPr>
  </w:style>
  <w:style w:type="paragraph" w:customStyle="1" w:styleId="Level3">
    <w:name w:val="Level 3"/>
    <w:basedOn w:val="Normal"/>
    <w:rsid w:val="00514E78"/>
    <w:pPr>
      <w:numPr>
        <w:ilvl w:val="2"/>
        <w:numId w:val="23"/>
      </w:numPr>
      <w:jc w:val="both"/>
      <w:outlineLvl w:val="2"/>
    </w:pPr>
    <w:rPr>
      <w:szCs w:val="28"/>
    </w:rPr>
  </w:style>
  <w:style w:type="paragraph" w:customStyle="1" w:styleId="Level4">
    <w:name w:val="Level 4"/>
    <w:basedOn w:val="Normal"/>
    <w:rsid w:val="00514E78"/>
    <w:pPr>
      <w:numPr>
        <w:ilvl w:val="3"/>
        <w:numId w:val="23"/>
      </w:numPr>
      <w:jc w:val="both"/>
      <w:outlineLvl w:val="3"/>
    </w:pPr>
  </w:style>
  <w:style w:type="paragraph" w:customStyle="1" w:styleId="Level5">
    <w:name w:val="Level 5"/>
    <w:basedOn w:val="Normal"/>
    <w:rsid w:val="00514E78"/>
    <w:pPr>
      <w:numPr>
        <w:ilvl w:val="4"/>
        <w:numId w:val="23"/>
      </w:numPr>
      <w:jc w:val="both"/>
      <w:outlineLvl w:val="4"/>
    </w:pPr>
  </w:style>
  <w:style w:type="paragraph" w:customStyle="1" w:styleId="Level6">
    <w:name w:val="Level 6"/>
    <w:basedOn w:val="Normal"/>
    <w:rsid w:val="00514E78"/>
    <w:pPr>
      <w:numPr>
        <w:ilvl w:val="5"/>
        <w:numId w:val="23"/>
      </w:numPr>
      <w:jc w:val="both"/>
      <w:outlineLvl w:val="5"/>
    </w:pPr>
  </w:style>
  <w:style w:type="paragraph" w:customStyle="1" w:styleId="Level7">
    <w:name w:val="Level 7"/>
    <w:basedOn w:val="Normal"/>
    <w:rsid w:val="00B77D72"/>
    <w:pPr>
      <w:numPr>
        <w:ilvl w:val="6"/>
        <w:numId w:val="23"/>
      </w:numPr>
      <w:jc w:val="both"/>
      <w:outlineLvl w:val="6"/>
    </w:pPr>
  </w:style>
  <w:style w:type="paragraph" w:customStyle="1" w:styleId="Level8">
    <w:name w:val="Level 8"/>
    <w:basedOn w:val="Normal"/>
    <w:rsid w:val="00514E78"/>
    <w:pPr>
      <w:numPr>
        <w:ilvl w:val="7"/>
        <w:numId w:val="23"/>
      </w:numPr>
      <w:jc w:val="both"/>
      <w:outlineLvl w:val="7"/>
    </w:pPr>
  </w:style>
  <w:style w:type="paragraph" w:customStyle="1" w:styleId="Level9">
    <w:name w:val="Level 9"/>
    <w:basedOn w:val="Normal"/>
    <w:rsid w:val="00514E78"/>
    <w:pPr>
      <w:numPr>
        <w:ilvl w:val="8"/>
        <w:numId w:val="23"/>
      </w:numPr>
      <w:jc w:val="both"/>
      <w:outlineLvl w:val="8"/>
    </w:pPr>
  </w:style>
  <w:style w:type="paragraph" w:customStyle="1" w:styleId="ListNumbers">
    <w:name w:val="List Numbers"/>
    <w:basedOn w:val="Normal"/>
    <w:rsid w:val="008B1D97"/>
    <w:pPr>
      <w:numPr>
        <w:numId w:val="48"/>
      </w:numPr>
      <w:jc w:val="both"/>
      <w:outlineLvl w:val="0"/>
    </w:pPr>
  </w:style>
  <w:style w:type="paragraph" w:customStyle="1" w:styleId="Parties">
    <w:name w:val="Parties"/>
    <w:basedOn w:val="Normal"/>
    <w:rsid w:val="008B1D97"/>
    <w:pPr>
      <w:numPr>
        <w:numId w:val="49"/>
      </w:numPr>
      <w:jc w:val="both"/>
    </w:pPr>
  </w:style>
  <w:style w:type="paragraph" w:customStyle="1" w:styleId="Recitals">
    <w:name w:val="Recitals"/>
    <w:basedOn w:val="Normal"/>
    <w:rsid w:val="008B1D97"/>
    <w:pPr>
      <w:numPr>
        <w:numId w:val="50"/>
      </w:numPr>
      <w:jc w:val="both"/>
    </w:pPr>
  </w:style>
  <w:style w:type="paragraph" w:customStyle="1" w:styleId="roman1">
    <w:name w:val="roman 1"/>
    <w:basedOn w:val="Normal"/>
    <w:rsid w:val="008B1D97"/>
    <w:pPr>
      <w:numPr>
        <w:numId w:val="51"/>
      </w:numPr>
      <w:jc w:val="both"/>
      <w:outlineLvl w:val="0"/>
    </w:pPr>
  </w:style>
  <w:style w:type="paragraph" w:customStyle="1" w:styleId="roman2">
    <w:name w:val="roman 2"/>
    <w:basedOn w:val="Normal"/>
    <w:rsid w:val="008B1D97"/>
    <w:pPr>
      <w:numPr>
        <w:ilvl w:val="1"/>
        <w:numId w:val="51"/>
      </w:numPr>
      <w:jc w:val="both"/>
      <w:outlineLvl w:val="1"/>
    </w:pPr>
  </w:style>
  <w:style w:type="paragraph" w:customStyle="1" w:styleId="roman3">
    <w:name w:val="roman 3"/>
    <w:basedOn w:val="Normal"/>
    <w:rsid w:val="008B1D97"/>
    <w:pPr>
      <w:numPr>
        <w:ilvl w:val="2"/>
        <w:numId w:val="51"/>
      </w:numPr>
      <w:jc w:val="both"/>
      <w:outlineLvl w:val="2"/>
    </w:pPr>
  </w:style>
  <w:style w:type="paragraph" w:customStyle="1" w:styleId="roman4">
    <w:name w:val="roman 4"/>
    <w:basedOn w:val="Normal"/>
    <w:rsid w:val="008B1D97"/>
    <w:pPr>
      <w:numPr>
        <w:ilvl w:val="3"/>
        <w:numId w:val="51"/>
      </w:numPr>
      <w:jc w:val="both"/>
      <w:outlineLvl w:val="3"/>
    </w:pPr>
  </w:style>
  <w:style w:type="paragraph" w:customStyle="1" w:styleId="roman5">
    <w:name w:val="roman 5"/>
    <w:basedOn w:val="Normal"/>
    <w:rsid w:val="008B1D97"/>
    <w:pPr>
      <w:numPr>
        <w:ilvl w:val="4"/>
        <w:numId w:val="51"/>
      </w:numPr>
      <w:jc w:val="both"/>
      <w:outlineLvl w:val="4"/>
    </w:pPr>
  </w:style>
  <w:style w:type="paragraph" w:customStyle="1" w:styleId="roman6">
    <w:name w:val="roman 6"/>
    <w:basedOn w:val="Normal"/>
    <w:rsid w:val="008B1D97"/>
    <w:pPr>
      <w:numPr>
        <w:ilvl w:val="5"/>
        <w:numId w:val="51"/>
      </w:numPr>
      <w:jc w:val="both"/>
      <w:outlineLvl w:val="5"/>
    </w:pPr>
  </w:style>
  <w:style w:type="paragraph" w:customStyle="1" w:styleId="SchedApps">
    <w:name w:val="Sched/Apps"/>
    <w:basedOn w:val="Normal"/>
    <w:next w:val="Body"/>
    <w:rsid w:val="00F978CE"/>
    <w:pPr>
      <w:keepNext/>
      <w:pageBreakBefore/>
      <w:spacing w:after="240"/>
      <w:jc w:val="center"/>
      <w:outlineLvl w:val="3"/>
    </w:pPr>
    <w:rPr>
      <w:b/>
      <w:kern w:val="23"/>
      <w:sz w:val="23"/>
    </w:rPr>
  </w:style>
  <w:style w:type="paragraph" w:customStyle="1" w:styleId="Schedule1">
    <w:name w:val="Schedule 1"/>
    <w:basedOn w:val="Normal"/>
    <w:rsid w:val="008B1D97"/>
    <w:pPr>
      <w:numPr>
        <w:numId w:val="52"/>
      </w:numPr>
      <w:jc w:val="both"/>
      <w:outlineLvl w:val="0"/>
    </w:pPr>
  </w:style>
  <w:style w:type="paragraph" w:customStyle="1" w:styleId="Schedule2">
    <w:name w:val="Schedule 2"/>
    <w:basedOn w:val="Normal"/>
    <w:rsid w:val="008B1D97"/>
    <w:pPr>
      <w:numPr>
        <w:ilvl w:val="1"/>
        <w:numId w:val="52"/>
      </w:numPr>
      <w:jc w:val="both"/>
      <w:outlineLvl w:val="0"/>
    </w:pPr>
  </w:style>
  <w:style w:type="paragraph" w:customStyle="1" w:styleId="Schedule3">
    <w:name w:val="Schedule 3"/>
    <w:basedOn w:val="Normal"/>
    <w:rsid w:val="008B1D97"/>
    <w:pPr>
      <w:numPr>
        <w:ilvl w:val="2"/>
        <w:numId w:val="52"/>
      </w:numPr>
      <w:jc w:val="both"/>
      <w:outlineLvl w:val="1"/>
    </w:pPr>
  </w:style>
  <w:style w:type="paragraph" w:customStyle="1" w:styleId="Schedule4">
    <w:name w:val="Schedule 4"/>
    <w:basedOn w:val="Normal"/>
    <w:rsid w:val="008B1D97"/>
    <w:pPr>
      <w:numPr>
        <w:ilvl w:val="3"/>
        <w:numId w:val="52"/>
      </w:numPr>
      <w:jc w:val="both"/>
      <w:outlineLvl w:val="2"/>
    </w:pPr>
  </w:style>
  <w:style w:type="paragraph" w:customStyle="1" w:styleId="Schedule5">
    <w:name w:val="Schedule 5"/>
    <w:basedOn w:val="Normal"/>
    <w:rsid w:val="008B1D97"/>
    <w:pPr>
      <w:numPr>
        <w:ilvl w:val="4"/>
        <w:numId w:val="52"/>
      </w:numPr>
      <w:jc w:val="both"/>
      <w:outlineLvl w:val="3"/>
    </w:pPr>
  </w:style>
  <w:style w:type="paragraph" w:customStyle="1" w:styleId="Schedule6">
    <w:name w:val="Schedule 6"/>
    <w:basedOn w:val="Normal"/>
    <w:rsid w:val="008B1D97"/>
    <w:pPr>
      <w:numPr>
        <w:ilvl w:val="5"/>
        <w:numId w:val="52"/>
      </w:numPr>
      <w:jc w:val="both"/>
      <w:outlineLvl w:val="5"/>
    </w:pPr>
  </w:style>
  <w:style w:type="paragraph" w:customStyle="1" w:styleId="ScheduleHeading">
    <w:name w:val="Schedule Heading"/>
    <w:basedOn w:val="Body"/>
    <w:next w:val="Body"/>
    <w:rsid w:val="008B1D97"/>
    <w:pPr>
      <w:keepNext/>
      <w:pageBreakBefore/>
      <w:numPr>
        <w:numId w:val="53"/>
      </w:numPr>
      <w:spacing w:after="240"/>
      <w:jc w:val="center"/>
      <w:outlineLvl w:val="3"/>
    </w:pPr>
    <w:rPr>
      <w:b/>
      <w:kern w:val="23"/>
      <w:sz w:val="23"/>
    </w:rPr>
  </w:style>
  <w:style w:type="paragraph" w:customStyle="1" w:styleId="SubHead">
    <w:name w:val="SubHead"/>
    <w:basedOn w:val="Normal"/>
    <w:next w:val="Body"/>
    <w:rsid w:val="00A170EE"/>
    <w:pPr>
      <w:keepNext/>
      <w:spacing w:before="120" w:after="60"/>
      <w:jc w:val="both"/>
      <w:outlineLvl w:val="0"/>
    </w:pPr>
    <w:rPr>
      <w:b/>
      <w:kern w:val="21"/>
      <w:sz w:val="21"/>
    </w:rPr>
  </w:style>
  <w:style w:type="paragraph" w:customStyle="1" w:styleId="TCLevel1">
    <w:name w:val="T+C Level 1"/>
    <w:basedOn w:val="Normal"/>
    <w:next w:val="TCLevel2"/>
    <w:rsid w:val="008B1D97"/>
    <w:pPr>
      <w:keepNext/>
      <w:numPr>
        <w:numId w:val="54"/>
      </w:numPr>
      <w:spacing w:before="140"/>
      <w:jc w:val="both"/>
      <w:outlineLvl w:val="0"/>
    </w:pPr>
    <w:rPr>
      <w:b/>
    </w:rPr>
  </w:style>
  <w:style w:type="paragraph" w:customStyle="1" w:styleId="TCLevel2">
    <w:name w:val="T+C Level 2"/>
    <w:basedOn w:val="Normal"/>
    <w:rsid w:val="008B1D97"/>
    <w:pPr>
      <w:numPr>
        <w:ilvl w:val="1"/>
        <w:numId w:val="54"/>
      </w:numPr>
      <w:jc w:val="both"/>
      <w:outlineLvl w:val="1"/>
    </w:pPr>
  </w:style>
  <w:style w:type="paragraph" w:customStyle="1" w:styleId="TCLevel3">
    <w:name w:val="T+C Level 3"/>
    <w:basedOn w:val="Normal"/>
    <w:rsid w:val="008B1D97"/>
    <w:pPr>
      <w:numPr>
        <w:ilvl w:val="2"/>
        <w:numId w:val="54"/>
      </w:numPr>
      <w:jc w:val="both"/>
      <w:outlineLvl w:val="2"/>
    </w:pPr>
  </w:style>
  <w:style w:type="paragraph" w:customStyle="1" w:styleId="TCLevel4">
    <w:name w:val="T+C Level 4"/>
    <w:basedOn w:val="Normal"/>
    <w:rsid w:val="008B1D97"/>
    <w:pPr>
      <w:numPr>
        <w:ilvl w:val="3"/>
        <w:numId w:val="54"/>
      </w:numPr>
      <w:jc w:val="both"/>
      <w:outlineLvl w:val="3"/>
    </w:pPr>
  </w:style>
  <w:style w:type="paragraph" w:customStyle="1" w:styleId="Table1">
    <w:name w:val="Table 1"/>
    <w:basedOn w:val="Normal"/>
    <w:rsid w:val="008B1D97"/>
    <w:pPr>
      <w:numPr>
        <w:numId w:val="55"/>
      </w:numPr>
      <w:spacing w:before="60" w:after="60"/>
      <w:outlineLvl w:val="0"/>
    </w:pPr>
  </w:style>
  <w:style w:type="paragraph" w:customStyle="1" w:styleId="Table2">
    <w:name w:val="Table 2"/>
    <w:basedOn w:val="Normal"/>
    <w:rsid w:val="008B1D97"/>
    <w:pPr>
      <w:numPr>
        <w:ilvl w:val="1"/>
        <w:numId w:val="55"/>
      </w:numPr>
      <w:spacing w:before="60" w:after="60"/>
      <w:outlineLvl w:val="0"/>
    </w:pPr>
  </w:style>
  <w:style w:type="paragraph" w:customStyle="1" w:styleId="Table3">
    <w:name w:val="Table 3"/>
    <w:basedOn w:val="Normal"/>
    <w:rsid w:val="008B1D97"/>
    <w:pPr>
      <w:numPr>
        <w:ilvl w:val="2"/>
        <w:numId w:val="55"/>
      </w:numPr>
      <w:spacing w:before="60" w:after="60"/>
      <w:outlineLvl w:val="0"/>
    </w:pPr>
  </w:style>
  <w:style w:type="paragraph" w:customStyle="1" w:styleId="Table4">
    <w:name w:val="Table 4"/>
    <w:basedOn w:val="Normal"/>
    <w:rsid w:val="008B1D97"/>
    <w:pPr>
      <w:numPr>
        <w:ilvl w:val="3"/>
        <w:numId w:val="55"/>
      </w:numPr>
      <w:spacing w:before="60" w:after="60"/>
      <w:outlineLvl w:val="0"/>
    </w:pPr>
  </w:style>
  <w:style w:type="paragraph" w:customStyle="1" w:styleId="Table5">
    <w:name w:val="Table 5"/>
    <w:basedOn w:val="Normal"/>
    <w:rsid w:val="008B1D97"/>
    <w:pPr>
      <w:numPr>
        <w:ilvl w:val="4"/>
        <w:numId w:val="55"/>
      </w:numPr>
      <w:spacing w:before="60" w:after="60"/>
      <w:outlineLvl w:val="0"/>
    </w:pPr>
  </w:style>
  <w:style w:type="paragraph" w:customStyle="1" w:styleId="Table6">
    <w:name w:val="Table 6"/>
    <w:basedOn w:val="Normal"/>
    <w:rsid w:val="008B1D97"/>
    <w:pPr>
      <w:numPr>
        <w:ilvl w:val="5"/>
        <w:numId w:val="55"/>
      </w:numPr>
      <w:spacing w:before="60" w:after="60"/>
      <w:outlineLvl w:val="0"/>
    </w:pPr>
  </w:style>
  <w:style w:type="paragraph" w:customStyle="1" w:styleId="Tablealpha">
    <w:name w:val="Table alpha"/>
    <w:basedOn w:val="CellBody"/>
    <w:rsid w:val="008B1D97"/>
    <w:pPr>
      <w:numPr>
        <w:numId w:val="56"/>
      </w:numPr>
    </w:pPr>
  </w:style>
  <w:style w:type="paragraph" w:customStyle="1" w:styleId="Tablebullet">
    <w:name w:val="Table bullet"/>
    <w:basedOn w:val="Normal"/>
    <w:rsid w:val="00A170EE"/>
    <w:pPr>
      <w:numPr>
        <w:numId w:val="24"/>
      </w:numPr>
      <w:spacing w:before="60" w:after="60"/>
    </w:pPr>
  </w:style>
  <w:style w:type="paragraph" w:customStyle="1" w:styleId="Tableroman">
    <w:name w:val="Table roman"/>
    <w:basedOn w:val="CellBody"/>
    <w:rsid w:val="008B1D97"/>
    <w:pPr>
      <w:numPr>
        <w:numId w:val="57"/>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pPr>
    <w:rPr>
      <w:szCs w:val="24"/>
      <w:lang w:eastAsia="en-GB"/>
    </w:rPr>
  </w:style>
  <w:style w:type="paragraph" w:styleId="TOC2">
    <w:name w:val="toc 2"/>
    <w:basedOn w:val="Normal"/>
    <w:next w:val="Body"/>
    <w:unhideWhenUsed/>
    <w:rsid w:val="009C500A"/>
    <w:pPr>
      <w:spacing w:before="280"/>
    </w:pPr>
    <w:rPr>
      <w:szCs w:val="24"/>
      <w:lang w:eastAsia="en-GB"/>
    </w:rPr>
  </w:style>
  <w:style w:type="paragraph" w:styleId="TOC3">
    <w:name w:val="toc 3"/>
    <w:basedOn w:val="Normal"/>
    <w:next w:val="Body"/>
    <w:unhideWhenUsed/>
    <w:rsid w:val="009C500A"/>
    <w:pPr>
      <w:spacing w:before="280"/>
      <w:ind w:left="680"/>
    </w:pPr>
    <w:rPr>
      <w:szCs w:val="24"/>
      <w:lang w:eastAsia="en-GB"/>
    </w:rPr>
  </w:style>
  <w:style w:type="paragraph" w:styleId="TOC4">
    <w:name w:val="toc 4"/>
    <w:basedOn w:val="Normal"/>
    <w:next w:val="Body"/>
    <w:unhideWhenUsed/>
    <w:rsid w:val="009C500A"/>
    <w:pPr>
      <w:spacing w:before="280"/>
      <w:ind w:left="680"/>
    </w:pPr>
    <w:rPr>
      <w:szCs w:val="24"/>
      <w:lang w:eastAsia="en-GB"/>
    </w:rPr>
  </w:style>
  <w:style w:type="paragraph" w:styleId="TOC5">
    <w:name w:val="toc 5"/>
    <w:basedOn w:val="Normal"/>
    <w:next w:val="Body"/>
    <w:unhideWhenUsed/>
    <w:rsid w:val="009C500A"/>
    <w:rPr>
      <w:szCs w:val="24"/>
      <w:lang w:eastAsia="en-GB"/>
    </w:rPr>
  </w:style>
  <w:style w:type="paragraph" w:styleId="TOC6">
    <w:name w:val="toc 6"/>
    <w:basedOn w:val="Normal"/>
    <w:next w:val="Body"/>
    <w:unhideWhenUsed/>
    <w:rsid w:val="009C500A"/>
    <w:rPr>
      <w:szCs w:val="24"/>
      <w:lang w:eastAsia="en-GB"/>
    </w:rPr>
  </w:style>
  <w:style w:type="paragraph" w:styleId="TOC7">
    <w:name w:val="toc 7"/>
    <w:basedOn w:val="Normal"/>
    <w:next w:val="Body"/>
    <w:unhideWhenUsed/>
    <w:rsid w:val="009C500A"/>
    <w:rPr>
      <w:szCs w:val="24"/>
      <w:lang w:eastAsia="en-GB"/>
    </w:rPr>
  </w:style>
  <w:style w:type="paragraph" w:styleId="TOC8">
    <w:name w:val="toc 8"/>
    <w:basedOn w:val="Normal"/>
    <w:next w:val="Body"/>
    <w:unhideWhenUsed/>
    <w:rsid w:val="009C500A"/>
    <w:rPr>
      <w:szCs w:val="24"/>
      <w:lang w:eastAsia="en-GB"/>
    </w:rPr>
  </w:style>
  <w:style w:type="paragraph" w:styleId="TOC9">
    <w:name w:val="toc 9"/>
    <w:basedOn w:val="Normal"/>
    <w:next w:val="Body"/>
    <w:unhideWhenUsed/>
    <w:rsid w:val="009C500A"/>
    <w:rPr>
      <w:szCs w:val="24"/>
      <w:lang w:eastAsia="en-GB"/>
    </w:rPr>
  </w:style>
  <w:style w:type="paragraph" w:customStyle="1" w:styleId="UCAlpha1">
    <w:name w:val="UCAlpha 1"/>
    <w:basedOn w:val="Normal"/>
    <w:rsid w:val="00A34CE2"/>
    <w:pPr>
      <w:numPr>
        <w:numId w:val="58"/>
      </w:numPr>
      <w:jc w:val="both"/>
      <w:outlineLvl w:val="0"/>
    </w:pPr>
  </w:style>
  <w:style w:type="paragraph" w:customStyle="1" w:styleId="UCAlpha2">
    <w:name w:val="UCAlpha 2"/>
    <w:basedOn w:val="Normal"/>
    <w:rsid w:val="00A34CE2"/>
    <w:pPr>
      <w:numPr>
        <w:ilvl w:val="1"/>
        <w:numId w:val="58"/>
      </w:numPr>
      <w:jc w:val="both"/>
      <w:outlineLvl w:val="1"/>
    </w:pPr>
  </w:style>
  <w:style w:type="paragraph" w:customStyle="1" w:styleId="UCAlpha3">
    <w:name w:val="UCAlpha 3"/>
    <w:basedOn w:val="Normal"/>
    <w:rsid w:val="00A34CE2"/>
    <w:pPr>
      <w:numPr>
        <w:ilvl w:val="2"/>
        <w:numId w:val="58"/>
      </w:numPr>
      <w:jc w:val="both"/>
      <w:outlineLvl w:val="2"/>
    </w:pPr>
  </w:style>
  <w:style w:type="paragraph" w:customStyle="1" w:styleId="UCAlpha4">
    <w:name w:val="UCAlpha 4"/>
    <w:basedOn w:val="Normal"/>
    <w:rsid w:val="00A34CE2"/>
    <w:pPr>
      <w:numPr>
        <w:ilvl w:val="3"/>
        <w:numId w:val="58"/>
      </w:numPr>
      <w:jc w:val="both"/>
      <w:outlineLvl w:val="3"/>
    </w:pPr>
  </w:style>
  <w:style w:type="paragraph" w:customStyle="1" w:styleId="UCAlpha5">
    <w:name w:val="UCAlpha 5"/>
    <w:basedOn w:val="Normal"/>
    <w:rsid w:val="00A34CE2"/>
    <w:pPr>
      <w:numPr>
        <w:ilvl w:val="4"/>
        <w:numId w:val="58"/>
      </w:numPr>
      <w:jc w:val="both"/>
      <w:outlineLvl w:val="4"/>
    </w:pPr>
  </w:style>
  <w:style w:type="paragraph" w:customStyle="1" w:styleId="UCAlpha6">
    <w:name w:val="UCAlpha 6"/>
    <w:basedOn w:val="Normal"/>
    <w:rsid w:val="00A34CE2"/>
    <w:pPr>
      <w:numPr>
        <w:ilvl w:val="5"/>
        <w:numId w:val="58"/>
      </w:numPr>
      <w:jc w:val="both"/>
      <w:outlineLvl w:val="5"/>
    </w:pPr>
  </w:style>
  <w:style w:type="paragraph" w:customStyle="1" w:styleId="UCRoman1">
    <w:name w:val="UCRoman 1"/>
    <w:basedOn w:val="Normal"/>
    <w:rsid w:val="00A34CE2"/>
    <w:pPr>
      <w:numPr>
        <w:numId w:val="59"/>
      </w:numPr>
      <w:jc w:val="both"/>
      <w:outlineLvl w:val="0"/>
    </w:pPr>
  </w:style>
  <w:style w:type="paragraph" w:customStyle="1" w:styleId="UCRoman2">
    <w:name w:val="UCRoman 2"/>
    <w:basedOn w:val="Normal"/>
    <w:rsid w:val="00A34CE2"/>
    <w:pPr>
      <w:numPr>
        <w:ilvl w:val="1"/>
        <w:numId w:val="59"/>
      </w:numPr>
      <w:jc w:val="both"/>
      <w:outlineLvl w:val="1"/>
    </w:pPr>
  </w:style>
  <w:style w:type="paragraph" w:customStyle="1" w:styleId="UCRoman3">
    <w:name w:val="UCRoman 3"/>
    <w:basedOn w:val="Normal"/>
    <w:rsid w:val="00A34CE2"/>
    <w:pPr>
      <w:numPr>
        <w:ilvl w:val="2"/>
        <w:numId w:val="59"/>
      </w:numPr>
      <w:jc w:val="both"/>
      <w:outlineLvl w:val="2"/>
    </w:pPr>
  </w:style>
  <w:style w:type="paragraph" w:customStyle="1" w:styleId="UCRoman4">
    <w:name w:val="UCRoman 4"/>
    <w:basedOn w:val="Normal"/>
    <w:rsid w:val="00A34CE2"/>
    <w:pPr>
      <w:numPr>
        <w:ilvl w:val="3"/>
        <w:numId w:val="59"/>
      </w:numPr>
      <w:jc w:val="both"/>
      <w:outlineLvl w:val="3"/>
    </w:pPr>
  </w:style>
  <w:style w:type="paragraph" w:customStyle="1" w:styleId="UCRoman5">
    <w:name w:val="UCRoman 5"/>
    <w:basedOn w:val="Normal"/>
    <w:rsid w:val="00A34CE2"/>
    <w:pPr>
      <w:numPr>
        <w:ilvl w:val="4"/>
        <w:numId w:val="59"/>
      </w:numPr>
      <w:jc w:val="both"/>
      <w:outlineLvl w:val="4"/>
    </w:pPr>
  </w:style>
  <w:style w:type="paragraph" w:customStyle="1" w:styleId="UCRoman6">
    <w:name w:val="UCRoman 6"/>
    <w:basedOn w:val="Normal"/>
    <w:rsid w:val="00A34CE2"/>
    <w:pPr>
      <w:numPr>
        <w:ilvl w:val="5"/>
        <w:numId w:val="59"/>
      </w:numPr>
      <w:jc w:val="both"/>
      <w:outlineLvl w:val="5"/>
    </w:pPr>
  </w:style>
  <w:style w:type="paragraph" w:styleId="FootnoteText">
    <w:name w:val="footnote text"/>
    <w:basedOn w:val="Normal"/>
    <w:link w:val="FootnoteTextChar"/>
    <w:unhideWhenUsed/>
    <w:rsid w:val="00606BD0"/>
    <w:pPr>
      <w:spacing w:after="60" w:line="200" w:lineRule="atLeast"/>
      <w:ind w:left="227" w:hanging="227"/>
      <w:jc w:val="both"/>
    </w:pPr>
    <w:rPr>
      <w:sz w:val="16"/>
    </w:rPr>
  </w:style>
  <w:style w:type="character" w:customStyle="1" w:styleId="FootnoteTextChar">
    <w:name w:val="Footnote Text Char"/>
    <w:basedOn w:val="DefaultParagraphFont"/>
    <w:link w:val="FootnoteText"/>
    <w:rsid w:val="00FE583B"/>
    <w:rPr>
      <w:rFonts w:ascii="Arial" w:hAnsi="Arial"/>
      <w:sz w:val="16"/>
      <w:szCs w:val="20"/>
    </w:rPr>
  </w:style>
  <w:style w:type="paragraph" w:customStyle="1" w:styleId="zFSAmount">
    <w:name w:val="zFSAmount"/>
    <w:basedOn w:val="Normal"/>
    <w:semiHidden/>
    <w:unhideWhenUsed/>
    <w:rsid w:val="002D0F1F"/>
    <w:pPr>
      <w:spacing w:before="800"/>
      <w:jc w:val="center"/>
    </w:pPr>
    <w:rPr>
      <w:i/>
    </w:rPr>
  </w:style>
  <w:style w:type="paragraph" w:customStyle="1" w:styleId="zFSDescription">
    <w:name w:val="zFSDescription"/>
    <w:basedOn w:val="Normal"/>
    <w:semiHidden/>
    <w:unhideWhenUsed/>
    <w:rsid w:val="002D0F1F"/>
    <w:pPr>
      <w:jc w:val="center"/>
    </w:pPr>
    <w:rPr>
      <w:i/>
      <w:caps/>
    </w:rPr>
  </w:style>
  <w:style w:type="paragraph" w:customStyle="1" w:styleId="zFSFooter">
    <w:name w:val="zFSFooter"/>
    <w:basedOn w:val="Normal"/>
    <w:semiHidden/>
    <w:unhideWhenUsed/>
    <w:rsid w:val="002D0F1F"/>
    <w:pPr>
      <w:tabs>
        <w:tab w:val="left" w:pos="6521"/>
      </w:tabs>
      <w:spacing w:after="40"/>
    </w:pPr>
    <w:rPr>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Head">
    <w:name w:val="LL_Head"/>
    <w:uiPriority w:val="99"/>
    <w:rsid w:val="00D23A38"/>
    <w:pPr>
      <w:numPr>
        <w:numId w:val="6"/>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8B1D97"/>
    <w:pPr>
      <w:numPr>
        <w:numId w:val="15"/>
      </w:numPr>
    </w:pPr>
  </w:style>
  <w:style w:type="numbering" w:customStyle="1" w:styleId="LLTablebullet">
    <w:name w:val="LL_Table bullet"/>
    <w:uiPriority w:val="99"/>
    <w:rsid w:val="00A170EE"/>
    <w:pPr>
      <w:numPr>
        <w:numId w:val="16"/>
      </w:numPr>
    </w:pPr>
  </w:style>
  <w:style w:type="numbering" w:customStyle="1" w:styleId="LLTableroman">
    <w:name w:val="LL_Table roman"/>
    <w:uiPriority w:val="99"/>
    <w:rsid w:val="008B1D97"/>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numbering" w:customStyle="1" w:styleId="LLBody">
    <w:name w:val="LL_Body"/>
    <w:uiPriority w:val="99"/>
    <w:rsid w:val="00D23A38"/>
    <w:pPr>
      <w:numPr>
        <w:numId w:val="22"/>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Arial" w:eastAsia="Times New Roman" w:hAnsi="Arial" w:cs="Arial"/>
      <w:bCs/>
      <w:iCs/>
      <w:sz w:val="20"/>
      <w:szCs w:val="28"/>
      <w:lang w:eastAsia="en-GB"/>
    </w:rPr>
  </w:style>
  <w:style w:type="character" w:customStyle="1" w:styleId="Heading3Char">
    <w:name w:val="Heading 3 Char"/>
    <w:basedOn w:val="DefaultParagraphFont"/>
    <w:link w:val="Heading3"/>
    <w:rsid w:val="00FE583B"/>
    <w:rPr>
      <w:rFonts w:ascii="Arial" w:eastAsia="Times New Roman" w:hAnsi="Arial" w:cs="Arial"/>
      <w:bCs/>
      <w:sz w:val="20"/>
      <w:szCs w:val="26"/>
      <w:lang w:eastAsia="en-GB"/>
    </w:rPr>
  </w:style>
  <w:style w:type="character" w:customStyle="1" w:styleId="Heading4Char">
    <w:name w:val="Heading 4 Char"/>
    <w:basedOn w:val="DefaultParagraphFont"/>
    <w:link w:val="Heading4"/>
    <w:rsid w:val="00FE583B"/>
    <w:rPr>
      <w:rFonts w:ascii="Arial" w:eastAsia="Times New Roman" w:hAnsi="Arial" w:cs="Times New Roman"/>
      <w:bCs/>
      <w:sz w:val="20"/>
      <w:szCs w:val="28"/>
      <w:lang w:eastAsia="en-GB"/>
    </w:rPr>
  </w:style>
  <w:style w:type="character" w:customStyle="1" w:styleId="Heading5Char">
    <w:name w:val="Heading 5 Char"/>
    <w:basedOn w:val="DefaultParagraphFont"/>
    <w:link w:val="Heading5"/>
    <w:rsid w:val="00FE583B"/>
    <w:rPr>
      <w:rFonts w:ascii="Arial" w:eastAsia="Times New Roman" w:hAnsi="Arial" w:cs="Times New Roman"/>
      <w:bCs/>
      <w:iCs/>
      <w:sz w:val="20"/>
      <w:szCs w:val="26"/>
      <w:lang w:eastAsia="en-GB"/>
    </w:rPr>
  </w:style>
  <w:style w:type="character" w:customStyle="1" w:styleId="Heading6Char">
    <w:name w:val="Heading 6 Char"/>
    <w:basedOn w:val="DefaultParagraphFont"/>
    <w:link w:val="Heading6"/>
    <w:rsid w:val="00FE583B"/>
    <w:rPr>
      <w:rFonts w:ascii="Arial" w:eastAsia="Times New Roman" w:hAnsi="Arial" w:cs="Times New Roman"/>
      <w:bCs/>
      <w:sz w:val="20"/>
      <w:lang w:eastAsia="en-GB"/>
    </w:rPr>
  </w:style>
  <w:style w:type="character" w:customStyle="1" w:styleId="Heading7Char">
    <w:name w:val="Heading 7 Char"/>
    <w:basedOn w:val="DefaultParagraphFont"/>
    <w:link w:val="Heading7"/>
    <w:rsid w:val="00FE583B"/>
    <w:rPr>
      <w:rFonts w:ascii="Arial" w:eastAsia="Times New Roman" w:hAnsi="Arial" w:cs="Times New Roman"/>
      <w:sz w:val="20"/>
      <w:szCs w:val="24"/>
      <w:lang w:eastAsia="en-GB"/>
    </w:rPr>
  </w:style>
  <w:style w:type="character" w:customStyle="1" w:styleId="Heading8Char">
    <w:name w:val="Heading 8 Char"/>
    <w:basedOn w:val="DefaultParagraphFont"/>
    <w:link w:val="Heading8"/>
    <w:rsid w:val="00FE583B"/>
    <w:rPr>
      <w:rFonts w:ascii="Arial" w:eastAsia="Times New Roman" w:hAnsi="Arial" w:cs="Times New Roman"/>
      <w:iCs/>
      <w:sz w:val="20"/>
      <w:szCs w:val="24"/>
      <w:lang w:eastAsia="en-GB"/>
    </w:rPr>
  </w:style>
  <w:style w:type="character" w:customStyle="1" w:styleId="Heading9Char">
    <w:name w:val="Heading 9 Char"/>
    <w:basedOn w:val="DefaultParagraphFont"/>
    <w:link w:val="Heading9"/>
    <w:rsid w:val="00FE583B"/>
    <w:rPr>
      <w:rFonts w:ascii="Arial" w:eastAsia="Times New Roman" w:hAnsi="Arial" w:cs="Arial"/>
      <w:sz w:val="20"/>
      <w:lang w:eastAsia="en-GB"/>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iPriority w:val="99"/>
    <w:unhideWhenUsed/>
    <w:rsid w:val="00F978CE"/>
    <w:pPr>
      <w:spacing w:after="120"/>
    </w:pPr>
  </w:style>
  <w:style w:type="character" w:customStyle="1" w:styleId="BodyTextChar">
    <w:name w:val="Body Text Char"/>
    <w:basedOn w:val="DefaultParagraphFont"/>
    <w:link w:val="BodyText"/>
    <w:uiPriority w:val="99"/>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iPriority w:val="99"/>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8"/>
      </w:numPr>
    </w:pPr>
  </w:style>
  <w:style w:type="paragraph" w:customStyle="1" w:styleId="zSFRefCentred">
    <w:name w:val="zSFRef Centred"/>
    <w:basedOn w:val="Normal"/>
    <w:semiHidden/>
    <w:unhideWhenUsed/>
    <w:rsid w:val="00350E2D"/>
    <w:pPr>
      <w:jc w:val="center"/>
    </w:pPr>
    <w:rPr>
      <w:kern w:val="16"/>
      <w:sz w:val="16"/>
    </w:rPr>
  </w:style>
  <w:style w:type="paragraph" w:customStyle="1" w:styleId="CObodynumbering">
    <w:name w:val="CO body numbering"/>
    <w:basedOn w:val="Normal"/>
    <w:rsid w:val="00725E64"/>
    <w:pPr>
      <w:numPr>
        <w:numId w:val="40"/>
      </w:numPr>
    </w:pPr>
    <w:rPr>
      <w:rFonts w:eastAsiaTheme="minorEastAsia"/>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b/>
      <w:sz w:val="16"/>
      <w:szCs w:val="24"/>
    </w:rPr>
  </w:style>
  <w:style w:type="paragraph" w:customStyle="1" w:styleId="zDate">
    <w:name w:val="zDate"/>
    <w:basedOn w:val="Normal"/>
    <w:semiHidden/>
    <w:unhideWhenUsed/>
    <w:rsid w:val="00B71AA0"/>
    <w:pPr>
      <w:spacing w:after="160"/>
    </w:pPr>
    <w:rPr>
      <w:rFonts w:eastAsiaTheme="minorEastAsia"/>
      <w:szCs w:val="24"/>
    </w:rPr>
  </w:style>
  <w:style w:type="paragraph" w:customStyle="1" w:styleId="zDocType">
    <w:name w:val="zDocType"/>
    <w:basedOn w:val="Normal"/>
    <w:semiHidden/>
    <w:unhideWhenUsed/>
    <w:rsid w:val="00B71AA0"/>
    <w:pPr>
      <w:spacing w:before="60" w:after="60"/>
      <w:ind w:left="91"/>
    </w:pPr>
    <w:rPr>
      <w:rFonts w:eastAsiaTheme="minorEastAsia"/>
      <w:b/>
      <w:noProof/>
      <w:color w:val="AF005F"/>
      <w:sz w:val="24"/>
      <w:szCs w:val="24"/>
    </w:rPr>
  </w:style>
  <w:style w:type="paragraph" w:customStyle="1" w:styleId="zDraftMarker">
    <w:name w:val="zDraftMarker"/>
    <w:basedOn w:val="Normal"/>
    <w:semiHidden/>
    <w:unhideWhenUsed/>
    <w:rsid w:val="00B71AA0"/>
    <w:rPr>
      <w:rFonts w:eastAsiaTheme="minorEastAsia"/>
      <w:noProof/>
      <w:color w:val="9A8C7E"/>
      <w:sz w:val="16"/>
      <w:szCs w:val="24"/>
    </w:rPr>
  </w:style>
  <w:style w:type="paragraph" w:customStyle="1" w:styleId="zFormEntries">
    <w:name w:val="zFormEntries"/>
    <w:basedOn w:val="Normal"/>
    <w:semiHidden/>
    <w:unhideWhenUsed/>
    <w:rsid w:val="00B71AA0"/>
    <w:pPr>
      <w:spacing w:before="60" w:after="60"/>
    </w:pPr>
    <w:rPr>
      <w:rFonts w:eastAsiaTheme="minorEastAsia"/>
      <w:szCs w:val="24"/>
    </w:rPr>
  </w:style>
  <w:style w:type="paragraph" w:customStyle="1" w:styleId="zFormHeaders">
    <w:name w:val="zFormHeaders"/>
    <w:basedOn w:val="Normal"/>
    <w:semiHidden/>
    <w:unhideWhenUsed/>
    <w:rsid w:val="00B71AA0"/>
    <w:pPr>
      <w:spacing w:before="60" w:after="60"/>
    </w:pPr>
    <w:rPr>
      <w:rFonts w:eastAsiaTheme="minorEastAsia"/>
      <w:noProof/>
      <w:szCs w:val="24"/>
    </w:rPr>
  </w:style>
  <w:style w:type="paragraph" w:customStyle="1" w:styleId="zLogo">
    <w:name w:val="zLogo"/>
    <w:basedOn w:val="Normal"/>
    <w:semiHidden/>
    <w:unhideWhenUsed/>
    <w:rsid w:val="00B71AA0"/>
    <w:pPr>
      <w:spacing w:after="160"/>
    </w:pPr>
    <w:rPr>
      <w:rFonts w:eastAsiaTheme="minorEastAsia"/>
      <w:noProof/>
      <w:szCs w:val="24"/>
    </w:rPr>
  </w:style>
  <w:style w:type="paragraph" w:customStyle="1" w:styleId="zLogoCaption">
    <w:name w:val="zLogoCaption"/>
    <w:basedOn w:val="Normal"/>
    <w:semiHidden/>
    <w:unhideWhenUsed/>
    <w:rsid w:val="00B71AA0"/>
    <w:rPr>
      <w:rFonts w:eastAsiaTheme="minorEastAsia"/>
      <w:noProof/>
      <w:sz w:val="16"/>
      <w:szCs w:val="24"/>
    </w:rPr>
  </w:style>
  <w:style w:type="paragraph" w:customStyle="1" w:styleId="zSpace">
    <w:name w:val="zSpace"/>
    <w:basedOn w:val="Normal"/>
    <w:semiHidden/>
    <w:unhideWhenUsed/>
    <w:rsid w:val="00B71AA0"/>
    <w:pPr>
      <w:spacing w:after="160"/>
    </w:pPr>
    <w:rPr>
      <w:rFonts w:eastAsiaTheme="minorEastAsia"/>
      <w:szCs w:val="24"/>
    </w:rPr>
  </w:style>
  <w:style w:type="paragraph" w:customStyle="1" w:styleId="zSpacerRow">
    <w:name w:val="zSpacerRow"/>
    <w:basedOn w:val="Normal"/>
    <w:semiHidden/>
    <w:unhideWhenUsed/>
    <w:rsid w:val="00B71AA0"/>
    <w:pPr>
      <w:spacing w:after="160"/>
    </w:pPr>
    <w:rPr>
      <w:rFonts w:eastAsiaTheme="minorEastAsia"/>
      <w:szCs w:val="24"/>
    </w:rPr>
  </w:style>
  <w:style w:type="paragraph" w:customStyle="1" w:styleId="zSubject">
    <w:name w:val="zSubject"/>
    <w:basedOn w:val="Normal"/>
    <w:semiHidden/>
    <w:unhideWhenUsed/>
    <w:rsid w:val="00B71AA0"/>
    <w:rPr>
      <w:rFonts w:eastAsiaTheme="minorEastAsia"/>
      <w:b/>
      <w:sz w:val="23"/>
      <w:szCs w:val="23"/>
    </w:rPr>
  </w:style>
  <w:style w:type="paragraph" w:customStyle="1" w:styleId="zFSNarrativeBanking">
    <w:name w:val="zFSNarrativeBanking"/>
    <w:basedOn w:val="Normal"/>
    <w:semiHidden/>
    <w:unhideWhenUsed/>
    <w:rsid w:val="00E257C1"/>
    <w:pPr>
      <w:spacing w:before="60" w:after="60"/>
    </w:pPr>
    <w:rPr>
      <w:color w:val="000000" w:themeColor="text1"/>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rsid w:val="0067575F"/>
    <w:rPr>
      <w:rFonts w:ascii="Arial" w:eastAsia="Times New Roman" w:hAnsi="Arial" w:cs="Times New Roman"/>
      <w:kern w:val="20"/>
      <w:sz w:val="20"/>
      <w:szCs w:val="24"/>
      <w:lang w:eastAsia="en-GB"/>
    </w:rPr>
  </w:style>
  <w:style w:type="paragraph" w:customStyle="1" w:styleId="Head-C">
    <w:name w:val="Head - C"/>
    <w:basedOn w:val="Normal"/>
    <w:next w:val="Body"/>
    <w:rsid w:val="0067575F"/>
    <w:pPr>
      <w:keepNext/>
      <w:pageBreakBefore/>
      <w:spacing w:before="295" w:after="180"/>
      <w:ind w:left="425"/>
      <w:jc w:val="center"/>
      <w:outlineLvl w:val="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5300">
      <w:bodyDiv w:val="1"/>
      <w:marLeft w:val="0"/>
      <w:marRight w:val="0"/>
      <w:marTop w:val="0"/>
      <w:marBottom w:val="0"/>
      <w:divBdr>
        <w:top w:val="none" w:sz="0" w:space="0" w:color="auto"/>
        <w:left w:val="none" w:sz="0" w:space="0" w:color="auto"/>
        <w:bottom w:val="none" w:sz="0" w:space="0" w:color="auto"/>
        <w:right w:val="none" w:sz="0" w:space="0" w:color="auto"/>
      </w:divBdr>
    </w:div>
    <w:div w:id="3191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C3C95182EE341A211C53589D92C82" ma:contentTypeVersion="6" ma:contentTypeDescription="Create a new document." ma:contentTypeScope="" ma:versionID="f24127a53d9451449e9a6f585a361b6d">
  <xsd:schema xmlns:xsd="http://www.w3.org/2001/XMLSchema" xmlns:xs="http://www.w3.org/2001/XMLSchema" xmlns:p="http://schemas.microsoft.com/office/2006/metadata/properties" xmlns:ns2="8fea2fdb-72c2-43e1-8eab-a831ca5d9964" xmlns:ns3="acb9de11-8e0a-40c3-8561-e3049bf77940" targetNamespace="http://schemas.microsoft.com/office/2006/metadata/properties" ma:root="true" ma:fieldsID="69813bb0dd8f4dc483acabda6202bdd0" ns2:_="" ns3:_="">
    <xsd:import namespace="8fea2fdb-72c2-43e1-8eab-a831ca5d9964"/>
    <xsd:import namespace="acb9de11-8e0a-40c3-8561-e3049bf77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a2fdb-72c2-43e1-8eab-a831ca5d9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9de11-8e0a-40c3-8561-e3049bf77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F6BCA-E4F9-493E-B5A8-F1A36167A6A6}">
  <ds:schemaRefs>
    <ds:schemaRef ds:uri="http://schemas.openxmlformats.org/officeDocument/2006/bibliography"/>
  </ds:schemaRefs>
</ds:datastoreItem>
</file>

<file path=customXml/itemProps2.xml><?xml version="1.0" encoding="utf-8"?>
<ds:datastoreItem xmlns:ds="http://schemas.openxmlformats.org/officeDocument/2006/customXml" ds:itemID="{D292D998-2A38-45A0-92C0-D788EE448C3E}">
  <ds:schemaRefs>
    <ds:schemaRef ds:uri="http://schemas.microsoft.com/sharepoint/v3/contenttype/forms"/>
  </ds:schemaRefs>
</ds:datastoreItem>
</file>

<file path=customXml/itemProps3.xml><?xml version="1.0" encoding="utf-8"?>
<ds:datastoreItem xmlns:ds="http://schemas.openxmlformats.org/officeDocument/2006/customXml" ds:itemID="{6192E25F-3B61-44B1-B8B0-058C3F2012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954056-6990-4770-88C8-EF9BEFB6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a2fdb-72c2-43e1-8eab-a831ca5d9964"/>
    <ds:schemaRef ds:uri="acb9de11-8e0a-40c3-8561-e3049bf77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HouseStyle</Template>
  <TotalTime>18</TotalTime>
  <Pages>2</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Rick Sandilands</cp:lastModifiedBy>
  <cp:revision>3</cp:revision>
  <cp:lastPrinted>2019-05-22T09:35:00Z</cp:lastPrinted>
  <dcterms:created xsi:type="dcterms:W3CDTF">2021-07-19T10:57:00Z</dcterms:created>
  <dcterms:modified xsi:type="dcterms:W3CDTF">2021-07-19T11:11:00Z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Document Number">
    <vt:lpwstr>A44428150</vt:lpwstr>
  </property>
  <property fmtid="{D5CDD505-2E9C-101B-9397-08002B2CF9AE}" pid="4" name="Last Modified">
    <vt:lpwstr>23 Apr 2021</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y fmtid="{D5CDD505-2E9C-101B-9397-08002B2CF9AE}" pid="19" name="Client Code">
    <vt:lpwstr>10029737</vt:lpwstr>
  </property>
  <property fmtid="{D5CDD505-2E9C-101B-9397-08002B2CF9AE}" pid="20" name="DEDocumentLocation">
    <vt:lpwstr>C:\Users\asiuchni\AppData\Local\Linklaters\DocExplorer\Attachments\A44428150 v1.2 2021 ISDA Definitions - Quotation Request Templates_FATAL FLAW DRAFT.docx</vt:lpwstr>
  </property>
  <property fmtid="{D5CDD505-2E9C-101B-9397-08002B2CF9AE}" pid="21" name="Matter Number">
    <vt:lpwstr>L-271472</vt:lpwstr>
  </property>
  <property fmtid="{D5CDD505-2E9C-101B-9397-08002B2CF9AE}" pid="22" name="Mode">
    <vt:lpwstr>SendAs</vt:lpwstr>
  </property>
  <property fmtid="{D5CDD505-2E9C-101B-9397-08002B2CF9AE}" pid="23" name="ObjectID">
    <vt:lpwstr>09001dc895a7a656</vt:lpwstr>
  </property>
  <property fmtid="{D5CDD505-2E9C-101B-9397-08002B2CF9AE}" pid="24" name="_MarkAsFinal">
    <vt:bool>false</vt:bool>
  </property>
  <property fmtid="{D5CDD505-2E9C-101B-9397-08002B2CF9AE}" pid="25" name="ContentTypeId">
    <vt:lpwstr>0x010100A43C3C95182EE341A211C53589D92C82</vt:lpwstr>
  </property>
</Properties>
</file>