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C1214" w14:textId="5C01885B" w:rsidR="00AA5B32" w:rsidRDefault="007E6DC4" w:rsidP="00AA5B32">
      <w:r>
        <w:rPr>
          <w:noProof/>
          <w:sz w:val="20"/>
        </w:rPr>
        <w:drawing>
          <wp:anchor distT="0" distB="0" distL="114300" distR="114300" simplePos="0" relativeHeight="251658240" behindDoc="1" locked="0" layoutInCell="1" allowOverlap="1" wp14:anchorId="504861D4" wp14:editId="00B780F9">
            <wp:simplePos x="0" y="0"/>
            <wp:positionH relativeFrom="column">
              <wp:posOffset>4826000</wp:posOffset>
            </wp:positionH>
            <wp:positionV relativeFrom="paragraph">
              <wp:posOffset>-55880</wp:posOffset>
            </wp:positionV>
            <wp:extent cx="1721485" cy="602615"/>
            <wp:effectExtent l="0" t="0" r="0" b="0"/>
            <wp:wrapTight wrapText="bothSides">
              <wp:wrapPolygon edited="0">
                <wp:start x="0" y="0"/>
                <wp:lineTo x="0" y="21168"/>
                <wp:lineTo x="21273" y="21168"/>
                <wp:lineTo x="21273" y="0"/>
                <wp:lineTo x="0" y="0"/>
              </wp:wrapPolygon>
            </wp:wrapTight>
            <wp:docPr id="3" name="image2.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close-up of a 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485" cy="602615"/>
                    </a:xfrm>
                    <a:prstGeom prst="rect">
                      <a:avLst/>
                    </a:prstGeom>
                  </pic:spPr>
                </pic:pic>
              </a:graphicData>
            </a:graphic>
          </wp:anchor>
        </w:drawing>
      </w:r>
      <w:r>
        <w:rPr>
          <w:noProof/>
          <w:position w:val="4"/>
          <w:sz w:val="20"/>
        </w:rPr>
        <w:drawing>
          <wp:inline distT="0" distB="0" distL="0" distR="0" wp14:anchorId="293DAC50" wp14:editId="040C0503">
            <wp:extent cx="1439904" cy="563879"/>
            <wp:effectExtent l="0" t="0" r="0" b="0"/>
            <wp:docPr id="1" name="image1.jpe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 company name&#10;&#10;Description automatically generated"/>
                    <pic:cNvPicPr/>
                  </pic:nvPicPr>
                  <pic:blipFill>
                    <a:blip r:embed="rId8" cstate="print"/>
                    <a:stretch>
                      <a:fillRect/>
                    </a:stretch>
                  </pic:blipFill>
                  <pic:spPr>
                    <a:xfrm>
                      <a:off x="0" y="0"/>
                      <a:ext cx="1439904" cy="563879"/>
                    </a:xfrm>
                    <a:prstGeom prst="rect">
                      <a:avLst/>
                    </a:prstGeom>
                  </pic:spPr>
                </pic:pic>
              </a:graphicData>
            </a:graphic>
          </wp:inline>
        </w:drawing>
      </w:r>
      <w:bookmarkStart w:id="0" w:name="(1)_Output_Floor"/>
      <w:bookmarkStart w:id="1" w:name="AFME_ISDA_Output_floor_position_paper_20"/>
      <w:bookmarkStart w:id="2" w:name="(2)_Credit_Risk"/>
      <w:bookmarkStart w:id="3" w:name="AFME_ISDA_Credit_risk_position_paper_202"/>
      <w:bookmarkStart w:id="4" w:name="(3)_Counterparty_credit_risk"/>
      <w:bookmarkStart w:id="5" w:name="ISDA_AFME_CCR_position_paper_2202015_FIN"/>
      <w:bookmarkStart w:id="6" w:name="(4)_OpRisk_(OR_position)"/>
      <w:bookmarkStart w:id="7" w:name="AFME_ISDA_OR_Position_paper_20220215_FIN"/>
      <w:bookmarkStart w:id="8" w:name="(5)_FRTB"/>
      <w:bookmarkStart w:id="9" w:name="ISDA_AFME_FRTB_position_paper_20220215_F"/>
      <w:bookmarkStart w:id="10" w:name="(6)_CVA"/>
      <w:bookmarkStart w:id="11" w:name="ISDA_AFME_CVA_position_2022015_FINAL"/>
      <w:bookmarkEnd w:id="0"/>
      <w:bookmarkEnd w:id="1"/>
      <w:bookmarkEnd w:id="2"/>
      <w:bookmarkEnd w:id="3"/>
      <w:bookmarkEnd w:id="4"/>
      <w:bookmarkEnd w:id="5"/>
      <w:bookmarkEnd w:id="6"/>
      <w:bookmarkEnd w:id="7"/>
      <w:bookmarkEnd w:id="8"/>
      <w:bookmarkEnd w:id="9"/>
      <w:bookmarkEnd w:id="10"/>
      <w:bookmarkEnd w:id="11"/>
    </w:p>
    <w:p w14:paraId="4474AE82" w14:textId="6A9EEF37" w:rsidR="001D4C35" w:rsidRDefault="00D84817">
      <w:pPr>
        <w:pStyle w:val="Heading1"/>
        <w:spacing w:before="96"/>
        <w:ind w:left="172"/>
      </w:pPr>
      <w:r>
        <w:rPr>
          <w:color w:val="78A12E"/>
        </w:rPr>
        <w:t>CRR 3 - Credit Valuation Adjustment (CVA) Risk</w:t>
      </w:r>
    </w:p>
    <w:p w14:paraId="4474AE83" w14:textId="77777777" w:rsidR="001D4C35" w:rsidRDefault="007E6DC4">
      <w:pPr>
        <w:pStyle w:val="Heading2"/>
        <w:spacing w:before="5"/>
        <w:ind w:left="172"/>
      </w:pPr>
      <w:r>
        <w:pict w14:anchorId="4474B09D">
          <v:shape id="_x0000_s2073" style="position:absolute;left:0;text-align:left;margin-left:41.85pt;margin-top:16.1pt;width:509.25pt;height:.1pt;z-index:-251585536;mso-wrap-distance-left:0;mso-wrap-distance-right:0;mso-position-horizontal-relative:page" coordorigin="837,322" coordsize="10185,0" path="m837,322r10185,e" filled="f" strokeweight=".72pt">
            <v:path arrowok="t"/>
            <w10:wrap type="topAndBottom" anchorx="page"/>
          </v:shape>
        </w:pict>
      </w:r>
      <w:r w:rsidR="00D84817">
        <w:t>February 2022</w:t>
      </w:r>
    </w:p>
    <w:p w14:paraId="4474AE84" w14:textId="77777777" w:rsidR="001D4C35" w:rsidRDefault="001D4C35">
      <w:pPr>
        <w:pStyle w:val="BodyText"/>
        <w:spacing w:before="5"/>
        <w:rPr>
          <w:sz w:val="32"/>
        </w:rPr>
      </w:pPr>
    </w:p>
    <w:p w14:paraId="4474AE85" w14:textId="77777777" w:rsidR="001D4C35" w:rsidRDefault="00D84817">
      <w:pPr>
        <w:pStyle w:val="Heading3"/>
        <w:ind w:left="172"/>
      </w:pPr>
      <w:r>
        <w:rPr>
          <w:u w:val="single"/>
        </w:rPr>
        <w:t>Introduction</w:t>
      </w:r>
    </w:p>
    <w:p w14:paraId="4474AE86" w14:textId="77777777" w:rsidR="001D4C35" w:rsidRDefault="00D84817">
      <w:pPr>
        <w:pStyle w:val="BodyText"/>
        <w:spacing w:before="202" w:line="276" w:lineRule="auto"/>
        <w:ind w:left="171" w:right="106"/>
        <w:jc w:val="both"/>
      </w:pPr>
      <w:r>
        <w:t>In July 2020, the BCBS published targeted revisions to the Credit Valuation Adjustment (CVA) framework, bringing final changes to the initial revised framework published in 2017, as part of the Basel III agreement. CVA refers to a measure of market risk incurred in the context of transactions or contracts involving counterparties (such as sovereign banks, other financial institutions, non-financial companies, etc.). In other words, as banks enter into derivatives contracts, they face the risk of incurring losses due to changes in the market value of those transactions and the deterioration of the creditworthiness of their counterparties.</w:t>
      </w:r>
    </w:p>
    <w:p w14:paraId="4474AE87" w14:textId="77777777" w:rsidR="001D4C35" w:rsidRDefault="00D84817">
      <w:pPr>
        <w:pStyle w:val="BodyText"/>
        <w:spacing w:before="120" w:line="276" w:lineRule="auto"/>
        <w:ind w:left="171" w:right="105"/>
        <w:jc w:val="both"/>
      </w:pPr>
      <w:r>
        <w:t>Capital</w:t>
      </w:r>
      <w:r>
        <w:rPr>
          <w:spacing w:val="-6"/>
        </w:rPr>
        <w:t xml:space="preserve"> </w:t>
      </w:r>
      <w:r>
        <w:t>requirements</w:t>
      </w:r>
      <w:r>
        <w:rPr>
          <w:spacing w:val="-3"/>
        </w:rPr>
        <w:t xml:space="preserve"> </w:t>
      </w:r>
      <w:r>
        <w:t>for</w:t>
      </w:r>
      <w:r>
        <w:rPr>
          <w:spacing w:val="-5"/>
        </w:rPr>
        <w:t xml:space="preserve"> </w:t>
      </w:r>
      <w:r>
        <w:t>CVA</w:t>
      </w:r>
      <w:r>
        <w:rPr>
          <w:spacing w:val="-6"/>
        </w:rPr>
        <w:t xml:space="preserve"> </w:t>
      </w:r>
      <w:r>
        <w:t>risk</w:t>
      </w:r>
      <w:r>
        <w:rPr>
          <w:spacing w:val="-5"/>
        </w:rPr>
        <w:t xml:space="preserve"> </w:t>
      </w:r>
      <w:r>
        <w:t>are</w:t>
      </w:r>
      <w:r>
        <w:rPr>
          <w:spacing w:val="-4"/>
        </w:rPr>
        <w:t xml:space="preserve"> </w:t>
      </w:r>
      <w:r>
        <w:t>meant</w:t>
      </w:r>
      <w:r>
        <w:rPr>
          <w:spacing w:val="-3"/>
        </w:rPr>
        <w:t xml:space="preserve"> </w:t>
      </w:r>
      <w:r>
        <w:t>to</w:t>
      </w:r>
      <w:r>
        <w:rPr>
          <w:spacing w:val="-7"/>
        </w:rPr>
        <w:t xml:space="preserve"> </w:t>
      </w:r>
      <w:r>
        <w:t>require</w:t>
      </w:r>
      <w:r>
        <w:rPr>
          <w:spacing w:val="-4"/>
        </w:rPr>
        <w:t xml:space="preserve"> </w:t>
      </w:r>
      <w:r>
        <w:t>banks</w:t>
      </w:r>
      <w:r>
        <w:rPr>
          <w:spacing w:val="-5"/>
        </w:rPr>
        <w:t xml:space="preserve"> </w:t>
      </w:r>
      <w:r>
        <w:t>to</w:t>
      </w:r>
      <w:r>
        <w:rPr>
          <w:spacing w:val="-6"/>
        </w:rPr>
        <w:t xml:space="preserve"> </w:t>
      </w:r>
      <w:r>
        <w:t>hold</w:t>
      </w:r>
      <w:r>
        <w:rPr>
          <w:spacing w:val="-3"/>
        </w:rPr>
        <w:t xml:space="preserve"> </w:t>
      </w:r>
      <w:r>
        <w:t>aside</w:t>
      </w:r>
      <w:r>
        <w:rPr>
          <w:spacing w:val="-5"/>
        </w:rPr>
        <w:t xml:space="preserve"> </w:t>
      </w:r>
      <w:r>
        <w:t>capital</w:t>
      </w:r>
      <w:r>
        <w:rPr>
          <w:spacing w:val="-5"/>
        </w:rPr>
        <w:t xml:space="preserve"> </w:t>
      </w:r>
      <w:r>
        <w:t>to</w:t>
      </w:r>
      <w:r>
        <w:rPr>
          <w:spacing w:val="-7"/>
        </w:rPr>
        <w:t xml:space="preserve"> </w:t>
      </w:r>
      <w:r>
        <w:t>account</w:t>
      </w:r>
      <w:r>
        <w:rPr>
          <w:spacing w:val="-3"/>
        </w:rPr>
        <w:t xml:space="preserve"> </w:t>
      </w:r>
      <w:r>
        <w:t>for</w:t>
      </w:r>
      <w:r>
        <w:rPr>
          <w:spacing w:val="-5"/>
        </w:rPr>
        <w:t xml:space="preserve"> </w:t>
      </w:r>
      <w:r>
        <w:t>these</w:t>
      </w:r>
      <w:r>
        <w:rPr>
          <w:spacing w:val="-4"/>
        </w:rPr>
        <w:t xml:space="preserve"> </w:t>
      </w:r>
      <w:r>
        <w:t>losses. While the 2020 revisions attempted to solve some of the identified issues with the current CVA framework, further calibration is necessary to ensure that end-users, who typically use derivatives to hedge risk, are still able to access them at a reasonable cost. Particularly in the context of the recovery from the COVID-19 pandemic, it is crucial for banks to continue to support the real economy through the provision of these services and to not be constrained from doing so by an undue increase in the capital held against CVA risk. It is</w:t>
      </w:r>
      <w:r>
        <w:rPr>
          <w:spacing w:val="-10"/>
        </w:rPr>
        <w:t xml:space="preserve"> </w:t>
      </w:r>
      <w:r>
        <w:t>also</w:t>
      </w:r>
      <w:r>
        <w:rPr>
          <w:spacing w:val="-13"/>
        </w:rPr>
        <w:t xml:space="preserve"> </w:t>
      </w:r>
      <w:r>
        <w:t>important</w:t>
      </w:r>
      <w:r>
        <w:rPr>
          <w:spacing w:val="-11"/>
        </w:rPr>
        <w:t xml:space="preserve"> </w:t>
      </w:r>
      <w:r>
        <w:t>that</w:t>
      </w:r>
      <w:r>
        <w:rPr>
          <w:spacing w:val="-11"/>
        </w:rPr>
        <w:t xml:space="preserve"> </w:t>
      </w:r>
      <w:r>
        <w:t>the</w:t>
      </w:r>
      <w:r>
        <w:rPr>
          <w:spacing w:val="-11"/>
        </w:rPr>
        <w:t xml:space="preserve"> </w:t>
      </w:r>
      <w:r>
        <w:t>CVA</w:t>
      </w:r>
      <w:r>
        <w:rPr>
          <w:spacing w:val="-12"/>
        </w:rPr>
        <w:t xml:space="preserve"> </w:t>
      </w:r>
      <w:r>
        <w:t>framework</w:t>
      </w:r>
      <w:r>
        <w:rPr>
          <w:spacing w:val="-11"/>
        </w:rPr>
        <w:t xml:space="preserve"> </w:t>
      </w:r>
      <w:r>
        <w:t>is</w:t>
      </w:r>
      <w:r>
        <w:rPr>
          <w:spacing w:val="-14"/>
        </w:rPr>
        <w:t xml:space="preserve"> </w:t>
      </w:r>
      <w:r>
        <w:t>implemented</w:t>
      </w:r>
      <w:r>
        <w:rPr>
          <w:spacing w:val="-9"/>
        </w:rPr>
        <w:t xml:space="preserve"> </w:t>
      </w:r>
      <w:r>
        <w:t>in</w:t>
      </w:r>
      <w:r>
        <w:rPr>
          <w:spacing w:val="-10"/>
        </w:rPr>
        <w:t xml:space="preserve"> </w:t>
      </w:r>
      <w:r>
        <w:t>a</w:t>
      </w:r>
      <w:r>
        <w:rPr>
          <w:spacing w:val="-11"/>
        </w:rPr>
        <w:t xml:space="preserve"> </w:t>
      </w:r>
      <w:r>
        <w:t>coherent</w:t>
      </w:r>
      <w:r>
        <w:rPr>
          <w:spacing w:val="-10"/>
        </w:rPr>
        <w:t xml:space="preserve"> </w:t>
      </w:r>
      <w:r>
        <w:t>manner,</w:t>
      </w:r>
      <w:r>
        <w:rPr>
          <w:spacing w:val="-13"/>
        </w:rPr>
        <w:t xml:space="preserve"> </w:t>
      </w:r>
      <w:r>
        <w:t>and</w:t>
      </w:r>
      <w:r>
        <w:rPr>
          <w:spacing w:val="-10"/>
        </w:rPr>
        <w:t xml:space="preserve"> </w:t>
      </w:r>
      <w:r>
        <w:t>due</w:t>
      </w:r>
      <w:r>
        <w:rPr>
          <w:spacing w:val="-10"/>
        </w:rPr>
        <w:t xml:space="preserve"> </w:t>
      </w:r>
      <w:r>
        <w:t>consideration</w:t>
      </w:r>
      <w:r>
        <w:rPr>
          <w:spacing w:val="-11"/>
        </w:rPr>
        <w:t xml:space="preserve"> </w:t>
      </w:r>
      <w:r>
        <w:t>should be given to aligning the implementation timeline with the interlinked market risk</w:t>
      </w:r>
      <w:r>
        <w:rPr>
          <w:spacing w:val="-17"/>
        </w:rPr>
        <w:t xml:space="preserve"> </w:t>
      </w:r>
      <w:r>
        <w:t>standards.</w:t>
      </w:r>
    </w:p>
    <w:p w14:paraId="4474AE88" w14:textId="77777777" w:rsidR="001D4C35" w:rsidRDefault="001D4C35">
      <w:pPr>
        <w:pStyle w:val="BodyText"/>
        <w:rPr>
          <w:sz w:val="32"/>
        </w:rPr>
      </w:pPr>
    </w:p>
    <w:p w14:paraId="4474AE89" w14:textId="77777777" w:rsidR="001D4C35" w:rsidRDefault="00D84817">
      <w:pPr>
        <w:pStyle w:val="Heading3"/>
        <w:spacing w:before="1"/>
        <w:ind w:left="172"/>
        <w:jc w:val="both"/>
      </w:pPr>
      <w:r>
        <w:rPr>
          <w:u w:val="single"/>
        </w:rPr>
        <w:t>CVA: A Brief Primer</w:t>
      </w:r>
    </w:p>
    <w:p w14:paraId="4474AE8A" w14:textId="77777777" w:rsidR="001D4C35" w:rsidRDefault="001D4C35">
      <w:pPr>
        <w:pStyle w:val="BodyText"/>
        <w:spacing w:before="10"/>
        <w:rPr>
          <w:b/>
          <w:sz w:val="16"/>
        </w:rPr>
      </w:pPr>
    </w:p>
    <w:p w14:paraId="4474AE8B" w14:textId="77777777" w:rsidR="001D4C35" w:rsidRDefault="00D84817">
      <w:pPr>
        <w:pStyle w:val="BodyText"/>
        <w:spacing w:before="100" w:line="276" w:lineRule="auto"/>
        <w:ind w:left="171" w:right="105"/>
        <w:jc w:val="both"/>
      </w:pPr>
      <w:r>
        <w:t>Banks that undertake derivatives are subject to the risk of incurring mark-to-market losses because of the deterioration in the creditworthiness of their counterparties. This potential source of loss, due primarily to changes in counterparty credit spreads, but also other market risk factors, is known as CVA risk. CVA is thus viewed as the “price” of counterparty credit risk (CCR).</w:t>
      </w:r>
    </w:p>
    <w:p w14:paraId="4474AE8C" w14:textId="77777777" w:rsidR="001D4C35" w:rsidRDefault="00D84817">
      <w:pPr>
        <w:pStyle w:val="BodyText"/>
        <w:spacing w:before="122" w:line="276" w:lineRule="auto"/>
        <w:ind w:left="171" w:right="107"/>
        <w:jc w:val="both"/>
      </w:pPr>
      <w:r>
        <w:t>In December 2017, the BCBS published an initial revision of the CVA framework</w:t>
      </w:r>
      <w:hyperlink w:anchor="_bookmark47" w:history="1">
        <w:r>
          <w:rPr>
            <w:position w:val="5"/>
            <w:sz w:val="14"/>
          </w:rPr>
          <w:t>1</w:t>
        </w:r>
      </w:hyperlink>
      <w:r>
        <w:rPr>
          <w:position w:val="5"/>
          <w:sz w:val="14"/>
        </w:rPr>
        <w:t xml:space="preserve"> </w:t>
      </w:r>
      <w:r>
        <w:t>to better capture CVA risk and provide better recognition of CVA hedges. Further revisions were introduced on July 8</w:t>
      </w:r>
      <w:proofErr w:type="spellStart"/>
      <w:r>
        <w:rPr>
          <w:position w:val="5"/>
          <w:sz w:val="14"/>
        </w:rPr>
        <w:t>th</w:t>
      </w:r>
      <w:proofErr w:type="spellEnd"/>
      <w:r>
        <w:rPr>
          <w:position w:val="5"/>
          <w:sz w:val="14"/>
        </w:rPr>
        <w:t xml:space="preserve"> </w:t>
      </w:r>
      <w:r>
        <w:t>2020</w:t>
      </w:r>
      <w:hyperlink w:anchor="_bookmark48" w:history="1">
        <w:r>
          <w:rPr>
            <w:position w:val="5"/>
            <w:sz w:val="14"/>
          </w:rPr>
          <w:t>2</w:t>
        </w:r>
      </w:hyperlink>
      <w:r>
        <w:rPr>
          <w:position w:val="5"/>
          <w:sz w:val="14"/>
        </w:rPr>
        <w:t xml:space="preserve"> </w:t>
      </w:r>
      <w:r>
        <w:t xml:space="preserve">when the BCBS released its final rule for the CVA framework to ensure, amongst other provisions, further alignment between the market risk and CVA rules, as well as address </w:t>
      </w:r>
      <w:r>
        <w:rPr>
          <w:color w:val="372E31"/>
        </w:rPr>
        <w:t>calibration issues within the framework.</w:t>
      </w:r>
    </w:p>
    <w:p w14:paraId="4474AE8D" w14:textId="77777777" w:rsidR="001D4C35" w:rsidRDefault="00D84817">
      <w:pPr>
        <w:pStyle w:val="BodyText"/>
        <w:spacing w:before="117" w:line="276" w:lineRule="auto"/>
        <w:ind w:left="172" w:right="106"/>
        <w:jc w:val="both"/>
      </w:pPr>
      <w:r>
        <w:t>This finalized standard is a significant development that is expected to have material implications for the industry,</w:t>
      </w:r>
      <w:r>
        <w:rPr>
          <w:spacing w:val="-12"/>
        </w:rPr>
        <w:t xml:space="preserve"> </w:t>
      </w:r>
      <w:r>
        <w:t>as</w:t>
      </w:r>
      <w:r>
        <w:rPr>
          <w:spacing w:val="-9"/>
        </w:rPr>
        <w:t xml:space="preserve"> </w:t>
      </w:r>
      <w:r>
        <w:t>it</w:t>
      </w:r>
      <w:r>
        <w:rPr>
          <w:spacing w:val="-9"/>
        </w:rPr>
        <w:t xml:space="preserve"> </w:t>
      </w:r>
      <w:r>
        <w:t>replaces</w:t>
      </w:r>
      <w:r>
        <w:rPr>
          <w:spacing w:val="-8"/>
        </w:rPr>
        <w:t xml:space="preserve"> </w:t>
      </w:r>
      <w:r>
        <w:t>the</w:t>
      </w:r>
      <w:r>
        <w:rPr>
          <w:spacing w:val="-9"/>
        </w:rPr>
        <w:t xml:space="preserve"> </w:t>
      </w:r>
      <w:r>
        <w:t>current</w:t>
      </w:r>
      <w:r>
        <w:rPr>
          <w:spacing w:val="-9"/>
        </w:rPr>
        <w:t xml:space="preserve"> </w:t>
      </w:r>
      <w:r>
        <w:t>CVA</w:t>
      </w:r>
      <w:r>
        <w:rPr>
          <w:spacing w:val="-11"/>
        </w:rPr>
        <w:t xml:space="preserve"> </w:t>
      </w:r>
      <w:r>
        <w:t>standardized</w:t>
      </w:r>
      <w:r>
        <w:rPr>
          <w:spacing w:val="-9"/>
        </w:rPr>
        <w:t xml:space="preserve"> </w:t>
      </w:r>
      <w:r>
        <w:t>approach</w:t>
      </w:r>
      <w:r>
        <w:rPr>
          <w:spacing w:val="-11"/>
        </w:rPr>
        <w:t xml:space="preserve"> </w:t>
      </w:r>
      <w:r>
        <w:t>and</w:t>
      </w:r>
      <w:r>
        <w:rPr>
          <w:spacing w:val="-8"/>
        </w:rPr>
        <w:t xml:space="preserve"> </w:t>
      </w:r>
      <w:r>
        <w:t>removes</w:t>
      </w:r>
      <w:r>
        <w:rPr>
          <w:spacing w:val="-10"/>
        </w:rPr>
        <w:t xml:space="preserve"> </w:t>
      </w:r>
      <w:r>
        <w:t>the</w:t>
      </w:r>
      <w:r>
        <w:rPr>
          <w:spacing w:val="-9"/>
        </w:rPr>
        <w:t xml:space="preserve"> </w:t>
      </w:r>
      <w:r>
        <w:t>ability</w:t>
      </w:r>
      <w:r>
        <w:rPr>
          <w:spacing w:val="-13"/>
        </w:rPr>
        <w:t xml:space="preserve"> </w:t>
      </w:r>
      <w:r>
        <w:t>to</w:t>
      </w:r>
      <w:r>
        <w:rPr>
          <w:spacing w:val="-12"/>
        </w:rPr>
        <w:t xml:space="preserve"> </w:t>
      </w:r>
      <w:r>
        <w:t>use</w:t>
      </w:r>
      <w:r>
        <w:rPr>
          <w:spacing w:val="-9"/>
        </w:rPr>
        <w:t xml:space="preserve"> </w:t>
      </w:r>
      <w:r>
        <w:t>internal</w:t>
      </w:r>
      <w:r>
        <w:rPr>
          <w:spacing w:val="-10"/>
        </w:rPr>
        <w:t xml:space="preserve"> </w:t>
      </w:r>
      <w:r>
        <w:t>models.</w:t>
      </w:r>
    </w:p>
    <w:p w14:paraId="4474AE8E" w14:textId="77777777" w:rsidR="001D4C35" w:rsidRDefault="00D84817">
      <w:pPr>
        <w:pStyle w:val="BodyText"/>
        <w:spacing w:before="123" w:line="276" w:lineRule="auto"/>
        <w:ind w:left="172" w:right="104"/>
        <w:jc w:val="both"/>
      </w:pPr>
      <w:r>
        <w:t xml:space="preserve">The main changes introduced </w:t>
      </w:r>
      <w:r>
        <w:rPr>
          <w:spacing w:val="-3"/>
        </w:rPr>
        <w:t xml:space="preserve">by </w:t>
      </w:r>
      <w:r>
        <w:t>the BCBS in this framework include a re-calibrated standardized approach (SA-CVA) and basic approach (BA-CVA), adjustments in some of the previously-determined risk weights (RWs) in both these approaches, an adjustment to the scope of transactions that are subject to CVA-linked capital</w:t>
      </w:r>
      <w:r>
        <w:rPr>
          <w:spacing w:val="-7"/>
        </w:rPr>
        <w:t xml:space="preserve"> </w:t>
      </w:r>
      <w:r>
        <w:t>requirements,</w:t>
      </w:r>
      <w:r>
        <w:rPr>
          <w:spacing w:val="-8"/>
        </w:rPr>
        <w:t xml:space="preserve"> </w:t>
      </w:r>
      <w:r>
        <w:t>as</w:t>
      </w:r>
      <w:r>
        <w:rPr>
          <w:spacing w:val="-6"/>
        </w:rPr>
        <w:t xml:space="preserve"> </w:t>
      </w:r>
      <w:r>
        <w:t>well</w:t>
      </w:r>
      <w:r>
        <w:rPr>
          <w:spacing w:val="-6"/>
        </w:rPr>
        <w:t xml:space="preserve"> </w:t>
      </w:r>
      <w:r>
        <w:t>as</w:t>
      </w:r>
      <w:r>
        <w:rPr>
          <w:spacing w:val="-6"/>
        </w:rPr>
        <w:t xml:space="preserve"> </w:t>
      </w:r>
      <w:r>
        <w:t>the</w:t>
      </w:r>
      <w:r>
        <w:rPr>
          <w:spacing w:val="-6"/>
        </w:rPr>
        <w:t xml:space="preserve"> </w:t>
      </w:r>
      <w:r>
        <w:t>introduction</w:t>
      </w:r>
      <w:r>
        <w:rPr>
          <w:spacing w:val="-6"/>
        </w:rPr>
        <w:t xml:space="preserve"> </w:t>
      </w:r>
      <w:r>
        <w:t>of</w:t>
      </w:r>
      <w:r>
        <w:rPr>
          <w:spacing w:val="-6"/>
        </w:rPr>
        <w:t xml:space="preserve"> </w:t>
      </w:r>
      <w:r>
        <w:t>“index</w:t>
      </w:r>
      <w:r>
        <w:rPr>
          <w:spacing w:val="-4"/>
        </w:rPr>
        <w:t xml:space="preserve"> </w:t>
      </w:r>
      <w:r>
        <w:t>buckets”,</w:t>
      </w:r>
      <w:r>
        <w:rPr>
          <w:spacing w:val="-8"/>
        </w:rPr>
        <w:t xml:space="preserve"> </w:t>
      </w:r>
      <w:r>
        <w:t>whereby</w:t>
      </w:r>
      <w:r>
        <w:rPr>
          <w:spacing w:val="-6"/>
        </w:rPr>
        <w:t xml:space="preserve"> </w:t>
      </w:r>
      <w:r>
        <w:t>banks</w:t>
      </w:r>
      <w:r>
        <w:rPr>
          <w:spacing w:val="-5"/>
        </w:rPr>
        <w:t xml:space="preserve"> </w:t>
      </w:r>
      <w:r>
        <w:t>can</w:t>
      </w:r>
      <w:r>
        <w:rPr>
          <w:spacing w:val="-5"/>
        </w:rPr>
        <w:t xml:space="preserve"> </w:t>
      </w:r>
      <w:r>
        <w:t>calculate</w:t>
      </w:r>
      <w:r>
        <w:rPr>
          <w:spacing w:val="-6"/>
        </w:rPr>
        <w:t xml:space="preserve"> </w:t>
      </w:r>
      <w:r>
        <w:t>their</w:t>
      </w:r>
      <w:r>
        <w:rPr>
          <w:spacing w:val="-6"/>
        </w:rPr>
        <w:t xml:space="preserve"> </w:t>
      </w:r>
      <w:r>
        <w:t>capital requirements</w:t>
      </w:r>
      <w:r>
        <w:rPr>
          <w:spacing w:val="-6"/>
        </w:rPr>
        <w:t xml:space="preserve"> </w:t>
      </w:r>
      <w:r>
        <w:t>by</w:t>
      </w:r>
      <w:r>
        <w:rPr>
          <w:spacing w:val="-7"/>
        </w:rPr>
        <w:t xml:space="preserve"> </w:t>
      </w:r>
      <w:r>
        <w:t>referring</w:t>
      </w:r>
      <w:r>
        <w:rPr>
          <w:spacing w:val="-8"/>
        </w:rPr>
        <w:t xml:space="preserve"> </w:t>
      </w:r>
      <w:r>
        <w:t>to</w:t>
      </w:r>
      <w:r>
        <w:rPr>
          <w:spacing w:val="-9"/>
        </w:rPr>
        <w:t xml:space="preserve"> </w:t>
      </w:r>
      <w:r>
        <w:t>certain</w:t>
      </w:r>
      <w:r>
        <w:rPr>
          <w:spacing w:val="-6"/>
        </w:rPr>
        <w:t xml:space="preserve"> </w:t>
      </w:r>
      <w:r>
        <w:t>set</w:t>
      </w:r>
      <w:r>
        <w:rPr>
          <w:spacing w:val="-6"/>
        </w:rPr>
        <w:t xml:space="preserve"> </w:t>
      </w:r>
      <w:r>
        <w:t>credit</w:t>
      </w:r>
      <w:r>
        <w:rPr>
          <w:spacing w:val="-5"/>
        </w:rPr>
        <w:t xml:space="preserve"> </w:t>
      </w:r>
      <w:r>
        <w:t>or</w:t>
      </w:r>
      <w:r>
        <w:rPr>
          <w:spacing w:val="-7"/>
        </w:rPr>
        <w:t xml:space="preserve"> </w:t>
      </w:r>
      <w:r>
        <w:t>equity</w:t>
      </w:r>
      <w:r>
        <w:rPr>
          <w:spacing w:val="-6"/>
        </w:rPr>
        <w:t xml:space="preserve"> </w:t>
      </w:r>
      <w:r>
        <w:t>indices,</w:t>
      </w:r>
      <w:r>
        <w:rPr>
          <w:spacing w:val="-9"/>
        </w:rPr>
        <w:t xml:space="preserve"> </w:t>
      </w:r>
      <w:r>
        <w:t>instead</w:t>
      </w:r>
      <w:r>
        <w:rPr>
          <w:spacing w:val="-5"/>
        </w:rPr>
        <w:t xml:space="preserve"> </w:t>
      </w:r>
      <w:r>
        <w:t>of</w:t>
      </w:r>
      <w:r>
        <w:rPr>
          <w:spacing w:val="-11"/>
        </w:rPr>
        <w:t xml:space="preserve"> </w:t>
      </w:r>
      <w:r>
        <w:t>relying</w:t>
      </w:r>
      <w:r>
        <w:rPr>
          <w:spacing w:val="-8"/>
        </w:rPr>
        <w:t xml:space="preserve"> </w:t>
      </w:r>
      <w:r>
        <w:t>on</w:t>
      </w:r>
      <w:r>
        <w:rPr>
          <w:spacing w:val="-7"/>
        </w:rPr>
        <w:t xml:space="preserve"> </w:t>
      </w:r>
      <w:r>
        <w:rPr>
          <w:spacing w:val="-2"/>
        </w:rPr>
        <w:t>the</w:t>
      </w:r>
      <w:r>
        <w:rPr>
          <w:spacing w:val="-6"/>
        </w:rPr>
        <w:t xml:space="preserve"> </w:t>
      </w:r>
      <w:r>
        <w:t>credit-worthiness</w:t>
      </w:r>
      <w:r>
        <w:rPr>
          <w:spacing w:val="-6"/>
        </w:rPr>
        <w:t xml:space="preserve"> </w:t>
      </w:r>
      <w:r>
        <w:t>of the</w:t>
      </w:r>
      <w:r>
        <w:rPr>
          <w:spacing w:val="34"/>
        </w:rPr>
        <w:t xml:space="preserve"> </w:t>
      </w:r>
      <w:r>
        <w:t>underlying</w:t>
      </w:r>
      <w:r>
        <w:rPr>
          <w:spacing w:val="34"/>
        </w:rPr>
        <w:t xml:space="preserve"> </w:t>
      </w:r>
      <w:r>
        <w:t>counterparty.</w:t>
      </w:r>
      <w:r>
        <w:rPr>
          <w:spacing w:val="34"/>
        </w:rPr>
        <w:t xml:space="preserve"> </w:t>
      </w:r>
      <w:r>
        <w:t>Finally,</w:t>
      </w:r>
      <w:r>
        <w:rPr>
          <w:spacing w:val="34"/>
        </w:rPr>
        <w:t xml:space="preserve"> </w:t>
      </w:r>
      <w:r>
        <w:t>the</w:t>
      </w:r>
      <w:r>
        <w:rPr>
          <w:spacing w:val="35"/>
        </w:rPr>
        <w:t xml:space="preserve"> </w:t>
      </w:r>
      <w:r>
        <w:t>BCBS</w:t>
      </w:r>
      <w:r>
        <w:rPr>
          <w:spacing w:val="33"/>
        </w:rPr>
        <w:t xml:space="preserve"> </w:t>
      </w:r>
      <w:r>
        <w:t>has</w:t>
      </w:r>
      <w:r>
        <w:rPr>
          <w:spacing w:val="35"/>
        </w:rPr>
        <w:t xml:space="preserve"> </w:t>
      </w:r>
      <w:r>
        <w:t>recommended</w:t>
      </w:r>
      <w:r>
        <w:rPr>
          <w:spacing w:val="37"/>
        </w:rPr>
        <w:t xml:space="preserve"> </w:t>
      </w:r>
      <w:r>
        <w:t>setting</w:t>
      </w:r>
      <w:r>
        <w:rPr>
          <w:spacing w:val="34"/>
        </w:rPr>
        <w:t xml:space="preserve"> </w:t>
      </w:r>
      <w:r>
        <w:t>the</w:t>
      </w:r>
      <w:r>
        <w:rPr>
          <w:spacing w:val="35"/>
        </w:rPr>
        <w:t xml:space="preserve"> </w:t>
      </w:r>
      <w:proofErr w:type="spellStart"/>
      <w:r>
        <w:t>mCVA</w:t>
      </w:r>
      <w:proofErr w:type="spellEnd"/>
      <w:r>
        <w:rPr>
          <w:spacing w:val="34"/>
        </w:rPr>
        <w:t xml:space="preserve"> </w:t>
      </w:r>
      <w:r>
        <w:t>multiplier,</w:t>
      </w:r>
      <w:r>
        <w:rPr>
          <w:spacing w:val="34"/>
        </w:rPr>
        <w:t xml:space="preserve"> </w:t>
      </w:r>
      <w:r>
        <w:t>meant</w:t>
      </w:r>
      <w:r>
        <w:rPr>
          <w:spacing w:val="35"/>
        </w:rPr>
        <w:t xml:space="preserve"> </w:t>
      </w:r>
      <w:r>
        <w:t>to</w:t>
      </w:r>
    </w:p>
    <w:p w14:paraId="4474AE8F" w14:textId="77777777" w:rsidR="001D4C35" w:rsidRDefault="001D4C35">
      <w:pPr>
        <w:pStyle w:val="BodyText"/>
        <w:rPr>
          <w:sz w:val="20"/>
        </w:rPr>
      </w:pPr>
    </w:p>
    <w:p w14:paraId="4474AE90" w14:textId="77777777" w:rsidR="001D4C35" w:rsidRDefault="007E6DC4">
      <w:pPr>
        <w:pStyle w:val="BodyText"/>
        <w:spacing w:before="10"/>
        <w:rPr>
          <w:sz w:val="23"/>
        </w:rPr>
      </w:pPr>
      <w:r>
        <w:pict w14:anchorId="4474B09E">
          <v:shape id="_x0000_s2072" style="position:absolute;margin-left:42.6pt;margin-top:16.35pt;width:2in;height:.1pt;z-index:-251584512;mso-wrap-distance-left:0;mso-wrap-distance-right:0;mso-position-horizontal-relative:page" coordorigin="852,327" coordsize="2880,0" path="m852,327r2880,e" filled="f" strokeweight=".8pt">
            <v:path arrowok="t"/>
            <w10:wrap type="topAndBottom" anchorx="page"/>
          </v:shape>
        </w:pict>
      </w:r>
    </w:p>
    <w:p w14:paraId="4474AE91" w14:textId="77777777" w:rsidR="001D4C35" w:rsidRDefault="00D84817">
      <w:pPr>
        <w:spacing w:before="80"/>
        <w:ind w:left="172"/>
        <w:rPr>
          <w:sz w:val="18"/>
        </w:rPr>
      </w:pPr>
      <w:bookmarkStart w:id="12" w:name="_bookmark47"/>
      <w:bookmarkEnd w:id="12"/>
      <w:r>
        <w:rPr>
          <w:position w:val="4"/>
          <w:sz w:val="12"/>
        </w:rPr>
        <w:t xml:space="preserve">1 </w:t>
      </w:r>
      <w:hyperlink r:id="rId9">
        <w:r>
          <w:rPr>
            <w:color w:val="0000FF"/>
            <w:sz w:val="18"/>
            <w:u w:val="single" w:color="0000FF"/>
          </w:rPr>
          <w:t>https://www.bis.org/bcbs/publ/d424.pdf</w:t>
        </w:r>
      </w:hyperlink>
    </w:p>
    <w:p w14:paraId="4474AE92" w14:textId="77777777" w:rsidR="001D4C35" w:rsidRDefault="00D84817">
      <w:pPr>
        <w:spacing w:before="1"/>
        <w:ind w:left="172"/>
        <w:rPr>
          <w:sz w:val="18"/>
        </w:rPr>
      </w:pPr>
      <w:bookmarkStart w:id="13" w:name="_bookmark48"/>
      <w:bookmarkEnd w:id="13"/>
      <w:r>
        <w:rPr>
          <w:position w:val="4"/>
          <w:sz w:val="12"/>
        </w:rPr>
        <w:t xml:space="preserve">2 </w:t>
      </w:r>
      <w:hyperlink r:id="rId10">
        <w:r>
          <w:rPr>
            <w:color w:val="0000FF"/>
            <w:sz w:val="18"/>
            <w:u w:val="single" w:color="0000FF"/>
          </w:rPr>
          <w:t>https://www.bis.org/bcbs/publ/d507.htm</w:t>
        </w:r>
      </w:hyperlink>
    </w:p>
    <w:p w14:paraId="4474AE93" w14:textId="77777777" w:rsidR="001D4C35" w:rsidRDefault="001D4C35">
      <w:pPr>
        <w:rPr>
          <w:sz w:val="18"/>
        </w:rPr>
        <w:sectPr w:rsidR="001D4C35">
          <w:footerReference w:type="default" r:id="rId11"/>
          <w:pgSz w:w="11910" w:h="16840"/>
          <w:pgMar w:top="1000" w:right="740" w:bottom="1200" w:left="680" w:header="0" w:footer="1012" w:gutter="0"/>
          <w:pgNumType w:start="1"/>
          <w:cols w:space="720"/>
        </w:sectPr>
      </w:pPr>
    </w:p>
    <w:p w14:paraId="4474AE94" w14:textId="77777777" w:rsidR="001D4C35" w:rsidRDefault="00D84817">
      <w:pPr>
        <w:pStyle w:val="BodyText"/>
        <w:spacing w:before="75" w:line="276" w:lineRule="auto"/>
        <w:ind w:left="171"/>
      </w:pPr>
      <w:r>
        <w:lastRenderedPageBreak/>
        <w:t>account for model risk, to 1 – to address calibration issues in the framework. This also takes into account the fact that there is no advanced approach available for the calculation of the CVA capital requirements.</w:t>
      </w:r>
    </w:p>
    <w:p w14:paraId="4474AE95" w14:textId="77777777" w:rsidR="001D4C35" w:rsidRDefault="001D4C35">
      <w:pPr>
        <w:pStyle w:val="BodyText"/>
        <w:rPr>
          <w:sz w:val="20"/>
        </w:rPr>
      </w:pPr>
    </w:p>
    <w:p w14:paraId="4474AE96" w14:textId="77777777" w:rsidR="001D4C35" w:rsidRDefault="007E6DC4">
      <w:pPr>
        <w:pStyle w:val="BodyText"/>
        <w:spacing w:before="4"/>
      </w:pPr>
      <w:r>
        <w:pict w14:anchorId="4474B09F">
          <v:shapetype id="_x0000_t202" coordsize="21600,21600" o:spt="202" path="m,l,21600r21600,l21600,xe">
            <v:stroke joinstyle="miter"/>
            <v:path gradientshapeok="t" o:connecttype="rect"/>
          </v:shapetype>
          <v:shape id="_x0000_s2071" type="#_x0000_t202" style="position:absolute;margin-left:42.8pt;margin-top:15.25pt;width:509.8pt;height:189.8pt;z-index:-251583488;mso-wrap-distance-left:0;mso-wrap-distance-right:0;mso-position-horizontal-relative:page" fillcolor="#f1f1f1" strokeweight=".4pt">
            <v:textbox inset="0,0,0,0">
              <w:txbxContent>
                <w:p w14:paraId="4474B15C" w14:textId="77777777" w:rsidR="001D4C35" w:rsidRDefault="00D84817">
                  <w:pPr>
                    <w:spacing w:before="123"/>
                    <w:ind w:left="103"/>
                  </w:pPr>
                  <w:r>
                    <w:rPr>
                      <w:b/>
                    </w:rPr>
                    <w:t>The main changes introduced in the final revision of the BCBS CVA framework</w:t>
                  </w:r>
                  <w:r>
                    <w:t>:</w:t>
                  </w:r>
                </w:p>
                <w:p w14:paraId="4474B15D" w14:textId="77777777" w:rsidR="001D4C35" w:rsidRDefault="00D84817">
                  <w:pPr>
                    <w:pStyle w:val="BodyText"/>
                    <w:numPr>
                      <w:ilvl w:val="0"/>
                      <w:numId w:val="9"/>
                    </w:numPr>
                    <w:tabs>
                      <w:tab w:val="left" w:pos="417"/>
                    </w:tabs>
                    <w:spacing w:before="122"/>
                    <w:ind w:left="415" w:right="326" w:hanging="272"/>
                  </w:pPr>
                  <w:r>
                    <w:t>a reduction of the SA-CVA multiplier (</w:t>
                  </w:r>
                  <w:proofErr w:type="spellStart"/>
                  <w:r>
                    <w:t>mCVA</w:t>
                  </w:r>
                  <w:proofErr w:type="spellEnd"/>
                  <w:r>
                    <w:t>) to 1 from 1.25, originally intended to account for model risk.</w:t>
                  </w:r>
                </w:p>
                <w:p w14:paraId="4474B15E" w14:textId="77777777" w:rsidR="001D4C35" w:rsidRDefault="00D84817">
                  <w:pPr>
                    <w:pStyle w:val="BodyText"/>
                    <w:numPr>
                      <w:ilvl w:val="0"/>
                      <w:numId w:val="9"/>
                    </w:numPr>
                    <w:tabs>
                      <w:tab w:val="left" w:pos="417"/>
                    </w:tabs>
                    <w:spacing w:line="269" w:lineRule="exact"/>
                    <w:ind w:hanging="274"/>
                  </w:pPr>
                  <w:r>
                    <w:t>the</w:t>
                  </w:r>
                  <w:r>
                    <w:rPr>
                      <w:spacing w:val="-6"/>
                    </w:rPr>
                    <w:t xml:space="preserve"> </w:t>
                  </w:r>
                  <w:r>
                    <w:t>introduction</w:t>
                  </w:r>
                  <w:r>
                    <w:rPr>
                      <w:spacing w:val="-6"/>
                    </w:rPr>
                    <w:t xml:space="preserve"> </w:t>
                  </w:r>
                  <w:r>
                    <w:t>of</w:t>
                  </w:r>
                  <w:r>
                    <w:rPr>
                      <w:spacing w:val="-5"/>
                    </w:rPr>
                    <w:t xml:space="preserve"> </w:t>
                  </w:r>
                  <w:r>
                    <w:t>a</w:t>
                  </w:r>
                  <w:r>
                    <w:rPr>
                      <w:spacing w:val="-6"/>
                    </w:rPr>
                    <w:t xml:space="preserve"> </w:t>
                  </w:r>
                  <w:r>
                    <w:t>scalar</w:t>
                  </w:r>
                  <w:r>
                    <w:rPr>
                      <w:spacing w:val="-6"/>
                    </w:rPr>
                    <w:t xml:space="preserve"> </w:t>
                  </w:r>
                  <w:r>
                    <w:t>to</w:t>
                  </w:r>
                  <w:r>
                    <w:rPr>
                      <w:spacing w:val="-7"/>
                    </w:rPr>
                    <w:t xml:space="preserve"> </w:t>
                  </w:r>
                  <w:r>
                    <w:t>BA-CVA</w:t>
                  </w:r>
                  <w:r>
                    <w:rPr>
                      <w:spacing w:val="-8"/>
                    </w:rPr>
                    <w:t xml:space="preserve"> </w:t>
                  </w:r>
                  <w:r>
                    <w:t>of</w:t>
                  </w:r>
                  <w:r>
                    <w:rPr>
                      <w:spacing w:val="-6"/>
                    </w:rPr>
                    <w:t xml:space="preserve"> </w:t>
                  </w:r>
                  <w:r>
                    <w:t>0.65</w:t>
                  </w:r>
                  <w:r>
                    <w:rPr>
                      <w:spacing w:val="-8"/>
                    </w:rPr>
                    <w:t xml:space="preserve"> </w:t>
                  </w:r>
                  <w:r>
                    <w:t>to</w:t>
                  </w:r>
                  <w:r>
                    <w:rPr>
                      <w:spacing w:val="-8"/>
                    </w:rPr>
                    <w:t xml:space="preserve"> </w:t>
                  </w:r>
                  <w:r>
                    <w:t>ensure</w:t>
                  </w:r>
                  <w:r>
                    <w:rPr>
                      <w:spacing w:val="-5"/>
                    </w:rPr>
                    <w:t xml:space="preserve"> </w:t>
                  </w:r>
                  <w:r>
                    <w:t>an</w:t>
                  </w:r>
                  <w:r>
                    <w:rPr>
                      <w:spacing w:val="-6"/>
                    </w:rPr>
                    <w:t xml:space="preserve"> </w:t>
                  </w:r>
                  <w:r>
                    <w:t>appropriate</w:t>
                  </w:r>
                  <w:r>
                    <w:rPr>
                      <w:spacing w:val="-6"/>
                    </w:rPr>
                    <w:t xml:space="preserve"> </w:t>
                  </w:r>
                  <w:r>
                    <w:t>relative</w:t>
                  </w:r>
                  <w:r>
                    <w:rPr>
                      <w:spacing w:val="-5"/>
                    </w:rPr>
                    <w:t xml:space="preserve"> </w:t>
                  </w:r>
                  <w:r>
                    <w:t>calibration</w:t>
                  </w:r>
                  <w:r>
                    <w:rPr>
                      <w:spacing w:val="-6"/>
                    </w:rPr>
                    <w:t xml:space="preserve"> </w:t>
                  </w:r>
                  <w:r>
                    <w:t>to</w:t>
                  </w:r>
                  <w:r>
                    <w:rPr>
                      <w:spacing w:val="-7"/>
                    </w:rPr>
                    <w:t xml:space="preserve"> </w:t>
                  </w:r>
                  <w:r>
                    <w:t>SA-CVA.</w:t>
                  </w:r>
                </w:p>
                <w:p w14:paraId="4474B15F" w14:textId="77777777" w:rsidR="001D4C35" w:rsidRDefault="00D84817">
                  <w:pPr>
                    <w:pStyle w:val="BodyText"/>
                    <w:numPr>
                      <w:ilvl w:val="0"/>
                      <w:numId w:val="9"/>
                    </w:numPr>
                    <w:tabs>
                      <w:tab w:val="left" w:pos="417"/>
                    </w:tabs>
                    <w:ind w:left="415" w:right="328" w:hanging="272"/>
                    <w:jc w:val="both"/>
                  </w:pPr>
                  <w:r>
                    <w:t>the recognition of hedges is improved through the introduction of index buckets, allowing banks to calculate their capital requirements by referring to certain set credit or equity indices, instead of relying on the creditworthiness of the underlying</w:t>
                  </w:r>
                  <w:r>
                    <w:rPr>
                      <w:spacing w:val="-5"/>
                    </w:rPr>
                    <w:t xml:space="preserve"> </w:t>
                  </w:r>
                  <w:r>
                    <w:t>counterparty.</w:t>
                  </w:r>
                </w:p>
                <w:p w14:paraId="4474B160" w14:textId="77777777" w:rsidR="001D4C35" w:rsidRDefault="00D84817">
                  <w:pPr>
                    <w:pStyle w:val="BodyText"/>
                    <w:numPr>
                      <w:ilvl w:val="0"/>
                      <w:numId w:val="9"/>
                    </w:numPr>
                    <w:tabs>
                      <w:tab w:val="left" w:pos="417"/>
                    </w:tabs>
                    <w:spacing w:before="1"/>
                    <w:ind w:left="415" w:right="326" w:hanging="272"/>
                    <w:jc w:val="both"/>
                  </w:pPr>
                  <w:r>
                    <w:t xml:space="preserve">a revision to the aggregation formula used to calculate the capital requirements and revisions to a number of risk weights downwards to align the requirement closer to the </w:t>
                  </w:r>
                  <w:proofErr w:type="spellStart"/>
                  <w:r>
                    <w:t>finalised</w:t>
                  </w:r>
                  <w:proofErr w:type="spellEnd"/>
                  <w:r>
                    <w:t xml:space="preserve"> market risk framework.</w:t>
                  </w:r>
                </w:p>
                <w:p w14:paraId="4474B161" w14:textId="77777777" w:rsidR="001D4C35" w:rsidRDefault="00D84817">
                  <w:pPr>
                    <w:pStyle w:val="BodyText"/>
                    <w:numPr>
                      <w:ilvl w:val="0"/>
                      <w:numId w:val="9"/>
                    </w:numPr>
                    <w:tabs>
                      <w:tab w:val="left" w:pos="417"/>
                    </w:tabs>
                    <w:ind w:left="415" w:right="329" w:hanging="272"/>
                    <w:jc w:val="both"/>
                  </w:pPr>
                  <w:r>
                    <w:t>a reduction in the gap between regulatory and accounting CVA through the revision of the floor to margin period of risk (MPOR</w:t>
                  </w:r>
                  <w:hyperlink w:anchor="_bookmark49" w:history="1">
                    <w:r>
                      <w:rPr>
                        <w:position w:val="5"/>
                        <w:sz w:val="14"/>
                      </w:rPr>
                      <w:t>3</w:t>
                    </w:r>
                  </w:hyperlink>
                  <w:r>
                    <w:t>) as it relates to client cleared transactions (CCTs);</w:t>
                  </w:r>
                  <w:r>
                    <w:rPr>
                      <w:spacing w:val="-7"/>
                    </w:rPr>
                    <w:t xml:space="preserve"> </w:t>
                  </w:r>
                  <w:r>
                    <w:t>and</w:t>
                  </w:r>
                </w:p>
                <w:p w14:paraId="4474B162" w14:textId="77777777" w:rsidR="001D4C35" w:rsidRDefault="00D84817">
                  <w:pPr>
                    <w:pStyle w:val="BodyText"/>
                    <w:numPr>
                      <w:ilvl w:val="0"/>
                      <w:numId w:val="9"/>
                    </w:numPr>
                    <w:tabs>
                      <w:tab w:val="left" w:pos="417"/>
                    </w:tabs>
                    <w:spacing w:before="2"/>
                    <w:ind w:hanging="274"/>
                    <w:jc w:val="both"/>
                  </w:pPr>
                  <w:r>
                    <w:t>the exemption of SFTs with immaterial CVA risk from CVA capital</w:t>
                  </w:r>
                  <w:r>
                    <w:rPr>
                      <w:spacing w:val="-12"/>
                    </w:rPr>
                    <w:t xml:space="preserve"> </w:t>
                  </w:r>
                  <w:r>
                    <w:t>requirements.</w:t>
                  </w:r>
                </w:p>
              </w:txbxContent>
            </v:textbox>
            <w10:wrap type="topAndBottom" anchorx="page"/>
          </v:shape>
        </w:pict>
      </w:r>
    </w:p>
    <w:p w14:paraId="4474AE97" w14:textId="77777777" w:rsidR="001D4C35" w:rsidRDefault="001D4C35">
      <w:pPr>
        <w:pStyle w:val="BodyText"/>
        <w:spacing w:before="8"/>
        <w:rPr>
          <w:sz w:val="24"/>
        </w:rPr>
      </w:pPr>
    </w:p>
    <w:p w14:paraId="4474AE98" w14:textId="77777777" w:rsidR="001D4C35" w:rsidRDefault="00D84817">
      <w:pPr>
        <w:pStyle w:val="BodyText"/>
        <w:spacing w:before="100" w:line="276" w:lineRule="auto"/>
        <w:ind w:left="171" w:right="105"/>
        <w:jc w:val="both"/>
      </w:pPr>
      <w:r>
        <w:t>These latest revisions have allowed for greater sensitivity in the determination of the CVA risk linked to specific exposures and are positive. Nonetheless, further changes to the framework are necessary to ensure that the rules are commensurate with the underlying risk.</w:t>
      </w:r>
    </w:p>
    <w:p w14:paraId="4474AE99" w14:textId="77777777" w:rsidR="001D4C35" w:rsidRDefault="001D4C35">
      <w:pPr>
        <w:pStyle w:val="BodyText"/>
        <w:spacing w:before="9"/>
        <w:rPr>
          <w:sz w:val="37"/>
        </w:rPr>
      </w:pPr>
    </w:p>
    <w:p w14:paraId="4474AE9A" w14:textId="77777777" w:rsidR="001D4C35" w:rsidRDefault="00D84817">
      <w:pPr>
        <w:spacing w:before="1"/>
        <w:ind w:left="172"/>
        <w:jc w:val="both"/>
        <w:rPr>
          <w:b/>
          <w:sz w:val="24"/>
        </w:rPr>
      </w:pPr>
      <w:r>
        <w:rPr>
          <w:b/>
          <w:sz w:val="24"/>
          <w:u w:val="single"/>
        </w:rPr>
        <w:t>Implementation timeline for CVA</w:t>
      </w:r>
    </w:p>
    <w:p w14:paraId="4474AE9B" w14:textId="77777777" w:rsidR="001D4C35" w:rsidRDefault="00D84817">
      <w:pPr>
        <w:pStyle w:val="BodyText"/>
        <w:spacing w:before="161" w:line="276" w:lineRule="auto"/>
        <w:ind w:left="172" w:right="109"/>
        <w:jc w:val="both"/>
      </w:pPr>
      <w:r>
        <w:t>The Commission’s CRR3 proposals include a mechanism, by way of a delegated act under Article 461a which aims to adjust the timing and calibration of the FRTB market risk standard based on third country implementation.</w:t>
      </w:r>
    </w:p>
    <w:p w14:paraId="4474AE9C" w14:textId="77777777" w:rsidR="001D4C35" w:rsidRDefault="00D84817">
      <w:pPr>
        <w:pStyle w:val="BodyText"/>
        <w:spacing w:before="122"/>
        <w:ind w:left="171" w:right="105"/>
        <w:jc w:val="both"/>
      </w:pPr>
      <w:r>
        <w:t>There is a significant read-across between the FRTB and CVA risk frameworks and interlinkages stemming from the fact that the risk weights in CVA are largely based upon the market risk standard – meaning the market risk revisions will be reflected in the CVA risk framework. As such it will be important to ensure that any changes to the FRTB timeline are also applied to the CVA framework, therefore allowing for a concurrent implementation of these two interlinked frameworks.</w:t>
      </w:r>
    </w:p>
    <w:p w14:paraId="4474AE9D" w14:textId="77777777" w:rsidR="001D4C35" w:rsidRDefault="001D4C35">
      <w:pPr>
        <w:pStyle w:val="BodyText"/>
        <w:rPr>
          <w:sz w:val="20"/>
        </w:rPr>
      </w:pPr>
    </w:p>
    <w:p w14:paraId="4474AE9E" w14:textId="77777777" w:rsidR="001D4C35" w:rsidRDefault="007E6DC4">
      <w:pPr>
        <w:pStyle w:val="BodyText"/>
        <w:spacing w:before="2"/>
        <w:rPr>
          <w:sz w:val="12"/>
        </w:rPr>
      </w:pPr>
      <w:r>
        <w:pict w14:anchorId="4474B0A0">
          <v:shape id="_x0000_s2070" type="#_x0000_t202" style="position:absolute;margin-left:42.8pt;margin-top:9.3pt;width:508.4pt;height:58.6pt;z-index:-251582464;mso-wrap-distance-left:0;mso-wrap-distance-right:0;mso-position-horizontal-relative:page" fillcolor="#dbe4f0" strokeweight=".14147mm">
            <v:textbox inset="0,0,0,0">
              <w:txbxContent>
                <w:p w14:paraId="4474B163" w14:textId="77777777" w:rsidR="001D4C35" w:rsidRDefault="00D84817">
                  <w:pPr>
                    <w:spacing w:before="3"/>
                    <w:ind w:left="4131"/>
                    <w:rPr>
                      <w:b/>
                    </w:rPr>
                  </w:pPr>
                  <w:r>
                    <w:rPr>
                      <w:b/>
                    </w:rPr>
                    <w:t>Recommendations</w:t>
                  </w:r>
                </w:p>
                <w:p w14:paraId="4474B164" w14:textId="77777777" w:rsidR="001D4C35" w:rsidRDefault="00D84817">
                  <w:pPr>
                    <w:pStyle w:val="BodyText"/>
                    <w:spacing w:before="118" w:line="242" w:lineRule="auto"/>
                    <w:ind w:left="103" w:right="93"/>
                  </w:pPr>
                  <w:r>
                    <w:t>We would strongly support that the delegated act under article 461a extends its scope to include CVA risk, particularly if the European Commission makes use of the 2-year delay for the start date of FRTB.</w:t>
                  </w:r>
                </w:p>
              </w:txbxContent>
            </v:textbox>
            <w10:wrap type="topAndBottom" anchorx="page"/>
          </v:shape>
        </w:pict>
      </w:r>
    </w:p>
    <w:p w14:paraId="4474AE9F" w14:textId="77777777" w:rsidR="001D4C35" w:rsidRDefault="001D4C35">
      <w:pPr>
        <w:pStyle w:val="BodyText"/>
        <w:rPr>
          <w:sz w:val="20"/>
        </w:rPr>
      </w:pPr>
    </w:p>
    <w:p w14:paraId="4474AEA0" w14:textId="77777777" w:rsidR="001D4C35" w:rsidRDefault="001D4C35">
      <w:pPr>
        <w:pStyle w:val="BodyText"/>
        <w:spacing w:before="6"/>
        <w:rPr>
          <w:sz w:val="26"/>
        </w:rPr>
      </w:pPr>
    </w:p>
    <w:p w14:paraId="4474AEA1" w14:textId="77777777" w:rsidR="001D4C35" w:rsidRDefault="00D84817">
      <w:pPr>
        <w:pStyle w:val="Heading3"/>
        <w:spacing w:before="100"/>
        <w:ind w:left="172"/>
      </w:pPr>
      <w:r>
        <w:rPr>
          <w:u w:val="single"/>
        </w:rPr>
        <w:t>Designing an effective and proportionate CVA Framework for the European Union</w:t>
      </w:r>
    </w:p>
    <w:p w14:paraId="4474AEA2" w14:textId="77777777" w:rsidR="001D4C35" w:rsidRDefault="001D4C35">
      <w:pPr>
        <w:pStyle w:val="BodyText"/>
        <w:spacing w:before="11"/>
        <w:rPr>
          <w:b/>
          <w:sz w:val="16"/>
        </w:rPr>
      </w:pPr>
    </w:p>
    <w:p w14:paraId="4474AEA3" w14:textId="77777777" w:rsidR="001D4C35" w:rsidRDefault="00D84817">
      <w:pPr>
        <w:pStyle w:val="BodyText"/>
        <w:spacing w:before="100" w:line="276" w:lineRule="auto"/>
        <w:ind w:left="171" w:right="104"/>
        <w:jc w:val="both"/>
      </w:pPr>
      <w:r>
        <w:t>In September 2021, the European Banking Authority’s (EBA) published a report</w:t>
      </w:r>
      <w:hyperlink w:anchor="_bookmark50" w:history="1">
        <w:r>
          <w:rPr>
            <w:position w:val="5"/>
            <w:sz w:val="14"/>
          </w:rPr>
          <w:t>4</w:t>
        </w:r>
      </w:hyperlink>
      <w:r>
        <w:rPr>
          <w:position w:val="5"/>
          <w:sz w:val="14"/>
        </w:rPr>
        <w:t xml:space="preserve"> </w:t>
      </w:r>
      <w:r>
        <w:t>showing that the revised Basel CVA framework for European banks will result to an increase of +2.2% in minimum required capital (MRC) for CVA under a full implementation of Basel standards scenario. The EBA shows the impact of CVA risk</w:t>
      </w:r>
      <w:r>
        <w:rPr>
          <w:spacing w:val="-5"/>
        </w:rPr>
        <w:t xml:space="preserve"> </w:t>
      </w:r>
      <w:r>
        <w:t>only</w:t>
      </w:r>
      <w:r>
        <w:rPr>
          <w:spacing w:val="-5"/>
        </w:rPr>
        <w:t xml:space="preserve"> </w:t>
      </w:r>
      <w:r>
        <w:t>through</w:t>
      </w:r>
      <w:r>
        <w:rPr>
          <w:spacing w:val="-2"/>
        </w:rPr>
        <w:t xml:space="preserve"> </w:t>
      </w:r>
      <w:r>
        <w:t>the</w:t>
      </w:r>
      <w:r>
        <w:rPr>
          <w:spacing w:val="-5"/>
        </w:rPr>
        <w:t xml:space="preserve"> </w:t>
      </w:r>
      <w:r>
        <w:t>change</w:t>
      </w:r>
      <w:r>
        <w:rPr>
          <w:spacing w:val="-5"/>
        </w:rPr>
        <w:t xml:space="preserve"> </w:t>
      </w:r>
      <w:r>
        <w:t>in</w:t>
      </w:r>
      <w:r>
        <w:rPr>
          <w:spacing w:val="-4"/>
        </w:rPr>
        <w:t xml:space="preserve"> </w:t>
      </w:r>
      <w:r>
        <w:t>MRC,</w:t>
      </w:r>
      <w:r>
        <w:rPr>
          <w:spacing w:val="-3"/>
        </w:rPr>
        <w:t xml:space="preserve"> </w:t>
      </w:r>
      <w:r>
        <w:t>rather</w:t>
      </w:r>
      <w:r>
        <w:rPr>
          <w:spacing w:val="-5"/>
        </w:rPr>
        <w:t xml:space="preserve"> </w:t>
      </w:r>
      <w:r>
        <w:t>than</w:t>
      </w:r>
      <w:r>
        <w:rPr>
          <w:spacing w:val="-4"/>
        </w:rPr>
        <w:t xml:space="preserve"> </w:t>
      </w:r>
      <w:r>
        <w:t>the</w:t>
      </w:r>
      <w:r>
        <w:rPr>
          <w:spacing w:val="-5"/>
        </w:rPr>
        <w:t xml:space="preserve"> </w:t>
      </w:r>
      <w:r>
        <w:t>increase</w:t>
      </w:r>
      <w:r>
        <w:rPr>
          <w:spacing w:val="-5"/>
        </w:rPr>
        <w:t xml:space="preserve"> </w:t>
      </w:r>
      <w:r>
        <w:t>in</w:t>
      </w:r>
      <w:r>
        <w:rPr>
          <w:spacing w:val="-4"/>
        </w:rPr>
        <w:t xml:space="preserve"> </w:t>
      </w:r>
      <w:r>
        <w:t>RWAs,</w:t>
      </w:r>
      <w:r>
        <w:rPr>
          <w:spacing w:val="-3"/>
        </w:rPr>
        <w:t xml:space="preserve"> </w:t>
      </w:r>
      <w:r>
        <w:t>which</w:t>
      </w:r>
      <w:r>
        <w:rPr>
          <w:spacing w:val="-3"/>
        </w:rPr>
        <w:t xml:space="preserve"> </w:t>
      </w:r>
      <w:r>
        <w:t>is</w:t>
      </w:r>
      <w:r>
        <w:rPr>
          <w:spacing w:val="-3"/>
        </w:rPr>
        <w:t xml:space="preserve"> </w:t>
      </w:r>
      <w:r>
        <w:t>the</w:t>
      </w:r>
      <w:r>
        <w:rPr>
          <w:spacing w:val="-5"/>
        </w:rPr>
        <w:t xml:space="preserve"> </w:t>
      </w:r>
      <w:r>
        <w:t>metric</w:t>
      </w:r>
      <w:r>
        <w:rPr>
          <w:spacing w:val="-6"/>
        </w:rPr>
        <w:t xml:space="preserve"> </w:t>
      </w:r>
      <w:r>
        <w:t>required</w:t>
      </w:r>
      <w:r>
        <w:rPr>
          <w:spacing w:val="-4"/>
        </w:rPr>
        <w:t xml:space="preserve"> </w:t>
      </w:r>
      <w:r>
        <w:t>to</w:t>
      </w:r>
      <w:r>
        <w:rPr>
          <w:spacing w:val="-7"/>
        </w:rPr>
        <w:t xml:space="preserve"> </w:t>
      </w:r>
      <w:r>
        <w:t>assess</w:t>
      </w:r>
    </w:p>
    <w:p w14:paraId="4474AEA4" w14:textId="77777777" w:rsidR="001D4C35" w:rsidRDefault="007E6DC4">
      <w:pPr>
        <w:pStyle w:val="BodyText"/>
        <w:spacing w:before="7"/>
        <w:rPr>
          <w:sz w:val="28"/>
        </w:rPr>
      </w:pPr>
      <w:r>
        <w:pict w14:anchorId="4474B0A1">
          <v:shape id="_x0000_s2069" style="position:absolute;margin-left:42.6pt;margin-top:19.15pt;width:2in;height:.1pt;z-index:-251581440;mso-wrap-distance-left:0;mso-wrap-distance-right:0;mso-position-horizontal-relative:page" coordorigin="852,383" coordsize="2880,0" path="m852,383r2880,e" filled="f" strokeweight=".28186mm">
            <v:path arrowok="t"/>
            <w10:wrap type="topAndBottom" anchorx="page"/>
          </v:shape>
        </w:pict>
      </w:r>
    </w:p>
    <w:p w14:paraId="4474AEA5" w14:textId="77777777" w:rsidR="001D4C35" w:rsidRDefault="00D84817">
      <w:pPr>
        <w:spacing w:before="79"/>
        <w:ind w:left="172" w:right="27"/>
        <w:rPr>
          <w:sz w:val="16"/>
        </w:rPr>
      </w:pPr>
      <w:bookmarkStart w:id="14" w:name="_bookmark49"/>
      <w:bookmarkEnd w:id="14"/>
      <w:r>
        <w:rPr>
          <w:position w:val="4"/>
          <w:sz w:val="10"/>
        </w:rPr>
        <w:t xml:space="preserve">3 </w:t>
      </w:r>
      <w:r>
        <w:rPr>
          <w:sz w:val="16"/>
        </w:rPr>
        <w:t>The MPOR is defined as the time period from the most recent exchange of collateral covering a netting set of transactions with a potentially defaulting counterparty, until the transactions are closed out and the resulting market risk is re-hedged.</w:t>
      </w:r>
    </w:p>
    <w:bookmarkStart w:id="15" w:name="_bookmark50"/>
    <w:bookmarkEnd w:id="15"/>
    <w:p w14:paraId="4474AEA6" w14:textId="77777777" w:rsidR="001D4C35" w:rsidRDefault="00D84817">
      <w:pPr>
        <w:spacing w:before="1"/>
        <w:ind w:left="172"/>
        <w:rPr>
          <w:sz w:val="16"/>
        </w:rPr>
      </w:pPr>
      <w:r>
        <w:fldChar w:fldCharType="begin"/>
      </w:r>
      <w:r>
        <w:instrText xml:space="preserve"> HYPERLINK "https://www.eba.europa.eu/sites/default/documents/files/document_library/Publications/Reports/2021/1020673/EBA%20Report%20on%20Basel%20III%20Monitoring%20%28data%20as%20of%2031%20December%202020%29.pdf" \h </w:instrText>
      </w:r>
      <w:r>
        <w:fldChar w:fldCharType="separate"/>
      </w:r>
      <w:r>
        <w:rPr>
          <w:position w:val="4"/>
          <w:sz w:val="10"/>
        </w:rPr>
        <w:t>4</w:t>
      </w:r>
      <w:r>
        <w:rPr>
          <w:color w:val="0000FF"/>
          <w:sz w:val="16"/>
          <w:u w:val="single" w:color="0000FF"/>
        </w:rPr>
        <w:t>https://www.eba.europa.eu/sites/default/documents/files/document_library/Publications/Reports/2021/1020673/EBA%20Report%20on%20B</w:t>
      </w:r>
      <w:r>
        <w:rPr>
          <w:color w:val="0000FF"/>
          <w:sz w:val="16"/>
          <w:u w:val="single" w:color="0000FF"/>
        </w:rPr>
        <w:fldChar w:fldCharType="end"/>
      </w:r>
    </w:p>
    <w:p w14:paraId="4474AEA7" w14:textId="77777777" w:rsidR="001D4C35" w:rsidRDefault="007E6DC4">
      <w:pPr>
        <w:ind w:left="172"/>
        <w:rPr>
          <w:sz w:val="16"/>
        </w:rPr>
      </w:pPr>
      <w:hyperlink r:id="rId12">
        <w:r w:rsidR="00D84817">
          <w:rPr>
            <w:color w:val="0000FF"/>
            <w:sz w:val="16"/>
            <w:u w:val="single" w:color="0000FF"/>
          </w:rPr>
          <w:t>asel%20III%20Monitoring%20%28data%20as%20of%2031%20December%202020%29.pdf</w:t>
        </w:r>
      </w:hyperlink>
    </w:p>
    <w:p w14:paraId="4474AEA8" w14:textId="77777777" w:rsidR="001D4C35" w:rsidRDefault="001D4C35">
      <w:pPr>
        <w:rPr>
          <w:sz w:val="16"/>
        </w:rPr>
        <w:sectPr w:rsidR="001D4C35">
          <w:pgSz w:w="11910" w:h="16840"/>
          <w:pgMar w:top="760" w:right="740" w:bottom="1200" w:left="680" w:header="0" w:footer="1012" w:gutter="0"/>
          <w:cols w:space="720"/>
        </w:sectPr>
      </w:pPr>
    </w:p>
    <w:p w14:paraId="4474AEA9" w14:textId="77777777" w:rsidR="001D4C35" w:rsidRDefault="00D84817">
      <w:pPr>
        <w:pStyle w:val="BodyText"/>
        <w:spacing w:before="75" w:line="276" w:lineRule="auto"/>
        <w:ind w:left="171" w:right="109"/>
        <w:jc w:val="both"/>
      </w:pPr>
      <w:r>
        <w:lastRenderedPageBreak/>
        <w:t>how</w:t>
      </w:r>
      <w:r>
        <w:rPr>
          <w:spacing w:val="-10"/>
        </w:rPr>
        <w:t xml:space="preserve"> </w:t>
      </w:r>
      <w:r>
        <w:t>much</w:t>
      </w:r>
      <w:r>
        <w:rPr>
          <w:spacing w:val="-13"/>
        </w:rPr>
        <w:t xml:space="preserve"> </w:t>
      </w:r>
      <w:r>
        <w:t>additional</w:t>
      </w:r>
      <w:r>
        <w:rPr>
          <w:spacing w:val="-11"/>
        </w:rPr>
        <w:t xml:space="preserve"> </w:t>
      </w:r>
      <w:r>
        <w:t>capital</w:t>
      </w:r>
      <w:r>
        <w:rPr>
          <w:spacing w:val="-16"/>
        </w:rPr>
        <w:t xml:space="preserve"> </w:t>
      </w:r>
      <w:r>
        <w:t>would</w:t>
      </w:r>
      <w:r>
        <w:rPr>
          <w:spacing w:val="-9"/>
        </w:rPr>
        <w:t xml:space="preserve"> </w:t>
      </w:r>
      <w:r>
        <w:t>be</w:t>
      </w:r>
      <w:r>
        <w:rPr>
          <w:spacing w:val="-11"/>
        </w:rPr>
        <w:t xml:space="preserve"> </w:t>
      </w:r>
      <w:r>
        <w:t>required</w:t>
      </w:r>
      <w:r>
        <w:rPr>
          <w:spacing w:val="-10"/>
        </w:rPr>
        <w:t xml:space="preserve"> </w:t>
      </w:r>
      <w:r>
        <w:t>to</w:t>
      </w:r>
      <w:r>
        <w:rPr>
          <w:spacing w:val="-12"/>
        </w:rPr>
        <w:t xml:space="preserve"> </w:t>
      </w:r>
      <w:r>
        <w:t>maintain</w:t>
      </w:r>
      <w:r>
        <w:rPr>
          <w:spacing w:val="-11"/>
        </w:rPr>
        <w:t xml:space="preserve"> </w:t>
      </w:r>
      <w:r>
        <w:t>current</w:t>
      </w:r>
      <w:r>
        <w:rPr>
          <w:spacing w:val="-10"/>
        </w:rPr>
        <w:t xml:space="preserve"> </w:t>
      </w:r>
      <w:r>
        <w:t>capital</w:t>
      </w:r>
      <w:r>
        <w:rPr>
          <w:spacing w:val="-11"/>
        </w:rPr>
        <w:t xml:space="preserve"> </w:t>
      </w:r>
      <w:r>
        <w:t>ratios.</w:t>
      </w:r>
      <w:r>
        <w:rPr>
          <w:spacing w:val="25"/>
        </w:rPr>
        <w:t xml:space="preserve"> </w:t>
      </w:r>
      <w:r>
        <w:t>The</w:t>
      </w:r>
      <w:r>
        <w:rPr>
          <w:spacing w:val="-15"/>
        </w:rPr>
        <w:t xml:space="preserve"> </w:t>
      </w:r>
      <w:r>
        <w:t>MRC</w:t>
      </w:r>
      <w:r>
        <w:rPr>
          <w:spacing w:val="-11"/>
        </w:rPr>
        <w:t xml:space="preserve"> </w:t>
      </w:r>
      <w:r>
        <w:t>does</w:t>
      </w:r>
      <w:r>
        <w:rPr>
          <w:spacing w:val="-10"/>
        </w:rPr>
        <w:t xml:space="preserve"> </w:t>
      </w:r>
      <w:r>
        <w:t>not</w:t>
      </w:r>
      <w:r>
        <w:rPr>
          <w:spacing w:val="-10"/>
        </w:rPr>
        <w:t xml:space="preserve"> </w:t>
      </w:r>
      <w:r>
        <w:t>fully</w:t>
      </w:r>
      <w:r>
        <w:rPr>
          <w:spacing w:val="-10"/>
        </w:rPr>
        <w:t xml:space="preserve"> </w:t>
      </w:r>
      <w:r>
        <w:t>take into</w:t>
      </w:r>
      <w:r>
        <w:rPr>
          <w:spacing w:val="-9"/>
        </w:rPr>
        <w:t xml:space="preserve"> </w:t>
      </w:r>
      <w:r>
        <w:t>account</w:t>
      </w:r>
      <w:r>
        <w:rPr>
          <w:spacing w:val="-6"/>
        </w:rPr>
        <w:t xml:space="preserve"> </w:t>
      </w:r>
      <w:r>
        <w:t>supervisory</w:t>
      </w:r>
      <w:r>
        <w:rPr>
          <w:spacing w:val="-11"/>
        </w:rPr>
        <w:t xml:space="preserve"> </w:t>
      </w:r>
      <w:r>
        <w:t>capital</w:t>
      </w:r>
      <w:r>
        <w:rPr>
          <w:spacing w:val="-11"/>
        </w:rPr>
        <w:t xml:space="preserve"> </w:t>
      </w:r>
      <w:r>
        <w:t>buffers</w:t>
      </w:r>
      <w:r>
        <w:rPr>
          <w:spacing w:val="-6"/>
        </w:rPr>
        <w:t xml:space="preserve"> </w:t>
      </w:r>
      <w:r>
        <w:t>and</w:t>
      </w:r>
      <w:r>
        <w:rPr>
          <w:spacing w:val="-6"/>
        </w:rPr>
        <w:t xml:space="preserve"> </w:t>
      </w:r>
      <w:r>
        <w:t>guidance,</w:t>
      </w:r>
      <w:r>
        <w:rPr>
          <w:spacing w:val="-8"/>
        </w:rPr>
        <w:t xml:space="preserve"> </w:t>
      </w:r>
      <w:r>
        <w:t>as</w:t>
      </w:r>
      <w:r>
        <w:rPr>
          <w:spacing w:val="-11"/>
        </w:rPr>
        <w:t xml:space="preserve"> </w:t>
      </w:r>
      <w:r>
        <w:t>well</w:t>
      </w:r>
      <w:r>
        <w:rPr>
          <w:spacing w:val="-8"/>
        </w:rPr>
        <w:t xml:space="preserve"> </w:t>
      </w:r>
      <w:r>
        <w:t>as</w:t>
      </w:r>
      <w:r>
        <w:rPr>
          <w:spacing w:val="-10"/>
        </w:rPr>
        <w:t xml:space="preserve"> </w:t>
      </w:r>
      <w:r>
        <w:t>banks’</w:t>
      </w:r>
      <w:r>
        <w:rPr>
          <w:spacing w:val="-9"/>
        </w:rPr>
        <w:t xml:space="preserve"> </w:t>
      </w:r>
      <w:r>
        <w:t>own</w:t>
      </w:r>
      <w:r>
        <w:rPr>
          <w:spacing w:val="-10"/>
        </w:rPr>
        <w:t xml:space="preserve"> </w:t>
      </w:r>
      <w:r>
        <w:t>management</w:t>
      </w:r>
      <w:r>
        <w:rPr>
          <w:spacing w:val="-6"/>
        </w:rPr>
        <w:t xml:space="preserve"> </w:t>
      </w:r>
      <w:r>
        <w:t>buffers</w:t>
      </w:r>
      <w:r>
        <w:rPr>
          <w:spacing w:val="-10"/>
        </w:rPr>
        <w:t xml:space="preserve"> </w:t>
      </w:r>
      <w:r>
        <w:t>and</w:t>
      </w:r>
      <w:r>
        <w:rPr>
          <w:spacing w:val="-6"/>
        </w:rPr>
        <w:t xml:space="preserve"> </w:t>
      </w:r>
      <w:r>
        <w:t>as</w:t>
      </w:r>
      <w:r>
        <w:rPr>
          <w:spacing w:val="-9"/>
        </w:rPr>
        <w:t xml:space="preserve"> </w:t>
      </w:r>
      <w:r>
        <w:t>such, we believe the EBA’s analysis materially understates the impact of the revisions to the CVA</w:t>
      </w:r>
      <w:r>
        <w:rPr>
          <w:spacing w:val="-24"/>
        </w:rPr>
        <w:t xml:space="preserve"> </w:t>
      </w:r>
      <w:r>
        <w:t>framework.</w:t>
      </w:r>
    </w:p>
    <w:p w14:paraId="4474AEAA" w14:textId="77777777" w:rsidR="001D4C35" w:rsidRDefault="00D84817">
      <w:pPr>
        <w:pStyle w:val="BodyText"/>
        <w:spacing w:before="118" w:line="276" w:lineRule="auto"/>
        <w:ind w:left="171" w:right="104"/>
        <w:jc w:val="both"/>
      </w:pPr>
      <w:r>
        <w:t>Even when the enhancements of the final Basel CVA standards are considered (e.g. the removal of the capital multiplier)</w:t>
      </w:r>
      <w:r>
        <w:rPr>
          <w:spacing w:val="-12"/>
        </w:rPr>
        <w:t xml:space="preserve"> </w:t>
      </w:r>
      <w:r>
        <w:t>plus</w:t>
      </w:r>
      <w:r>
        <w:rPr>
          <w:spacing w:val="-13"/>
        </w:rPr>
        <w:t xml:space="preserve"> </w:t>
      </w:r>
      <w:r>
        <w:t>the</w:t>
      </w:r>
      <w:r>
        <w:rPr>
          <w:spacing w:val="-11"/>
        </w:rPr>
        <w:t xml:space="preserve"> </w:t>
      </w:r>
      <w:r>
        <w:t>maintenance</w:t>
      </w:r>
      <w:r>
        <w:rPr>
          <w:spacing w:val="-10"/>
        </w:rPr>
        <w:t xml:space="preserve"> </w:t>
      </w:r>
      <w:r>
        <w:rPr>
          <w:spacing w:val="-3"/>
        </w:rPr>
        <w:t>of</w:t>
      </w:r>
      <w:r>
        <w:rPr>
          <w:spacing w:val="-10"/>
        </w:rPr>
        <w:t xml:space="preserve"> </w:t>
      </w:r>
      <w:r>
        <w:t>existing</w:t>
      </w:r>
      <w:r>
        <w:rPr>
          <w:spacing w:val="-16"/>
        </w:rPr>
        <w:t xml:space="preserve"> </w:t>
      </w:r>
      <w:r>
        <w:t>exemptions</w:t>
      </w:r>
      <w:r>
        <w:rPr>
          <w:spacing w:val="-9"/>
        </w:rPr>
        <w:t xml:space="preserve"> </w:t>
      </w:r>
      <w:r>
        <w:t>in</w:t>
      </w:r>
      <w:r>
        <w:rPr>
          <w:spacing w:val="-11"/>
        </w:rPr>
        <w:t xml:space="preserve"> </w:t>
      </w:r>
      <w:r>
        <w:t>CRR,</w:t>
      </w:r>
      <w:r>
        <w:rPr>
          <w:spacing w:val="-12"/>
        </w:rPr>
        <w:t xml:space="preserve"> </w:t>
      </w:r>
      <w:r>
        <w:t>there</w:t>
      </w:r>
      <w:r>
        <w:rPr>
          <w:spacing w:val="-11"/>
        </w:rPr>
        <w:t xml:space="preserve"> </w:t>
      </w:r>
      <w:r>
        <w:t>is</w:t>
      </w:r>
      <w:r>
        <w:rPr>
          <w:spacing w:val="-9"/>
        </w:rPr>
        <w:t xml:space="preserve"> </w:t>
      </w:r>
      <w:r>
        <w:t>still</w:t>
      </w:r>
      <w:r>
        <w:rPr>
          <w:spacing w:val="-12"/>
        </w:rPr>
        <w:t xml:space="preserve"> </w:t>
      </w:r>
      <w:r>
        <w:t>a</w:t>
      </w:r>
      <w:r>
        <w:rPr>
          <w:spacing w:val="-10"/>
        </w:rPr>
        <w:t xml:space="preserve"> </w:t>
      </w:r>
      <w:r>
        <w:t>significant</w:t>
      </w:r>
      <w:r>
        <w:rPr>
          <w:spacing w:val="-11"/>
        </w:rPr>
        <w:t xml:space="preserve"> </w:t>
      </w:r>
      <w:r>
        <w:t>impact</w:t>
      </w:r>
      <w:r>
        <w:rPr>
          <w:spacing w:val="-9"/>
        </w:rPr>
        <w:t xml:space="preserve"> </w:t>
      </w:r>
      <w:r>
        <w:t>in</w:t>
      </w:r>
      <w:r>
        <w:rPr>
          <w:spacing w:val="-14"/>
        </w:rPr>
        <w:t xml:space="preserve"> </w:t>
      </w:r>
      <w:r>
        <w:t>the</w:t>
      </w:r>
      <w:r>
        <w:rPr>
          <w:spacing w:val="-11"/>
        </w:rPr>
        <w:t xml:space="preserve"> </w:t>
      </w:r>
      <w:r>
        <w:t xml:space="preserve">amount of capital banks would need to allocate for CVA risk. This is due to calibration issues </w:t>
      </w:r>
      <w:r>
        <w:rPr>
          <w:spacing w:val="-3"/>
        </w:rPr>
        <w:t xml:space="preserve">in </w:t>
      </w:r>
      <w:r>
        <w:t>the CVA framework, such as the lack of granularity of risk weights related to exposures to financial sector entities which still need to</w:t>
      </w:r>
      <w:r>
        <w:rPr>
          <w:spacing w:val="-5"/>
        </w:rPr>
        <w:t xml:space="preserve"> </w:t>
      </w:r>
      <w:r>
        <w:t>be</w:t>
      </w:r>
      <w:r>
        <w:rPr>
          <w:spacing w:val="-3"/>
        </w:rPr>
        <w:t xml:space="preserve"> </w:t>
      </w:r>
      <w:r>
        <w:t>addressed,</w:t>
      </w:r>
      <w:r>
        <w:rPr>
          <w:spacing w:val="-4"/>
        </w:rPr>
        <w:t xml:space="preserve"> </w:t>
      </w:r>
      <w:r>
        <w:t>exacerbating</w:t>
      </w:r>
      <w:r>
        <w:rPr>
          <w:spacing w:val="-5"/>
        </w:rPr>
        <w:t xml:space="preserve"> </w:t>
      </w:r>
      <w:r>
        <w:t>the</w:t>
      </w:r>
      <w:r>
        <w:rPr>
          <w:spacing w:val="-2"/>
        </w:rPr>
        <w:t xml:space="preserve"> </w:t>
      </w:r>
      <w:r>
        <w:t>impact</w:t>
      </w:r>
      <w:r>
        <w:rPr>
          <w:spacing w:val="-2"/>
        </w:rPr>
        <w:t xml:space="preserve"> </w:t>
      </w:r>
      <w:r>
        <w:t>of</w:t>
      </w:r>
      <w:r>
        <w:rPr>
          <w:spacing w:val="-6"/>
        </w:rPr>
        <w:t xml:space="preserve"> </w:t>
      </w:r>
      <w:r>
        <w:t>losing</w:t>
      </w:r>
      <w:r>
        <w:rPr>
          <w:spacing w:val="-5"/>
        </w:rPr>
        <w:t xml:space="preserve"> </w:t>
      </w:r>
      <w:r>
        <w:t>the</w:t>
      </w:r>
      <w:r>
        <w:rPr>
          <w:spacing w:val="-2"/>
        </w:rPr>
        <w:t xml:space="preserve"> </w:t>
      </w:r>
      <w:r>
        <w:t>ability</w:t>
      </w:r>
      <w:r>
        <w:rPr>
          <w:spacing w:val="-7"/>
        </w:rPr>
        <w:t xml:space="preserve"> </w:t>
      </w:r>
      <w:r>
        <w:t>to</w:t>
      </w:r>
      <w:r>
        <w:rPr>
          <w:spacing w:val="-4"/>
        </w:rPr>
        <w:t xml:space="preserve"> </w:t>
      </w:r>
      <w:r>
        <w:t>use</w:t>
      </w:r>
      <w:r>
        <w:rPr>
          <w:spacing w:val="-3"/>
        </w:rPr>
        <w:t xml:space="preserve"> </w:t>
      </w:r>
      <w:r>
        <w:t>advanced</w:t>
      </w:r>
      <w:r>
        <w:rPr>
          <w:spacing w:val="-1"/>
        </w:rPr>
        <w:t xml:space="preserve"> </w:t>
      </w:r>
      <w:r>
        <w:t>CVA</w:t>
      </w:r>
      <w:r>
        <w:rPr>
          <w:spacing w:val="-5"/>
        </w:rPr>
        <w:t xml:space="preserve"> </w:t>
      </w:r>
      <w:r>
        <w:t>in</w:t>
      </w:r>
      <w:r>
        <w:rPr>
          <w:spacing w:val="-2"/>
        </w:rPr>
        <w:t xml:space="preserve"> </w:t>
      </w:r>
      <w:r>
        <w:t>the</w:t>
      </w:r>
      <w:r>
        <w:rPr>
          <w:spacing w:val="-3"/>
        </w:rPr>
        <w:t xml:space="preserve"> </w:t>
      </w:r>
      <w:r>
        <w:t>updated</w:t>
      </w:r>
      <w:r>
        <w:rPr>
          <w:spacing w:val="-5"/>
        </w:rPr>
        <w:t xml:space="preserve"> </w:t>
      </w:r>
      <w:r>
        <w:t>framework.</w:t>
      </w:r>
    </w:p>
    <w:p w14:paraId="4474AEAB" w14:textId="77777777" w:rsidR="001D4C35" w:rsidRDefault="00D84817">
      <w:pPr>
        <w:pStyle w:val="BodyText"/>
        <w:spacing w:before="120" w:line="276" w:lineRule="auto"/>
        <w:ind w:left="171" w:right="105"/>
        <w:jc w:val="both"/>
      </w:pPr>
      <w:r>
        <w:t>CVA risk represents a significant driver of risk-weighted assets (RWAs) for derivatives and capital market activities,</w:t>
      </w:r>
      <w:r>
        <w:rPr>
          <w:spacing w:val="-17"/>
        </w:rPr>
        <w:t xml:space="preserve"> </w:t>
      </w:r>
      <w:r>
        <w:t>and</w:t>
      </w:r>
      <w:r>
        <w:rPr>
          <w:spacing w:val="-16"/>
        </w:rPr>
        <w:t xml:space="preserve"> </w:t>
      </w:r>
      <w:r>
        <w:t>deficiencies</w:t>
      </w:r>
      <w:r>
        <w:rPr>
          <w:spacing w:val="-14"/>
        </w:rPr>
        <w:t xml:space="preserve"> </w:t>
      </w:r>
      <w:r>
        <w:t>in</w:t>
      </w:r>
      <w:r>
        <w:rPr>
          <w:spacing w:val="-14"/>
        </w:rPr>
        <w:t xml:space="preserve"> </w:t>
      </w:r>
      <w:r>
        <w:t>the</w:t>
      </w:r>
      <w:r>
        <w:rPr>
          <w:spacing w:val="-14"/>
        </w:rPr>
        <w:t xml:space="preserve"> </w:t>
      </w:r>
      <w:r>
        <w:t>framework</w:t>
      </w:r>
      <w:r>
        <w:rPr>
          <w:spacing w:val="-18"/>
        </w:rPr>
        <w:t xml:space="preserve"> </w:t>
      </w:r>
      <w:r>
        <w:t>have</w:t>
      </w:r>
      <w:r>
        <w:rPr>
          <w:spacing w:val="-14"/>
        </w:rPr>
        <w:t xml:space="preserve"> </w:t>
      </w:r>
      <w:r>
        <w:t>an</w:t>
      </w:r>
      <w:r>
        <w:rPr>
          <w:spacing w:val="-14"/>
        </w:rPr>
        <w:t xml:space="preserve"> </w:t>
      </w:r>
      <w:r>
        <w:t>impact</w:t>
      </w:r>
      <w:r>
        <w:rPr>
          <w:spacing w:val="-13"/>
        </w:rPr>
        <w:t xml:space="preserve"> </w:t>
      </w:r>
      <w:r>
        <w:t>on</w:t>
      </w:r>
      <w:r>
        <w:rPr>
          <w:spacing w:val="-14"/>
        </w:rPr>
        <w:t xml:space="preserve"> </w:t>
      </w:r>
      <w:r>
        <w:t>banks’</w:t>
      </w:r>
      <w:r>
        <w:rPr>
          <w:spacing w:val="-16"/>
        </w:rPr>
        <w:t xml:space="preserve"> </w:t>
      </w:r>
      <w:r>
        <w:t>ability</w:t>
      </w:r>
      <w:r>
        <w:rPr>
          <w:spacing w:val="-15"/>
        </w:rPr>
        <w:t xml:space="preserve"> </w:t>
      </w:r>
      <w:r>
        <w:t>to</w:t>
      </w:r>
      <w:r>
        <w:rPr>
          <w:spacing w:val="-16"/>
        </w:rPr>
        <w:t xml:space="preserve"> </w:t>
      </w:r>
      <w:r>
        <w:t>provide</w:t>
      </w:r>
      <w:r>
        <w:rPr>
          <w:spacing w:val="-14"/>
        </w:rPr>
        <w:t xml:space="preserve"> </w:t>
      </w:r>
      <w:r>
        <w:t>key</w:t>
      </w:r>
      <w:r>
        <w:rPr>
          <w:spacing w:val="-14"/>
        </w:rPr>
        <w:t xml:space="preserve"> </w:t>
      </w:r>
      <w:r>
        <w:t>financing,</w:t>
      </w:r>
      <w:r>
        <w:rPr>
          <w:spacing w:val="-16"/>
        </w:rPr>
        <w:t xml:space="preserve"> </w:t>
      </w:r>
      <w:r>
        <w:t>liquidity and</w:t>
      </w:r>
      <w:r>
        <w:rPr>
          <w:spacing w:val="-13"/>
        </w:rPr>
        <w:t xml:space="preserve"> </w:t>
      </w:r>
      <w:r>
        <w:t>hedging</w:t>
      </w:r>
      <w:r>
        <w:rPr>
          <w:spacing w:val="-15"/>
        </w:rPr>
        <w:t xml:space="preserve"> </w:t>
      </w:r>
      <w:r>
        <w:t>services</w:t>
      </w:r>
      <w:r>
        <w:rPr>
          <w:spacing w:val="-13"/>
        </w:rPr>
        <w:t xml:space="preserve"> </w:t>
      </w:r>
      <w:r>
        <w:t>and</w:t>
      </w:r>
      <w:r>
        <w:rPr>
          <w:spacing w:val="-13"/>
        </w:rPr>
        <w:t xml:space="preserve"> </w:t>
      </w:r>
      <w:r>
        <w:t>products</w:t>
      </w:r>
      <w:r>
        <w:rPr>
          <w:spacing w:val="-12"/>
        </w:rPr>
        <w:t xml:space="preserve"> </w:t>
      </w:r>
      <w:r>
        <w:t>to</w:t>
      </w:r>
      <w:r>
        <w:rPr>
          <w:spacing w:val="-15"/>
        </w:rPr>
        <w:t xml:space="preserve"> </w:t>
      </w:r>
      <w:r>
        <w:t>end-users.</w:t>
      </w:r>
      <w:r>
        <w:rPr>
          <w:spacing w:val="19"/>
        </w:rPr>
        <w:t xml:space="preserve"> </w:t>
      </w:r>
      <w:r>
        <w:t>As</w:t>
      </w:r>
      <w:r>
        <w:rPr>
          <w:spacing w:val="-12"/>
        </w:rPr>
        <w:t xml:space="preserve"> </w:t>
      </w:r>
      <w:r>
        <w:t>a</w:t>
      </w:r>
      <w:r>
        <w:rPr>
          <w:spacing w:val="-13"/>
        </w:rPr>
        <w:t xml:space="preserve"> </w:t>
      </w:r>
      <w:r>
        <w:t>result,</w:t>
      </w:r>
      <w:r>
        <w:rPr>
          <w:spacing w:val="-15"/>
        </w:rPr>
        <w:t xml:space="preserve"> </w:t>
      </w:r>
      <w:r>
        <w:t>it</w:t>
      </w:r>
      <w:r>
        <w:rPr>
          <w:spacing w:val="-14"/>
        </w:rPr>
        <w:t xml:space="preserve"> </w:t>
      </w:r>
      <w:r>
        <w:t>is</w:t>
      </w:r>
      <w:r>
        <w:rPr>
          <w:spacing w:val="-12"/>
        </w:rPr>
        <w:t xml:space="preserve"> </w:t>
      </w:r>
      <w:r>
        <w:t>very</w:t>
      </w:r>
      <w:r>
        <w:rPr>
          <w:spacing w:val="-13"/>
        </w:rPr>
        <w:t xml:space="preserve"> </w:t>
      </w:r>
      <w:r>
        <w:t>important</w:t>
      </w:r>
      <w:r>
        <w:rPr>
          <w:spacing w:val="-13"/>
        </w:rPr>
        <w:t xml:space="preserve"> </w:t>
      </w:r>
      <w:r>
        <w:t>that</w:t>
      </w:r>
      <w:r>
        <w:rPr>
          <w:spacing w:val="-14"/>
        </w:rPr>
        <w:t xml:space="preserve"> </w:t>
      </w:r>
      <w:r>
        <w:t>the</w:t>
      </w:r>
      <w:r>
        <w:rPr>
          <w:spacing w:val="-17"/>
        </w:rPr>
        <w:t xml:space="preserve"> </w:t>
      </w:r>
      <w:r>
        <w:t>design</w:t>
      </w:r>
      <w:r>
        <w:rPr>
          <w:spacing w:val="-13"/>
        </w:rPr>
        <w:t xml:space="preserve"> </w:t>
      </w:r>
      <w:r>
        <w:t>and</w:t>
      </w:r>
      <w:r>
        <w:rPr>
          <w:spacing w:val="-12"/>
        </w:rPr>
        <w:t xml:space="preserve"> </w:t>
      </w:r>
      <w:r>
        <w:t>calibration issues be addressed appropriately to ensure that capital requirements are in line with real economic risk incurred by banks.</w:t>
      </w:r>
    </w:p>
    <w:p w14:paraId="4474AEAC" w14:textId="77777777" w:rsidR="001D4C35" w:rsidRDefault="00D84817">
      <w:pPr>
        <w:pStyle w:val="BodyText"/>
        <w:spacing w:before="121" w:line="276" w:lineRule="auto"/>
        <w:ind w:left="172" w:right="105" w:hanging="1"/>
        <w:jc w:val="both"/>
      </w:pPr>
      <w:r>
        <w:t>Increases in capital requirements can have a knock-on effect and any requirements that constrain the use of derivatives may affect the ability of end users e.g. pension funds, mutual funds, and commercial end users to hedge their funding, currency, commercial and day-to-day exposures, which would in turn weaken their balance sheets and make them less attractive as investment prospects.</w:t>
      </w:r>
    </w:p>
    <w:p w14:paraId="4474AEAD" w14:textId="77777777" w:rsidR="001D4C35" w:rsidRDefault="00D84817">
      <w:pPr>
        <w:pStyle w:val="BodyText"/>
        <w:spacing w:before="117" w:line="276" w:lineRule="auto"/>
        <w:ind w:left="172" w:right="104" w:hanging="1"/>
        <w:jc w:val="both"/>
      </w:pPr>
      <w:r>
        <w:t>In terms of more specific recommendations, the industry supports further targeted revisions to the CVA framework on the following points:</w:t>
      </w:r>
    </w:p>
    <w:p w14:paraId="4474AEAE" w14:textId="77777777" w:rsidR="001D4C35" w:rsidRDefault="00D84817">
      <w:pPr>
        <w:pStyle w:val="ListParagraph"/>
        <w:numPr>
          <w:ilvl w:val="1"/>
          <w:numId w:val="10"/>
        </w:numPr>
        <w:tabs>
          <w:tab w:val="left" w:pos="885"/>
        </w:tabs>
        <w:spacing w:before="123"/>
      </w:pPr>
      <w:r>
        <w:t>Improve</w:t>
      </w:r>
      <w:r>
        <w:rPr>
          <w:spacing w:val="-14"/>
        </w:rPr>
        <w:t xml:space="preserve"> </w:t>
      </w:r>
      <w:r>
        <w:t>the</w:t>
      </w:r>
      <w:r>
        <w:rPr>
          <w:spacing w:val="-13"/>
        </w:rPr>
        <w:t xml:space="preserve"> </w:t>
      </w:r>
      <w:r>
        <w:t>calibration</w:t>
      </w:r>
      <w:r>
        <w:rPr>
          <w:spacing w:val="-14"/>
        </w:rPr>
        <w:t xml:space="preserve"> </w:t>
      </w:r>
      <w:r>
        <w:t>and</w:t>
      </w:r>
      <w:r>
        <w:rPr>
          <w:spacing w:val="-12"/>
        </w:rPr>
        <w:t xml:space="preserve"> </w:t>
      </w:r>
      <w:r>
        <w:t>granularity</w:t>
      </w:r>
      <w:r>
        <w:rPr>
          <w:spacing w:val="-13"/>
        </w:rPr>
        <w:t xml:space="preserve"> </w:t>
      </w:r>
      <w:r>
        <w:t>of</w:t>
      </w:r>
      <w:r>
        <w:rPr>
          <w:spacing w:val="-14"/>
        </w:rPr>
        <w:t xml:space="preserve"> </w:t>
      </w:r>
      <w:r>
        <w:t>risk</w:t>
      </w:r>
      <w:r>
        <w:rPr>
          <w:spacing w:val="-13"/>
        </w:rPr>
        <w:t xml:space="preserve"> </w:t>
      </w:r>
      <w:r>
        <w:t>weights</w:t>
      </w:r>
      <w:r>
        <w:rPr>
          <w:spacing w:val="-12"/>
        </w:rPr>
        <w:t xml:space="preserve"> </w:t>
      </w:r>
      <w:r>
        <w:t>(RWs)</w:t>
      </w:r>
      <w:r>
        <w:rPr>
          <w:spacing w:val="-15"/>
        </w:rPr>
        <w:t xml:space="preserve"> </w:t>
      </w:r>
      <w:r>
        <w:t>particularly</w:t>
      </w:r>
      <w:r>
        <w:rPr>
          <w:spacing w:val="-13"/>
        </w:rPr>
        <w:t xml:space="preserve"> </w:t>
      </w:r>
      <w:r>
        <w:t>for</w:t>
      </w:r>
      <w:r>
        <w:rPr>
          <w:spacing w:val="-13"/>
        </w:rPr>
        <w:t xml:space="preserve"> </w:t>
      </w:r>
      <w:r>
        <w:t>financial</w:t>
      </w:r>
      <w:r>
        <w:rPr>
          <w:spacing w:val="-19"/>
        </w:rPr>
        <w:t xml:space="preserve"> </w:t>
      </w:r>
      <w:r>
        <w:t>counterparties.</w:t>
      </w:r>
    </w:p>
    <w:p w14:paraId="4474AEAF" w14:textId="77777777" w:rsidR="001D4C35" w:rsidRDefault="00D84817">
      <w:pPr>
        <w:pStyle w:val="ListParagraph"/>
        <w:numPr>
          <w:ilvl w:val="1"/>
          <w:numId w:val="10"/>
        </w:numPr>
        <w:tabs>
          <w:tab w:val="left" w:pos="885"/>
        </w:tabs>
        <w:spacing w:before="118"/>
      </w:pPr>
      <w:r>
        <w:t>Improve the recognition of CVA Index</w:t>
      </w:r>
      <w:r>
        <w:rPr>
          <w:spacing w:val="-6"/>
        </w:rPr>
        <w:t xml:space="preserve"> </w:t>
      </w:r>
      <w:r>
        <w:t>hedges.</w:t>
      </w:r>
    </w:p>
    <w:p w14:paraId="4474AEB0" w14:textId="77777777" w:rsidR="001D4C35" w:rsidRDefault="00D84817">
      <w:pPr>
        <w:pStyle w:val="ListParagraph"/>
        <w:numPr>
          <w:ilvl w:val="1"/>
          <w:numId w:val="10"/>
        </w:numPr>
        <w:tabs>
          <w:tab w:val="left" w:pos="886"/>
        </w:tabs>
        <w:spacing w:before="122"/>
        <w:ind w:left="885" w:hanging="358"/>
      </w:pPr>
      <w:r>
        <w:t>Misalignment between regulatory and accounting</w:t>
      </w:r>
      <w:r>
        <w:rPr>
          <w:spacing w:val="-2"/>
        </w:rPr>
        <w:t xml:space="preserve"> </w:t>
      </w:r>
      <w:r>
        <w:t>CVA</w:t>
      </w:r>
    </w:p>
    <w:p w14:paraId="4474AEB1" w14:textId="77777777" w:rsidR="001D4C35" w:rsidRDefault="001D4C35">
      <w:pPr>
        <w:pStyle w:val="BodyText"/>
        <w:rPr>
          <w:sz w:val="26"/>
        </w:rPr>
      </w:pPr>
    </w:p>
    <w:p w14:paraId="4474AEB2" w14:textId="77777777" w:rsidR="001D4C35" w:rsidRDefault="00D84817">
      <w:pPr>
        <w:pStyle w:val="BodyText"/>
        <w:spacing w:before="193"/>
        <w:ind w:left="172" w:right="106" w:firstLine="1"/>
        <w:jc w:val="both"/>
      </w:pPr>
      <w:r>
        <w:t>These changes would also need to be addressed at the BCBS level, to ensure incorporation into the final CVA standard that should result to consistent transposition of the CVA framework at national levels. We provide more details on these points below:</w:t>
      </w:r>
    </w:p>
    <w:p w14:paraId="4474AEB3" w14:textId="77777777" w:rsidR="001D4C35" w:rsidRDefault="001D4C35">
      <w:pPr>
        <w:pStyle w:val="BodyText"/>
        <w:spacing w:before="1"/>
        <w:rPr>
          <w:sz w:val="32"/>
        </w:rPr>
      </w:pPr>
    </w:p>
    <w:p w14:paraId="4474AEB4" w14:textId="77777777" w:rsidR="001D4C35" w:rsidRDefault="00D84817">
      <w:pPr>
        <w:pStyle w:val="Heading3"/>
        <w:numPr>
          <w:ilvl w:val="0"/>
          <w:numId w:val="8"/>
        </w:numPr>
        <w:tabs>
          <w:tab w:val="left" w:pos="533"/>
        </w:tabs>
        <w:spacing w:line="242" w:lineRule="auto"/>
        <w:ind w:right="1154"/>
      </w:pPr>
      <w:r>
        <w:t>Improve</w:t>
      </w:r>
      <w:r>
        <w:rPr>
          <w:spacing w:val="-6"/>
        </w:rPr>
        <w:t xml:space="preserve"> </w:t>
      </w:r>
      <w:r>
        <w:t>the</w:t>
      </w:r>
      <w:r>
        <w:rPr>
          <w:spacing w:val="-5"/>
        </w:rPr>
        <w:t xml:space="preserve"> </w:t>
      </w:r>
      <w:r>
        <w:t>Calibration</w:t>
      </w:r>
      <w:r>
        <w:rPr>
          <w:spacing w:val="-6"/>
        </w:rPr>
        <w:t xml:space="preserve"> </w:t>
      </w:r>
      <w:r>
        <w:t>and</w:t>
      </w:r>
      <w:r>
        <w:rPr>
          <w:spacing w:val="-3"/>
        </w:rPr>
        <w:t xml:space="preserve"> </w:t>
      </w:r>
      <w:r>
        <w:t>granularity</w:t>
      </w:r>
      <w:r>
        <w:rPr>
          <w:spacing w:val="-2"/>
        </w:rPr>
        <w:t xml:space="preserve"> </w:t>
      </w:r>
      <w:r>
        <w:t>of</w:t>
      </w:r>
      <w:r>
        <w:rPr>
          <w:spacing w:val="-5"/>
        </w:rPr>
        <w:t xml:space="preserve"> </w:t>
      </w:r>
      <w:r>
        <w:t>risk</w:t>
      </w:r>
      <w:r>
        <w:rPr>
          <w:spacing w:val="-2"/>
        </w:rPr>
        <w:t xml:space="preserve"> </w:t>
      </w:r>
      <w:r>
        <w:t>weights</w:t>
      </w:r>
      <w:r>
        <w:rPr>
          <w:spacing w:val="-2"/>
        </w:rPr>
        <w:t xml:space="preserve"> </w:t>
      </w:r>
      <w:r>
        <w:t>(RWs)</w:t>
      </w:r>
      <w:r>
        <w:rPr>
          <w:spacing w:val="-5"/>
        </w:rPr>
        <w:t xml:space="preserve"> </w:t>
      </w:r>
      <w:r>
        <w:t>particularly</w:t>
      </w:r>
      <w:r>
        <w:rPr>
          <w:spacing w:val="-2"/>
        </w:rPr>
        <w:t xml:space="preserve"> </w:t>
      </w:r>
      <w:r>
        <w:t>for</w:t>
      </w:r>
      <w:r>
        <w:rPr>
          <w:spacing w:val="-6"/>
        </w:rPr>
        <w:t xml:space="preserve"> </w:t>
      </w:r>
      <w:r>
        <w:t>financial counterparties</w:t>
      </w:r>
    </w:p>
    <w:p w14:paraId="4474AEB5" w14:textId="77777777" w:rsidR="001D4C35" w:rsidRDefault="00D84817">
      <w:pPr>
        <w:spacing w:before="117"/>
        <w:ind w:left="172"/>
        <w:jc w:val="both"/>
        <w:rPr>
          <w:rFonts w:ascii="Calibri"/>
          <w:i/>
          <w:sz w:val="23"/>
        </w:rPr>
      </w:pPr>
      <w:r>
        <w:rPr>
          <w:rFonts w:ascii="Calibri"/>
          <w:i/>
          <w:sz w:val="23"/>
        </w:rPr>
        <w:t>Regulated Financial Risk Weights</w:t>
      </w:r>
    </w:p>
    <w:p w14:paraId="4474AEB6" w14:textId="77777777" w:rsidR="001D4C35" w:rsidRDefault="00D84817">
      <w:pPr>
        <w:pStyle w:val="BodyText"/>
        <w:spacing w:before="121" w:line="276" w:lineRule="auto"/>
        <w:ind w:left="171" w:right="104"/>
        <w:jc w:val="both"/>
      </w:pPr>
      <w:r>
        <w:t>In</w:t>
      </w:r>
      <w:r>
        <w:rPr>
          <w:spacing w:val="-10"/>
        </w:rPr>
        <w:t xml:space="preserve"> </w:t>
      </w:r>
      <w:r>
        <w:t>the</w:t>
      </w:r>
      <w:r>
        <w:rPr>
          <w:spacing w:val="-10"/>
        </w:rPr>
        <w:t xml:space="preserve"> </w:t>
      </w:r>
      <w:r>
        <w:t>revised</w:t>
      </w:r>
      <w:r>
        <w:rPr>
          <w:spacing w:val="-9"/>
        </w:rPr>
        <w:t xml:space="preserve"> </w:t>
      </w:r>
      <w:r>
        <w:t>CVA</w:t>
      </w:r>
      <w:r>
        <w:rPr>
          <w:spacing w:val="-12"/>
        </w:rPr>
        <w:t xml:space="preserve"> </w:t>
      </w:r>
      <w:r>
        <w:t>framework,</w:t>
      </w:r>
      <w:r>
        <w:rPr>
          <w:spacing w:val="-12"/>
        </w:rPr>
        <w:t xml:space="preserve"> </w:t>
      </w:r>
      <w:r>
        <w:t>the</w:t>
      </w:r>
      <w:r>
        <w:rPr>
          <w:spacing w:val="-10"/>
        </w:rPr>
        <w:t xml:space="preserve"> </w:t>
      </w:r>
      <w:r>
        <w:t>risk</w:t>
      </w:r>
      <w:r>
        <w:rPr>
          <w:spacing w:val="-10"/>
        </w:rPr>
        <w:t xml:space="preserve"> </w:t>
      </w:r>
      <w:r>
        <w:t>weights</w:t>
      </w:r>
      <w:r>
        <w:rPr>
          <w:spacing w:val="-9"/>
        </w:rPr>
        <w:t xml:space="preserve"> </w:t>
      </w:r>
      <w:r>
        <w:t>allocated</w:t>
      </w:r>
      <w:r>
        <w:rPr>
          <w:spacing w:val="-13"/>
        </w:rPr>
        <w:t xml:space="preserve"> </w:t>
      </w:r>
      <w:r>
        <w:t>to</w:t>
      </w:r>
      <w:r>
        <w:rPr>
          <w:spacing w:val="-12"/>
        </w:rPr>
        <w:t xml:space="preserve"> </w:t>
      </w:r>
      <w:r>
        <w:t>exposures</w:t>
      </w:r>
      <w:r>
        <w:rPr>
          <w:spacing w:val="-9"/>
        </w:rPr>
        <w:t xml:space="preserve"> </w:t>
      </w:r>
      <w:r>
        <w:t>to</w:t>
      </w:r>
      <w:r>
        <w:rPr>
          <w:spacing w:val="-12"/>
        </w:rPr>
        <w:t xml:space="preserve"> </w:t>
      </w:r>
      <w:r>
        <w:t>financial</w:t>
      </w:r>
      <w:r>
        <w:rPr>
          <w:spacing w:val="-11"/>
        </w:rPr>
        <w:t xml:space="preserve"> </w:t>
      </w:r>
      <w:r>
        <w:t>sector</w:t>
      </w:r>
      <w:r>
        <w:rPr>
          <w:spacing w:val="-10"/>
        </w:rPr>
        <w:t xml:space="preserve"> </w:t>
      </w:r>
      <w:r>
        <w:t>entities</w:t>
      </w:r>
      <w:r>
        <w:rPr>
          <w:spacing w:val="-9"/>
        </w:rPr>
        <w:t xml:space="preserve"> </w:t>
      </w:r>
      <w:r>
        <w:t>are</w:t>
      </w:r>
      <w:r>
        <w:rPr>
          <w:spacing w:val="-10"/>
        </w:rPr>
        <w:t xml:space="preserve"> </w:t>
      </w:r>
      <w:r>
        <w:t>the</w:t>
      </w:r>
      <w:r>
        <w:rPr>
          <w:spacing w:val="-10"/>
        </w:rPr>
        <w:t xml:space="preserve"> </w:t>
      </w:r>
      <w:r>
        <w:t>same, regardless</w:t>
      </w:r>
      <w:r>
        <w:rPr>
          <w:spacing w:val="-10"/>
        </w:rPr>
        <w:t xml:space="preserve"> </w:t>
      </w:r>
      <w:r>
        <w:t>of</w:t>
      </w:r>
      <w:r>
        <w:rPr>
          <w:spacing w:val="-14"/>
        </w:rPr>
        <w:t xml:space="preserve"> </w:t>
      </w:r>
      <w:r>
        <w:t>the</w:t>
      </w:r>
      <w:r>
        <w:rPr>
          <w:spacing w:val="-10"/>
        </w:rPr>
        <w:t xml:space="preserve"> </w:t>
      </w:r>
      <w:r>
        <w:t>type</w:t>
      </w:r>
      <w:r>
        <w:rPr>
          <w:spacing w:val="-10"/>
        </w:rPr>
        <w:t xml:space="preserve"> </w:t>
      </w:r>
      <w:r>
        <w:rPr>
          <w:spacing w:val="-3"/>
        </w:rPr>
        <w:t>of</w:t>
      </w:r>
      <w:r>
        <w:rPr>
          <w:spacing w:val="-10"/>
        </w:rPr>
        <w:t xml:space="preserve"> </w:t>
      </w:r>
      <w:r>
        <w:t>financial</w:t>
      </w:r>
      <w:r>
        <w:rPr>
          <w:spacing w:val="-11"/>
        </w:rPr>
        <w:t xml:space="preserve"> </w:t>
      </w:r>
      <w:r>
        <w:t>sector</w:t>
      </w:r>
      <w:r>
        <w:rPr>
          <w:spacing w:val="-14"/>
        </w:rPr>
        <w:t xml:space="preserve"> </w:t>
      </w:r>
      <w:r>
        <w:t>entity</w:t>
      </w:r>
      <w:r>
        <w:rPr>
          <w:spacing w:val="-10"/>
        </w:rPr>
        <w:t xml:space="preserve"> </w:t>
      </w:r>
      <w:r>
        <w:t>(i.e.</w:t>
      </w:r>
      <w:r>
        <w:rPr>
          <w:spacing w:val="-13"/>
        </w:rPr>
        <w:t xml:space="preserve"> </w:t>
      </w:r>
      <w:r>
        <w:t>all</w:t>
      </w:r>
      <w:r>
        <w:rPr>
          <w:spacing w:val="-11"/>
        </w:rPr>
        <w:t xml:space="preserve"> </w:t>
      </w:r>
      <w:r>
        <w:t>financial</w:t>
      </w:r>
      <w:r>
        <w:rPr>
          <w:spacing w:val="-11"/>
        </w:rPr>
        <w:t xml:space="preserve"> </w:t>
      </w:r>
      <w:r>
        <w:t>institutions</w:t>
      </w:r>
      <w:r>
        <w:rPr>
          <w:spacing w:val="-13"/>
        </w:rPr>
        <w:t xml:space="preserve"> </w:t>
      </w:r>
      <w:r>
        <w:t>are</w:t>
      </w:r>
      <w:r>
        <w:rPr>
          <w:spacing w:val="-10"/>
        </w:rPr>
        <w:t xml:space="preserve"> </w:t>
      </w:r>
      <w:r>
        <w:t>allocated</w:t>
      </w:r>
      <w:r>
        <w:rPr>
          <w:spacing w:val="-10"/>
        </w:rPr>
        <w:t xml:space="preserve"> </w:t>
      </w:r>
      <w:r>
        <w:t>to</w:t>
      </w:r>
      <w:r>
        <w:rPr>
          <w:spacing w:val="-12"/>
        </w:rPr>
        <w:t xml:space="preserve"> </w:t>
      </w:r>
      <w:r>
        <w:t>the</w:t>
      </w:r>
      <w:r>
        <w:rPr>
          <w:spacing w:val="-14"/>
        </w:rPr>
        <w:t xml:space="preserve"> </w:t>
      </w:r>
      <w:r>
        <w:t>same</w:t>
      </w:r>
      <w:r>
        <w:rPr>
          <w:spacing w:val="-14"/>
        </w:rPr>
        <w:t xml:space="preserve"> </w:t>
      </w:r>
      <w:r>
        <w:t>“bucket”). This means that a wide set of counterparty types all pivotal to the real economy including pension funds, insurance providers, covered bonds</w:t>
      </w:r>
      <w:hyperlink w:anchor="_bookmark51" w:history="1">
        <w:r>
          <w:rPr>
            <w:position w:val="5"/>
            <w:sz w:val="14"/>
          </w:rPr>
          <w:t>5</w:t>
        </w:r>
      </w:hyperlink>
      <w:r>
        <w:rPr>
          <w:position w:val="5"/>
          <w:sz w:val="14"/>
        </w:rPr>
        <w:t xml:space="preserve"> </w:t>
      </w:r>
      <w:r>
        <w:t>and buy-side end-users are captured in the same bucket without any means to account for their specific risk</w:t>
      </w:r>
      <w:r>
        <w:rPr>
          <w:spacing w:val="-7"/>
        </w:rPr>
        <w:t xml:space="preserve"> </w:t>
      </w:r>
      <w:r>
        <w:t>profile.</w:t>
      </w:r>
    </w:p>
    <w:p w14:paraId="4474AEB7" w14:textId="77777777" w:rsidR="001D4C35" w:rsidRDefault="00D84817">
      <w:pPr>
        <w:pStyle w:val="BodyText"/>
        <w:spacing w:before="117" w:line="278" w:lineRule="auto"/>
        <w:ind w:left="171" w:right="104"/>
        <w:jc w:val="both"/>
      </w:pPr>
      <w:r>
        <w:t>The European Commission and co-legislators should improve the granularity of the counterparty credit spread</w:t>
      </w:r>
      <w:r>
        <w:rPr>
          <w:spacing w:val="-10"/>
        </w:rPr>
        <w:t xml:space="preserve"> </w:t>
      </w:r>
      <w:r>
        <w:t>(“CCS”)</w:t>
      </w:r>
      <w:r>
        <w:rPr>
          <w:spacing w:val="-12"/>
        </w:rPr>
        <w:t xml:space="preserve"> </w:t>
      </w:r>
      <w:r>
        <w:t>risk</w:t>
      </w:r>
      <w:r>
        <w:rPr>
          <w:spacing w:val="-14"/>
        </w:rPr>
        <w:t xml:space="preserve"> </w:t>
      </w:r>
      <w:r>
        <w:t>weights.</w:t>
      </w:r>
      <w:r>
        <w:rPr>
          <w:spacing w:val="-12"/>
        </w:rPr>
        <w:t xml:space="preserve"> </w:t>
      </w:r>
      <w:r>
        <w:t>At</w:t>
      </w:r>
      <w:r>
        <w:rPr>
          <w:spacing w:val="-10"/>
        </w:rPr>
        <w:t xml:space="preserve"> </w:t>
      </w:r>
      <w:r>
        <w:t>a</w:t>
      </w:r>
      <w:r>
        <w:rPr>
          <w:spacing w:val="-10"/>
        </w:rPr>
        <w:t xml:space="preserve"> </w:t>
      </w:r>
      <w:r>
        <w:t>minimum,</w:t>
      </w:r>
      <w:r>
        <w:rPr>
          <w:spacing w:val="-16"/>
        </w:rPr>
        <w:t xml:space="preserve"> </w:t>
      </w:r>
      <w:r>
        <w:t>recognize</w:t>
      </w:r>
      <w:r>
        <w:rPr>
          <w:spacing w:val="-11"/>
        </w:rPr>
        <w:t xml:space="preserve"> </w:t>
      </w:r>
      <w:r>
        <w:t>the</w:t>
      </w:r>
      <w:r>
        <w:rPr>
          <w:spacing w:val="-10"/>
        </w:rPr>
        <w:t xml:space="preserve"> </w:t>
      </w:r>
      <w:r>
        <w:t>differentiation</w:t>
      </w:r>
      <w:r>
        <w:rPr>
          <w:spacing w:val="-11"/>
        </w:rPr>
        <w:t xml:space="preserve"> </w:t>
      </w:r>
      <w:r>
        <w:t>in</w:t>
      </w:r>
      <w:r>
        <w:rPr>
          <w:spacing w:val="-10"/>
        </w:rPr>
        <w:t xml:space="preserve"> </w:t>
      </w:r>
      <w:r>
        <w:t>CVA</w:t>
      </w:r>
      <w:r>
        <w:rPr>
          <w:spacing w:val="-13"/>
        </w:rPr>
        <w:t xml:space="preserve"> </w:t>
      </w:r>
      <w:r>
        <w:t>risk</w:t>
      </w:r>
      <w:r>
        <w:rPr>
          <w:spacing w:val="-14"/>
        </w:rPr>
        <w:t xml:space="preserve"> </w:t>
      </w:r>
      <w:r>
        <w:t>profiles</w:t>
      </w:r>
      <w:r>
        <w:rPr>
          <w:spacing w:val="-10"/>
        </w:rPr>
        <w:t xml:space="preserve"> </w:t>
      </w:r>
      <w:r>
        <w:t>between</w:t>
      </w:r>
      <w:r>
        <w:rPr>
          <w:spacing w:val="-14"/>
        </w:rPr>
        <w:t xml:space="preserve"> </w:t>
      </w:r>
      <w:r>
        <w:t>financial counterparties.</w:t>
      </w:r>
    </w:p>
    <w:p w14:paraId="4474AEB8" w14:textId="77777777" w:rsidR="001D4C35" w:rsidRDefault="00D84817">
      <w:pPr>
        <w:pStyle w:val="BodyText"/>
        <w:spacing w:before="114" w:line="276" w:lineRule="auto"/>
        <w:ind w:left="172" w:right="109" w:hanging="1"/>
        <w:jc w:val="both"/>
      </w:pPr>
      <w:r>
        <w:t>A simple solution would be divide the current bucket for financial sector entities into two buckets (i.e., regulated and unregulated financials) for both the investment grade and non-investment grade categories:</w:t>
      </w:r>
    </w:p>
    <w:p w14:paraId="4474AEB9" w14:textId="77777777" w:rsidR="001D4C35" w:rsidRDefault="00D84817">
      <w:pPr>
        <w:spacing w:before="119"/>
        <w:ind w:left="172"/>
        <w:jc w:val="both"/>
        <w:rPr>
          <w:i/>
        </w:rPr>
      </w:pPr>
      <w:r>
        <w:rPr>
          <w:i/>
        </w:rPr>
        <w:t>Investment grade</w:t>
      </w:r>
    </w:p>
    <w:p w14:paraId="4474AEBA" w14:textId="77777777" w:rsidR="001D4C35" w:rsidRDefault="001D4C35">
      <w:pPr>
        <w:pStyle w:val="BodyText"/>
        <w:rPr>
          <w:i/>
          <w:sz w:val="20"/>
        </w:rPr>
      </w:pPr>
    </w:p>
    <w:p w14:paraId="4474AEBB" w14:textId="77777777" w:rsidR="001D4C35" w:rsidRDefault="001D4C35">
      <w:pPr>
        <w:pStyle w:val="BodyText"/>
        <w:rPr>
          <w:i/>
          <w:sz w:val="20"/>
        </w:rPr>
      </w:pPr>
    </w:p>
    <w:p w14:paraId="4474AEBC" w14:textId="77777777" w:rsidR="001D4C35" w:rsidRDefault="007E6DC4">
      <w:pPr>
        <w:pStyle w:val="BodyText"/>
        <w:spacing w:before="3"/>
        <w:rPr>
          <w:i/>
          <w:sz w:val="28"/>
        </w:rPr>
      </w:pPr>
      <w:r>
        <w:pict w14:anchorId="4474B0A2">
          <v:shape id="_x0000_s2068" style="position:absolute;margin-left:42.6pt;margin-top:18.95pt;width:2in;height:.1pt;z-index:-251580416;mso-wrap-distance-left:0;mso-wrap-distance-right:0;mso-position-horizontal-relative:page" coordorigin="852,379" coordsize="2880,0" path="m852,379r2880,e" filled="f" strokeweight=".28186mm">
            <v:path arrowok="t"/>
            <w10:wrap type="topAndBottom" anchorx="page"/>
          </v:shape>
        </w:pict>
      </w:r>
    </w:p>
    <w:p w14:paraId="4474AEBD" w14:textId="77777777" w:rsidR="001D4C35" w:rsidRDefault="00D84817">
      <w:pPr>
        <w:spacing w:before="97"/>
        <w:ind w:left="172"/>
        <w:rPr>
          <w:sz w:val="16"/>
        </w:rPr>
      </w:pPr>
      <w:bookmarkStart w:id="16" w:name="_bookmark51"/>
      <w:bookmarkEnd w:id="16"/>
      <w:r>
        <w:rPr>
          <w:position w:val="4"/>
          <w:sz w:val="12"/>
        </w:rPr>
        <w:t xml:space="preserve">5 </w:t>
      </w:r>
      <w:r>
        <w:rPr>
          <w:sz w:val="16"/>
        </w:rPr>
        <w:t xml:space="preserve">Counterparties within bond issuance structure buying market risk hedges </w:t>
      </w:r>
      <w:proofErr w:type="spellStart"/>
      <w:r>
        <w:rPr>
          <w:i/>
          <w:sz w:val="16"/>
        </w:rPr>
        <w:t>pari</w:t>
      </w:r>
      <w:proofErr w:type="spellEnd"/>
      <w:r>
        <w:rPr>
          <w:i/>
          <w:sz w:val="16"/>
        </w:rPr>
        <w:t xml:space="preserve"> passu </w:t>
      </w:r>
      <w:r>
        <w:rPr>
          <w:sz w:val="16"/>
        </w:rPr>
        <w:t>with covered bond debt.</w:t>
      </w:r>
    </w:p>
    <w:p w14:paraId="4474AEBE" w14:textId="77777777" w:rsidR="001D4C35" w:rsidRDefault="001D4C35">
      <w:pPr>
        <w:rPr>
          <w:sz w:val="16"/>
        </w:rPr>
        <w:sectPr w:rsidR="001D4C35">
          <w:pgSz w:w="11910" w:h="16840"/>
          <w:pgMar w:top="760" w:right="740" w:bottom="1200" w:left="680" w:header="0" w:footer="1012" w:gutter="0"/>
          <w:cols w:space="720"/>
        </w:sectPr>
      </w:pPr>
    </w:p>
    <w:p w14:paraId="4474AEBF" w14:textId="77777777" w:rsidR="001D4C35" w:rsidRDefault="001D4C35">
      <w:pPr>
        <w:pStyle w:val="BodyText"/>
        <w:rPr>
          <w:sz w:val="20"/>
        </w:rPr>
      </w:pPr>
    </w:p>
    <w:p w14:paraId="4474AEC0" w14:textId="77777777" w:rsidR="001D4C35" w:rsidRDefault="001D4C35">
      <w:pPr>
        <w:pStyle w:val="BodyText"/>
        <w:rPr>
          <w:sz w:val="20"/>
        </w:rPr>
      </w:pPr>
    </w:p>
    <w:p w14:paraId="4474AEC1" w14:textId="77777777" w:rsidR="001D4C35" w:rsidRDefault="001D4C35">
      <w:pPr>
        <w:pStyle w:val="BodyText"/>
        <w:rPr>
          <w:sz w:val="20"/>
        </w:rPr>
      </w:pPr>
    </w:p>
    <w:p w14:paraId="4474AEC2" w14:textId="77777777" w:rsidR="001D4C35" w:rsidRDefault="001D4C35">
      <w:pPr>
        <w:pStyle w:val="BodyText"/>
        <w:rPr>
          <w:sz w:val="20"/>
        </w:rPr>
      </w:pPr>
    </w:p>
    <w:p w14:paraId="4474AEC3" w14:textId="77777777" w:rsidR="001D4C35" w:rsidRDefault="001D4C35">
      <w:pPr>
        <w:pStyle w:val="BodyText"/>
        <w:spacing w:before="2"/>
        <w:rPr>
          <w:sz w:val="20"/>
        </w:rPr>
      </w:pPr>
    </w:p>
    <w:p w14:paraId="4474AEC4" w14:textId="77777777" w:rsidR="001D4C35" w:rsidRDefault="007E6DC4">
      <w:pPr>
        <w:spacing w:before="1"/>
        <w:ind w:left="49"/>
        <w:jc w:val="center"/>
        <w:rPr>
          <w:rFonts w:ascii="Calibri" w:hAnsi="Calibri"/>
          <w:sz w:val="19"/>
        </w:rPr>
      </w:pPr>
      <w:r>
        <w:pict w14:anchorId="4474B0A3">
          <v:shape id="_x0000_s2067" type="#_x0000_t202" style="position:absolute;left:0;text-align:left;margin-left:42.55pt;margin-top:-58.95pt;width:239.45pt;height:89.9pt;z-index:251737088;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618"/>
                    <w:gridCol w:w="2511"/>
                    <w:gridCol w:w="1006"/>
                  </w:tblGrid>
                  <w:tr w:rsidR="001D4C35" w14:paraId="4474B16A" w14:textId="77777777">
                    <w:trPr>
                      <w:trHeight w:val="586"/>
                    </w:trPr>
                    <w:tc>
                      <w:tcPr>
                        <w:tcW w:w="638" w:type="dxa"/>
                      </w:tcPr>
                      <w:p w14:paraId="4474B165" w14:textId="77777777" w:rsidR="001D4C35" w:rsidRDefault="00D84817">
                        <w:pPr>
                          <w:pStyle w:val="TableParagraph"/>
                          <w:spacing w:before="6" w:line="261" w:lineRule="auto"/>
                          <w:ind w:left="64" w:right="42" w:firstLine="49"/>
                          <w:rPr>
                            <w:rFonts w:ascii="Calibri"/>
                            <w:sz w:val="15"/>
                          </w:rPr>
                        </w:pPr>
                        <w:r>
                          <w:rPr>
                            <w:rFonts w:ascii="Calibri"/>
                            <w:sz w:val="15"/>
                          </w:rPr>
                          <w:t>Bucket Number</w:t>
                        </w:r>
                      </w:p>
                    </w:tc>
                    <w:tc>
                      <w:tcPr>
                        <w:tcW w:w="618" w:type="dxa"/>
                      </w:tcPr>
                      <w:p w14:paraId="4474B166" w14:textId="77777777" w:rsidR="001D4C35" w:rsidRDefault="00D84817">
                        <w:pPr>
                          <w:pStyle w:val="TableParagraph"/>
                          <w:spacing w:before="6" w:line="261" w:lineRule="auto"/>
                          <w:ind w:left="94" w:right="77" w:firstLine="29"/>
                          <w:rPr>
                            <w:rFonts w:ascii="Calibri"/>
                            <w:sz w:val="15"/>
                          </w:rPr>
                        </w:pPr>
                        <w:r>
                          <w:rPr>
                            <w:rFonts w:ascii="Calibri"/>
                            <w:sz w:val="15"/>
                          </w:rPr>
                          <w:t>Credit quality</w:t>
                        </w:r>
                      </w:p>
                    </w:tc>
                    <w:tc>
                      <w:tcPr>
                        <w:tcW w:w="2511" w:type="dxa"/>
                      </w:tcPr>
                      <w:p w14:paraId="4474B167" w14:textId="77777777" w:rsidR="001D4C35" w:rsidRDefault="00D84817">
                        <w:pPr>
                          <w:pStyle w:val="TableParagraph"/>
                          <w:spacing w:before="6"/>
                          <w:ind w:left="24" w:right="13"/>
                          <w:jc w:val="center"/>
                          <w:rPr>
                            <w:rFonts w:ascii="Calibri"/>
                            <w:sz w:val="15"/>
                          </w:rPr>
                        </w:pPr>
                        <w:r>
                          <w:rPr>
                            <w:rFonts w:ascii="Calibri"/>
                            <w:sz w:val="15"/>
                          </w:rPr>
                          <w:t>Sector</w:t>
                        </w:r>
                      </w:p>
                    </w:tc>
                    <w:tc>
                      <w:tcPr>
                        <w:tcW w:w="1006" w:type="dxa"/>
                      </w:tcPr>
                      <w:p w14:paraId="4474B168" w14:textId="77777777" w:rsidR="001D4C35" w:rsidRDefault="00D84817">
                        <w:pPr>
                          <w:pStyle w:val="TableParagraph"/>
                          <w:spacing w:before="6" w:line="261" w:lineRule="auto"/>
                          <w:ind w:left="124" w:right="127" w:firstLine="5"/>
                          <w:jc w:val="center"/>
                          <w:rPr>
                            <w:rFonts w:ascii="Calibri"/>
                            <w:sz w:val="15"/>
                          </w:rPr>
                        </w:pPr>
                        <w:r>
                          <w:rPr>
                            <w:rFonts w:ascii="Calibri"/>
                            <w:sz w:val="15"/>
                          </w:rPr>
                          <w:t>Risk weight (percentage</w:t>
                        </w:r>
                      </w:p>
                      <w:p w14:paraId="4474B169" w14:textId="77777777" w:rsidR="001D4C35" w:rsidRDefault="00D84817">
                        <w:pPr>
                          <w:pStyle w:val="TableParagraph"/>
                          <w:spacing w:line="161" w:lineRule="exact"/>
                          <w:ind w:left="267" w:right="262"/>
                          <w:jc w:val="center"/>
                          <w:rPr>
                            <w:rFonts w:ascii="Calibri"/>
                            <w:sz w:val="15"/>
                          </w:rPr>
                        </w:pPr>
                        <w:r>
                          <w:rPr>
                            <w:rFonts w:ascii="Calibri"/>
                            <w:sz w:val="15"/>
                          </w:rPr>
                          <w:t>points)</w:t>
                        </w:r>
                      </w:p>
                    </w:tc>
                  </w:tr>
                  <w:tr w:rsidR="001D4C35" w14:paraId="4474B170" w14:textId="77777777">
                    <w:trPr>
                      <w:trHeight w:val="1182"/>
                    </w:trPr>
                    <w:tc>
                      <w:tcPr>
                        <w:tcW w:w="638" w:type="dxa"/>
                      </w:tcPr>
                      <w:p w14:paraId="4474B16B" w14:textId="77777777" w:rsidR="001D4C35" w:rsidRDefault="00D84817">
                        <w:pPr>
                          <w:pStyle w:val="TableParagraph"/>
                          <w:spacing w:before="6"/>
                          <w:ind w:left="15"/>
                          <w:jc w:val="center"/>
                          <w:rPr>
                            <w:rFonts w:ascii="Calibri"/>
                            <w:sz w:val="15"/>
                          </w:rPr>
                        </w:pPr>
                        <w:r>
                          <w:rPr>
                            <w:rFonts w:ascii="Calibri"/>
                            <w:w w:val="99"/>
                            <w:sz w:val="15"/>
                          </w:rPr>
                          <w:t>4</w:t>
                        </w:r>
                      </w:p>
                    </w:tc>
                    <w:tc>
                      <w:tcPr>
                        <w:tcW w:w="618" w:type="dxa"/>
                      </w:tcPr>
                      <w:p w14:paraId="4474B16C" w14:textId="77777777" w:rsidR="001D4C35" w:rsidRDefault="00D84817">
                        <w:pPr>
                          <w:pStyle w:val="TableParagraph"/>
                          <w:spacing w:before="6" w:line="261" w:lineRule="auto"/>
                          <w:ind w:left="44" w:right="34" w:firstLine="79"/>
                          <w:jc w:val="both"/>
                          <w:rPr>
                            <w:rFonts w:ascii="Calibri"/>
                            <w:sz w:val="15"/>
                          </w:rPr>
                        </w:pPr>
                        <w:r>
                          <w:rPr>
                            <w:rFonts w:ascii="Calibri"/>
                            <w:sz w:val="15"/>
                          </w:rPr>
                          <w:t xml:space="preserve">Credit quality step 1 </w:t>
                        </w:r>
                        <w:r>
                          <w:rPr>
                            <w:rFonts w:ascii="Calibri"/>
                            <w:spacing w:val="-8"/>
                            <w:sz w:val="15"/>
                          </w:rPr>
                          <w:t>to</w:t>
                        </w:r>
                      </w:p>
                      <w:p w14:paraId="4474B16D" w14:textId="77777777" w:rsidR="001D4C35" w:rsidRDefault="00D84817">
                        <w:pPr>
                          <w:pStyle w:val="TableParagraph"/>
                          <w:spacing w:line="180" w:lineRule="exact"/>
                          <w:ind w:left="15"/>
                          <w:jc w:val="center"/>
                          <w:rPr>
                            <w:rFonts w:ascii="Calibri"/>
                            <w:sz w:val="15"/>
                          </w:rPr>
                        </w:pPr>
                        <w:r>
                          <w:rPr>
                            <w:rFonts w:ascii="Calibri"/>
                            <w:w w:val="99"/>
                            <w:sz w:val="15"/>
                          </w:rPr>
                          <w:t>3</w:t>
                        </w:r>
                      </w:p>
                    </w:tc>
                    <w:tc>
                      <w:tcPr>
                        <w:tcW w:w="2511" w:type="dxa"/>
                      </w:tcPr>
                      <w:p w14:paraId="4474B16E" w14:textId="77777777" w:rsidR="001D4C35" w:rsidRDefault="00D84817">
                        <w:pPr>
                          <w:pStyle w:val="TableParagraph"/>
                          <w:spacing w:before="6" w:line="261" w:lineRule="auto"/>
                          <w:ind w:left="24" w:right="23"/>
                          <w:jc w:val="center"/>
                          <w:rPr>
                            <w:rFonts w:ascii="Calibri"/>
                            <w:sz w:val="15"/>
                          </w:rPr>
                        </w:pPr>
                        <w:r>
                          <w:rPr>
                            <w:rFonts w:ascii="Calibri"/>
                            <w:sz w:val="15"/>
                          </w:rPr>
                          <w:t xml:space="preserve">Financial sector entities </w:t>
                        </w:r>
                        <w:proofErr w:type="spellStart"/>
                        <w:r>
                          <w:rPr>
                            <w:rFonts w:ascii="Calibri"/>
                            <w:sz w:val="15"/>
                          </w:rPr>
                          <w:t>includign</w:t>
                        </w:r>
                        <w:proofErr w:type="spellEnd"/>
                        <w:r>
                          <w:rPr>
                            <w:rFonts w:ascii="Calibri"/>
                            <w:sz w:val="15"/>
                          </w:rPr>
                          <w:t xml:space="preserve"> credit institutions incorporated or established by a central government, a regional government or a local authority and promotional lenders</w:t>
                        </w:r>
                      </w:p>
                    </w:tc>
                    <w:tc>
                      <w:tcPr>
                        <w:tcW w:w="1006" w:type="dxa"/>
                      </w:tcPr>
                      <w:p w14:paraId="4474B16F" w14:textId="77777777" w:rsidR="001D4C35" w:rsidRDefault="00D84817">
                        <w:pPr>
                          <w:pStyle w:val="TableParagraph"/>
                          <w:spacing w:before="6"/>
                          <w:ind w:left="256" w:right="262"/>
                          <w:jc w:val="center"/>
                          <w:rPr>
                            <w:rFonts w:ascii="Calibri"/>
                            <w:sz w:val="15"/>
                          </w:rPr>
                        </w:pPr>
                        <w:r>
                          <w:rPr>
                            <w:rFonts w:ascii="Calibri"/>
                            <w:sz w:val="15"/>
                          </w:rPr>
                          <w:t>5,0%</w:t>
                        </w:r>
                      </w:p>
                    </w:tc>
                  </w:tr>
                </w:tbl>
                <w:p w14:paraId="4474B171" w14:textId="77777777" w:rsidR="001D4C35" w:rsidRDefault="001D4C35">
                  <w:pPr>
                    <w:pStyle w:val="BodyText"/>
                  </w:pPr>
                </w:p>
              </w:txbxContent>
            </v:textbox>
            <w10:wrap anchorx="page"/>
          </v:shape>
        </w:pict>
      </w:r>
      <w:r>
        <w:pict w14:anchorId="4474B0A4">
          <v:shape id="_x0000_s2066" type="#_x0000_t202" style="position:absolute;left:0;text-align:left;margin-left:313.1pt;margin-top:-58.95pt;width:239.45pt;height:129.65pt;z-index:251738112;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618"/>
                    <w:gridCol w:w="2511"/>
                    <w:gridCol w:w="1006"/>
                  </w:tblGrid>
                  <w:tr w:rsidR="001D4C35" w14:paraId="4474B177" w14:textId="77777777">
                    <w:trPr>
                      <w:trHeight w:val="586"/>
                    </w:trPr>
                    <w:tc>
                      <w:tcPr>
                        <w:tcW w:w="638" w:type="dxa"/>
                      </w:tcPr>
                      <w:p w14:paraId="4474B172" w14:textId="77777777" w:rsidR="001D4C35" w:rsidRDefault="00D84817">
                        <w:pPr>
                          <w:pStyle w:val="TableParagraph"/>
                          <w:spacing w:before="6" w:line="261" w:lineRule="auto"/>
                          <w:ind w:left="64" w:right="42" w:firstLine="49"/>
                          <w:rPr>
                            <w:rFonts w:ascii="Calibri"/>
                            <w:sz w:val="15"/>
                          </w:rPr>
                        </w:pPr>
                        <w:r>
                          <w:rPr>
                            <w:rFonts w:ascii="Calibri"/>
                            <w:sz w:val="15"/>
                          </w:rPr>
                          <w:t>Bucket Number</w:t>
                        </w:r>
                      </w:p>
                    </w:tc>
                    <w:tc>
                      <w:tcPr>
                        <w:tcW w:w="618" w:type="dxa"/>
                      </w:tcPr>
                      <w:p w14:paraId="4474B173" w14:textId="77777777" w:rsidR="001D4C35" w:rsidRDefault="00D84817">
                        <w:pPr>
                          <w:pStyle w:val="TableParagraph"/>
                          <w:spacing w:before="6" w:line="261" w:lineRule="auto"/>
                          <w:ind w:left="94" w:right="77" w:firstLine="29"/>
                          <w:rPr>
                            <w:rFonts w:ascii="Calibri"/>
                            <w:sz w:val="15"/>
                          </w:rPr>
                        </w:pPr>
                        <w:r>
                          <w:rPr>
                            <w:rFonts w:ascii="Calibri"/>
                            <w:sz w:val="15"/>
                          </w:rPr>
                          <w:t>Credit quality</w:t>
                        </w:r>
                      </w:p>
                    </w:tc>
                    <w:tc>
                      <w:tcPr>
                        <w:tcW w:w="2511" w:type="dxa"/>
                      </w:tcPr>
                      <w:p w14:paraId="4474B174" w14:textId="77777777" w:rsidR="001D4C35" w:rsidRDefault="00D84817">
                        <w:pPr>
                          <w:pStyle w:val="TableParagraph"/>
                          <w:spacing w:before="6"/>
                          <w:ind w:left="24" w:right="13"/>
                          <w:jc w:val="center"/>
                          <w:rPr>
                            <w:rFonts w:ascii="Calibri"/>
                            <w:sz w:val="15"/>
                          </w:rPr>
                        </w:pPr>
                        <w:r>
                          <w:rPr>
                            <w:rFonts w:ascii="Calibri"/>
                            <w:sz w:val="15"/>
                          </w:rPr>
                          <w:t>Sector</w:t>
                        </w:r>
                      </w:p>
                    </w:tc>
                    <w:tc>
                      <w:tcPr>
                        <w:tcW w:w="1006" w:type="dxa"/>
                      </w:tcPr>
                      <w:p w14:paraId="4474B175" w14:textId="77777777" w:rsidR="001D4C35" w:rsidRDefault="00D84817">
                        <w:pPr>
                          <w:pStyle w:val="TableParagraph"/>
                          <w:spacing w:before="6"/>
                          <w:ind w:left="124" w:firstLine="19"/>
                          <w:rPr>
                            <w:rFonts w:ascii="Calibri"/>
                            <w:sz w:val="15"/>
                          </w:rPr>
                        </w:pPr>
                        <w:r>
                          <w:rPr>
                            <w:rFonts w:ascii="Calibri"/>
                            <w:sz w:val="15"/>
                          </w:rPr>
                          <w:t>Risk weight</w:t>
                        </w:r>
                      </w:p>
                      <w:p w14:paraId="4474B176" w14:textId="77777777" w:rsidR="001D4C35" w:rsidRDefault="00D84817">
                        <w:pPr>
                          <w:pStyle w:val="TableParagraph"/>
                          <w:spacing w:line="200" w:lineRule="atLeast"/>
                          <w:ind w:left="283" w:right="117" w:hanging="160"/>
                          <w:rPr>
                            <w:rFonts w:ascii="Calibri"/>
                            <w:sz w:val="15"/>
                          </w:rPr>
                        </w:pPr>
                        <w:r>
                          <w:rPr>
                            <w:rFonts w:ascii="Calibri"/>
                            <w:sz w:val="15"/>
                          </w:rPr>
                          <w:t>(percentage points)</w:t>
                        </w:r>
                      </w:p>
                    </w:tc>
                  </w:tr>
                  <w:tr w:rsidR="001D4C35" w14:paraId="4474B17E" w14:textId="77777777">
                    <w:trPr>
                      <w:trHeight w:val="1179"/>
                    </w:trPr>
                    <w:tc>
                      <w:tcPr>
                        <w:tcW w:w="638" w:type="dxa"/>
                      </w:tcPr>
                      <w:p w14:paraId="4474B178" w14:textId="77777777" w:rsidR="001D4C35" w:rsidRDefault="00D84817">
                        <w:pPr>
                          <w:pStyle w:val="TableParagraph"/>
                          <w:spacing w:before="3"/>
                          <w:ind w:left="213" w:right="215"/>
                          <w:jc w:val="center"/>
                          <w:rPr>
                            <w:rFonts w:ascii="Calibri"/>
                            <w:sz w:val="15"/>
                          </w:rPr>
                        </w:pPr>
                        <w:r>
                          <w:rPr>
                            <w:rFonts w:ascii="Calibri"/>
                            <w:sz w:val="15"/>
                          </w:rPr>
                          <w:t>4a</w:t>
                        </w:r>
                      </w:p>
                    </w:tc>
                    <w:tc>
                      <w:tcPr>
                        <w:tcW w:w="618" w:type="dxa"/>
                      </w:tcPr>
                      <w:p w14:paraId="4474B179" w14:textId="77777777" w:rsidR="001D4C35" w:rsidRDefault="00D84817">
                        <w:pPr>
                          <w:pStyle w:val="TableParagraph"/>
                          <w:spacing w:before="3" w:line="261" w:lineRule="auto"/>
                          <w:ind w:left="44" w:right="34" w:firstLine="79"/>
                          <w:jc w:val="both"/>
                          <w:rPr>
                            <w:rFonts w:ascii="Calibri"/>
                            <w:sz w:val="15"/>
                          </w:rPr>
                        </w:pPr>
                        <w:r>
                          <w:rPr>
                            <w:rFonts w:ascii="Calibri"/>
                            <w:sz w:val="15"/>
                          </w:rPr>
                          <w:t xml:space="preserve">Credit quality step 1 </w:t>
                        </w:r>
                        <w:r>
                          <w:rPr>
                            <w:rFonts w:ascii="Calibri"/>
                            <w:spacing w:val="-8"/>
                            <w:sz w:val="15"/>
                          </w:rPr>
                          <w:t>to</w:t>
                        </w:r>
                      </w:p>
                      <w:p w14:paraId="4474B17A" w14:textId="77777777" w:rsidR="001D4C35" w:rsidRDefault="00D84817">
                        <w:pPr>
                          <w:pStyle w:val="TableParagraph"/>
                          <w:spacing w:line="180" w:lineRule="exact"/>
                          <w:ind w:left="15"/>
                          <w:jc w:val="center"/>
                          <w:rPr>
                            <w:rFonts w:ascii="Calibri"/>
                            <w:sz w:val="15"/>
                          </w:rPr>
                        </w:pPr>
                        <w:r>
                          <w:rPr>
                            <w:rFonts w:ascii="Calibri"/>
                            <w:w w:val="99"/>
                            <w:sz w:val="15"/>
                          </w:rPr>
                          <w:t>3</w:t>
                        </w:r>
                      </w:p>
                    </w:tc>
                    <w:tc>
                      <w:tcPr>
                        <w:tcW w:w="2511" w:type="dxa"/>
                      </w:tcPr>
                      <w:p w14:paraId="4474B17B" w14:textId="77777777" w:rsidR="001D4C35" w:rsidRDefault="00D84817">
                        <w:pPr>
                          <w:pStyle w:val="TableParagraph"/>
                          <w:spacing w:before="3" w:line="261" w:lineRule="auto"/>
                          <w:ind w:left="34" w:right="29" w:firstLine="5"/>
                          <w:jc w:val="center"/>
                          <w:rPr>
                            <w:rFonts w:ascii="Calibri"/>
                            <w:sz w:val="15"/>
                          </w:rPr>
                        </w:pPr>
                        <w:r>
                          <w:rPr>
                            <w:rFonts w:ascii="Calibri"/>
                            <w:sz w:val="15"/>
                          </w:rPr>
                          <w:t xml:space="preserve">Regulated financial sector </w:t>
                        </w:r>
                        <w:r>
                          <w:rPr>
                            <w:rFonts w:ascii="Calibri"/>
                            <w:spacing w:val="2"/>
                            <w:sz w:val="15"/>
                          </w:rPr>
                          <w:t xml:space="preserve">entities </w:t>
                        </w:r>
                        <w:proofErr w:type="spellStart"/>
                        <w:r>
                          <w:rPr>
                            <w:rFonts w:ascii="Calibri"/>
                            <w:sz w:val="15"/>
                          </w:rPr>
                          <w:t>includign</w:t>
                        </w:r>
                        <w:proofErr w:type="spellEnd"/>
                        <w:r>
                          <w:rPr>
                            <w:rFonts w:ascii="Calibri"/>
                            <w:sz w:val="15"/>
                          </w:rPr>
                          <w:t xml:space="preserve"> credit institutions incorporated or established by a</w:t>
                        </w:r>
                        <w:r>
                          <w:rPr>
                            <w:rFonts w:ascii="Calibri"/>
                            <w:spacing w:val="-14"/>
                            <w:sz w:val="15"/>
                          </w:rPr>
                          <w:t xml:space="preserve"> </w:t>
                        </w:r>
                        <w:r>
                          <w:rPr>
                            <w:rFonts w:ascii="Calibri"/>
                            <w:sz w:val="15"/>
                          </w:rPr>
                          <w:t>central government, a regional government or a local authority and</w:t>
                        </w:r>
                        <w:r>
                          <w:rPr>
                            <w:rFonts w:ascii="Calibri"/>
                            <w:spacing w:val="-13"/>
                            <w:sz w:val="15"/>
                          </w:rPr>
                          <w:t xml:space="preserve"> </w:t>
                        </w:r>
                        <w:r>
                          <w:rPr>
                            <w:rFonts w:ascii="Calibri"/>
                            <w:sz w:val="15"/>
                          </w:rPr>
                          <w:t>promotional</w:t>
                        </w:r>
                      </w:p>
                      <w:p w14:paraId="4474B17C" w14:textId="77777777" w:rsidR="001D4C35" w:rsidRDefault="00D84817">
                        <w:pPr>
                          <w:pStyle w:val="TableParagraph"/>
                          <w:spacing w:line="158" w:lineRule="exact"/>
                          <w:ind w:left="24" w:right="17"/>
                          <w:jc w:val="center"/>
                          <w:rPr>
                            <w:rFonts w:ascii="Calibri"/>
                            <w:sz w:val="15"/>
                          </w:rPr>
                        </w:pPr>
                        <w:r>
                          <w:rPr>
                            <w:rFonts w:ascii="Calibri"/>
                            <w:sz w:val="15"/>
                          </w:rPr>
                          <w:t>lenders</w:t>
                        </w:r>
                      </w:p>
                    </w:tc>
                    <w:tc>
                      <w:tcPr>
                        <w:tcW w:w="1006" w:type="dxa"/>
                      </w:tcPr>
                      <w:p w14:paraId="4474B17D" w14:textId="77777777" w:rsidR="001D4C35" w:rsidRDefault="00D84817">
                        <w:pPr>
                          <w:pStyle w:val="TableParagraph"/>
                          <w:spacing w:before="3"/>
                          <w:ind w:left="256" w:right="262"/>
                          <w:jc w:val="center"/>
                          <w:rPr>
                            <w:rFonts w:ascii="Calibri"/>
                            <w:sz w:val="15"/>
                          </w:rPr>
                        </w:pPr>
                        <w:r>
                          <w:rPr>
                            <w:rFonts w:ascii="Calibri"/>
                            <w:sz w:val="15"/>
                          </w:rPr>
                          <w:t>3,0%</w:t>
                        </w:r>
                      </w:p>
                    </w:tc>
                  </w:tr>
                  <w:tr w:rsidR="001D4C35" w14:paraId="4474B184" w14:textId="77777777">
                    <w:trPr>
                      <w:trHeight w:val="784"/>
                    </w:trPr>
                    <w:tc>
                      <w:tcPr>
                        <w:tcW w:w="638" w:type="dxa"/>
                      </w:tcPr>
                      <w:p w14:paraId="4474B17F" w14:textId="77777777" w:rsidR="001D4C35" w:rsidRDefault="00D84817">
                        <w:pPr>
                          <w:pStyle w:val="TableParagraph"/>
                          <w:spacing w:before="6"/>
                          <w:ind w:left="217" w:right="215"/>
                          <w:jc w:val="center"/>
                          <w:rPr>
                            <w:rFonts w:ascii="Calibri"/>
                            <w:sz w:val="15"/>
                          </w:rPr>
                        </w:pPr>
                        <w:r>
                          <w:rPr>
                            <w:rFonts w:ascii="Calibri"/>
                            <w:sz w:val="15"/>
                          </w:rPr>
                          <w:t>4b</w:t>
                        </w:r>
                      </w:p>
                    </w:tc>
                    <w:tc>
                      <w:tcPr>
                        <w:tcW w:w="618" w:type="dxa"/>
                      </w:tcPr>
                      <w:p w14:paraId="4474B180" w14:textId="77777777" w:rsidR="001D4C35" w:rsidRDefault="00D84817">
                        <w:pPr>
                          <w:pStyle w:val="TableParagraph"/>
                          <w:spacing w:before="6" w:line="261" w:lineRule="auto"/>
                          <w:ind w:left="44" w:right="34" w:firstLine="79"/>
                          <w:jc w:val="both"/>
                          <w:rPr>
                            <w:rFonts w:ascii="Calibri"/>
                            <w:sz w:val="15"/>
                          </w:rPr>
                        </w:pPr>
                        <w:r>
                          <w:rPr>
                            <w:rFonts w:ascii="Calibri"/>
                            <w:sz w:val="15"/>
                          </w:rPr>
                          <w:t xml:space="preserve">Credit quality step 1 </w:t>
                        </w:r>
                        <w:r>
                          <w:rPr>
                            <w:rFonts w:ascii="Calibri"/>
                            <w:spacing w:val="-8"/>
                            <w:sz w:val="15"/>
                          </w:rPr>
                          <w:t>to</w:t>
                        </w:r>
                      </w:p>
                      <w:p w14:paraId="4474B181" w14:textId="77777777" w:rsidR="001D4C35" w:rsidRDefault="00D84817">
                        <w:pPr>
                          <w:pStyle w:val="TableParagraph"/>
                          <w:spacing w:line="160" w:lineRule="exact"/>
                          <w:ind w:left="15"/>
                          <w:jc w:val="center"/>
                          <w:rPr>
                            <w:rFonts w:ascii="Calibri"/>
                            <w:sz w:val="15"/>
                          </w:rPr>
                        </w:pPr>
                        <w:r>
                          <w:rPr>
                            <w:rFonts w:ascii="Calibri"/>
                            <w:w w:val="99"/>
                            <w:sz w:val="15"/>
                          </w:rPr>
                          <w:t>3</w:t>
                        </w:r>
                      </w:p>
                    </w:tc>
                    <w:tc>
                      <w:tcPr>
                        <w:tcW w:w="2511" w:type="dxa"/>
                      </w:tcPr>
                      <w:p w14:paraId="4474B182" w14:textId="77777777" w:rsidR="001D4C35" w:rsidRDefault="00D84817">
                        <w:pPr>
                          <w:pStyle w:val="TableParagraph"/>
                          <w:spacing w:before="6"/>
                          <w:ind w:left="24" w:right="17"/>
                          <w:jc w:val="center"/>
                          <w:rPr>
                            <w:rFonts w:ascii="Calibri"/>
                            <w:sz w:val="15"/>
                          </w:rPr>
                        </w:pPr>
                        <w:r>
                          <w:rPr>
                            <w:rFonts w:ascii="Calibri"/>
                            <w:sz w:val="15"/>
                          </w:rPr>
                          <w:t>Unregulated financial sector entities</w:t>
                        </w:r>
                      </w:p>
                    </w:tc>
                    <w:tc>
                      <w:tcPr>
                        <w:tcW w:w="1006" w:type="dxa"/>
                      </w:tcPr>
                      <w:p w14:paraId="4474B183" w14:textId="77777777" w:rsidR="001D4C35" w:rsidRDefault="00D84817">
                        <w:pPr>
                          <w:pStyle w:val="TableParagraph"/>
                          <w:spacing w:before="6"/>
                          <w:ind w:left="256" w:right="262"/>
                          <w:jc w:val="center"/>
                          <w:rPr>
                            <w:rFonts w:ascii="Calibri"/>
                            <w:sz w:val="15"/>
                          </w:rPr>
                        </w:pPr>
                        <w:r>
                          <w:rPr>
                            <w:rFonts w:ascii="Calibri"/>
                            <w:sz w:val="15"/>
                          </w:rPr>
                          <w:t>5,0%</w:t>
                        </w:r>
                      </w:p>
                    </w:tc>
                  </w:tr>
                </w:tbl>
                <w:p w14:paraId="4474B185" w14:textId="77777777" w:rsidR="001D4C35" w:rsidRDefault="001D4C35">
                  <w:pPr>
                    <w:pStyle w:val="BodyText"/>
                  </w:pPr>
                </w:p>
              </w:txbxContent>
            </v:textbox>
            <w10:wrap anchorx="page"/>
          </v:shape>
        </w:pict>
      </w:r>
      <w:r w:rsidR="00D84817">
        <w:rPr>
          <w:rFonts w:ascii="Calibri" w:hAnsi="Calibri"/>
          <w:w w:val="99"/>
          <w:sz w:val="19"/>
        </w:rPr>
        <w:t>→</w:t>
      </w:r>
    </w:p>
    <w:p w14:paraId="4474AEC5" w14:textId="77777777" w:rsidR="001D4C35" w:rsidRDefault="001D4C35">
      <w:pPr>
        <w:pStyle w:val="BodyText"/>
        <w:rPr>
          <w:rFonts w:ascii="Calibri"/>
          <w:sz w:val="18"/>
        </w:rPr>
      </w:pPr>
    </w:p>
    <w:p w14:paraId="4474AEC6" w14:textId="77777777" w:rsidR="001D4C35" w:rsidRDefault="001D4C35">
      <w:pPr>
        <w:pStyle w:val="BodyText"/>
        <w:rPr>
          <w:rFonts w:ascii="Calibri"/>
          <w:sz w:val="18"/>
        </w:rPr>
      </w:pPr>
    </w:p>
    <w:p w14:paraId="4474AEC7" w14:textId="77777777" w:rsidR="001D4C35" w:rsidRDefault="001D4C35">
      <w:pPr>
        <w:pStyle w:val="BodyText"/>
        <w:rPr>
          <w:rFonts w:ascii="Calibri"/>
          <w:sz w:val="18"/>
        </w:rPr>
      </w:pPr>
    </w:p>
    <w:p w14:paraId="4474AEC8" w14:textId="77777777" w:rsidR="001D4C35" w:rsidRDefault="001D4C35">
      <w:pPr>
        <w:pStyle w:val="BodyText"/>
        <w:rPr>
          <w:rFonts w:ascii="Calibri"/>
          <w:sz w:val="18"/>
        </w:rPr>
      </w:pPr>
    </w:p>
    <w:p w14:paraId="4474AEC9" w14:textId="77777777" w:rsidR="001D4C35" w:rsidRDefault="001D4C35">
      <w:pPr>
        <w:pStyle w:val="BodyText"/>
        <w:rPr>
          <w:rFonts w:ascii="Calibri"/>
          <w:sz w:val="18"/>
        </w:rPr>
      </w:pPr>
    </w:p>
    <w:p w14:paraId="4474AECA" w14:textId="77777777" w:rsidR="001D4C35" w:rsidRDefault="001D4C35">
      <w:pPr>
        <w:pStyle w:val="BodyText"/>
        <w:rPr>
          <w:rFonts w:ascii="Calibri"/>
          <w:sz w:val="21"/>
        </w:rPr>
      </w:pPr>
    </w:p>
    <w:p w14:paraId="4474AECB" w14:textId="77777777" w:rsidR="001D4C35" w:rsidRDefault="007E6DC4">
      <w:pPr>
        <w:ind w:left="171"/>
        <w:rPr>
          <w:i/>
        </w:rPr>
      </w:pPr>
      <w:r>
        <w:pict w14:anchorId="4474B0A5">
          <v:shape id="_x0000_s2065" type="#_x0000_t202" style="position:absolute;left:0;text-align:left;margin-left:42.55pt;margin-top:20.85pt;width:239.45pt;height:89.95pt;z-index:251739136;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618"/>
                    <w:gridCol w:w="2511"/>
                    <w:gridCol w:w="1006"/>
                  </w:tblGrid>
                  <w:tr w:rsidR="001D4C35" w14:paraId="4474B18B" w14:textId="77777777">
                    <w:trPr>
                      <w:trHeight w:val="586"/>
                    </w:trPr>
                    <w:tc>
                      <w:tcPr>
                        <w:tcW w:w="638" w:type="dxa"/>
                      </w:tcPr>
                      <w:p w14:paraId="4474B186" w14:textId="77777777" w:rsidR="001D4C35" w:rsidRDefault="00D84817">
                        <w:pPr>
                          <w:pStyle w:val="TableParagraph"/>
                          <w:spacing w:before="6" w:line="261" w:lineRule="auto"/>
                          <w:ind w:left="64" w:right="42" w:firstLine="49"/>
                          <w:rPr>
                            <w:rFonts w:ascii="Calibri"/>
                            <w:sz w:val="15"/>
                          </w:rPr>
                        </w:pPr>
                        <w:r>
                          <w:rPr>
                            <w:rFonts w:ascii="Calibri"/>
                            <w:sz w:val="15"/>
                          </w:rPr>
                          <w:t>Bucket Number</w:t>
                        </w:r>
                      </w:p>
                    </w:tc>
                    <w:tc>
                      <w:tcPr>
                        <w:tcW w:w="618" w:type="dxa"/>
                      </w:tcPr>
                      <w:p w14:paraId="4474B187" w14:textId="77777777" w:rsidR="001D4C35" w:rsidRDefault="00D84817">
                        <w:pPr>
                          <w:pStyle w:val="TableParagraph"/>
                          <w:spacing w:before="6" w:line="261" w:lineRule="auto"/>
                          <w:ind w:left="94" w:right="77" w:firstLine="29"/>
                          <w:rPr>
                            <w:rFonts w:ascii="Calibri"/>
                            <w:sz w:val="15"/>
                          </w:rPr>
                        </w:pPr>
                        <w:r>
                          <w:rPr>
                            <w:rFonts w:ascii="Calibri"/>
                            <w:sz w:val="15"/>
                          </w:rPr>
                          <w:t>Credit quality</w:t>
                        </w:r>
                      </w:p>
                    </w:tc>
                    <w:tc>
                      <w:tcPr>
                        <w:tcW w:w="2511" w:type="dxa"/>
                      </w:tcPr>
                      <w:p w14:paraId="4474B188" w14:textId="77777777" w:rsidR="001D4C35" w:rsidRDefault="00D84817">
                        <w:pPr>
                          <w:pStyle w:val="TableParagraph"/>
                          <w:spacing w:before="6"/>
                          <w:ind w:left="24" w:right="13"/>
                          <w:jc w:val="center"/>
                          <w:rPr>
                            <w:rFonts w:ascii="Calibri"/>
                            <w:sz w:val="15"/>
                          </w:rPr>
                        </w:pPr>
                        <w:r>
                          <w:rPr>
                            <w:rFonts w:ascii="Calibri"/>
                            <w:sz w:val="15"/>
                          </w:rPr>
                          <w:t>Sector</w:t>
                        </w:r>
                      </w:p>
                    </w:tc>
                    <w:tc>
                      <w:tcPr>
                        <w:tcW w:w="1006" w:type="dxa"/>
                      </w:tcPr>
                      <w:p w14:paraId="4474B189" w14:textId="77777777" w:rsidR="001D4C35" w:rsidRDefault="00D84817">
                        <w:pPr>
                          <w:pStyle w:val="TableParagraph"/>
                          <w:spacing w:before="6" w:line="261" w:lineRule="auto"/>
                          <w:ind w:left="124" w:right="127" w:firstLine="5"/>
                          <w:jc w:val="center"/>
                          <w:rPr>
                            <w:rFonts w:ascii="Calibri"/>
                            <w:sz w:val="15"/>
                          </w:rPr>
                        </w:pPr>
                        <w:r>
                          <w:rPr>
                            <w:rFonts w:ascii="Calibri"/>
                            <w:sz w:val="15"/>
                          </w:rPr>
                          <w:t>Risk weight (percentage</w:t>
                        </w:r>
                      </w:p>
                      <w:p w14:paraId="4474B18A" w14:textId="77777777" w:rsidR="001D4C35" w:rsidRDefault="00D84817">
                        <w:pPr>
                          <w:pStyle w:val="TableParagraph"/>
                          <w:spacing w:line="161" w:lineRule="exact"/>
                          <w:ind w:left="267" w:right="262"/>
                          <w:jc w:val="center"/>
                          <w:rPr>
                            <w:rFonts w:ascii="Calibri"/>
                            <w:sz w:val="15"/>
                          </w:rPr>
                        </w:pPr>
                        <w:r>
                          <w:rPr>
                            <w:rFonts w:ascii="Calibri"/>
                            <w:sz w:val="15"/>
                          </w:rPr>
                          <w:t>points)</w:t>
                        </w:r>
                      </w:p>
                    </w:tc>
                  </w:tr>
                  <w:tr w:rsidR="001D4C35" w14:paraId="4474B191" w14:textId="77777777">
                    <w:trPr>
                      <w:trHeight w:val="1182"/>
                    </w:trPr>
                    <w:tc>
                      <w:tcPr>
                        <w:tcW w:w="638" w:type="dxa"/>
                      </w:tcPr>
                      <w:p w14:paraId="4474B18C" w14:textId="77777777" w:rsidR="001D4C35" w:rsidRDefault="00D84817">
                        <w:pPr>
                          <w:pStyle w:val="TableParagraph"/>
                          <w:spacing w:before="6"/>
                          <w:ind w:left="215" w:right="215"/>
                          <w:jc w:val="center"/>
                          <w:rPr>
                            <w:rFonts w:ascii="Calibri"/>
                            <w:sz w:val="15"/>
                          </w:rPr>
                        </w:pPr>
                        <w:r>
                          <w:rPr>
                            <w:rFonts w:ascii="Calibri"/>
                            <w:sz w:val="15"/>
                          </w:rPr>
                          <w:t>13</w:t>
                        </w:r>
                      </w:p>
                    </w:tc>
                    <w:tc>
                      <w:tcPr>
                        <w:tcW w:w="618" w:type="dxa"/>
                      </w:tcPr>
                      <w:p w14:paraId="4474B18D" w14:textId="77777777" w:rsidR="001D4C35" w:rsidRDefault="00D84817">
                        <w:pPr>
                          <w:pStyle w:val="TableParagraph"/>
                          <w:spacing w:before="6" w:line="261" w:lineRule="auto"/>
                          <w:ind w:left="44" w:right="34" w:firstLine="79"/>
                          <w:jc w:val="both"/>
                          <w:rPr>
                            <w:rFonts w:ascii="Calibri"/>
                            <w:sz w:val="15"/>
                          </w:rPr>
                        </w:pPr>
                        <w:r>
                          <w:rPr>
                            <w:rFonts w:ascii="Calibri"/>
                            <w:sz w:val="15"/>
                          </w:rPr>
                          <w:t xml:space="preserve">Credit quality step 4 </w:t>
                        </w:r>
                        <w:r>
                          <w:rPr>
                            <w:rFonts w:ascii="Calibri"/>
                            <w:spacing w:val="-8"/>
                            <w:sz w:val="15"/>
                          </w:rPr>
                          <w:t>to</w:t>
                        </w:r>
                      </w:p>
                      <w:p w14:paraId="4474B18E" w14:textId="77777777" w:rsidR="001D4C35" w:rsidRDefault="00D84817">
                        <w:pPr>
                          <w:pStyle w:val="TableParagraph"/>
                          <w:spacing w:line="180" w:lineRule="exact"/>
                          <w:ind w:left="15"/>
                          <w:jc w:val="center"/>
                          <w:rPr>
                            <w:rFonts w:ascii="Calibri"/>
                            <w:sz w:val="15"/>
                          </w:rPr>
                        </w:pPr>
                        <w:r>
                          <w:rPr>
                            <w:rFonts w:ascii="Calibri"/>
                            <w:w w:val="99"/>
                            <w:sz w:val="15"/>
                          </w:rPr>
                          <w:t>6</w:t>
                        </w:r>
                      </w:p>
                    </w:tc>
                    <w:tc>
                      <w:tcPr>
                        <w:tcW w:w="2511" w:type="dxa"/>
                      </w:tcPr>
                      <w:p w14:paraId="4474B18F" w14:textId="77777777" w:rsidR="001D4C35" w:rsidRDefault="00D84817">
                        <w:pPr>
                          <w:pStyle w:val="TableParagraph"/>
                          <w:spacing w:before="6" w:line="261" w:lineRule="auto"/>
                          <w:ind w:left="24" w:right="23"/>
                          <w:jc w:val="center"/>
                          <w:rPr>
                            <w:rFonts w:ascii="Calibri"/>
                            <w:sz w:val="15"/>
                          </w:rPr>
                        </w:pPr>
                        <w:r>
                          <w:rPr>
                            <w:rFonts w:ascii="Calibri"/>
                            <w:sz w:val="15"/>
                          </w:rPr>
                          <w:t xml:space="preserve">Financial sector entities </w:t>
                        </w:r>
                        <w:proofErr w:type="spellStart"/>
                        <w:r>
                          <w:rPr>
                            <w:rFonts w:ascii="Calibri"/>
                            <w:sz w:val="15"/>
                          </w:rPr>
                          <w:t>includign</w:t>
                        </w:r>
                        <w:proofErr w:type="spellEnd"/>
                        <w:r>
                          <w:rPr>
                            <w:rFonts w:ascii="Calibri"/>
                            <w:sz w:val="15"/>
                          </w:rPr>
                          <w:t xml:space="preserve"> credit institutions incorporated or established by a central government, a regional government or a local authority and promotional lenders</w:t>
                        </w:r>
                      </w:p>
                    </w:tc>
                    <w:tc>
                      <w:tcPr>
                        <w:tcW w:w="1006" w:type="dxa"/>
                      </w:tcPr>
                      <w:p w14:paraId="4474B190" w14:textId="77777777" w:rsidR="001D4C35" w:rsidRDefault="00D84817">
                        <w:pPr>
                          <w:pStyle w:val="TableParagraph"/>
                          <w:spacing w:before="6"/>
                          <w:ind w:left="323"/>
                          <w:rPr>
                            <w:rFonts w:ascii="Calibri"/>
                            <w:sz w:val="15"/>
                          </w:rPr>
                        </w:pPr>
                        <w:r>
                          <w:rPr>
                            <w:rFonts w:ascii="Calibri"/>
                            <w:sz w:val="15"/>
                          </w:rPr>
                          <w:t>12,0%</w:t>
                        </w:r>
                      </w:p>
                    </w:tc>
                  </w:tr>
                </w:tbl>
                <w:p w14:paraId="4474B192" w14:textId="77777777" w:rsidR="001D4C35" w:rsidRDefault="001D4C35">
                  <w:pPr>
                    <w:pStyle w:val="BodyText"/>
                  </w:pPr>
                </w:p>
              </w:txbxContent>
            </v:textbox>
            <w10:wrap anchorx="page"/>
          </v:shape>
        </w:pict>
      </w:r>
      <w:r>
        <w:pict w14:anchorId="4474B0A6">
          <v:shape id="_x0000_s2064" type="#_x0000_t202" style="position:absolute;left:0;text-align:left;margin-left:313.1pt;margin-top:20.85pt;width:239.45pt;height:129.65pt;z-index:251740160;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618"/>
                    <w:gridCol w:w="2511"/>
                    <w:gridCol w:w="1006"/>
                  </w:tblGrid>
                  <w:tr w:rsidR="001D4C35" w14:paraId="4474B198" w14:textId="77777777">
                    <w:trPr>
                      <w:trHeight w:val="586"/>
                    </w:trPr>
                    <w:tc>
                      <w:tcPr>
                        <w:tcW w:w="638" w:type="dxa"/>
                      </w:tcPr>
                      <w:p w14:paraId="4474B193" w14:textId="77777777" w:rsidR="001D4C35" w:rsidRDefault="00D84817">
                        <w:pPr>
                          <w:pStyle w:val="TableParagraph"/>
                          <w:spacing w:before="6" w:line="261" w:lineRule="auto"/>
                          <w:ind w:left="64" w:right="42" w:firstLine="49"/>
                          <w:rPr>
                            <w:rFonts w:ascii="Calibri"/>
                            <w:sz w:val="15"/>
                          </w:rPr>
                        </w:pPr>
                        <w:r>
                          <w:rPr>
                            <w:rFonts w:ascii="Calibri"/>
                            <w:sz w:val="15"/>
                          </w:rPr>
                          <w:t>Bucket Number</w:t>
                        </w:r>
                      </w:p>
                    </w:tc>
                    <w:tc>
                      <w:tcPr>
                        <w:tcW w:w="618" w:type="dxa"/>
                      </w:tcPr>
                      <w:p w14:paraId="4474B194" w14:textId="77777777" w:rsidR="001D4C35" w:rsidRDefault="00D84817">
                        <w:pPr>
                          <w:pStyle w:val="TableParagraph"/>
                          <w:spacing w:before="6" w:line="261" w:lineRule="auto"/>
                          <w:ind w:left="94" w:right="77" w:firstLine="29"/>
                          <w:rPr>
                            <w:rFonts w:ascii="Calibri"/>
                            <w:sz w:val="15"/>
                          </w:rPr>
                        </w:pPr>
                        <w:r>
                          <w:rPr>
                            <w:rFonts w:ascii="Calibri"/>
                            <w:sz w:val="15"/>
                          </w:rPr>
                          <w:t>Credit quality</w:t>
                        </w:r>
                      </w:p>
                    </w:tc>
                    <w:tc>
                      <w:tcPr>
                        <w:tcW w:w="2511" w:type="dxa"/>
                      </w:tcPr>
                      <w:p w14:paraId="4474B195" w14:textId="77777777" w:rsidR="001D4C35" w:rsidRDefault="00D84817">
                        <w:pPr>
                          <w:pStyle w:val="TableParagraph"/>
                          <w:spacing w:before="6"/>
                          <w:ind w:left="24" w:right="13"/>
                          <w:jc w:val="center"/>
                          <w:rPr>
                            <w:rFonts w:ascii="Calibri"/>
                            <w:sz w:val="15"/>
                          </w:rPr>
                        </w:pPr>
                        <w:r>
                          <w:rPr>
                            <w:rFonts w:ascii="Calibri"/>
                            <w:sz w:val="15"/>
                          </w:rPr>
                          <w:t>Sector</w:t>
                        </w:r>
                      </w:p>
                    </w:tc>
                    <w:tc>
                      <w:tcPr>
                        <w:tcW w:w="1006" w:type="dxa"/>
                      </w:tcPr>
                      <w:p w14:paraId="4474B196" w14:textId="77777777" w:rsidR="001D4C35" w:rsidRDefault="00D84817">
                        <w:pPr>
                          <w:pStyle w:val="TableParagraph"/>
                          <w:spacing w:before="6" w:line="261" w:lineRule="auto"/>
                          <w:ind w:left="124" w:right="127" w:firstLine="5"/>
                          <w:jc w:val="center"/>
                          <w:rPr>
                            <w:rFonts w:ascii="Calibri"/>
                            <w:sz w:val="15"/>
                          </w:rPr>
                        </w:pPr>
                        <w:r>
                          <w:rPr>
                            <w:rFonts w:ascii="Calibri"/>
                            <w:sz w:val="15"/>
                          </w:rPr>
                          <w:t>Risk weight (percentage</w:t>
                        </w:r>
                      </w:p>
                      <w:p w14:paraId="4474B197" w14:textId="77777777" w:rsidR="001D4C35" w:rsidRDefault="00D84817">
                        <w:pPr>
                          <w:pStyle w:val="TableParagraph"/>
                          <w:spacing w:line="161" w:lineRule="exact"/>
                          <w:ind w:left="267" w:right="262"/>
                          <w:jc w:val="center"/>
                          <w:rPr>
                            <w:rFonts w:ascii="Calibri"/>
                            <w:sz w:val="15"/>
                          </w:rPr>
                        </w:pPr>
                        <w:r>
                          <w:rPr>
                            <w:rFonts w:ascii="Calibri"/>
                            <w:sz w:val="15"/>
                          </w:rPr>
                          <w:t>points)</w:t>
                        </w:r>
                      </w:p>
                    </w:tc>
                  </w:tr>
                  <w:tr w:rsidR="001D4C35" w14:paraId="4474B19F" w14:textId="77777777">
                    <w:trPr>
                      <w:trHeight w:val="1182"/>
                    </w:trPr>
                    <w:tc>
                      <w:tcPr>
                        <w:tcW w:w="638" w:type="dxa"/>
                      </w:tcPr>
                      <w:p w14:paraId="4474B199" w14:textId="77777777" w:rsidR="001D4C35" w:rsidRDefault="00D84817">
                        <w:pPr>
                          <w:pStyle w:val="TableParagraph"/>
                          <w:spacing w:before="6"/>
                          <w:ind w:left="0" w:right="206"/>
                          <w:jc w:val="right"/>
                          <w:rPr>
                            <w:rFonts w:ascii="Calibri"/>
                            <w:sz w:val="15"/>
                          </w:rPr>
                        </w:pPr>
                        <w:r>
                          <w:rPr>
                            <w:rFonts w:ascii="Calibri"/>
                            <w:w w:val="95"/>
                            <w:sz w:val="15"/>
                          </w:rPr>
                          <w:t>13a</w:t>
                        </w:r>
                      </w:p>
                    </w:tc>
                    <w:tc>
                      <w:tcPr>
                        <w:tcW w:w="618" w:type="dxa"/>
                      </w:tcPr>
                      <w:p w14:paraId="4474B19A" w14:textId="77777777" w:rsidR="001D4C35" w:rsidRDefault="00D84817">
                        <w:pPr>
                          <w:pStyle w:val="TableParagraph"/>
                          <w:spacing w:before="6" w:line="261" w:lineRule="auto"/>
                          <w:ind w:left="44" w:right="34" w:firstLine="79"/>
                          <w:jc w:val="both"/>
                          <w:rPr>
                            <w:rFonts w:ascii="Calibri"/>
                            <w:sz w:val="15"/>
                          </w:rPr>
                        </w:pPr>
                        <w:r>
                          <w:rPr>
                            <w:rFonts w:ascii="Calibri"/>
                            <w:sz w:val="15"/>
                          </w:rPr>
                          <w:t xml:space="preserve">Credit quality step 4 </w:t>
                        </w:r>
                        <w:r>
                          <w:rPr>
                            <w:rFonts w:ascii="Calibri"/>
                            <w:spacing w:val="-8"/>
                            <w:sz w:val="15"/>
                          </w:rPr>
                          <w:t>to</w:t>
                        </w:r>
                      </w:p>
                      <w:p w14:paraId="4474B19B" w14:textId="77777777" w:rsidR="001D4C35" w:rsidRDefault="00D84817">
                        <w:pPr>
                          <w:pStyle w:val="TableParagraph"/>
                          <w:spacing w:line="180" w:lineRule="exact"/>
                          <w:ind w:left="15"/>
                          <w:jc w:val="center"/>
                          <w:rPr>
                            <w:rFonts w:ascii="Calibri"/>
                            <w:sz w:val="15"/>
                          </w:rPr>
                        </w:pPr>
                        <w:r>
                          <w:rPr>
                            <w:rFonts w:ascii="Calibri"/>
                            <w:w w:val="99"/>
                            <w:sz w:val="15"/>
                          </w:rPr>
                          <w:t>6</w:t>
                        </w:r>
                      </w:p>
                    </w:tc>
                    <w:tc>
                      <w:tcPr>
                        <w:tcW w:w="2511" w:type="dxa"/>
                      </w:tcPr>
                      <w:p w14:paraId="4474B19C" w14:textId="77777777" w:rsidR="001D4C35" w:rsidRDefault="00D84817">
                        <w:pPr>
                          <w:pStyle w:val="TableParagraph"/>
                          <w:spacing w:before="6" w:line="261" w:lineRule="auto"/>
                          <w:ind w:left="34" w:right="29" w:firstLine="5"/>
                          <w:jc w:val="center"/>
                          <w:rPr>
                            <w:rFonts w:ascii="Calibri"/>
                            <w:sz w:val="15"/>
                          </w:rPr>
                        </w:pPr>
                        <w:r>
                          <w:rPr>
                            <w:rFonts w:ascii="Calibri"/>
                            <w:sz w:val="15"/>
                          </w:rPr>
                          <w:t xml:space="preserve">Regulated financial sector </w:t>
                        </w:r>
                        <w:r>
                          <w:rPr>
                            <w:rFonts w:ascii="Calibri"/>
                            <w:spacing w:val="2"/>
                            <w:sz w:val="15"/>
                          </w:rPr>
                          <w:t xml:space="preserve">entities </w:t>
                        </w:r>
                        <w:proofErr w:type="spellStart"/>
                        <w:r>
                          <w:rPr>
                            <w:rFonts w:ascii="Calibri"/>
                            <w:sz w:val="15"/>
                          </w:rPr>
                          <w:t>includign</w:t>
                        </w:r>
                        <w:proofErr w:type="spellEnd"/>
                        <w:r>
                          <w:rPr>
                            <w:rFonts w:ascii="Calibri"/>
                            <w:sz w:val="15"/>
                          </w:rPr>
                          <w:t xml:space="preserve"> credit institutions incorporated or established by a</w:t>
                        </w:r>
                        <w:r>
                          <w:rPr>
                            <w:rFonts w:ascii="Calibri"/>
                            <w:spacing w:val="-14"/>
                            <w:sz w:val="15"/>
                          </w:rPr>
                          <w:t xml:space="preserve"> </w:t>
                        </w:r>
                        <w:r>
                          <w:rPr>
                            <w:rFonts w:ascii="Calibri"/>
                            <w:sz w:val="15"/>
                          </w:rPr>
                          <w:t>central government, a regional government or a local authority and</w:t>
                        </w:r>
                        <w:r>
                          <w:rPr>
                            <w:rFonts w:ascii="Calibri"/>
                            <w:spacing w:val="-13"/>
                            <w:sz w:val="15"/>
                          </w:rPr>
                          <w:t xml:space="preserve"> </w:t>
                        </w:r>
                        <w:r>
                          <w:rPr>
                            <w:rFonts w:ascii="Calibri"/>
                            <w:sz w:val="15"/>
                          </w:rPr>
                          <w:t>promotional</w:t>
                        </w:r>
                      </w:p>
                      <w:p w14:paraId="4474B19D" w14:textId="77777777" w:rsidR="001D4C35" w:rsidRDefault="00D84817">
                        <w:pPr>
                          <w:pStyle w:val="TableParagraph"/>
                          <w:spacing w:line="158" w:lineRule="exact"/>
                          <w:ind w:left="24" w:right="17"/>
                          <w:jc w:val="center"/>
                          <w:rPr>
                            <w:rFonts w:ascii="Calibri"/>
                            <w:sz w:val="15"/>
                          </w:rPr>
                        </w:pPr>
                        <w:r>
                          <w:rPr>
                            <w:rFonts w:ascii="Calibri"/>
                            <w:sz w:val="15"/>
                          </w:rPr>
                          <w:t>lenders</w:t>
                        </w:r>
                      </w:p>
                    </w:tc>
                    <w:tc>
                      <w:tcPr>
                        <w:tcW w:w="1006" w:type="dxa"/>
                      </w:tcPr>
                      <w:p w14:paraId="4474B19E" w14:textId="77777777" w:rsidR="001D4C35" w:rsidRDefault="00D84817">
                        <w:pPr>
                          <w:pStyle w:val="TableParagraph"/>
                          <w:spacing w:before="6"/>
                          <w:ind w:left="353"/>
                          <w:rPr>
                            <w:rFonts w:ascii="Calibri"/>
                            <w:sz w:val="15"/>
                          </w:rPr>
                        </w:pPr>
                        <w:r>
                          <w:rPr>
                            <w:rFonts w:ascii="Calibri"/>
                            <w:sz w:val="15"/>
                          </w:rPr>
                          <w:t>8,5%</w:t>
                        </w:r>
                      </w:p>
                    </w:tc>
                  </w:tr>
                  <w:tr w:rsidR="001D4C35" w14:paraId="4474B1A5" w14:textId="77777777">
                    <w:trPr>
                      <w:trHeight w:val="784"/>
                    </w:trPr>
                    <w:tc>
                      <w:tcPr>
                        <w:tcW w:w="638" w:type="dxa"/>
                      </w:tcPr>
                      <w:p w14:paraId="4474B1A0" w14:textId="77777777" w:rsidR="001D4C35" w:rsidRDefault="00D84817">
                        <w:pPr>
                          <w:pStyle w:val="TableParagraph"/>
                          <w:spacing w:before="6"/>
                          <w:ind w:left="0" w:right="209"/>
                          <w:jc w:val="right"/>
                          <w:rPr>
                            <w:rFonts w:ascii="Calibri"/>
                            <w:sz w:val="15"/>
                          </w:rPr>
                        </w:pPr>
                        <w:r>
                          <w:rPr>
                            <w:rFonts w:ascii="Calibri"/>
                            <w:w w:val="95"/>
                            <w:sz w:val="15"/>
                          </w:rPr>
                          <w:t>13b</w:t>
                        </w:r>
                      </w:p>
                    </w:tc>
                    <w:tc>
                      <w:tcPr>
                        <w:tcW w:w="618" w:type="dxa"/>
                      </w:tcPr>
                      <w:p w14:paraId="4474B1A1" w14:textId="77777777" w:rsidR="001D4C35" w:rsidRDefault="00D84817">
                        <w:pPr>
                          <w:pStyle w:val="TableParagraph"/>
                          <w:spacing w:before="6" w:line="261" w:lineRule="auto"/>
                          <w:ind w:left="44" w:right="34" w:firstLine="79"/>
                          <w:jc w:val="both"/>
                          <w:rPr>
                            <w:rFonts w:ascii="Calibri"/>
                            <w:sz w:val="15"/>
                          </w:rPr>
                        </w:pPr>
                        <w:r>
                          <w:rPr>
                            <w:rFonts w:ascii="Calibri"/>
                            <w:sz w:val="15"/>
                          </w:rPr>
                          <w:t xml:space="preserve">Credit quality step 4 </w:t>
                        </w:r>
                        <w:r>
                          <w:rPr>
                            <w:rFonts w:ascii="Calibri"/>
                            <w:spacing w:val="-8"/>
                            <w:sz w:val="15"/>
                          </w:rPr>
                          <w:t>to</w:t>
                        </w:r>
                      </w:p>
                      <w:p w14:paraId="4474B1A2" w14:textId="77777777" w:rsidR="001D4C35" w:rsidRDefault="00D84817">
                        <w:pPr>
                          <w:pStyle w:val="TableParagraph"/>
                          <w:spacing w:line="160" w:lineRule="exact"/>
                          <w:ind w:left="15"/>
                          <w:jc w:val="center"/>
                          <w:rPr>
                            <w:rFonts w:ascii="Calibri"/>
                            <w:sz w:val="15"/>
                          </w:rPr>
                        </w:pPr>
                        <w:r>
                          <w:rPr>
                            <w:rFonts w:ascii="Calibri"/>
                            <w:w w:val="99"/>
                            <w:sz w:val="15"/>
                          </w:rPr>
                          <w:t>6</w:t>
                        </w:r>
                      </w:p>
                    </w:tc>
                    <w:tc>
                      <w:tcPr>
                        <w:tcW w:w="2511" w:type="dxa"/>
                      </w:tcPr>
                      <w:p w14:paraId="4474B1A3" w14:textId="77777777" w:rsidR="001D4C35" w:rsidRDefault="00D84817">
                        <w:pPr>
                          <w:pStyle w:val="TableParagraph"/>
                          <w:spacing w:before="6"/>
                          <w:ind w:left="24" w:right="17"/>
                          <w:jc w:val="center"/>
                          <w:rPr>
                            <w:rFonts w:ascii="Calibri"/>
                            <w:sz w:val="15"/>
                          </w:rPr>
                        </w:pPr>
                        <w:r>
                          <w:rPr>
                            <w:rFonts w:ascii="Calibri"/>
                            <w:sz w:val="15"/>
                          </w:rPr>
                          <w:t>Unregulated financial sector entities</w:t>
                        </w:r>
                      </w:p>
                    </w:tc>
                    <w:tc>
                      <w:tcPr>
                        <w:tcW w:w="1006" w:type="dxa"/>
                      </w:tcPr>
                      <w:p w14:paraId="4474B1A4" w14:textId="77777777" w:rsidR="001D4C35" w:rsidRDefault="00D84817">
                        <w:pPr>
                          <w:pStyle w:val="TableParagraph"/>
                          <w:spacing w:before="6"/>
                          <w:ind w:left="323"/>
                          <w:rPr>
                            <w:rFonts w:ascii="Calibri"/>
                            <w:sz w:val="15"/>
                          </w:rPr>
                        </w:pPr>
                        <w:r>
                          <w:rPr>
                            <w:rFonts w:ascii="Calibri"/>
                            <w:sz w:val="15"/>
                          </w:rPr>
                          <w:t>12,0%</w:t>
                        </w:r>
                      </w:p>
                    </w:tc>
                  </w:tr>
                </w:tbl>
                <w:p w14:paraId="4474B1A6" w14:textId="77777777" w:rsidR="001D4C35" w:rsidRDefault="001D4C35">
                  <w:pPr>
                    <w:pStyle w:val="BodyText"/>
                  </w:pPr>
                </w:p>
              </w:txbxContent>
            </v:textbox>
            <w10:wrap anchorx="page"/>
          </v:shape>
        </w:pict>
      </w:r>
      <w:r w:rsidR="00D84817">
        <w:rPr>
          <w:i/>
        </w:rPr>
        <w:t>Non-investment grade</w:t>
      </w:r>
    </w:p>
    <w:p w14:paraId="4474AECC" w14:textId="77777777" w:rsidR="001D4C35" w:rsidRDefault="001D4C35">
      <w:pPr>
        <w:pStyle w:val="BodyText"/>
        <w:rPr>
          <w:i/>
          <w:sz w:val="26"/>
        </w:rPr>
      </w:pPr>
    </w:p>
    <w:p w14:paraId="4474AECD" w14:textId="77777777" w:rsidR="001D4C35" w:rsidRDefault="001D4C35">
      <w:pPr>
        <w:pStyle w:val="BodyText"/>
        <w:rPr>
          <w:i/>
          <w:sz w:val="26"/>
        </w:rPr>
      </w:pPr>
    </w:p>
    <w:p w14:paraId="4474AECE" w14:textId="77777777" w:rsidR="001D4C35" w:rsidRDefault="001D4C35">
      <w:pPr>
        <w:pStyle w:val="BodyText"/>
        <w:rPr>
          <w:i/>
          <w:sz w:val="26"/>
        </w:rPr>
      </w:pPr>
    </w:p>
    <w:p w14:paraId="4474AECF" w14:textId="77777777" w:rsidR="001D4C35" w:rsidRDefault="001D4C35">
      <w:pPr>
        <w:pStyle w:val="BodyText"/>
        <w:spacing w:before="3"/>
        <w:rPr>
          <w:i/>
          <w:sz w:val="36"/>
        </w:rPr>
      </w:pPr>
    </w:p>
    <w:p w14:paraId="4474AED0" w14:textId="77777777" w:rsidR="001D4C35" w:rsidRDefault="00D84817">
      <w:pPr>
        <w:ind w:left="49"/>
        <w:jc w:val="center"/>
        <w:rPr>
          <w:rFonts w:ascii="Calibri" w:hAnsi="Calibri"/>
          <w:sz w:val="19"/>
        </w:rPr>
      </w:pPr>
      <w:r>
        <w:rPr>
          <w:rFonts w:ascii="Calibri" w:hAnsi="Calibri"/>
          <w:w w:val="99"/>
          <w:sz w:val="19"/>
        </w:rPr>
        <w:t>→</w:t>
      </w:r>
    </w:p>
    <w:p w14:paraId="4474AED1" w14:textId="77777777" w:rsidR="001D4C35" w:rsidRDefault="001D4C35">
      <w:pPr>
        <w:pStyle w:val="BodyText"/>
        <w:rPr>
          <w:rFonts w:ascii="Calibri"/>
          <w:sz w:val="20"/>
        </w:rPr>
      </w:pPr>
    </w:p>
    <w:p w14:paraId="4474AED2" w14:textId="77777777" w:rsidR="001D4C35" w:rsidRDefault="001D4C35">
      <w:pPr>
        <w:pStyle w:val="BodyText"/>
        <w:rPr>
          <w:rFonts w:ascii="Calibri"/>
          <w:sz w:val="20"/>
        </w:rPr>
      </w:pPr>
    </w:p>
    <w:p w14:paraId="4474AED3" w14:textId="77777777" w:rsidR="001D4C35" w:rsidRDefault="001D4C35">
      <w:pPr>
        <w:pStyle w:val="BodyText"/>
        <w:rPr>
          <w:rFonts w:ascii="Calibri"/>
          <w:sz w:val="20"/>
        </w:rPr>
      </w:pPr>
    </w:p>
    <w:p w14:paraId="4474AED4" w14:textId="77777777" w:rsidR="001D4C35" w:rsidRDefault="001D4C35">
      <w:pPr>
        <w:pStyle w:val="BodyText"/>
        <w:rPr>
          <w:rFonts w:ascii="Calibri"/>
          <w:sz w:val="20"/>
        </w:rPr>
      </w:pPr>
    </w:p>
    <w:p w14:paraId="4474AED5" w14:textId="77777777" w:rsidR="001D4C35" w:rsidRDefault="001D4C35">
      <w:pPr>
        <w:pStyle w:val="BodyText"/>
        <w:spacing w:before="10"/>
        <w:rPr>
          <w:rFonts w:ascii="Calibri"/>
        </w:rPr>
      </w:pPr>
    </w:p>
    <w:p w14:paraId="4474AED6" w14:textId="77777777" w:rsidR="001D4C35" w:rsidRDefault="00D84817">
      <w:pPr>
        <w:pStyle w:val="BodyText"/>
        <w:spacing w:before="100" w:line="276" w:lineRule="auto"/>
        <w:ind w:left="171" w:right="115" w:hanging="1"/>
        <w:jc w:val="both"/>
      </w:pPr>
      <w:r>
        <w:t>This would significantly enhance risk sensitivity in the CVA framework by improving the mapping of exposures to industry sectors based on the underlying risk.</w:t>
      </w:r>
    </w:p>
    <w:p w14:paraId="4474AED7" w14:textId="77777777" w:rsidR="001D4C35" w:rsidRDefault="00D84817">
      <w:pPr>
        <w:spacing w:before="123"/>
        <w:ind w:left="172"/>
        <w:jc w:val="both"/>
        <w:rPr>
          <w:i/>
        </w:rPr>
      </w:pPr>
      <w:r>
        <w:rPr>
          <w:i/>
        </w:rPr>
        <w:t>Industry sector mapping of CVA exposure</w:t>
      </w:r>
    </w:p>
    <w:p w14:paraId="4474AED8" w14:textId="77777777" w:rsidR="001D4C35" w:rsidRDefault="00D84817">
      <w:pPr>
        <w:pStyle w:val="BodyText"/>
        <w:spacing w:before="158" w:line="276" w:lineRule="auto"/>
        <w:ind w:left="171" w:right="105"/>
        <w:jc w:val="both"/>
      </w:pPr>
      <w:r>
        <w:t>In</w:t>
      </w:r>
      <w:r>
        <w:rPr>
          <w:spacing w:val="-2"/>
        </w:rPr>
        <w:t xml:space="preserve"> </w:t>
      </w:r>
      <w:r>
        <w:t>addition</w:t>
      </w:r>
      <w:r>
        <w:rPr>
          <w:spacing w:val="-6"/>
        </w:rPr>
        <w:t xml:space="preserve"> </w:t>
      </w:r>
      <w:r>
        <w:t>to</w:t>
      </w:r>
      <w:r>
        <w:rPr>
          <w:spacing w:val="-3"/>
        </w:rPr>
        <w:t xml:space="preserve"> </w:t>
      </w:r>
      <w:r>
        <w:t>more</w:t>
      </w:r>
      <w:r>
        <w:rPr>
          <w:spacing w:val="-6"/>
        </w:rPr>
        <w:t xml:space="preserve"> </w:t>
      </w:r>
      <w:r>
        <w:t>granular</w:t>
      </w:r>
      <w:r>
        <w:rPr>
          <w:spacing w:val="-6"/>
        </w:rPr>
        <w:t xml:space="preserve"> </w:t>
      </w:r>
      <w:r>
        <w:t>risk</w:t>
      </w:r>
      <w:r>
        <w:rPr>
          <w:spacing w:val="-5"/>
        </w:rPr>
        <w:t xml:space="preserve"> </w:t>
      </w:r>
      <w:r>
        <w:t>weights,</w:t>
      </w:r>
      <w:r>
        <w:rPr>
          <w:spacing w:val="-8"/>
        </w:rPr>
        <w:t xml:space="preserve"> </w:t>
      </w:r>
      <w:r>
        <w:t>we</w:t>
      </w:r>
      <w:r>
        <w:rPr>
          <w:spacing w:val="-1"/>
        </w:rPr>
        <w:t xml:space="preserve"> </w:t>
      </w:r>
      <w:r>
        <w:t>recommend</w:t>
      </w:r>
      <w:r>
        <w:rPr>
          <w:spacing w:val="-5"/>
        </w:rPr>
        <w:t xml:space="preserve"> </w:t>
      </w:r>
      <w:r>
        <w:t>that</w:t>
      </w:r>
      <w:r>
        <w:rPr>
          <w:spacing w:val="-4"/>
        </w:rPr>
        <w:t xml:space="preserve"> </w:t>
      </w:r>
      <w:r>
        <w:t>the</w:t>
      </w:r>
      <w:r>
        <w:rPr>
          <w:spacing w:val="-2"/>
        </w:rPr>
        <w:t xml:space="preserve"> </w:t>
      </w:r>
      <w:r>
        <w:t>EU</w:t>
      </w:r>
      <w:r>
        <w:rPr>
          <w:spacing w:val="-2"/>
        </w:rPr>
        <w:t xml:space="preserve"> </w:t>
      </w:r>
      <w:r>
        <w:t>allow</w:t>
      </w:r>
      <w:r>
        <w:rPr>
          <w:spacing w:val="-1"/>
        </w:rPr>
        <w:t xml:space="preserve"> </w:t>
      </w:r>
      <w:r>
        <w:t>for</w:t>
      </w:r>
      <w:r>
        <w:rPr>
          <w:spacing w:val="-5"/>
        </w:rPr>
        <w:t xml:space="preserve"> </w:t>
      </w:r>
      <w:r>
        <w:t>more</w:t>
      </w:r>
      <w:r>
        <w:rPr>
          <w:spacing w:val="-6"/>
        </w:rPr>
        <w:t xml:space="preserve"> </w:t>
      </w:r>
      <w:r>
        <w:t>flexible</w:t>
      </w:r>
      <w:r>
        <w:rPr>
          <w:spacing w:val="-1"/>
        </w:rPr>
        <w:t xml:space="preserve"> </w:t>
      </w:r>
      <w:r>
        <w:t>mapping</w:t>
      </w:r>
      <w:r>
        <w:rPr>
          <w:spacing w:val="-4"/>
        </w:rPr>
        <w:t xml:space="preserve"> </w:t>
      </w:r>
      <w:r>
        <w:t>of</w:t>
      </w:r>
      <w:r>
        <w:rPr>
          <w:spacing w:val="-6"/>
        </w:rPr>
        <w:t xml:space="preserve"> </w:t>
      </w:r>
      <w:r>
        <w:t>CVA exposures</w:t>
      </w:r>
      <w:r>
        <w:rPr>
          <w:spacing w:val="-2"/>
        </w:rPr>
        <w:t xml:space="preserve"> </w:t>
      </w:r>
      <w:r>
        <w:t>to</w:t>
      </w:r>
      <w:r>
        <w:rPr>
          <w:spacing w:val="-7"/>
        </w:rPr>
        <w:t xml:space="preserve"> </w:t>
      </w:r>
      <w:r>
        <w:t>sector</w:t>
      </w:r>
      <w:r>
        <w:rPr>
          <w:spacing w:val="-5"/>
        </w:rPr>
        <w:t xml:space="preserve"> </w:t>
      </w:r>
      <w:r>
        <w:t>buckets.</w:t>
      </w:r>
      <w:r>
        <w:rPr>
          <w:spacing w:val="-3"/>
        </w:rPr>
        <w:t xml:space="preserve"> </w:t>
      </w:r>
      <w:r>
        <w:t>In</w:t>
      </w:r>
      <w:r>
        <w:rPr>
          <w:spacing w:val="-1"/>
        </w:rPr>
        <w:t xml:space="preserve"> </w:t>
      </w:r>
      <w:r>
        <w:t>the</w:t>
      </w:r>
      <w:r>
        <w:rPr>
          <w:spacing w:val="-5"/>
        </w:rPr>
        <w:t xml:space="preserve"> </w:t>
      </w:r>
      <w:r>
        <w:t>rules,</w:t>
      </w:r>
      <w:r>
        <w:rPr>
          <w:spacing w:val="-8"/>
        </w:rPr>
        <w:t xml:space="preserve"> </w:t>
      </w:r>
      <w:r>
        <w:t>there</w:t>
      </w:r>
      <w:r>
        <w:rPr>
          <w:spacing w:val="-1"/>
        </w:rPr>
        <w:t xml:space="preserve"> </w:t>
      </w:r>
      <w:r>
        <w:t>is</w:t>
      </w:r>
      <w:r>
        <w:rPr>
          <w:spacing w:val="-4"/>
        </w:rPr>
        <w:t xml:space="preserve"> </w:t>
      </w:r>
      <w:r>
        <w:t>already</w:t>
      </w:r>
      <w:r>
        <w:rPr>
          <w:spacing w:val="-5"/>
        </w:rPr>
        <w:t xml:space="preserve"> </w:t>
      </w:r>
      <w:r>
        <w:t>an</w:t>
      </w:r>
      <w:r>
        <w:rPr>
          <w:spacing w:val="-1"/>
        </w:rPr>
        <w:t xml:space="preserve"> </w:t>
      </w:r>
      <w:r>
        <w:t>allowance</w:t>
      </w:r>
      <w:r>
        <w:rPr>
          <w:spacing w:val="-5"/>
        </w:rPr>
        <w:t xml:space="preserve"> </w:t>
      </w:r>
      <w:r>
        <w:t>for</w:t>
      </w:r>
      <w:r>
        <w:rPr>
          <w:spacing w:val="-5"/>
        </w:rPr>
        <w:t xml:space="preserve"> </w:t>
      </w:r>
      <w:r>
        <w:t>firms</w:t>
      </w:r>
      <w:r>
        <w:rPr>
          <w:spacing w:val="-5"/>
        </w:rPr>
        <w:t xml:space="preserve"> </w:t>
      </w:r>
      <w:r>
        <w:t>to</w:t>
      </w:r>
      <w:r>
        <w:rPr>
          <w:spacing w:val="-3"/>
        </w:rPr>
        <w:t xml:space="preserve"> </w:t>
      </w:r>
      <w:r>
        <w:t>use</w:t>
      </w:r>
      <w:r>
        <w:rPr>
          <w:spacing w:val="-9"/>
        </w:rPr>
        <w:t xml:space="preserve"> </w:t>
      </w:r>
      <w:r>
        <w:t>appropriate</w:t>
      </w:r>
      <w:r>
        <w:rPr>
          <w:spacing w:val="-5"/>
        </w:rPr>
        <w:t xml:space="preserve"> </w:t>
      </w:r>
      <w:r>
        <w:t>proxies to determine the SA-CVA risk factor sensitivities. We recommend that the same criteria, which is set out in CRR Article 383a point (ii) of subparagraph 2, for mapping illiquid risk exposure to liquid credit spreads, can also be used to assign CVA risk exposure to a sector. This would allow for a closer alignment of the CVA capital framework and the risk management and accounting CVA framework, where the risk to financial sector entities can be marked to the credit spreads of other sectors. Examples cited in the rules include municipalities, project finance and funds. We believe this flexibility for mapping risk exposures to sector buckets could be applied more broadly if there is a credible economic justification that is demonstrated to a firm’s</w:t>
      </w:r>
      <w:r>
        <w:rPr>
          <w:spacing w:val="-11"/>
        </w:rPr>
        <w:t xml:space="preserve"> </w:t>
      </w:r>
      <w:r>
        <w:t>supervisor.</w:t>
      </w:r>
      <w:r>
        <w:rPr>
          <w:spacing w:val="-14"/>
        </w:rPr>
        <w:t xml:space="preserve"> </w:t>
      </w:r>
      <w:r>
        <w:t>For</w:t>
      </w:r>
      <w:r>
        <w:rPr>
          <w:spacing w:val="-12"/>
        </w:rPr>
        <w:t xml:space="preserve"> </w:t>
      </w:r>
      <w:r>
        <w:t>example,</w:t>
      </w:r>
      <w:r>
        <w:rPr>
          <w:spacing w:val="-13"/>
        </w:rPr>
        <w:t xml:space="preserve"> </w:t>
      </w:r>
      <w:r>
        <w:t>government-backed</w:t>
      </w:r>
      <w:r>
        <w:rPr>
          <w:spacing w:val="-11"/>
        </w:rPr>
        <w:t xml:space="preserve"> </w:t>
      </w:r>
      <w:r>
        <w:t>entities,</w:t>
      </w:r>
      <w:r>
        <w:rPr>
          <w:spacing w:val="-13"/>
        </w:rPr>
        <w:t xml:space="preserve"> </w:t>
      </w:r>
      <w:r>
        <w:t>(e.g.</w:t>
      </w:r>
      <w:r>
        <w:rPr>
          <w:spacing w:val="-14"/>
        </w:rPr>
        <w:t xml:space="preserve"> </w:t>
      </w:r>
      <w:r>
        <w:t>government-backed</w:t>
      </w:r>
      <w:r>
        <w:rPr>
          <w:spacing w:val="-14"/>
        </w:rPr>
        <w:t xml:space="preserve"> </w:t>
      </w:r>
      <w:r>
        <w:t>financials;</w:t>
      </w:r>
      <w:r>
        <w:rPr>
          <w:spacing w:val="-15"/>
        </w:rPr>
        <w:t xml:space="preserve"> </w:t>
      </w:r>
      <w:r>
        <w:t>state-backed pension funds) should be allocated to the sovereign bucket where they are backed by the sovereign or local authority.</w:t>
      </w:r>
    </w:p>
    <w:p w14:paraId="4474AED9" w14:textId="77777777" w:rsidR="001D4C35" w:rsidRDefault="001D4C35">
      <w:pPr>
        <w:pStyle w:val="BodyText"/>
        <w:spacing w:before="5"/>
        <w:rPr>
          <w:sz w:val="20"/>
        </w:rPr>
      </w:pPr>
    </w:p>
    <w:p w14:paraId="4474AEDA" w14:textId="77777777" w:rsidR="001D4C35" w:rsidRDefault="00D84817">
      <w:pPr>
        <w:pStyle w:val="Heading3"/>
        <w:numPr>
          <w:ilvl w:val="0"/>
          <w:numId w:val="8"/>
        </w:numPr>
        <w:tabs>
          <w:tab w:val="left" w:pos="528"/>
        </w:tabs>
        <w:ind w:left="527" w:hanging="357"/>
        <w:jc w:val="both"/>
      </w:pPr>
      <w:r>
        <w:t>Improve the recognitions of CVA Index</w:t>
      </w:r>
      <w:r>
        <w:rPr>
          <w:spacing w:val="-1"/>
        </w:rPr>
        <w:t xml:space="preserve"> </w:t>
      </w:r>
      <w:r>
        <w:t>hedges</w:t>
      </w:r>
    </w:p>
    <w:p w14:paraId="4474AEDB" w14:textId="77777777" w:rsidR="001D4C35" w:rsidRDefault="00D84817">
      <w:pPr>
        <w:pStyle w:val="BodyText"/>
        <w:spacing w:before="118" w:line="276" w:lineRule="auto"/>
        <w:ind w:left="171" w:right="104"/>
        <w:jc w:val="both"/>
      </w:pPr>
      <w:r>
        <w:t xml:space="preserve">Credit-default-swaps (CDSs) are a type of insurance taken against the loss arising from the default of a counterparty. Banks can also use standard baskets </w:t>
      </w:r>
      <w:r>
        <w:rPr>
          <w:spacing w:val="-3"/>
        </w:rPr>
        <w:t xml:space="preserve">of </w:t>
      </w:r>
      <w:r>
        <w:t>CDSs, called CDS indices (analogous to equity indices), which</w:t>
      </w:r>
      <w:r>
        <w:rPr>
          <w:spacing w:val="-5"/>
        </w:rPr>
        <w:t xml:space="preserve"> </w:t>
      </w:r>
      <w:r>
        <w:t>are</w:t>
      </w:r>
      <w:r>
        <w:rPr>
          <w:spacing w:val="-2"/>
        </w:rPr>
        <w:t xml:space="preserve"> </w:t>
      </w:r>
      <w:r>
        <w:t>more</w:t>
      </w:r>
      <w:r>
        <w:rPr>
          <w:spacing w:val="-2"/>
        </w:rPr>
        <w:t xml:space="preserve"> </w:t>
      </w:r>
      <w:r>
        <w:t>liquid</w:t>
      </w:r>
      <w:r>
        <w:rPr>
          <w:spacing w:val="-2"/>
        </w:rPr>
        <w:t xml:space="preserve"> </w:t>
      </w:r>
      <w:r>
        <w:t>than</w:t>
      </w:r>
      <w:r>
        <w:rPr>
          <w:spacing w:val="-6"/>
        </w:rPr>
        <w:t xml:space="preserve"> </w:t>
      </w:r>
      <w:r>
        <w:t>the</w:t>
      </w:r>
      <w:r>
        <w:rPr>
          <w:spacing w:val="-2"/>
        </w:rPr>
        <w:t xml:space="preserve"> </w:t>
      </w:r>
      <w:r>
        <w:t>over-the-counter</w:t>
      </w:r>
      <w:r>
        <w:rPr>
          <w:spacing w:val="-2"/>
        </w:rPr>
        <w:t xml:space="preserve"> </w:t>
      </w:r>
      <w:r>
        <w:t>CDSs</w:t>
      </w:r>
      <w:r>
        <w:rPr>
          <w:spacing w:val="-2"/>
        </w:rPr>
        <w:t xml:space="preserve"> </w:t>
      </w:r>
      <w:r>
        <w:t>and</w:t>
      </w:r>
      <w:r>
        <w:rPr>
          <w:spacing w:val="-2"/>
        </w:rPr>
        <w:t xml:space="preserve"> </w:t>
      </w:r>
      <w:r>
        <w:t>provide</w:t>
      </w:r>
      <w:r>
        <w:rPr>
          <w:spacing w:val="-2"/>
        </w:rPr>
        <w:t xml:space="preserve"> </w:t>
      </w:r>
      <w:r>
        <w:t>a</w:t>
      </w:r>
      <w:r>
        <w:rPr>
          <w:spacing w:val="-6"/>
        </w:rPr>
        <w:t xml:space="preserve"> </w:t>
      </w:r>
      <w:r>
        <w:t>useful</w:t>
      </w:r>
      <w:r>
        <w:rPr>
          <w:spacing w:val="-3"/>
        </w:rPr>
        <w:t xml:space="preserve"> </w:t>
      </w:r>
      <w:r>
        <w:t>tool</w:t>
      </w:r>
      <w:r>
        <w:rPr>
          <w:spacing w:val="-7"/>
        </w:rPr>
        <w:t xml:space="preserve"> </w:t>
      </w:r>
      <w:r>
        <w:t>to</w:t>
      </w:r>
      <w:r>
        <w:rPr>
          <w:spacing w:val="-4"/>
        </w:rPr>
        <w:t xml:space="preserve"> </w:t>
      </w:r>
      <w:r>
        <w:t>hedge</w:t>
      </w:r>
      <w:r>
        <w:rPr>
          <w:spacing w:val="-3"/>
        </w:rPr>
        <w:t xml:space="preserve"> </w:t>
      </w:r>
      <w:r>
        <w:t>systemic</w:t>
      </w:r>
      <w:r>
        <w:rPr>
          <w:spacing w:val="-4"/>
        </w:rPr>
        <w:t xml:space="preserve"> </w:t>
      </w:r>
      <w:r>
        <w:t>credit</w:t>
      </w:r>
      <w:r>
        <w:rPr>
          <w:spacing w:val="-5"/>
        </w:rPr>
        <w:t xml:space="preserve"> </w:t>
      </w:r>
      <w:r>
        <w:t>risk. These are especially useful for many small and mid-cap companies, as they do not have any direct “hedges” that would allow mitigation of counterparty credit risk– meaning that hedging has to occur at a more macro- level for the entire portfolio, using these indices as</w:t>
      </w:r>
      <w:r>
        <w:rPr>
          <w:spacing w:val="-7"/>
        </w:rPr>
        <w:t xml:space="preserve"> </w:t>
      </w:r>
      <w:r>
        <w:t>reference.</w:t>
      </w:r>
    </w:p>
    <w:p w14:paraId="4474AEDC" w14:textId="77777777" w:rsidR="001D4C35" w:rsidRDefault="00D84817">
      <w:pPr>
        <w:pStyle w:val="BodyText"/>
        <w:spacing w:before="120" w:line="276" w:lineRule="auto"/>
        <w:ind w:left="171" w:right="106"/>
        <w:jc w:val="both"/>
      </w:pPr>
      <w:r>
        <w:t>The July 2020 Basel revisions have introduced new ‘index buckets’ for these indices, namely for: (</w:t>
      </w:r>
      <w:proofErr w:type="spellStart"/>
      <w:r>
        <w:t>i</w:t>
      </w:r>
      <w:proofErr w:type="spellEnd"/>
      <w:r>
        <w:t>) counterparty credit spread risk class; (ii) reference credit spread risk class; and (iii) equity risk class of the SA-CVA, in alignment with the Basel market risk framework (the Fundamental Review of the Trading Book).</w:t>
      </w:r>
    </w:p>
    <w:p w14:paraId="4474AEDD" w14:textId="77777777" w:rsidR="001D4C35" w:rsidRDefault="001D4C35">
      <w:pPr>
        <w:spacing w:line="276" w:lineRule="auto"/>
        <w:jc w:val="both"/>
        <w:sectPr w:rsidR="001D4C35">
          <w:pgSz w:w="11910" w:h="16840"/>
          <w:pgMar w:top="840" w:right="740" w:bottom="1240" w:left="680" w:header="0" w:footer="1012" w:gutter="0"/>
          <w:cols w:space="720"/>
        </w:sectPr>
      </w:pPr>
    </w:p>
    <w:p w14:paraId="4474AEDE" w14:textId="77777777" w:rsidR="001D4C35" w:rsidRDefault="00D84817">
      <w:pPr>
        <w:pStyle w:val="BodyText"/>
        <w:spacing w:before="75" w:line="276" w:lineRule="auto"/>
        <w:ind w:left="171" w:right="105"/>
        <w:jc w:val="both"/>
      </w:pPr>
      <w:bookmarkStart w:id="17" w:name="_bookmark54"/>
      <w:bookmarkEnd w:id="17"/>
      <w:r>
        <w:lastRenderedPageBreak/>
        <w:t>The introduction of the counterparty credit spread index bucket is positive. The scope of eligible hedging instruments is limited to qualifying indices. However, the implied correlation between the CVA portfolio and the index bucket does not provide sufficient recognition to index hedges and does not reflect the observed historical correlation between the typical CVA portfolio and CDS index hedges.</w:t>
      </w:r>
    </w:p>
    <w:p w14:paraId="4474AEDF" w14:textId="77777777" w:rsidR="001D4C35" w:rsidRDefault="00D84817">
      <w:pPr>
        <w:pStyle w:val="BodyText"/>
        <w:spacing w:before="117" w:line="276" w:lineRule="auto"/>
        <w:ind w:left="171" w:right="107"/>
        <w:jc w:val="both"/>
      </w:pPr>
      <w:r>
        <w:t>This outcome does not incentivize prudent hedging practices and may lead to inadequate protection against the real economic CVA risk. Treating the entire CVA portfolio as an index and aligning its correlation with the index bucket to a level matching the calibration of SA-TB</w:t>
      </w:r>
      <w:hyperlink w:anchor="_bookmark52" w:history="1">
        <w:r>
          <w:rPr>
            <w:rFonts w:ascii="Calibri"/>
            <w:position w:val="8"/>
            <w:sz w:val="16"/>
          </w:rPr>
          <w:t xml:space="preserve">6 </w:t>
        </w:r>
      </w:hyperlink>
      <w:r>
        <w:t>is one approach to improve the hedge recognition.</w:t>
      </w:r>
    </w:p>
    <w:p w14:paraId="4474AEE0" w14:textId="77777777" w:rsidR="001D4C35" w:rsidRDefault="001D4C35">
      <w:pPr>
        <w:pStyle w:val="BodyText"/>
        <w:spacing w:before="1"/>
      </w:pPr>
    </w:p>
    <w:p w14:paraId="4474AEE1" w14:textId="77777777" w:rsidR="001D4C35" w:rsidRDefault="00D84817">
      <w:pPr>
        <w:pStyle w:val="Heading3"/>
        <w:numPr>
          <w:ilvl w:val="0"/>
          <w:numId w:val="8"/>
        </w:numPr>
        <w:tabs>
          <w:tab w:val="left" w:pos="529"/>
        </w:tabs>
        <w:ind w:left="528" w:hanging="358"/>
        <w:jc w:val="both"/>
      </w:pPr>
      <w:r>
        <w:t>Misalignment between regulatory and accounting</w:t>
      </w:r>
      <w:r>
        <w:rPr>
          <w:spacing w:val="-1"/>
        </w:rPr>
        <w:t xml:space="preserve"> </w:t>
      </w:r>
      <w:r>
        <w:t>CVA</w:t>
      </w:r>
    </w:p>
    <w:p w14:paraId="4474AEE2" w14:textId="77777777" w:rsidR="001D4C35" w:rsidRDefault="00D84817">
      <w:pPr>
        <w:pStyle w:val="BodyText"/>
        <w:spacing w:before="118" w:line="276" w:lineRule="auto"/>
        <w:ind w:left="171" w:right="107"/>
        <w:jc w:val="both"/>
      </w:pPr>
      <w:r>
        <w:t>There are significant mismatches between the regulatory CVA per Basel standard, and the way those charges are treated from an accounting perspective, through IFRS rules. In order to ensure that CVA charge is not overstated, the CVA framework should be more closely aligned with market practices, specifically by introducing changes to the length of the Margin Period of Risk (</w:t>
      </w:r>
      <w:proofErr w:type="spellStart"/>
      <w:r>
        <w:t>MPoR</w:t>
      </w:r>
      <w:proofErr w:type="spellEnd"/>
      <w:r w:rsidR="00D27AA2">
        <w:fldChar w:fldCharType="begin"/>
      </w:r>
      <w:r w:rsidR="00D27AA2">
        <w:instrText xml:space="preserve"> HYPERLINK \l "_bookmark53" </w:instrText>
      </w:r>
      <w:r w:rsidR="00D27AA2">
        <w:fldChar w:fldCharType="separate"/>
      </w:r>
      <w:r>
        <w:rPr>
          <w:position w:val="5"/>
          <w:sz w:val="14"/>
        </w:rPr>
        <w:t>7</w:t>
      </w:r>
      <w:r w:rsidR="00D27AA2">
        <w:rPr>
          <w:position w:val="5"/>
          <w:sz w:val="14"/>
        </w:rPr>
        <w:fldChar w:fldCharType="end"/>
      </w:r>
      <w:r>
        <w:t>) – which accounts for lags in timing within which the nominal and market value of the contract can widen.</w:t>
      </w:r>
    </w:p>
    <w:p w14:paraId="4474AEE3" w14:textId="77777777" w:rsidR="001D4C35" w:rsidRDefault="00D84817">
      <w:pPr>
        <w:pStyle w:val="BodyText"/>
        <w:spacing w:before="121" w:line="276" w:lineRule="auto"/>
        <w:ind w:left="172" w:right="107"/>
        <w:jc w:val="both"/>
      </w:pPr>
      <w:r>
        <w:t xml:space="preserve">The current </w:t>
      </w:r>
      <w:proofErr w:type="spellStart"/>
      <w:r>
        <w:t>MpoR</w:t>
      </w:r>
      <w:proofErr w:type="spellEnd"/>
      <w:r>
        <w:t xml:space="preserve"> floor is based on outdated information about risk management and accounting practices. The market structure has changed substantially over the last ten years due to greater monitoring and active reduction of interbank risk exposure following the large financial institution defaults that took place during the global financial crisis.</w:t>
      </w:r>
    </w:p>
    <w:p w14:paraId="4474AEE4" w14:textId="77777777" w:rsidR="001D4C35" w:rsidRDefault="00D84817">
      <w:pPr>
        <w:pStyle w:val="BodyText"/>
        <w:spacing w:before="122" w:line="276" w:lineRule="auto"/>
        <w:ind w:left="172" w:right="107"/>
        <w:jc w:val="both"/>
      </w:pPr>
      <w:r>
        <w:t xml:space="preserve">The current proposals mean that the </w:t>
      </w:r>
      <w:proofErr w:type="spellStart"/>
      <w:r>
        <w:t>MPoR</w:t>
      </w:r>
      <w:proofErr w:type="spellEnd"/>
      <w:r>
        <w:t xml:space="preserve"> is set equal to a minimum of 9+N business days irrespective of master agreement documentation, jurisdiction legal differences, or type of counterparty. This approach does not reflect the legal terms negotiated between parties that dictate and reduce the </w:t>
      </w:r>
      <w:proofErr w:type="spellStart"/>
      <w:r>
        <w:t>MPoR</w:t>
      </w:r>
      <w:proofErr w:type="spellEnd"/>
      <w:r>
        <w:t xml:space="preserve">. For example, the implementation of margin requirements under EMIR has reduced grace periods and imposed ‘same-day’ settlement for margin transfers. In contrast, the conventional regulatory </w:t>
      </w:r>
      <w:proofErr w:type="spellStart"/>
      <w:r>
        <w:t>MPoR</w:t>
      </w:r>
      <w:proofErr w:type="spellEnd"/>
      <w:r>
        <w:t xml:space="preserve"> has not changed to reflect these market developments.</w:t>
      </w:r>
    </w:p>
    <w:p w14:paraId="4474AEE5" w14:textId="77777777" w:rsidR="001D4C35" w:rsidRDefault="00D84817">
      <w:pPr>
        <w:pStyle w:val="BodyText"/>
        <w:spacing w:before="119" w:line="276" w:lineRule="auto"/>
        <w:ind w:left="171" w:right="110"/>
        <w:jc w:val="both"/>
      </w:pPr>
      <w:r>
        <w:t>Furthermore, since banks hedge their exposures based on economic CVA risk rather than regulatory CVA the impact of hedges is reduced in the regulatory CVA charge compared to how hedges would mitigate economic CVA losses and by adding flexibility to the expected loss given default</w:t>
      </w:r>
      <w:hyperlink w:anchor="_bookmark54" w:history="1">
        <w:r>
          <w:rPr>
            <w:position w:val="5"/>
            <w:sz w:val="14"/>
          </w:rPr>
          <w:t>8</w:t>
        </w:r>
      </w:hyperlink>
      <w:r>
        <w:rPr>
          <w:position w:val="5"/>
          <w:sz w:val="14"/>
        </w:rPr>
        <w:t xml:space="preserve"> </w:t>
      </w:r>
      <w:r>
        <w:t>(ELGD) used for specific exposures.</w:t>
      </w:r>
    </w:p>
    <w:p w14:paraId="4474AEE6" w14:textId="77777777" w:rsidR="001D4C35" w:rsidRDefault="001D4C35">
      <w:pPr>
        <w:pStyle w:val="BodyText"/>
        <w:rPr>
          <w:sz w:val="20"/>
        </w:rPr>
      </w:pPr>
    </w:p>
    <w:p w14:paraId="4474AEE7" w14:textId="77777777" w:rsidR="001D4C35" w:rsidRDefault="001D4C35">
      <w:pPr>
        <w:pStyle w:val="BodyText"/>
        <w:rPr>
          <w:sz w:val="20"/>
        </w:rPr>
      </w:pPr>
    </w:p>
    <w:p w14:paraId="4474AEE8" w14:textId="77777777" w:rsidR="001D4C35" w:rsidRDefault="007E6DC4">
      <w:pPr>
        <w:pStyle w:val="BodyText"/>
        <w:spacing w:before="8"/>
        <w:rPr>
          <w:sz w:val="27"/>
        </w:rPr>
      </w:pPr>
      <w:r>
        <w:pict w14:anchorId="4474B0A7">
          <v:shape id="_x0000_s2063" type="#_x0000_t202" style="position:absolute;margin-left:42.8pt;margin-top:18.4pt;width:509.8pt;height:150.05pt;z-index:-251575296;mso-wrap-distance-left:0;mso-wrap-distance-right:0;mso-position-horizontal-relative:page" fillcolor="#dbe4f0" strokeweight=".4pt">
            <v:textbox inset="0,0,0,0">
              <w:txbxContent>
                <w:p w14:paraId="4474B1A7" w14:textId="77777777" w:rsidR="001D4C35" w:rsidRDefault="00D84817">
                  <w:pPr>
                    <w:spacing w:before="143"/>
                    <w:ind w:left="1327" w:right="1329"/>
                    <w:jc w:val="center"/>
                    <w:rPr>
                      <w:b/>
                    </w:rPr>
                  </w:pPr>
                  <w:r>
                    <w:rPr>
                      <w:b/>
                    </w:rPr>
                    <w:t>Recommendations on the design and calibration of CVA</w:t>
                  </w:r>
                </w:p>
                <w:p w14:paraId="4474B1A8" w14:textId="77777777" w:rsidR="001D4C35" w:rsidRDefault="001D4C35">
                  <w:pPr>
                    <w:pStyle w:val="BodyText"/>
                    <w:spacing w:before="4"/>
                    <w:rPr>
                      <w:b/>
                      <w:sz w:val="25"/>
                    </w:rPr>
                  </w:pPr>
                </w:p>
                <w:p w14:paraId="4474B1A9" w14:textId="77777777" w:rsidR="001D4C35" w:rsidRDefault="00D84817">
                  <w:pPr>
                    <w:pStyle w:val="BodyText"/>
                    <w:spacing w:before="1"/>
                    <w:ind w:left="103"/>
                  </w:pPr>
                  <w:r>
                    <w:t>We would recommend that the following changes be considered:</w:t>
                  </w:r>
                </w:p>
                <w:p w14:paraId="4474B1AA" w14:textId="77777777" w:rsidR="001D4C35" w:rsidRDefault="00D84817">
                  <w:pPr>
                    <w:pStyle w:val="BodyText"/>
                    <w:numPr>
                      <w:ilvl w:val="0"/>
                      <w:numId w:val="7"/>
                    </w:numPr>
                    <w:tabs>
                      <w:tab w:val="left" w:pos="824"/>
                      <w:tab w:val="left" w:pos="825"/>
                    </w:tabs>
                    <w:spacing w:before="158" w:line="273" w:lineRule="auto"/>
                    <w:ind w:left="823" w:right="101" w:hanging="360"/>
                  </w:pPr>
                  <w:r>
                    <w:t>A</w:t>
                  </w:r>
                  <w:r>
                    <w:rPr>
                      <w:spacing w:val="-13"/>
                    </w:rPr>
                    <w:t xml:space="preserve"> </w:t>
                  </w:r>
                  <w:r>
                    <w:t>recognition</w:t>
                  </w:r>
                  <w:r>
                    <w:rPr>
                      <w:spacing w:val="-10"/>
                    </w:rPr>
                    <w:t xml:space="preserve"> </w:t>
                  </w:r>
                  <w:r>
                    <w:t>of</w:t>
                  </w:r>
                  <w:r>
                    <w:rPr>
                      <w:spacing w:val="-9"/>
                    </w:rPr>
                    <w:t xml:space="preserve"> </w:t>
                  </w:r>
                  <w:r>
                    <w:t>the</w:t>
                  </w:r>
                  <w:r>
                    <w:rPr>
                      <w:spacing w:val="-10"/>
                    </w:rPr>
                    <w:t xml:space="preserve"> </w:t>
                  </w:r>
                  <w:r>
                    <w:t>different</w:t>
                  </w:r>
                  <w:r>
                    <w:rPr>
                      <w:spacing w:val="-10"/>
                    </w:rPr>
                    <w:t xml:space="preserve"> </w:t>
                  </w:r>
                  <w:r>
                    <w:t>risk</w:t>
                  </w:r>
                  <w:r>
                    <w:rPr>
                      <w:spacing w:val="-14"/>
                    </w:rPr>
                    <w:t xml:space="preserve"> </w:t>
                  </w:r>
                  <w:r>
                    <w:t>profiles</w:t>
                  </w:r>
                  <w:r>
                    <w:rPr>
                      <w:spacing w:val="-9"/>
                    </w:rPr>
                    <w:t xml:space="preserve"> </w:t>
                  </w:r>
                  <w:r>
                    <w:t>of</w:t>
                  </w:r>
                  <w:r>
                    <w:rPr>
                      <w:spacing w:val="-13"/>
                    </w:rPr>
                    <w:t xml:space="preserve"> </w:t>
                  </w:r>
                  <w:r>
                    <w:t>different</w:t>
                  </w:r>
                  <w:r>
                    <w:rPr>
                      <w:spacing w:val="-9"/>
                    </w:rPr>
                    <w:t xml:space="preserve"> </w:t>
                  </w:r>
                  <w:r>
                    <w:t>financial</w:t>
                  </w:r>
                  <w:r>
                    <w:rPr>
                      <w:spacing w:val="-11"/>
                    </w:rPr>
                    <w:t xml:space="preserve"> </w:t>
                  </w:r>
                  <w:r>
                    <w:t>institutions</w:t>
                  </w:r>
                  <w:r>
                    <w:rPr>
                      <w:spacing w:val="-14"/>
                    </w:rPr>
                    <w:t xml:space="preserve"> </w:t>
                  </w:r>
                  <w:r>
                    <w:t>through</w:t>
                  </w:r>
                  <w:r>
                    <w:rPr>
                      <w:spacing w:val="-12"/>
                    </w:rPr>
                    <w:t xml:space="preserve"> </w:t>
                  </w:r>
                  <w:r>
                    <w:t>the</w:t>
                  </w:r>
                  <w:r>
                    <w:rPr>
                      <w:spacing w:val="-10"/>
                    </w:rPr>
                    <w:t xml:space="preserve"> </w:t>
                  </w:r>
                  <w:r>
                    <w:t>introduction of</w:t>
                  </w:r>
                  <w:r>
                    <w:rPr>
                      <w:spacing w:val="-3"/>
                    </w:rPr>
                    <w:t xml:space="preserve"> </w:t>
                  </w:r>
                  <w:r>
                    <w:t>distinct</w:t>
                  </w:r>
                  <w:r>
                    <w:rPr>
                      <w:spacing w:val="-1"/>
                    </w:rPr>
                    <w:t xml:space="preserve"> </w:t>
                  </w:r>
                  <w:r>
                    <w:t>risk</w:t>
                  </w:r>
                  <w:r>
                    <w:rPr>
                      <w:spacing w:val="-2"/>
                    </w:rPr>
                    <w:t xml:space="preserve"> </w:t>
                  </w:r>
                  <w:r>
                    <w:t>weights</w:t>
                  </w:r>
                  <w:r>
                    <w:rPr>
                      <w:spacing w:val="-2"/>
                    </w:rPr>
                    <w:t xml:space="preserve"> </w:t>
                  </w:r>
                  <w:r>
                    <w:t>per</w:t>
                  </w:r>
                  <w:r>
                    <w:rPr>
                      <w:spacing w:val="-3"/>
                    </w:rPr>
                    <w:t xml:space="preserve"> </w:t>
                  </w:r>
                  <w:r>
                    <w:t>type</w:t>
                  </w:r>
                  <w:r>
                    <w:rPr>
                      <w:spacing w:val="-2"/>
                    </w:rPr>
                    <w:t xml:space="preserve"> </w:t>
                  </w:r>
                  <w:r>
                    <w:t>of</w:t>
                  </w:r>
                  <w:r>
                    <w:rPr>
                      <w:spacing w:val="-2"/>
                    </w:rPr>
                    <w:t xml:space="preserve"> </w:t>
                  </w:r>
                  <w:r>
                    <w:t>financial</w:t>
                  </w:r>
                  <w:r>
                    <w:rPr>
                      <w:spacing w:val="-3"/>
                    </w:rPr>
                    <w:t xml:space="preserve"> </w:t>
                  </w:r>
                  <w:r>
                    <w:t>institutions,</w:t>
                  </w:r>
                  <w:r>
                    <w:rPr>
                      <w:spacing w:val="-4"/>
                    </w:rPr>
                    <w:t xml:space="preserve"> </w:t>
                  </w:r>
                  <w:r>
                    <w:t>instead</w:t>
                  </w:r>
                  <w:r>
                    <w:rPr>
                      <w:spacing w:val="-2"/>
                    </w:rPr>
                    <w:t xml:space="preserve"> </w:t>
                  </w:r>
                  <w:r>
                    <w:t>of</w:t>
                  </w:r>
                  <w:r>
                    <w:rPr>
                      <w:spacing w:val="-6"/>
                    </w:rPr>
                    <w:t xml:space="preserve"> </w:t>
                  </w:r>
                  <w:r>
                    <w:t>their</w:t>
                  </w:r>
                  <w:r>
                    <w:rPr>
                      <w:spacing w:val="-2"/>
                    </w:rPr>
                    <w:t xml:space="preserve"> </w:t>
                  </w:r>
                  <w:r>
                    <w:t>allocation</w:t>
                  </w:r>
                  <w:r>
                    <w:rPr>
                      <w:spacing w:val="-2"/>
                    </w:rPr>
                    <w:t xml:space="preserve"> </w:t>
                  </w:r>
                  <w:r>
                    <w:t>a</w:t>
                  </w:r>
                  <w:r>
                    <w:rPr>
                      <w:spacing w:val="-2"/>
                    </w:rPr>
                    <w:t xml:space="preserve"> </w:t>
                  </w:r>
                  <w:r>
                    <w:t>single</w:t>
                  </w:r>
                  <w:r>
                    <w:rPr>
                      <w:spacing w:val="-3"/>
                    </w:rPr>
                    <w:t xml:space="preserve"> </w:t>
                  </w:r>
                  <w:r>
                    <w:t>bucket.</w:t>
                  </w:r>
                </w:p>
                <w:p w14:paraId="4474B1AB" w14:textId="77777777" w:rsidR="001D4C35" w:rsidRDefault="00D84817">
                  <w:pPr>
                    <w:pStyle w:val="BodyText"/>
                    <w:numPr>
                      <w:ilvl w:val="0"/>
                      <w:numId w:val="7"/>
                    </w:numPr>
                    <w:tabs>
                      <w:tab w:val="left" w:pos="824"/>
                      <w:tab w:val="left" w:pos="825"/>
                    </w:tabs>
                    <w:spacing w:before="122" w:line="273" w:lineRule="auto"/>
                    <w:ind w:left="823" w:right="102" w:hanging="360"/>
                  </w:pPr>
                  <w:r>
                    <w:t xml:space="preserve">A better recognition of indices used to hedge CVA risk, particularly in terms </w:t>
                  </w:r>
                  <w:r>
                    <w:rPr>
                      <w:spacing w:val="-3"/>
                    </w:rPr>
                    <w:t xml:space="preserve">of </w:t>
                  </w:r>
                  <w:r>
                    <w:t>their usage linked to the hedging of systemic credit risk, rather than specific sectoral or counterparty</w:t>
                  </w:r>
                  <w:r>
                    <w:rPr>
                      <w:spacing w:val="-17"/>
                    </w:rPr>
                    <w:t xml:space="preserve"> </w:t>
                  </w:r>
                  <w:r>
                    <w:t>risk.</w:t>
                  </w:r>
                </w:p>
                <w:p w14:paraId="4474B1AC" w14:textId="77777777" w:rsidR="001D4C35" w:rsidRDefault="00D84817">
                  <w:pPr>
                    <w:pStyle w:val="BodyText"/>
                    <w:numPr>
                      <w:ilvl w:val="0"/>
                      <w:numId w:val="7"/>
                    </w:numPr>
                    <w:tabs>
                      <w:tab w:val="left" w:pos="824"/>
                      <w:tab w:val="left" w:pos="825"/>
                    </w:tabs>
                    <w:spacing w:before="126"/>
                    <w:ind w:hanging="362"/>
                  </w:pPr>
                  <w:r>
                    <w:t>A greater alignment of regulatory and accounting CVA. Namely,</w:t>
                  </w:r>
                  <w:r>
                    <w:rPr>
                      <w:spacing w:val="-10"/>
                    </w:rPr>
                    <w:t xml:space="preserve"> </w:t>
                  </w:r>
                  <w:r>
                    <w:t>through:</w:t>
                  </w:r>
                </w:p>
              </w:txbxContent>
            </v:textbox>
            <w10:wrap type="topAndBottom" anchorx="page"/>
          </v:shape>
        </w:pict>
      </w:r>
    </w:p>
    <w:p w14:paraId="4474AEE9" w14:textId="77777777" w:rsidR="001D4C35" w:rsidRDefault="001D4C35">
      <w:pPr>
        <w:pStyle w:val="BodyText"/>
        <w:rPr>
          <w:sz w:val="20"/>
        </w:rPr>
      </w:pPr>
    </w:p>
    <w:p w14:paraId="4474AEEA" w14:textId="77777777" w:rsidR="001D4C35" w:rsidRDefault="001D4C35">
      <w:pPr>
        <w:pStyle w:val="BodyText"/>
        <w:rPr>
          <w:sz w:val="20"/>
        </w:rPr>
      </w:pPr>
    </w:p>
    <w:p w14:paraId="4474AEEB" w14:textId="77777777" w:rsidR="001D4C35" w:rsidRDefault="001D4C35">
      <w:pPr>
        <w:pStyle w:val="BodyText"/>
        <w:rPr>
          <w:sz w:val="20"/>
        </w:rPr>
      </w:pPr>
    </w:p>
    <w:p w14:paraId="4474AEEC" w14:textId="77777777" w:rsidR="001D4C35" w:rsidRDefault="007E6DC4">
      <w:pPr>
        <w:pStyle w:val="BodyText"/>
        <w:spacing w:before="8"/>
        <w:rPr>
          <w:sz w:val="29"/>
        </w:rPr>
      </w:pPr>
      <w:r>
        <w:pict w14:anchorId="4474B0A8">
          <v:shape id="_x0000_s2062" style="position:absolute;margin-left:42.6pt;margin-top:19.8pt;width:2in;height:.1pt;z-index:-251574272;mso-wrap-distance-left:0;mso-wrap-distance-right:0;mso-position-horizontal-relative:page" coordorigin="852,396" coordsize="2880,0" path="m852,396r2880,e" filled="f" strokeweight=".8pt">
            <v:path arrowok="t"/>
            <w10:wrap type="topAndBottom" anchorx="page"/>
          </v:shape>
        </w:pict>
      </w:r>
    </w:p>
    <w:p w14:paraId="4474AEED" w14:textId="77777777" w:rsidR="001D4C35" w:rsidRDefault="00D84817">
      <w:pPr>
        <w:spacing w:before="80"/>
        <w:ind w:left="171" w:right="104"/>
        <w:jc w:val="both"/>
        <w:rPr>
          <w:sz w:val="18"/>
        </w:rPr>
      </w:pPr>
      <w:bookmarkStart w:id="18" w:name="_bookmark52"/>
      <w:bookmarkEnd w:id="18"/>
      <w:r>
        <w:rPr>
          <w:position w:val="4"/>
          <w:sz w:val="12"/>
        </w:rPr>
        <w:t>6</w:t>
      </w:r>
      <w:r>
        <w:rPr>
          <w:spacing w:val="9"/>
          <w:position w:val="4"/>
          <w:sz w:val="12"/>
        </w:rPr>
        <w:t xml:space="preserve"> </w:t>
      </w:r>
      <w:r>
        <w:rPr>
          <w:sz w:val="18"/>
        </w:rPr>
        <w:t>As</w:t>
      </w:r>
      <w:r>
        <w:rPr>
          <w:spacing w:val="-6"/>
          <w:sz w:val="18"/>
        </w:rPr>
        <w:t xml:space="preserve"> </w:t>
      </w:r>
      <w:r>
        <w:rPr>
          <w:sz w:val="18"/>
        </w:rPr>
        <w:t>it</w:t>
      </w:r>
      <w:r>
        <w:rPr>
          <w:spacing w:val="-7"/>
          <w:sz w:val="18"/>
        </w:rPr>
        <w:t xml:space="preserve"> </w:t>
      </w:r>
      <w:r>
        <w:rPr>
          <w:sz w:val="18"/>
        </w:rPr>
        <w:t>relates</w:t>
      </w:r>
      <w:r>
        <w:rPr>
          <w:spacing w:val="-6"/>
          <w:sz w:val="18"/>
        </w:rPr>
        <w:t xml:space="preserve"> </w:t>
      </w:r>
      <w:r>
        <w:rPr>
          <w:sz w:val="18"/>
        </w:rPr>
        <w:t>to</w:t>
      </w:r>
      <w:r>
        <w:rPr>
          <w:spacing w:val="-5"/>
          <w:sz w:val="18"/>
        </w:rPr>
        <w:t xml:space="preserve"> </w:t>
      </w:r>
      <w:r>
        <w:rPr>
          <w:sz w:val="18"/>
        </w:rPr>
        <w:t>the</w:t>
      </w:r>
      <w:r>
        <w:rPr>
          <w:spacing w:val="-6"/>
          <w:sz w:val="18"/>
        </w:rPr>
        <w:t xml:space="preserve"> </w:t>
      </w:r>
      <w:r>
        <w:rPr>
          <w:sz w:val="18"/>
        </w:rPr>
        <w:t>correlation</w:t>
      </w:r>
      <w:r>
        <w:rPr>
          <w:spacing w:val="-10"/>
          <w:sz w:val="18"/>
        </w:rPr>
        <w:t xml:space="preserve"> </w:t>
      </w:r>
      <w:r>
        <w:rPr>
          <w:sz w:val="18"/>
        </w:rPr>
        <w:t>between</w:t>
      </w:r>
      <w:r>
        <w:rPr>
          <w:spacing w:val="-6"/>
          <w:sz w:val="18"/>
        </w:rPr>
        <w:t xml:space="preserve"> </w:t>
      </w:r>
      <w:r>
        <w:rPr>
          <w:sz w:val="18"/>
        </w:rPr>
        <w:t>to</w:t>
      </w:r>
      <w:r>
        <w:rPr>
          <w:spacing w:val="-5"/>
          <w:sz w:val="18"/>
        </w:rPr>
        <w:t xml:space="preserve"> </w:t>
      </w:r>
      <w:r>
        <w:rPr>
          <w:sz w:val="18"/>
        </w:rPr>
        <w:t>Credit</w:t>
      </w:r>
      <w:r>
        <w:rPr>
          <w:spacing w:val="-7"/>
          <w:sz w:val="18"/>
        </w:rPr>
        <w:t xml:space="preserve"> </w:t>
      </w:r>
      <w:r>
        <w:rPr>
          <w:sz w:val="18"/>
        </w:rPr>
        <w:t>Default</w:t>
      </w:r>
      <w:r>
        <w:rPr>
          <w:spacing w:val="-6"/>
          <w:sz w:val="18"/>
        </w:rPr>
        <w:t xml:space="preserve"> </w:t>
      </w:r>
      <w:r>
        <w:rPr>
          <w:sz w:val="18"/>
        </w:rPr>
        <w:t>Swap</w:t>
      </w:r>
      <w:r>
        <w:rPr>
          <w:spacing w:val="-5"/>
          <w:sz w:val="18"/>
        </w:rPr>
        <w:t xml:space="preserve"> </w:t>
      </w:r>
      <w:r>
        <w:rPr>
          <w:sz w:val="18"/>
        </w:rPr>
        <w:t>(CDS)</w:t>
      </w:r>
      <w:r>
        <w:rPr>
          <w:spacing w:val="-7"/>
          <w:sz w:val="18"/>
        </w:rPr>
        <w:t xml:space="preserve"> </w:t>
      </w:r>
      <w:r>
        <w:rPr>
          <w:sz w:val="18"/>
        </w:rPr>
        <w:t>indices:</w:t>
      </w:r>
      <w:r>
        <w:rPr>
          <w:spacing w:val="-5"/>
          <w:sz w:val="18"/>
        </w:rPr>
        <w:t xml:space="preserve"> </w:t>
      </w:r>
      <w:r>
        <w:rPr>
          <w:sz w:val="18"/>
        </w:rPr>
        <w:t>Under</w:t>
      </w:r>
      <w:r>
        <w:rPr>
          <w:spacing w:val="-4"/>
          <w:sz w:val="18"/>
        </w:rPr>
        <w:t xml:space="preserve"> </w:t>
      </w:r>
      <w:r>
        <w:rPr>
          <w:sz w:val="18"/>
        </w:rPr>
        <w:t>the</w:t>
      </w:r>
      <w:r>
        <w:rPr>
          <w:spacing w:val="-6"/>
          <w:sz w:val="18"/>
        </w:rPr>
        <w:t xml:space="preserve"> </w:t>
      </w:r>
      <w:r>
        <w:rPr>
          <w:sz w:val="18"/>
        </w:rPr>
        <w:t>revised</w:t>
      </w:r>
      <w:r>
        <w:rPr>
          <w:spacing w:val="-5"/>
          <w:sz w:val="18"/>
        </w:rPr>
        <w:t xml:space="preserve"> </w:t>
      </w:r>
      <w:r>
        <w:rPr>
          <w:sz w:val="18"/>
        </w:rPr>
        <w:t>market</w:t>
      </w:r>
      <w:r>
        <w:rPr>
          <w:spacing w:val="-6"/>
          <w:sz w:val="18"/>
        </w:rPr>
        <w:t xml:space="preserve"> </w:t>
      </w:r>
      <w:r>
        <w:rPr>
          <w:sz w:val="18"/>
        </w:rPr>
        <w:t>risk</w:t>
      </w:r>
      <w:r>
        <w:rPr>
          <w:spacing w:val="-5"/>
          <w:sz w:val="18"/>
        </w:rPr>
        <w:t xml:space="preserve"> </w:t>
      </w:r>
      <w:r>
        <w:rPr>
          <w:sz w:val="18"/>
        </w:rPr>
        <w:t>approach,</w:t>
      </w:r>
      <w:r>
        <w:rPr>
          <w:spacing w:val="-6"/>
          <w:sz w:val="18"/>
        </w:rPr>
        <w:t xml:space="preserve"> </w:t>
      </w:r>
      <w:r>
        <w:rPr>
          <w:sz w:val="18"/>
        </w:rPr>
        <w:t>the</w:t>
      </w:r>
      <w:r>
        <w:rPr>
          <w:spacing w:val="-5"/>
          <w:sz w:val="18"/>
        </w:rPr>
        <w:t xml:space="preserve"> </w:t>
      </w:r>
      <w:r>
        <w:rPr>
          <w:sz w:val="18"/>
        </w:rPr>
        <w:t xml:space="preserve">calculation of the sensitivities-based method under the </w:t>
      </w:r>
      <w:proofErr w:type="spellStart"/>
      <w:r>
        <w:rPr>
          <w:sz w:val="18"/>
        </w:rPr>
        <w:t>standardised</w:t>
      </w:r>
      <w:proofErr w:type="spellEnd"/>
      <w:r>
        <w:rPr>
          <w:sz w:val="18"/>
        </w:rPr>
        <w:t xml:space="preserve"> approach for market risk sets the correlation between two sensitivities within the same index bucket at</w:t>
      </w:r>
      <w:r>
        <w:rPr>
          <w:spacing w:val="-6"/>
          <w:sz w:val="18"/>
        </w:rPr>
        <w:t xml:space="preserve"> </w:t>
      </w:r>
      <w:r>
        <w:rPr>
          <w:sz w:val="18"/>
        </w:rPr>
        <w:t>80%.</w:t>
      </w:r>
    </w:p>
    <w:p w14:paraId="4474AEEE" w14:textId="77777777" w:rsidR="001D4C35" w:rsidRDefault="00D84817">
      <w:pPr>
        <w:spacing w:line="210" w:lineRule="exact"/>
        <w:ind w:left="172"/>
        <w:jc w:val="both"/>
        <w:rPr>
          <w:sz w:val="18"/>
        </w:rPr>
      </w:pPr>
      <w:bookmarkStart w:id="19" w:name="_bookmark53"/>
      <w:bookmarkEnd w:id="19"/>
      <w:r>
        <w:rPr>
          <w:position w:val="4"/>
          <w:sz w:val="12"/>
        </w:rPr>
        <w:t xml:space="preserve">7 </w:t>
      </w:r>
      <w:r>
        <w:rPr>
          <w:sz w:val="18"/>
        </w:rPr>
        <w:t>See footnote 3 for a definition of MPOR.</w:t>
      </w:r>
    </w:p>
    <w:p w14:paraId="4474AEEF" w14:textId="77777777" w:rsidR="001D4C35" w:rsidRDefault="001D4C35">
      <w:pPr>
        <w:spacing w:line="210" w:lineRule="exact"/>
        <w:jc w:val="both"/>
        <w:rPr>
          <w:sz w:val="18"/>
        </w:rPr>
        <w:sectPr w:rsidR="001D4C35">
          <w:pgSz w:w="11910" w:h="16840"/>
          <w:pgMar w:top="760" w:right="740" w:bottom="1240" w:left="680" w:header="0" w:footer="1012" w:gutter="0"/>
          <w:cols w:space="720"/>
        </w:sectPr>
      </w:pPr>
    </w:p>
    <w:bookmarkStart w:id="20" w:name="_bookmark55"/>
    <w:bookmarkEnd w:id="20"/>
    <w:p w14:paraId="4474AEF0" w14:textId="77777777" w:rsidR="001D4C35" w:rsidRDefault="007E6DC4">
      <w:pPr>
        <w:pStyle w:val="BodyText"/>
        <w:ind w:left="172"/>
        <w:rPr>
          <w:sz w:val="20"/>
        </w:rPr>
      </w:pPr>
      <w:r>
        <w:rPr>
          <w:sz w:val="20"/>
        </w:rPr>
      </w:r>
      <w:r>
        <w:rPr>
          <w:sz w:val="20"/>
        </w:rPr>
        <w:pict w14:anchorId="4474B0AA">
          <v:shape id="_x0000_s2074" type="#_x0000_t202" style="width:509.8pt;height:101.4pt;mso-left-percent:-10001;mso-top-percent:-10001;mso-position-horizontal:absolute;mso-position-horizontal-relative:char;mso-position-vertical:absolute;mso-position-vertical-relative:line;mso-left-percent:-10001;mso-top-percent:-10001" fillcolor="#dbe4f0" strokeweight=".4pt">
            <v:textbox inset="0,0,0,0">
              <w:txbxContent>
                <w:p w14:paraId="4474B1AD" w14:textId="77777777" w:rsidR="001D4C35" w:rsidRDefault="00D84817">
                  <w:pPr>
                    <w:pStyle w:val="BodyText"/>
                    <w:numPr>
                      <w:ilvl w:val="0"/>
                      <w:numId w:val="6"/>
                    </w:numPr>
                    <w:tabs>
                      <w:tab w:val="left" w:pos="1124"/>
                    </w:tabs>
                    <w:spacing w:line="268" w:lineRule="auto"/>
                    <w:ind w:left="1123" w:right="106"/>
                    <w:jc w:val="both"/>
                  </w:pPr>
                  <w:r>
                    <w:t xml:space="preserve">making adjustments to the period stipulated by the </w:t>
                  </w:r>
                  <w:proofErr w:type="spellStart"/>
                  <w:r>
                    <w:t>MPoR</w:t>
                  </w:r>
                  <w:proofErr w:type="spellEnd"/>
                  <w:r>
                    <w:t xml:space="preserve">. This could be done by adjusting the </w:t>
                  </w:r>
                  <w:proofErr w:type="spellStart"/>
                  <w:r>
                    <w:t>MPoR</w:t>
                  </w:r>
                  <w:proofErr w:type="spellEnd"/>
                  <w:r>
                    <w:t xml:space="preserve"> floor from 9+N days to 4+N days, which would make it more aligned with accounting market practices;</w:t>
                  </w:r>
                  <w:r>
                    <w:rPr>
                      <w:spacing w:val="-3"/>
                    </w:rPr>
                    <w:t xml:space="preserve"> </w:t>
                  </w:r>
                  <w:r>
                    <w:t>and</w:t>
                  </w:r>
                </w:p>
                <w:p w14:paraId="4474B1AE" w14:textId="77777777" w:rsidR="001D4C35" w:rsidRDefault="00D84817">
                  <w:pPr>
                    <w:pStyle w:val="BodyText"/>
                    <w:numPr>
                      <w:ilvl w:val="0"/>
                      <w:numId w:val="6"/>
                    </w:numPr>
                    <w:tabs>
                      <w:tab w:val="left" w:pos="1125"/>
                    </w:tabs>
                    <w:spacing w:before="127" w:line="266" w:lineRule="auto"/>
                    <w:ind w:left="1123" w:right="101"/>
                    <w:jc w:val="both"/>
                  </w:pPr>
                  <w:r>
                    <w:t>the use of specific ELGD</w:t>
                  </w:r>
                  <w:hyperlink w:anchor="_bookmark55" w:history="1">
                    <w:r>
                      <w:rPr>
                        <w:position w:val="5"/>
                        <w:sz w:val="14"/>
                      </w:rPr>
                      <w:t>9</w:t>
                    </w:r>
                  </w:hyperlink>
                  <w:r>
                    <w:rPr>
                      <w:position w:val="5"/>
                      <w:sz w:val="14"/>
                    </w:rPr>
                    <w:t xml:space="preserve"> </w:t>
                  </w:r>
                  <w:r>
                    <w:t>for secured exposures (e.g. covered bonds, infrastructure or utilities specialized lending vehicles) or entities which by nature expose derivative counterparties to lower risks than bond holders (e.g.</w:t>
                  </w:r>
                  <w:r>
                    <w:rPr>
                      <w:spacing w:val="-5"/>
                    </w:rPr>
                    <w:t xml:space="preserve"> </w:t>
                  </w:r>
                  <w:r>
                    <w:t>sovereigns).</w:t>
                  </w:r>
                </w:p>
              </w:txbxContent>
            </v:textbox>
            <w10:anchorlock/>
          </v:shape>
        </w:pict>
      </w:r>
    </w:p>
    <w:p w14:paraId="4474AEF1" w14:textId="77777777" w:rsidR="001D4C35" w:rsidRDefault="001D4C35">
      <w:pPr>
        <w:pStyle w:val="BodyText"/>
        <w:rPr>
          <w:sz w:val="20"/>
        </w:rPr>
      </w:pPr>
    </w:p>
    <w:p w14:paraId="4474AEF2" w14:textId="77777777" w:rsidR="001D4C35" w:rsidRDefault="001D4C35">
      <w:pPr>
        <w:pStyle w:val="BodyText"/>
        <w:rPr>
          <w:sz w:val="20"/>
        </w:rPr>
      </w:pPr>
    </w:p>
    <w:p w14:paraId="4474AEF3" w14:textId="77777777" w:rsidR="001D4C35" w:rsidRDefault="001D4C35">
      <w:pPr>
        <w:pStyle w:val="BodyText"/>
        <w:rPr>
          <w:sz w:val="20"/>
        </w:rPr>
      </w:pPr>
    </w:p>
    <w:p w14:paraId="4474AEF4" w14:textId="77777777" w:rsidR="001D4C35" w:rsidRDefault="001D4C35">
      <w:pPr>
        <w:pStyle w:val="BodyText"/>
        <w:rPr>
          <w:sz w:val="20"/>
        </w:rPr>
      </w:pPr>
    </w:p>
    <w:p w14:paraId="4474AEF5" w14:textId="77777777" w:rsidR="001D4C35" w:rsidRDefault="001D4C35">
      <w:pPr>
        <w:pStyle w:val="BodyText"/>
        <w:rPr>
          <w:sz w:val="20"/>
        </w:rPr>
      </w:pPr>
    </w:p>
    <w:p w14:paraId="4474AEF6" w14:textId="77777777" w:rsidR="001D4C35" w:rsidRDefault="001D4C35">
      <w:pPr>
        <w:pStyle w:val="BodyText"/>
        <w:rPr>
          <w:sz w:val="20"/>
        </w:rPr>
      </w:pPr>
    </w:p>
    <w:p w14:paraId="4474AEF7" w14:textId="77777777" w:rsidR="001D4C35" w:rsidRDefault="001D4C35">
      <w:pPr>
        <w:pStyle w:val="BodyText"/>
        <w:rPr>
          <w:sz w:val="20"/>
        </w:rPr>
      </w:pPr>
    </w:p>
    <w:p w14:paraId="4474AEF8" w14:textId="77777777" w:rsidR="001D4C35" w:rsidRDefault="001D4C35">
      <w:pPr>
        <w:pStyle w:val="BodyText"/>
        <w:rPr>
          <w:sz w:val="20"/>
        </w:rPr>
      </w:pPr>
    </w:p>
    <w:p w14:paraId="4474AEF9" w14:textId="77777777" w:rsidR="001D4C35" w:rsidRDefault="001D4C35">
      <w:pPr>
        <w:pStyle w:val="BodyText"/>
        <w:rPr>
          <w:sz w:val="20"/>
        </w:rPr>
      </w:pPr>
    </w:p>
    <w:p w14:paraId="4474AEFA" w14:textId="77777777" w:rsidR="001D4C35" w:rsidRDefault="001D4C35">
      <w:pPr>
        <w:pStyle w:val="BodyText"/>
        <w:rPr>
          <w:sz w:val="20"/>
        </w:rPr>
      </w:pPr>
    </w:p>
    <w:p w14:paraId="4474AEFB" w14:textId="77777777" w:rsidR="001D4C35" w:rsidRDefault="001D4C35">
      <w:pPr>
        <w:pStyle w:val="BodyText"/>
        <w:rPr>
          <w:sz w:val="20"/>
        </w:rPr>
      </w:pPr>
    </w:p>
    <w:p w14:paraId="4474AEFC" w14:textId="77777777" w:rsidR="001D4C35" w:rsidRDefault="001D4C35">
      <w:pPr>
        <w:pStyle w:val="BodyText"/>
        <w:rPr>
          <w:sz w:val="20"/>
        </w:rPr>
      </w:pPr>
    </w:p>
    <w:p w14:paraId="4474AEFD" w14:textId="77777777" w:rsidR="001D4C35" w:rsidRDefault="001D4C35">
      <w:pPr>
        <w:pStyle w:val="BodyText"/>
        <w:rPr>
          <w:sz w:val="20"/>
        </w:rPr>
      </w:pPr>
    </w:p>
    <w:p w14:paraId="4474AEFE" w14:textId="77777777" w:rsidR="001D4C35" w:rsidRDefault="001D4C35">
      <w:pPr>
        <w:pStyle w:val="BodyText"/>
        <w:rPr>
          <w:sz w:val="20"/>
        </w:rPr>
      </w:pPr>
    </w:p>
    <w:p w14:paraId="4474AEFF" w14:textId="77777777" w:rsidR="001D4C35" w:rsidRDefault="001D4C35">
      <w:pPr>
        <w:pStyle w:val="BodyText"/>
        <w:rPr>
          <w:sz w:val="20"/>
        </w:rPr>
      </w:pPr>
    </w:p>
    <w:p w14:paraId="4474AF00" w14:textId="77777777" w:rsidR="001D4C35" w:rsidRDefault="001D4C35">
      <w:pPr>
        <w:pStyle w:val="BodyText"/>
        <w:rPr>
          <w:sz w:val="20"/>
        </w:rPr>
      </w:pPr>
    </w:p>
    <w:p w14:paraId="4474AF01" w14:textId="77777777" w:rsidR="001D4C35" w:rsidRDefault="001D4C35">
      <w:pPr>
        <w:pStyle w:val="BodyText"/>
        <w:rPr>
          <w:sz w:val="20"/>
        </w:rPr>
      </w:pPr>
    </w:p>
    <w:p w14:paraId="4474AF02" w14:textId="77777777" w:rsidR="001D4C35" w:rsidRDefault="001D4C35">
      <w:pPr>
        <w:pStyle w:val="BodyText"/>
        <w:rPr>
          <w:sz w:val="20"/>
        </w:rPr>
      </w:pPr>
    </w:p>
    <w:p w14:paraId="4474AF03" w14:textId="77777777" w:rsidR="001D4C35" w:rsidRDefault="001D4C35">
      <w:pPr>
        <w:pStyle w:val="BodyText"/>
        <w:rPr>
          <w:sz w:val="20"/>
        </w:rPr>
      </w:pPr>
    </w:p>
    <w:p w14:paraId="4474AF04" w14:textId="77777777" w:rsidR="001D4C35" w:rsidRDefault="001D4C35">
      <w:pPr>
        <w:pStyle w:val="BodyText"/>
        <w:rPr>
          <w:sz w:val="20"/>
        </w:rPr>
      </w:pPr>
    </w:p>
    <w:p w14:paraId="4474AF05" w14:textId="77777777" w:rsidR="001D4C35" w:rsidRDefault="001D4C35">
      <w:pPr>
        <w:pStyle w:val="BodyText"/>
        <w:rPr>
          <w:sz w:val="20"/>
        </w:rPr>
      </w:pPr>
    </w:p>
    <w:p w14:paraId="4474AF06" w14:textId="77777777" w:rsidR="001D4C35" w:rsidRDefault="001D4C35">
      <w:pPr>
        <w:pStyle w:val="BodyText"/>
        <w:rPr>
          <w:sz w:val="20"/>
        </w:rPr>
      </w:pPr>
    </w:p>
    <w:p w14:paraId="4474AF07" w14:textId="77777777" w:rsidR="001D4C35" w:rsidRDefault="001D4C35">
      <w:pPr>
        <w:pStyle w:val="BodyText"/>
        <w:rPr>
          <w:sz w:val="20"/>
        </w:rPr>
      </w:pPr>
    </w:p>
    <w:p w14:paraId="4474AF08" w14:textId="77777777" w:rsidR="001D4C35" w:rsidRDefault="001D4C35">
      <w:pPr>
        <w:pStyle w:val="BodyText"/>
        <w:rPr>
          <w:sz w:val="20"/>
        </w:rPr>
      </w:pPr>
    </w:p>
    <w:p w14:paraId="4474AF09" w14:textId="77777777" w:rsidR="001D4C35" w:rsidRDefault="001D4C35">
      <w:pPr>
        <w:pStyle w:val="BodyText"/>
        <w:rPr>
          <w:sz w:val="20"/>
        </w:rPr>
      </w:pPr>
    </w:p>
    <w:p w14:paraId="4474AF0A" w14:textId="77777777" w:rsidR="001D4C35" w:rsidRDefault="001D4C35">
      <w:pPr>
        <w:pStyle w:val="BodyText"/>
        <w:rPr>
          <w:sz w:val="20"/>
        </w:rPr>
      </w:pPr>
    </w:p>
    <w:p w14:paraId="4474AF0B" w14:textId="77777777" w:rsidR="001D4C35" w:rsidRDefault="001D4C35">
      <w:pPr>
        <w:pStyle w:val="BodyText"/>
        <w:rPr>
          <w:sz w:val="20"/>
        </w:rPr>
      </w:pPr>
    </w:p>
    <w:p w14:paraId="4474AF0C" w14:textId="77777777" w:rsidR="001D4C35" w:rsidRDefault="001D4C35">
      <w:pPr>
        <w:pStyle w:val="BodyText"/>
        <w:rPr>
          <w:sz w:val="20"/>
        </w:rPr>
      </w:pPr>
    </w:p>
    <w:p w14:paraId="4474AF0D" w14:textId="77777777" w:rsidR="001D4C35" w:rsidRDefault="001D4C35">
      <w:pPr>
        <w:pStyle w:val="BodyText"/>
        <w:rPr>
          <w:sz w:val="20"/>
        </w:rPr>
      </w:pPr>
    </w:p>
    <w:p w14:paraId="4474AF0E" w14:textId="77777777" w:rsidR="001D4C35" w:rsidRDefault="001D4C35">
      <w:pPr>
        <w:pStyle w:val="BodyText"/>
        <w:rPr>
          <w:sz w:val="20"/>
        </w:rPr>
      </w:pPr>
    </w:p>
    <w:p w14:paraId="4474AF0F" w14:textId="77777777" w:rsidR="001D4C35" w:rsidRDefault="001D4C35">
      <w:pPr>
        <w:pStyle w:val="BodyText"/>
        <w:rPr>
          <w:sz w:val="20"/>
        </w:rPr>
      </w:pPr>
    </w:p>
    <w:p w14:paraId="4474AF10" w14:textId="77777777" w:rsidR="001D4C35" w:rsidRDefault="001D4C35">
      <w:pPr>
        <w:pStyle w:val="BodyText"/>
        <w:rPr>
          <w:sz w:val="20"/>
        </w:rPr>
      </w:pPr>
    </w:p>
    <w:p w14:paraId="4474AF11" w14:textId="77777777" w:rsidR="001D4C35" w:rsidRDefault="001D4C35">
      <w:pPr>
        <w:pStyle w:val="BodyText"/>
        <w:rPr>
          <w:sz w:val="20"/>
        </w:rPr>
      </w:pPr>
    </w:p>
    <w:p w14:paraId="4474AF12" w14:textId="77777777" w:rsidR="001D4C35" w:rsidRDefault="001D4C35">
      <w:pPr>
        <w:pStyle w:val="BodyText"/>
        <w:rPr>
          <w:sz w:val="20"/>
        </w:rPr>
      </w:pPr>
    </w:p>
    <w:p w14:paraId="4474AF13" w14:textId="77777777" w:rsidR="001D4C35" w:rsidRDefault="001D4C35">
      <w:pPr>
        <w:pStyle w:val="BodyText"/>
        <w:rPr>
          <w:sz w:val="20"/>
        </w:rPr>
      </w:pPr>
    </w:p>
    <w:p w14:paraId="4474AF14" w14:textId="77777777" w:rsidR="001D4C35" w:rsidRDefault="001D4C35">
      <w:pPr>
        <w:pStyle w:val="BodyText"/>
        <w:rPr>
          <w:sz w:val="20"/>
        </w:rPr>
      </w:pPr>
    </w:p>
    <w:p w14:paraId="4474AF15" w14:textId="77777777" w:rsidR="001D4C35" w:rsidRDefault="001D4C35">
      <w:pPr>
        <w:pStyle w:val="BodyText"/>
        <w:rPr>
          <w:sz w:val="20"/>
        </w:rPr>
      </w:pPr>
    </w:p>
    <w:p w14:paraId="4474AF16" w14:textId="77777777" w:rsidR="001D4C35" w:rsidRDefault="001D4C35">
      <w:pPr>
        <w:pStyle w:val="BodyText"/>
        <w:rPr>
          <w:sz w:val="20"/>
        </w:rPr>
      </w:pPr>
    </w:p>
    <w:p w14:paraId="4474AF17" w14:textId="77777777" w:rsidR="001D4C35" w:rsidRDefault="001D4C35">
      <w:pPr>
        <w:pStyle w:val="BodyText"/>
        <w:rPr>
          <w:sz w:val="20"/>
        </w:rPr>
      </w:pPr>
    </w:p>
    <w:p w14:paraId="4474AF18" w14:textId="77777777" w:rsidR="001D4C35" w:rsidRDefault="001D4C35">
      <w:pPr>
        <w:pStyle w:val="BodyText"/>
        <w:rPr>
          <w:sz w:val="20"/>
        </w:rPr>
      </w:pPr>
    </w:p>
    <w:p w14:paraId="4474AF19" w14:textId="77777777" w:rsidR="001D4C35" w:rsidRDefault="001D4C35">
      <w:pPr>
        <w:pStyle w:val="BodyText"/>
        <w:rPr>
          <w:sz w:val="20"/>
        </w:rPr>
      </w:pPr>
    </w:p>
    <w:p w14:paraId="4474AF1A" w14:textId="77777777" w:rsidR="001D4C35" w:rsidRDefault="001D4C35">
      <w:pPr>
        <w:pStyle w:val="BodyText"/>
        <w:rPr>
          <w:sz w:val="20"/>
        </w:rPr>
      </w:pPr>
    </w:p>
    <w:p w14:paraId="4474AF1B" w14:textId="77777777" w:rsidR="001D4C35" w:rsidRDefault="001D4C35">
      <w:pPr>
        <w:pStyle w:val="BodyText"/>
        <w:rPr>
          <w:sz w:val="20"/>
        </w:rPr>
      </w:pPr>
    </w:p>
    <w:p w14:paraId="4474AF1C" w14:textId="77777777" w:rsidR="001D4C35" w:rsidRDefault="001D4C35">
      <w:pPr>
        <w:pStyle w:val="BodyText"/>
        <w:rPr>
          <w:sz w:val="20"/>
        </w:rPr>
      </w:pPr>
    </w:p>
    <w:p w14:paraId="4474AF1D" w14:textId="77777777" w:rsidR="001D4C35" w:rsidRDefault="001D4C35">
      <w:pPr>
        <w:pStyle w:val="BodyText"/>
        <w:rPr>
          <w:sz w:val="20"/>
        </w:rPr>
      </w:pPr>
    </w:p>
    <w:p w14:paraId="4474AF1E" w14:textId="77777777" w:rsidR="001D4C35" w:rsidRDefault="001D4C35">
      <w:pPr>
        <w:pStyle w:val="BodyText"/>
        <w:rPr>
          <w:sz w:val="20"/>
        </w:rPr>
      </w:pPr>
    </w:p>
    <w:p w14:paraId="4474AF1F" w14:textId="77777777" w:rsidR="001D4C35" w:rsidRDefault="001D4C35">
      <w:pPr>
        <w:pStyle w:val="BodyText"/>
        <w:rPr>
          <w:sz w:val="20"/>
        </w:rPr>
      </w:pPr>
    </w:p>
    <w:p w14:paraId="4474AF20" w14:textId="77777777" w:rsidR="001D4C35" w:rsidRDefault="001D4C35">
      <w:pPr>
        <w:pStyle w:val="BodyText"/>
        <w:rPr>
          <w:sz w:val="20"/>
        </w:rPr>
      </w:pPr>
    </w:p>
    <w:p w14:paraId="4474AF21" w14:textId="77777777" w:rsidR="001D4C35" w:rsidRDefault="001D4C35">
      <w:pPr>
        <w:pStyle w:val="BodyText"/>
        <w:rPr>
          <w:sz w:val="20"/>
        </w:rPr>
      </w:pPr>
    </w:p>
    <w:p w14:paraId="4474AF22" w14:textId="77777777" w:rsidR="001D4C35" w:rsidRDefault="001D4C35">
      <w:pPr>
        <w:pStyle w:val="BodyText"/>
        <w:rPr>
          <w:sz w:val="20"/>
        </w:rPr>
      </w:pPr>
    </w:p>
    <w:p w14:paraId="4474AF23" w14:textId="77777777" w:rsidR="001D4C35" w:rsidRDefault="001D4C35">
      <w:pPr>
        <w:pStyle w:val="BodyText"/>
        <w:rPr>
          <w:sz w:val="20"/>
        </w:rPr>
      </w:pPr>
    </w:p>
    <w:p w14:paraId="4474AF24" w14:textId="77777777" w:rsidR="001D4C35" w:rsidRDefault="007E6DC4">
      <w:pPr>
        <w:pStyle w:val="BodyText"/>
        <w:spacing w:before="4"/>
        <w:rPr>
          <w:sz w:val="17"/>
        </w:rPr>
      </w:pPr>
      <w:r>
        <w:pict w14:anchorId="4474B0AB">
          <v:shape id="_x0000_s2060" style="position:absolute;margin-left:42.6pt;margin-top:12.55pt;width:2in;height:.1pt;z-index:-251572224;mso-wrap-distance-left:0;mso-wrap-distance-right:0;mso-position-horizontal-relative:page" coordorigin="852,251" coordsize="2880,0" path="m852,251r2880,e" filled="f" strokeweight=".8pt">
            <v:path arrowok="t"/>
            <w10:wrap type="topAndBottom" anchorx="page"/>
          </v:shape>
        </w:pict>
      </w:r>
    </w:p>
    <w:p w14:paraId="4474AF25" w14:textId="77777777" w:rsidR="001D4C35" w:rsidRDefault="001D4C35">
      <w:pPr>
        <w:rPr>
          <w:sz w:val="17"/>
        </w:rPr>
        <w:sectPr w:rsidR="001D4C35">
          <w:pgSz w:w="11910" w:h="16840"/>
          <w:pgMar w:top="840" w:right="740" w:bottom="1240" w:left="680" w:header="0" w:footer="1012" w:gutter="0"/>
          <w:cols w:space="720"/>
        </w:sectPr>
      </w:pPr>
    </w:p>
    <w:p w14:paraId="4474AF26" w14:textId="77777777" w:rsidR="001D4C35" w:rsidRDefault="00D84817">
      <w:pPr>
        <w:pStyle w:val="Heading3"/>
        <w:spacing w:before="71"/>
        <w:ind w:left="304"/>
      </w:pPr>
      <w:bookmarkStart w:id="21" w:name="Contacts"/>
      <w:bookmarkEnd w:id="21"/>
      <w:r>
        <w:lastRenderedPageBreak/>
        <w:t>Contacts</w:t>
      </w:r>
    </w:p>
    <w:p w14:paraId="4474AF27" w14:textId="77777777" w:rsidR="001D4C35" w:rsidRDefault="001D4C35">
      <w:pPr>
        <w:pStyle w:val="BodyText"/>
        <w:spacing w:before="1"/>
        <w:rPr>
          <w:b/>
          <w:sz w:val="27"/>
        </w:rPr>
      </w:pPr>
    </w:p>
    <w:tbl>
      <w:tblPr>
        <w:tblW w:w="0" w:type="auto"/>
        <w:tblInd w:w="123" w:type="dxa"/>
        <w:tblLayout w:type="fixed"/>
        <w:tblCellMar>
          <w:left w:w="0" w:type="dxa"/>
          <w:right w:w="0" w:type="dxa"/>
        </w:tblCellMar>
        <w:tblLook w:val="01E0" w:firstRow="1" w:lastRow="1" w:firstColumn="1" w:lastColumn="1" w:noHBand="0" w:noVBand="0"/>
      </w:tblPr>
      <w:tblGrid>
        <w:gridCol w:w="4299"/>
        <w:gridCol w:w="5774"/>
      </w:tblGrid>
      <w:tr w:rsidR="001D4C35" w14:paraId="4474AF2E" w14:textId="77777777">
        <w:trPr>
          <w:trHeight w:val="940"/>
        </w:trPr>
        <w:tc>
          <w:tcPr>
            <w:tcW w:w="4299" w:type="dxa"/>
          </w:tcPr>
          <w:p w14:paraId="4474AF28" w14:textId="77777777" w:rsidR="001D4C35" w:rsidRPr="007E1209" w:rsidRDefault="00D84817">
            <w:pPr>
              <w:pStyle w:val="TableParagraph"/>
              <w:spacing w:line="257" w:lineRule="exact"/>
              <w:rPr>
                <w:b/>
                <w:i/>
                <w:lang w:val="it-IT"/>
              </w:rPr>
            </w:pPr>
            <w:r w:rsidRPr="007E1209">
              <w:rPr>
                <w:b/>
                <w:i/>
                <w:lang w:val="it-IT"/>
              </w:rPr>
              <w:t>ISDA London:</w:t>
            </w:r>
          </w:p>
          <w:p w14:paraId="4474AF29" w14:textId="77777777" w:rsidR="001D4C35" w:rsidRPr="007E1209" w:rsidRDefault="00D84817">
            <w:pPr>
              <w:pStyle w:val="TableParagraph"/>
              <w:spacing w:line="257" w:lineRule="exact"/>
              <w:rPr>
                <w:lang w:val="it-IT"/>
              </w:rPr>
            </w:pPr>
            <w:r w:rsidRPr="007E1209">
              <w:rPr>
                <w:lang w:val="it-IT"/>
              </w:rPr>
              <w:t xml:space="preserve">Gregg Jones, </w:t>
            </w:r>
            <w:hyperlink r:id="rId13">
              <w:r w:rsidRPr="007E1209">
                <w:rPr>
                  <w:color w:val="0000FF"/>
                  <w:u w:val="single" w:color="0000FF"/>
                  <w:lang w:val="it-IT"/>
                </w:rPr>
                <w:t>gjones@isda.org</w:t>
              </w:r>
            </w:hyperlink>
          </w:p>
          <w:p w14:paraId="4474AF2A" w14:textId="77777777" w:rsidR="001D4C35" w:rsidRDefault="00D84817">
            <w:pPr>
              <w:pStyle w:val="TableParagraph"/>
              <w:spacing w:before="2"/>
            </w:pPr>
            <w:r>
              <w:t>+44 (0)20 3808 9746</w:t>
            </w:r>
          </w:p>
        </w:tc>
        <w:tc>
          <w:tcPr>
            <w:tcW w:w="5774" w:type="dxa"/>
          </w:tcPr>
          <w:p w14:paraId="4474AF2B" w14:textId="77777777" w:rsidR="001D4C35" w:rsidRPr="00D76835" w:rsidRDefault="00D84817">
            <w:pPr>
              <w:pStyle w:val="TableParagraph"/>
              <w:spacing w:line="257" w:lineRule="exact"/>
              <w:ind w:left="897"/>
              <w:rPr>
                <w:b/>
                <w:i/>
                <w:lang w:val="fr-FR"/>
              </w:rPr>
            </w:pPr>
            <w:r w:rsidRPr="00D76835">
              <w:rPr>
                <w:b/>
                <w:i/>
                <w:lang w:val="fr-FR"/>
              </w:rPr>
              <w:t>ISDA Brussels:</w:t>
            </w:r>
          </w:p>
          <w:p w14:paraId="4474AF2C" w14:textId="77777777" w:rsidR="001D4C35" w:rsidRPr="00D76835" w:rsidRDefault="00D84817">
            <w:pPr>
              <w:pStyle w:val="TableParagraph"/>
              <w:spacing w:line="257" w:lineRule="exact"/>
              <w:ind w:left="897"/>
              <w:rPr>
                <w:lang w:val="fr-FR"/>
              </w:rPr>
            </w:pPr>
            <w:r w:rsidRPr="00D76835">
              <w:rPr>
                <w:lang w:val="fr-FR"/>
              </w:rPr>
              <w:t xml:space="preserve">Sandrine Lapinsonniere, </w:t>
            </w:r>
            <w:hyperlink r:id="rId14">
              <w:r w:rsidRPr="00D76835">
                <w:rPr>
                  <w:color w:val="0000FF"/>
                  <w:u w:val="single" w:color="0000FF"/>
                  <w:lang w:val="fr-FR"/>
                </w:rPr>
                <w:t>slapinsonniere@isda.org</w:t>
              </w:r>
            </w:hyperlink>
          </w:p>
          <w:p w14:paraId="4474AF2D" w14:textId="77777777" w:rsidR="001D4C35" w:rsidRDefault="00D84817">
            <w:pPr>
              <w:pStyle w:val="TableParagraph"/>
              <w:spacing w:before="2"/>
              <w:ind w:left="897"/>
            </w:pPr>
            <w:r>
              <w:t>+32 (0)2 2 808 8016</w:t>
            </w:r>
          </w:p>
        </w:tc>
      </w:tr>
      <w:tr w:rsidR="001D4C35" w14:paraId="4474AF35" w14:textId="77777777">
        <w:trPr>
          <w:trHeight w:val="940"/>
        </w:trPr>
        <w:tc>
          <w:tcPr>
            <w:tcW w:w="4299" w:type="dxa"/>
          </w:tcPr>
          <w:p w14:paraId="4474AF2F" w14:textId="77777777" w:rsidR="001D4C35" w:rsidRDefault="00D84817">
            <w:pPr>
              <w:pStyle w:val="TableParagraph"/>
              <w:spacing w:before="167" w:line="257" w:lineRule="exact"/>
              <w:rPr>
                <w:b/>
                <w:i/>
              </w:rPr>
            </w:pPr>
            <w:r>
              <w:rPr>
                <w:b/>
                <w:i/>
              </w:rPr>
              <w:t>AFME London:</w:t>
            </w:r>
          </w:p>
          <w:p w14:paraId="4474AF30" w14:textId="77777777" w:rsidR="001D4C35" w:rsidRDefault="00D84817">
            <w:pPr>
              <w:pStyle w:val="TableParagraph"/>
              <w:spacing w:line="257" w:lineRule="exact"/>
            </w:pPr>
            <w:r>
              <w:t xml:space="preserve">Sahir Akbar, </w:t>
            </w:r>
            <w:hyperlink r:id="rId15">
              <w:r>
                <w:rPr>
                  <w:color w:val="006EC0"/>
                  <w:u w:val="single" w:color="006EC0"/>
                </w:rPr>
                <w:t>sahir.akbar@afme.eu</w:t>
              </w:r>
            </w:hyperlink>
          </w:p>
          <w:p w14:paraId="4474AF31" w14:textId="77777777" w:rsidR="001D4C35" w:rsidRDefault="00D84817">
            <w:pPr>
              <w:pStyle w:val="TableParagraph"/>
              <w:spacing w:before="2" w:line="238" w:lineRule="exact"/>
            </w:pPr>
            <w:r>
              <w:t>+44 (0)20 3828 2732</w:t>
            </w:r>
          </w:p>
        </w:tc>
        <w:tc>
          <w:tcPr>
            <w:tcW w:w="5774" w:type="dxa"/>
          </w:tcPr>
          <w:p w14:paraId="4474AF32" w14:textId="77777777" w:rsidR="001D4C35" w:rsidRPr="007E1209" w:rsidRDefault="00D84817">
            <w:pPr>
              <w:pStyle w:val="TableParagraph"/>
              <w:spacing w:before="167" w:line="257" w:lineRule="exact"/>
              <w:ind w:left="897"/>
              <w:rPr>
                <w:b/>
                <w:i/>
                <w:lang w:val="it-IT"/>
              </w:rPr>
            </w:pPr>
            <w:r w:rsidRPr="007E1209">
              <w:rPr>
                <w:b/>
                <w:i/>
                <w:lang w:val="it-IT"/>
              </w:rPr>
              <w:t>AFME Brussels:</w:t>
            </w:r>
          </w:p>
          <w:p w14:paraId="4474AF33" w14:textId="77777777" w:rsidR="001D4C35" w:rsidRPr="007E1209" w:rsidRDefault="00D84817">
            <w:pPr>
              <w:pStyle w:val="TableParagraph"/>
              <w:spacing w:line="257" w:lineRule="exact"/>
              <w:ind w:left="897"/>
              <w:rPr>
                <w:lang w:val="it-IT"/>
              </w:rPr>
            </w:pPr>
            <w:r w:rsidRPr="007E1209">
              <w:rPr>
                <w:lang w:val="it-IT"/>
              </w:rPr>
              <w:t xml:space="preserve">Stefano Mazzocchi, </w:t>
            </w:r>
            <w:hyperlink r:id="rId16">
              <w:r w:rsidRPr="007E1209">
                <w:rPr>
                  <w:color w:val="006EC0"/>
                  <w:u w:val="single" w:color="006EC0"/>
                  <w:lang w:val="it-IT"/>
                </w:rPr>
                <w:t>stefano.mazzocchi@afme.eu</w:t>
              </w:r>
            </w:hyperlink>
          </w:p>
          <w:p w14:paraId="4474AF34" w14:textId="77777777" w:rsidR="001D4C35" w:rsidRDefault="00D84817">
            <w:pPr>
              <w:pStyle w:val="TableParagraph"/>
              <w:spacing w:before="2" w:line="238" w:lineRule="exact"/>
              <w:ind w:left="897"/>
            </w:pPr>
            <w:r>
              <w:t>+32 (0)2 788 3972</w:t>
            </w:r>
          </w:p>
        </w:tc>
      </w:tr>
    </w:tbl>
    <w:p w14:paraId="4474AF36" w14:textId="77777777" w:rsidR="001D4C35" w:rsidRDefault="001D4C35">
      <w:pPr>
        <w:pStyle w:val="BodyText"/>
        <w:rPr>
          <w:b/>
          <w:sz w:val="26"/>
        </w:rPr>
      </w:pPr>
    </w:p>
    <w:p w14:paraId="4474AF37" w14:textId="77777777" w:rsidR="001D4C35" w:rsidRDefault="001D4C35">
      <w:pPr>
        <w:pStyle w:val="BodyText"/>
        <w:rPr>
          <w:b/>
          <w:sz w:val="26"/>
        </w:rPr>
      </w:pPr>
    </w:p>
    <w:p w14:paraId="4474AF38" w14:textId="77777777" w:rsidR="001D4C35" w:rsidRDefault="001D4C35">
      <w:pPr>
        <w:pStyle w:val="BodyText"/>
        <w:spacing w:before="11"/>
        <w:rPr>
          <w:b/>
          <w:sz w:val="26"/>
        </w:rPr>
      </w:pPr>
    </w:p>
    <w:p w14:paraId="4474AF39" w14:textId="77777777" w:rsidR="001D4C35" w:rsidRPr="00D27AA2" w:rsidRDefault="00D84817" w:rsidP="00D27AA2">
      <w:pPr>
        <w:pStyle w:val="Heading3"/>
        <w:spacing w:before="100"/>
        <w:ind w:left="304"/>
        <w:jc w:val="both"/>
      </w:pPr>
      <w:r>
        <w:t>About ISDA</w:t>
      </w:r>
    </w:p>
    <w:p w14:paraId="4474AF3A" w14:textId="77777777" w:rsidR="001D4C35" w:rsidRDefault="001D4C35">
      <w:pPr>
        <w:pStyle w:val="BodyText"/>
        <w:spacing w:before="1"/>
        <w:rPr>
          <w:b/>
          <w:sz w:val="27"/>
        </w:rPr>
      </w:pPr>
    </w:p>
    <w:p w14:paraId="4474AF3B" w14:textId="77777777" w:rsidR="001D4C35" w:rsidRDefault="00D84817">
      <w:pPr>
        <w:pStyle w:val="BodyText"/>
        <w:spacing w:before="1" w:line="276" w:lineRule="auto"/>
        <w:ind w:left="304" w:right="291"/>
        <w:jc w:val="both"/>
      </w:pPr>
      <w:r>
        <w:t>Since</w:t>
      </w:r>
      <w:r>
        <w:rPr>
          <w:spacing w:val="-6"/>
        </w:rPr>
        <w:t xml:space="preserve"> </w:t>
      </w:r>
      <w:r>
        <w:t>1985,</w:t>
      </w:r>
      <w:r>
        <w:rPr>
          <w:spacing w:val="-8"/>
        </w:rPr>
        <w:t xml:space="preserve"> </w:t>
      </w:r>
      <w:r>
        <w:t>ISDA</w:t>
      </w:r>
      <w:r>
        <w:rPr>
          <w:spacing w:val="-4"/>
        </w:rPr>
        <w:t xml:space="preserve"> </w:t>
      </w:r>
      <w:r>
        <w:t>has</w:t>
      </w:r>
      <w:r>
        <w:rPr>
          <w:spacing w:val="-6"/>
        </w:rPr>
        <w:t xml:space="preserve"> </w:t>
      </w:r>
      <w:r>
        <w:t>worked</w:t>
      </w:r>
      <w:r>
        <w:rPr>
          <w:spacing w:val="-5"/>
        </w:rPr>
        <w:t xml:space="preserve"> </w:t>
      </w:r>
      <w:r>
        <w:t>to</w:t>
      </w:r>
      <w:r>
        <w:rPr>
          <w:spacing w:val="-8"/>
        </w:rPr>
        <w:t xml:space="preserve"> </w:t>
      </w:r>
      <w:r>
        <w:t>make</w:t>
      </w:r>
      <w:r>
        <w:rPr>
          <w:spacing w:val="-6"/>
        </w:rPr>
        <w:t xml:space="preserve"> </w:t>
      </w:r>
      <w:r>
        <w:t>the</w:t>
      </w:r>
      <w:r>
        <w:rPr>
          <w:spacing w:val="-6"/>
        </w:rPr>
        <w:t xml:space="preserve"> </w:t>
      </w:r>
      <w:r>
        <w:t>global</w:t>
      </w:r>
      <w:r>
        <w:rPr>
          <w:spacing w:val="-7"/>
        </w:rPr>
        <w:t xml:space="preserve"> </w:t>
      </w:r>
      <w:r>
        <w:t>derivatives</w:t>
      </w:r>
      <w:r>
        <w:rPr>
          <w:spacing w:val="-5"/>
        </w:rPr>
        <w:t xml:space="preserve"> </w:t>
      </w:r>
      <w:r>
        <w:t>markets</w:t>
      </w:r>
      <w:r>
        <w:rPr>
          <w:spacing w:val="-5"/>
        </w:rPr>
        <w:t xml:space="preserve"> </w:t>
      </w:r>
      <w:r>
        <w:t>safer</w:t>
      </w:r>
      <w:r>
        <w:rPr>
          <w:spacing w:val="-5"/>
        </w:rPr>
        <w:t xml:space="preserve"> </w:t>
      </w:r>
      <w:r>
        <w:t>and</w:t>
      </w:r>
      <w:r>
        <w:rPr>
          <w:spacing w:val="-5"/>
        </w:rPr>
        <w:t xml:space="preserve"> </w:t>
      </w:r>
      <w:r>
        <w:t>more</w:t>
      </w:r>
      <w:r>
        <w:rPr>
          <w:spacing w:val="-6"/>
        </w:rPr>
        <w:t xml:space="preserve"> </w:t>
      </w:r>
      <w:r>
        <w:t>efficient.</w:t>
      </w:r>
      <w:r>
        <w:rPr>
          <w:spacing w:val="-8"/>
        </w:rPr>
        <w:t xml:space="preserve"> </w:t>
      </w:r>
      <w:r>
        <w:t>Today,</w:t>
      </w:r>
      <w:r>
        <w:rPr>
          <w:spacing w:val="-8"/>
        </w:rPr>
        <w:t xml:space="preserve"> </w:t>
      </w:r>
      <w:r>
        <w:t>ISDA has over 850 member institutions from 66 countries. These members comprise a broad range of derivatives market participants, including corporations, investment managers, government and supranational entities, insurance companies, energy and commodities firms, and international and regional banks. In addition to market participants, members also include key components of the derivatives market infrastructure, such as exchanges, intermediaries, clearing houses and repositories, as well as law firms, accounting firms and other service providers. Information about ISDA and its activities is available on the Association's website:</w:t>
      </w:r>
      <w:r>
        <w:rPr>
          <w:spacing w:val="-1"/>
        </w:rPr>
        <w:t xml:space="preserve"> </w:t>
      </w:r>
      <w:hyperlink r:id="rId17">
        <w:r>
          <w:rPr>
            <w:color w:val="006EC0"/>
            <w:u w:val="single" w:color="006EC0"/>
          </w:rPr>
          <w:t>www.isda.org</w:t>
        </w:r>
        <w:r>
          <w:t>.</w:t>
        </w:r>
      </w:hyperlink>
    </w:p>
    <w:p w14:paraId="4474AF3C" w14:textId="77777777" w:rsidR="001D4C35" w:rsidRDefault="001D4C35">
      <w:pPr>
        <w:pStyle w:val="BodyText"/>
        <w:spacing w:before="3"/>
        <w:rPr>
          <w:sz w:val="15"/>
        </w:rPr>
      </w:pPr>
    </w:p>
    <w:p w14:paraId="4474AF3D" w14:textId="77777777" w:rsidR="001D4C35" w:rsidRDefault="00D84817">
      <w:pPr>
        <w:pStyle w:val="Heading3"/>
        <w:spacing w:before="100"/>
        <w:ind w:left="304"/>
        <w:jc w:val="both"/>
      </w:pPr>
      <w:r>
        <w:t>About AFME</w:t>
      </w:r>
    </w:p>
    <w:p w14:paraId="4474AF3E" w14:textId="77777777" w:rsidR="001D4C35" w:rsidRDefault="001D4C35">
      <w:pPr>
        <w:pStyle w:val="BodyText"/>
        <w:spacing w:before="1"/>
        <w:rPr>
          <w:b/>
          <w:sz w:val="27"/>
        </w:rPr>
      </w:pPr>
    </w:p>
    <w:p w14:paraId="4474AF3F" w14:textId="77777777" w:rsidR="001D4C35" w:rsidRDefault="00D84817">
      <w:pPr>
        <w:pStyle w:val="BodyText"/>
        <w:spacing w:before="1" w:line="276" w:lineRule="auto"/>
        <w:ind w:left="303" w:right="248"/>
        <w:jc w:val="both"/>
      </w:pPr>
      <w:r>
        <w:t xml:space="preserve">AFME represents a broad array of European and global participants in the wholesale financial markets. Its members comprise pan-EU and global banks as well as key regional banks, brokers, law firms, investors and other financial market participants. We advocate stable, competitive, sustainable European financial markets that support economic growth and benefit society. AFME is the European member of the Global Financial Markets Association (GFMA) a global alliance with the Securities Industry </w:t>
      </w:r>
      <w:r>
        <w:rPr>
          <w:spacing w:val="-3"/>
        </w:rPr>
        <w:t xml:space="preserve">and </w:t>
      </w:r>
      <w:r>
        <w:t>Financial Markets Association</w:t>
      </w:r>
      <w:r>
        <w:rPr>
          <w:spacing w:val="-8"/>
        </w:rPr>
        <w:t xml:space="preserve"> </w:t>
      </w:r>
      <w:r>
        <w:t>(SIFMA)</w:t>
      </w:r>
      <w:r>
        <w:rPr>
          <w:spacing w:val="-20"/>
        </w:rPr>
        <w:t xml:space="preserve"> </w:t>
      </w:r>
      <w:r>
        <w:t>in</w:t>
      </w:r>
      <w:r>
        <w:rPr>
          <w:spacing w:val="-18"/>
        </w:rPr>
        <w:t xml:space="preserve"> </w:t>
      </w:r>
      <w:r>
        <w:t>the</w:t>
      </w:r>
      <w:r>
        <w:rPr>
          <w:spacing w:val="-15"/>
        </w:rPr>
        <w:t xml:space="preserve"> </w:t>
      </w:r>
      <w:r>
        <w:t>US,</w:t>
      </w:r>
      <w:r>
        <w:rPr>
          <w:spacing w:val="-17"/>
        </w:rPr>
        <w:t xml:space="preserve"> </w:t>
      </w:r>
      <w:r>
        <w:t>and</w:t>
      </w:r>
      <w:r>
        <w:rPr>
          <w:spacing w:val="-18"/>
        </w:rPr>
        <w:t xml:space="preserve"> </w:t>
      </w:r>
      <w:r>
        <w:t>the</w:t>
      </w:r>
      <w:r>
        <w:rPr>
          <w:spacing w:val="-15"/>
        </w:rPr>
        <w:t xml:space="preserve"> </w:t>
      </w:r>
      <w:r>
        <w:t>Asia</w:t>
      </w:r>
      <w:r>
        <w:rPr>
          <w:spacing w:val="-11"/>
        </w:rPr>
        <w:t xml:space="preserve"> </w:t>
      </w:r>
      <w:r>
        <w:t>Securities</w:t>
      </w:r>
      <w:r>
        <w:rPr>
          <w:spacing w:val="-15"/>
        </w:rPr>
        <w:t xml:space="preserve"> </w:t>
      </w:r>
      <w:r>
        <w:t>Industry</w:t>
      </w:r>
      <w:r>
        <w:rPr>
          <w:spacing w:val="-19"/>
        </w:rPr>
        <w:t xml:space="preserve"> </w:t>
      </w:r>
      <w:r>
        <w:t>and</w:t>
      </w:r>
      <w:r>
        <w:rPr>
          <w:spacing w:val="-17"/>
        </w:rPr>
        <w:t xml:space="preserve"> </w:t>
      </w:r>
      <w:r>
        <w:t>Financial</w:t>
      </w:r>
      <w:r>
        <w:rPr>
          <w:spacing w:val="-20"/>
        </w:rPr>
        <w:t xml:space="preserve"> </w:t>
      </w:r>
      <w:r>
        <w:t>Markets</w:t>
      </w:r>
      <w:r>
        <w:rPr>
          <w:spacing w:val="-14"/>
        </w:rPr>
        <w:t xml:space="preserve"> </w:t>
      </w:r>
      <w:r>
        <w:t>Association</w:t>
      </w:r>
      <w:r>
        <w:rPr>
          <w:spacing w:val="-19"/>
        </w:rPr>
        <w:t xml:space="preserve"> </w:t>
      </w:r>
      <w:r>
        <w:t xml:space="preserve">(ASIFMA) in Asia. AFME is listed on the EU Register </w:t>
      </w:r>
      <w:r>
        <w:rPr>
          <w:spacing w:val="-3"/>
        </w:rPr>
        <w:t xml:space="preserve">of </w:t>
      </w:r>
      <w:r>
        <w:t>Interest Representatives, registration number</w:t>
      </w:r>
      <w:r>
        <w:rPr>
          <w:spacing w:val="-5"/>
        </w:rPr>
        <w:t xml:space="preserve"> </w:t>
      </w:r>
      <w:r>
        <w:t>65110063986-</w:t>
      </w:r>
    </w:p>
    <w:p w14:paraId="4474AF40" w14:textId="77777777" w:rsidR="001D4C35" w:rsidRDefault="00D84817">
      <w:pPr>
        <w:pStyle w:val="ListParagraph"/>
        <w:numPr>
          <w:ilvl w:val="1"/>
          <w:numId w:val="8"/>
        </w:numPr>
        <w:tabs>
          <w:tab w:val="left" w:pos="636"/>
        </w:tabs>
        <w:spacing w:line="258" w:lineRule="exact"/>
        <w:ind w:hanging="333"/>
        <w:jc w:val="both"/>
      </w:pPr>
      <w:r>
        <w:t>Information about AFME and its activities is available on the Association's website:</w:t>
      </w:r>
      <w:r>
        <w:rPr>
          <w:color w:val="006FC0"/>
          <w:spacing w:val="-26"/>
        </w:rPr>
        <w:t xml:space="preserve"> </w:t>
      </w:r>
      <w:hyperlink r:id="rId18">
        <w:r>
          <w:rPr>
            <w:color w:val="006FC0"/>
            <w:u w:val="single" w:color="006FC0"/>
          </w:rPr>
          <w:t>www.afme.eu</w:t>
        </w:r>
        <w:r>
          <w:rPr>
            <w:color w:val="006FC0"/>
          </w:rPr>
          <w:t>.</w:t>
        </w:r>
      </w:hyperlink>
    </w:p>
    <w:p w14:paraId="4474AF41" w14:textId="77777777" w:rsidR="001D4C35" w:rsidRDefault="001D4C35">
      <w:pPr>
        <w:spacing w:line="258" w:lineRule="exact"/>
        <w:jc w:val="both"/>
        <w:sectPr w:rsidR="001D4C35">
          <w:pgSz w:w="11910" w:h="16840"/>
          <w:pgMar w:top="1280" w:right="740" w:bottom="1240" w:left="680" w:header="0" w:footer="1012" w:gutter="0"/>
          <w:cols w:space="720"/>
        </w:sectPr>
      </w:pPr>
    </w:p>
    <w:p w14:paraId="4474AF42" w14:textId="77777777" w:rsidR="001D4C35" w:rsidRDefault="001D4C35">
      <w:pPr>
        <w:pStyle w:val="BodyText"/>
        <w:rPr>
          <w:sz w:val="20"/>
        </w:rPr>
      </w:pPr>
    </w:p>
    <w:p w14:paraId="4474AF43" w14:textId="77777777" w:rsidR="001D4C35" w:rsidRDefault="001D4C35">
      <w:pPr>
        <w:pStyle w:val="BodyText"/>
        <w:rPr>
          <w:sz w:val="20"/>
        </w:rPr>
      </w:pPr>
    </w:p>
    <w:p w14:paraId="4474AF44" w14:textId="77777777" w:rsidR="001D4C35" w:rsidRDefault="001D4C35">
      <w:pPr>
        <w:pStyle w:val="BodyText"/>
        <w:rPr>
          <w:sz w:val="20"/>
        </w:rPr>
      </w:pPr>
    </w:p>
    <w:p w14:paraId="4474AF45" w14:textId="77777777" w:rsidR="001D4C35" w:rsidRDefault="001D4C35">
      <w:pPr>
        <w:pStyle w:val="BodyText"/>
        <w:rPr>
          <w:sz w:val="20"/>
        </w:rPr>
      </w:pPr>
    </w:p>
    <w:p w14:paraId="4474AF46" w14:textId="77777777" w:rsidR="001D4C35" w:rsidRDefault="001D4C35">
      <w:pPr>
        <w:pStyle w:val="BodyText"/>
        <w:rPr>
          <w:sz w:val="20"/>
        </w:rPr>
      </w:pPr>
    </w:p>
    <w:p w14:paraId="4474AF47" w14:textId="77777777" w:rsidR="001D4C35" w:rsidRDefault="001D4C35">
      <w:pPr>
        <w:pStyle w:val="BodyText"/>
        <w:rPr>
          <w:sz w:val="20"/>
        </w:rPr>
      </w:pPr>
    </w:p>
    <w:p w14:paraId="4474AF48" w14:textId="77777777" w:rsidR="001D4C35" w:rsidRDefault="001D4C35">
      <w:pPr>
        <w:pStyle w:val="BodyText"/>
        <w:rPr>
          <w:sz w:val="20"/>
        </w:rPr>
      </w:pPr>
    </w:p>
    <w:p w14:paraId="4474AF49" w14:textId="77777777" w:rsidR="001D4C35" w:rsidRDefault="001D4C35">
      <w:pPr>
        <w:pStyle w:val="BodyText"/>
        <w:rPr>
          <w:sz w:val="20"/>
        </w:rPr>
      </w:pPr>
    </w:p>
    <w:p w14:paraId="4474AF4A" w14:textId="77777777" w:rsidR="001D4C35" w:rsidRDefault="001D4C35">
      <w:pPr>
        <w:pStyle w:val="BodyText"/>
        <w:rPr>
          <w:sz w:val="20"/>
        </w:rPr>
      </w:pPr>
    </w:p>
    <w:p w14:paraId="4474AF4B" w14:textId="77777777" w:rsidR="001D4C35" w:rsidRDefault="001D4C35">
      <w:pPr>
        <w:pStyle w:val="BodyText"/>
        <w:rPr>
          <w:sz w:val="20"/>
        </w:rPr>
      </w:pPr>
    </w:p>
    <w:p w14:paraId="4474AF4C" w14:textId="77777777" w:rsidR="001D4C35" w:rsidRDefault="001D4C35">
      <w:pPr>
        <w:pStyle w:val="BodyText"/>
        <w:rPr>
          <w:sz w:val="20"/>
        </w:rPr>
      </w:pPr>
    </w:p>
    <w:p w14:paraId="4474AF4D" w14:textId="77777777" w:rsidR="001D4C35" w:rsidRDefault="001D4C35">
      <w:pPr>
        <w:pStyle w:val="BodyText"/>
        <w:rPr>
          <w:sz w:val="20"/>
        </w:rPr>
      </w:pPr>
    </w:p>
    <w:p w14:paraId="4474AF4E" w14:textId="77777777" w:rsidR="001D4C35" w:rsidRDefault="001D4C35">
      <w:pPr>
        <w:pStyle w:val="BodyText"/>
        <w:rPr>
          <w:sz w:val="20"/>
        </w:rPr>
      </w:pPr>
    </w:p>
    <w:p w14:paraId="4474AF4F" w14:textId="77777777" w:rsidR="001D4C35" w:rsidRDefault="001D4C35">
      <w:pPr>
        <w:pStyle w:val="BodyText"/>
        <w:rPr>
          <w:sz w:val="20"/>
        </w:rPr>
      </w:pPr>
    </w:p>
    <w:p w14:paraId="4474AF50" w14:textId="77777777" w:rsidR="001D4C35" w:rsidRDefault="001D4C35">
      <w:pPr>
        <w:pStyle w:val="BodyText"/>
        <w:rPr>
          <w:sz w:val="20"/>
        </w:rPr>
      </w:pPr>
    </w:p>
    <w:p w14:paraId="4474AF51" w14:textId="77777777" w:rsidR="001D4C35" w:rsidRDefault="001D4C35">
      <w:pPr>
        <w:pStyle w:val="BodyText"/>
        <w:rPr>
          <w:sz w:val="20"/>
        </w:rPr>
      </w:pPr>
    </w:p>
    <w:p w14:paraId="4474AF52" w14:textId="77777777" w:rsidR="001D4C35" w:rsidRDefault="001D4C35">
      <w:pPr>
        <w:pStyle w:val="BodyText"/>
        <w:rPr>
          <w:sz w:val="20"/>
        </w:rPr>
      </w:pPr>
    </w:p>
    <w:p w14:paraId="4474AF53" w14:textId="77777777" w:rsidR="001D4C35" w:rsidRDefault="001D4C35">
      <w:pPr>
        <w:pStyle w:val="BodyText"/>
        <w:rPr>
          <w:sz w:val="20"/>
        </w:rPr>
      </w:pPr>
    </w:p>
    <w:p w14:paraId="4474AF54" w14:textId="77777777" w:rsidR="001D4C35" w:rsidRDefault="001D4C35">
      <w:pPr>
        <w:pStyle w:val="BodyText"/>
        <w:rPr>
          <w:sz w:val="20"/>
        </w:rPr>
      </w:pPr>
    </w:p>
    <w:p w14:paraId="4474AF55" w14:textId="77777777" w:rsidR="001D4C35" w:rsidRDefault="001D4C35">
      <w:pPr>
        <w:pStyle w:val="BodyText"/>
        <w:rPr>
          <w:sz w:val="20"/>
        </w:rPr>
      </w:pPr>
    </w:p>
    <w:p w14:paraId="4474AF56" w14:textId="77777777" w:rsidR="001D4C35" w:rsidRDefault="001D4C35">
      <w:pPr>
        <w:pStyle w:val="BodyText"/>
        <w:rPr>
          <w:sz w:val="20"/>
        </w:rPr>
      </w:pPr>
    </w:p>
    <w:p w14:paraId="4474AF57" w14:textId="77777777" w:rsidR="001D4C35" w:rsidRDefault="001D4C35">
      <w:pPr>
        <w:pStyle w:val="BodyText"/>
        <w:rPr>
          <w:sz w:val="20"/>
        </w:rPr>
      </w:pPr>
    </w:p>
    <w:p w14:paraId="4474AF58" w14:textId="77777777" w:rsidR="001D4C35" w:rsidRDefault="001D4C35">
      <w:pPr>
        <w:pStyle w:val="BodyText"/>
        <w:rPr>
          <w:sz w:val="20"/>
        </w:rPr>
      </w:pPr>
    </w:p>
    <w:p w14:paraId="4474AF59" w14:textId="77777777" w:rsidR="001D4C35" w:rsidRDefault="001D4C35">
      <w:pPr>
        <w:pStyle w:val="BodyText"/>
        <w:spacing w:before="10"/>
        <w:rPr>
          <w:sz w:val="28"/>
        </w:rPr>
      </w:pPr>
    </w:p>
    <w:sectPr w:rsidR="001D4C35" w:rsidSect="00D76835">
      <w:pgSz w:w="11910" w:h="16840"/>
      <w:pgMar w:top="780" w:right="460" w:bottom="1200" w:left="560" w:header="0" w:footer="10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3E634" w14:textId="77777777" w:rsidR="00D84817" w:rsidRDefault="00D84817">
      <w:r>
        <w:separator/>
      </w:r>
    </w:p>
  </w:endnote>
  <w:endnote w:type="continuationSeparator" w:id="0">
    <w:p w14:paraId="40B84631" w14:textId="77777777" w:rsidR="00D84817" w:rsidRDefault="00D8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B0CB" w14:textId="77777777" w:rsidR="001D4C35" w:rsidRDefault="007E6DC4">
    <w:pPr>
      <w:pStyle w:val="BodyText"/>
      <w:spacing w:line="14" w:lineRule="auto"/>
      <w:rPr>
        <w:sz w:val="20"/>
      </w:rPr>
    </w:pPr>
    <w:r>
      <w:pict w14:anchorId="4474B0D8">
        <v:shapetype id="_x0000_t202" coordsize="21600,21600" o:spt="202" path="m,l,21600r21600,l21600,xe">
          <v:stroke joinstyle="miter"/>
          <v:path gradientshapeok="t" o:connecttype="rect"/>
        </v:shapetype>
        <v:shape id="_x0000_s1027" type="#_x0000_t202" style="position:absolute;margin-left:291.6pt;margin-top:778.6pt;width:12.1pt;height:14pt;z-index:-251658752;mso-position-horizontal-relative:page;mso-position-vertical-relative:page" filled="f" stroked="f">
          <v:textbox inset="0,0,0,0">
            <w:txbxContent>
              <w:p w14:paraId="4474B1C8" w14:textId="77777777" w:rsidR="001D4C35" w:rsidRDefault="00D84817">
                <w:pPr>
                  <w:spacing w:line="264" w:lineRule="exact"/>
                  <w:ind w:left="60"/>
                  <w:rPr>
                    <w:rFonts w:ascii="Calibri"/>
                    <w:sz w:val="24"/>
                  </w:rPr>
                </w:pPr>
                <w:r>
                  <w:fldChar w:fldCharType="begin"/>
                </w:r>
                <w:r>
                  <w:rPr>
                    <w:rFonts w:ascii="Calibri"/>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FCD0" w14:textId="77777777" w:rsidR="00D84817" w:rsidRDefault="00D84817">
      <w:r>
        <w:separator/>
      </w:r>
    </w:p>
  </w:footnote>
  <w:footnote w:type="continuationSeparator" w:id="0">
    <w:p w14:paraId="10B7F24A" w14:textId="77777777" w:rsidR="00D84817" w:rsidRDefault="00D84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C28"/>
    <w:multiLevelType w:val="hybridMultilevel"/>
    <w:tmpl w:val="FBB028FC"/>
    <w:lvl w:ilvl="0" w:tplc="D8ACB77C">
      <w:numFmt w:val="bullet"/>
      <w:lvlText w:val=""/>
      <w:lvlJc w:val="left"/>
      <w:pPr>
        <w:ind w:left="824" w:hanging="361"/>
      </w:pPr>
      <w:rPr>
        <w:rFonts w:ascii="Symbol" w:eastAsia="Symbol" w:hAnsi="Symbol" w:cs="Symbol" w:hint="default"/>
        <w:w w:val="100"/>
        <w:sz w:val="22"/>
        <w:szCs w:val="22"/>
      </w:rPr>
    </w:lvl>
    <w:lvl w:ilvl="1" w:tplc="A5BCBE0C">
      <w:numFmt w:val="bullet"/>
      <w:lvlText w:val="•"/>
      <w:lvlJc w:val="left"/>
      <w:pPr>
        <w:ind w:left="1756" w:hanging="361"/>
      </w:pPr>
      <w:rPr>
        <w:rFonts w:hint="default"/>
      </w:rPr>
    </w:lvl>
    <w:lvl w:ilvl="2" w:tplc="6186E1B4">
      <w:numFmt w:val="bullet"/>
      <w:lvlText w:val="•"/>
      <w:lvlJc w:val="left"/>
      <w:pPr>
        <w:ind w:left="2693" w:hanging="361"/>
      </w:pPr>
      <w:rPr>
        <w:rFonts w:hint="default"/>
      </w:rPr>
    </w:lvl>
    <w:lvl w:ilvl="3" w:tplc="5F0E083E">
      <w:numFmt w:val="bullet"/>
      <w:lvlText w:val="•"/>
      <w:lvlJc w:val="left"/>
      <w:pPr>
        <w:ind w:left="3630" w:hanging="361"/>
      </w:pPr>
      <w:rPr>
        <w:rFonts w:hint="default"/>
      </w:rPr>
    </w:lvl>
    <w:lvl w:ilvl="4" w:tplc="8772B702">
      <w:numFmt w:val="bullet"/>
      <w:lvlText w:val="•"/>
      <w:lvlJc w:val="left"/>
      <w:pPr>
        <w:ind w:left="4567" w:hanging="361"/>
      </w:pPr>
      <w:rPr>
        <w:rFonts w:hint="default"/>
      </w:rPr>
    </w:lvl>
    <w:lvl w:ilvl="5" w:tplc="721AAA4C">
      <w:numFmt w:val="bullet"/>
      <w:lvlText w:val="•"/>
      <w:lvlJc w:val="left"/>
      <w:pPr>
        <w:ind w:left="5504" w:hanging="361"/>
      </w:pPr>
      <w:rPr>
        <w:rFonts w:hint="default"/>
      </w:rPr>
    </w:lvl>
    <w:lvl w:ilvl="6" w:tplc="8F52DBFA">
      <w:numFmt w:val="bullet"/>
      <w:lvlText w:val="•"/>
      <w:lvlJc w:val="left"/>
      <w:pPr>
        <w:ind w:left="6440" w:hanging="361"/>
      </w:pPr>
      <w:rPr>
        <w:rFonts w:hint="default"/>
      </w:rPr>
    </w:lvl>
    <w:lvl w:ilvl="7" w:tplc="84B48C04">
      <w:numFmt w:val="bullet"/>
      <w:lvlText w:val="•"/>
      <w:lvlJc w:val="left"/>
      <w:pPr>
        <w:ind w:left="7377" w:hanging="361"/>
      </w:pPr>
      <w:rPr>
        <w:rFonts w:hint="default"/>
      </w:rPr>
    </w:lvl>
    <w:lvl w:ilvl="8" w:tplc="0C8833F2">
      <w:numFmt w:val="bullet"/>
      <w:lvlText w:val="•"/>
      <w:lvlJc w:val="left"/>
      <w:pPr>
        <w:ind w:left="8314" w:hanging="361"/>
      </w:pPr>
      <w:rPr>
        <w:rFonts w:hint="default"/>
      </w:rPr>
    </w:lvl>
  </w:abstractNum>
  <w:abstractNum w:abstractNumId="1" w15:restartNumberingAfterBreak="0">
    <w:nsid w:val="04D03E6B"/>
    <w:multiLevelType w:val="hybridMultilevel"/>
    <w:tmpl w:val="A5D8F0DE"/>
    <w:lvl w:ilvl="0" w:tplc="1FEABC8C">
      <w:start w:val="2"/>
      <w:numFmt w:val="lowerRoman"/>
      <w:lvlText w:val="(%1)"/>
      <w:lvlJc w:val="left"/>
      <w:pPr>
        <w:ind w:left="192" w:hanging="240"/>
        <w:jc w:val="left"/>
      </w:pPr>
      <w:rPr>
        <w:rFonts w:ascii="Cambria" w:eastAsia="Cambria" w:hAnsi="Cambria" w:cs="Cambria" w:hint="default"/>
        <w:spacing w:val="-2"/>
        <w:w w:val="100"/>
        <w:sz w:val="16"/>
        <w:szCs w:val="16"/>
      </w:rPr>
    </w:lvl>
    <w:lvl w:ilvl="1" w:tplc="BE52DB8E">
      <w:start w:val="1"/>
      <w:numFmt w:val="decimal"/>
      <w:lvlText w:val="%2."/>
      <w:lvlJc w:val="left"/>
      <w:pPr>
        <w:ind w:left="912" w:hanging="360"/>
        <w:jc w:val="left"/>
      </w:pPr>
      <w:rPr>
        <w:rFonts w:ascii="Cambria" w:eastAsia="Cambria" w:hAnsi="Cambria" w:cs="Cambria" w:hint="default"/>
        <w:b/>
        <w:bCs/>
        <w:spacing w:val="-17"/>
        <w:w w:val="100"/>
        <w:sz w:val="22"/>
        <w:szCs w:val="22"/>
      </w:rPr>
    </w:lvl>
    <w:lvl w:ilvl="2" w:tplc="8A08D810">
      <w:numFmt w:val="bullet"/>
      <w:lvlText w:val="•"/>
      <w:lvlJc w:val="left"/>
      <w:pPr>
        <w:ind w:left="2029" w:hanging="360"/>
      </w:pPr>
      <w:rPr>
        <w:rFonts w:hint="default"/>
      </w:rPr>
    </w:lvl>
    <w:lvl w:ilvl="3" w:tplc="7E34255A">
      <w:numFmt w:val="bullet"/>
      <w:lvlText w:val="•"/>
      <w:lvlJc w:val="left"/>
      <w:pPr>
        <w:ind w:left="3139" w:hanging="360"/>
      </w:pPr>
      <w:rPr>
        <w:rFonts w:hint="default"/>
      </w:rPr>
    </w:lvl>
    <w:lvl w:ilvl="4" w:tplc="464682A2">
      <w:numFmt w:val="bullet"/>
      <w:lvlText w:val="•"/>
      <w:lvlJc w:val="left"/>
      <w:pPr>
        <w:ind w:left="4249" w:hanging="360"/>
      </w:pPr>
      <w:rPr>
        <w:rFonts w:hint="default"/>
      </w:rPr>
    </w:lvl>
    <w:lvl w:ilvl="5" w:tplc="15C80FBA">
      <w:numFmt w:val="bullet"/>
      <w:lvlText w:val="•"/>
      <w:lvlJc w:val="left"/>
      <w:pPr>
        <w:ind w:left="5359" w:hanging="360"/>
      </w:pPr>
      <w:rPr>
        <w:rFonts w:hint="default"/>
      </w:rPr>
    </w:lvl>
    <w:lvl w:ilvl="6" w:tplc="A8B6CC84">
      <w:numFmt w:val="bullet"/>
      <w:lvlText w:val="•"/>
      <w:lvlJc w:val="left"/>
      <w:pPr>
        <w:ind w:left="6468" w:hanging="360"/>
      </w:pPr>
      <w:rPr>
        <w:rFonts w:hint="default"/>
      </w:rPr>
    </w:lvl>
    <w:lvl w:ilvl="7" w:tplc="57C81F30">
      <w:numFmt w:val="bullet"/>
      <w:lvlText w:val="•"/>
      <w:lvlJc w:val="left"/>
      <w:pPr>
        <w:ind w:left="7578" w:hanging="360"/>
      </w:pPr>
      <w:rPr>
        <w:rFonts w:hint="default"/>
      </w:rPr>
    </w:lvl>
    <w:lvl w:ilvl="8" w:tplc="CF22D088">
      <w:numFmt w:val="bullet"/>
      <w:lvlText w:val="•"/>
      <w:lvlJc w:val="left"/>
      <w:pPr>
        <w:ind w:left="8688" w:hanging="360"/>
      </w:pPr>
      <w:rPr>
        <w:rFonts w:hint="default"/>
      </w:rPr>
    </w:lvl>
  </w:abstractNum>
  <w:abstractNum w:abstractNumId="2" w15:restartNumberingAfterBreak="0">
    <w:nsid w:val="06517D9E"/>
    <w:multiLevelType w:val="hybridMultilevel"/>
    <w:tmpl w:val="F46A3CDE"/>
    <w:lvl w:ilvl="0" w:tplc="90BCEE84">
      <w:start w:val="1"/>
      <w:numFmt w:val="decimal"/>
      <w:lvlText w:val="%1."/>
      <w:lvlJc w:val="left"/>
      <w:pPr>
        <w:ind w:left="892" w:hanging="361"/>
        <w:jc w:val="left"/>
      </w:pPr>
      <w:rPr>
        <w:rFonts w:ascii="Cambria" w:eastAsia="Cambria" w:hAnsi="Cambria" w:cs="Cambria" w:hint="default"/>
        <w:spacing w:val="-4"/>
        <w:w w:val="100"/>
        <w:sz w:val="22"/>
        <w:szCs w:val="22"/>
      </w:rPr>
    </w:lvl>
    <w:lvl w:ilvl="1" w:tplc="C7463E58">
      <w:numFmt w:val="bullet"/>
      <w:lvlText w:val="•"/>
      <w:lvlJc w:val="left"/>
      <w:pPr>
        <w:ind w:left="1848" w:hanging="361"/>
      </w:pPr>
      <w:rPr>
        <w:rFonts w:hint="default"/>
      </w:rPr>
    </w:lvl>
    <w:lvl w:ilvl="2" w:tplc="1C0EBCAC">
      <w:numFmt w:val="bullet"/>
      <w:lvlText w:val="•"/>
      <w:lvlJc w:val="left"/>
      <w:pPr>
        <w:ind w:left="2797" w:hanging="361"/>
      </w:pPr>
      <w:rPr>
        <w:rFonts w:hint="default"/>
      </w:rPr>
    </w:lvl>
    <w:lvl w:ilvl="3" w:tplc="919444E2">
      <w:numFmt w:val="bullet"/>
      <w:lvlText w:val="•"/>
      <w:lvlJc w:val="left"/>
      <w:pPr>
        <w:ind w:left="3746" w:hanging="361"/>
      </w:pPr>
      <w:rPr>
        <w:rFonts w:hint="default"/>
      </w:rPr>
    </w:lvl>
    <w:lvl w:ilvl="4" w:tplc="1C16EB62">
      <w:numFmt w:val="bullet"/>
      <w:lvlText w:val="•"/>
      <w:lvlJc w:val="left"/>
      <w:pPr>
        <w:ind w:left="4695" w:hanging="361"/>
      </w:pPr>
      <w:rPr>
        <w:rFonts w:hint="default"/>
      </w:rPr>
    </w:lvl>
    <w:lvl w:ilvl="5" w:tplc="BF3E2A6E">
      <w:numFmt w:val="bullet"/>
      <w:lvlText w:val="•"/>
      <w:lvlJc w:val="left"/>
      <w:pPr>
        <w:ind w:left="5644" w:hanging="361"/>
      </w:pPr>
      <w:rPr>
        <w:rFonts w:hint="default"/>
      </w:rPr>
    </w:lvl>
    <w:lvl w:ilvl="6" w:tplc="39CEE4A8">
      <w:numFmt w:val="bullet"/>
      <w:lvlText w:val="•"/>
      <w:lvlJc w:val="left"/>
      <w:pPr>
        <w:ind w:left="6592" w:hanging="361"/>
      </w:pPr>
      <w:rPr>
        <w:rFonts w:hint="default"/>
      </w:rPr>
    </w:lvl>
    <w:lvl w:ilvl="7" w:tplc="B7BEA23C">
      <w:numFmt w:val="bullet"/>
      <w:lvlText w:val="•"/>
      <w:lvlJc w:val="left"/>
      <w:pPr>
        <w:ind w:left="7541" w:hanging="361"/>
      </w:pPr>
      <w:rPr>
        <w:rFonts w:hint="default"/>
      </w:rPr>
    </w:lvl>
    <w:lvl w:ilvl="8" w:tplc="56DA6D86">
      <w:numFmt w:val="bullet"/>
      <w:lvlText w:val="•"/>
      <w:lvlJc w:val="left"/>
      <w:pPr>
        <w:ind w:left="8490" w:hanging="361"/>
      </w:pPr>
      <w:rPr>
        <w:rFonts w:hint="default"/>
      </w:rPr>
    </w:lvl>
  </w:abstractNum>
  <w:abstractNum w:abstractNumId="3" w15:restartNumberingAfterBreak="0">
    <w:nsid w:val="06D141DE"/>
    <w:multiLevelType w:val="hybridMultilevel"/>
    <w:tmpl w:val="2A349022"/>
    <w:lvl w:ilvl="0" w:tplc="D4E60AAA">
      <w:numFmt w:val="bullet"/>
      <w:lvlText w:val=""/>
      <w:lvlJc w:val="left"/>
      <w:pPr>
        <w:ind w:left="632" w:hanging="361"/>
      </w:pPr>
      <w:rPr>
        <w:rFonts w:ascii="Symbol" w:eastAsia="Symbol" w:hAnsi="Symbol" w:cs="Symbol" w:hint="default"/>
        <w:w w:val="100"/>
        <w:sz w:val="22"/>
        <w:szCs w:val="22"/>
      </w:rPr>
    </w:lvl>
    <w:lvl w:ilvl="1" w:tplc="A06CFE9A">
      <w:numFmt w:val="bullet"/>
      <w:lvlText w:val="•"/>
      <w:lvlJc w:val="left"/>
      <w:pPr>
        <w:ind w:left="1664" w:hanging="361"/>
      </w:pPr>
      <w:rPr>
        <w:rFonts w:hint="default"/>
      </w:rPr>
    </w:lvl>
    <w:lvl w:ilvl="2" w:tplc="21E21F3C">
      <w:numFmt w:val="bullet"/>
      <w:lvlText w:val="•"/>
      <w:lvlJc w:val="left"/>
      <w:pPr>
        <w:ind w:left="2689" w:hanging="361"/>
      </w:pPr>
      <w:rPr>
        <w:rFonts w:hint="default"/>
      </w:rPr>
    </w:lvl>
    <w:lvl w:ilvl="3" w:tplc="9E9A163C">
      <w:numFmt w:val="bullet"/>
      <w:lvlText w:val="•"/>
      <w:lvlJc w:val="left"/>
      <w:pPr>
        <w:ind w:left="3714" w:hanging="361"/>
      </w:pPr>
      <w:rPr>
        <w:rFonts w:hint="default"/>
      </w:rPr>
    </w:lvl>
    <w:lvl w:ilvl="4" w:tplc="794E3A64">
      <w:numFmt w:val="bullet"/>
      <w:lvlText w:val="•"/>
      <w:lvlJc w:val="left"/>
      <w:pPr>
        <w:ind w:left="4739" w:hanging="361"/>
      </w:pPr>
      <w:rPr>
        <w:rFonts w:hint="default"/>
      </w:rPr>
    </w:lvl>
    <w:lvl w:ilvl="5" w:tplc="7E52711E">
      <w:numFmt w:val="bullet"/>
      <w:lvlText w:val="•"/>
      <w:lvlJc w:val="left"/>
      <w:pPr>
        <w:ind w:left="5764" w:hanging="361"/>
      </w:pPr>
      <w:rPr>
        <w:rFonts w:hint="default"/>
      </w:rPr>
    </w:lvl>
    <w:lvl w:ilvl="6" w:tplc="F31AC848">
      <w:numFmt w:val="bullet"/>
      <w:lvlText w:val="•"/>
      <w:lvlJc w:val="left"/>
      <w:pPr>
        <w:ind w:left="6788" w:hanging="361"/>
      </w:pPr>
      <w:rPr>
        <w:rFonts w:hint="default"/>
      </w:rPr>
    </w:lvl>
    <w:lvl w:ilvl="7" w:tplc="E70EC376">
      <w:numFmt w:val="bullet"/>
      <w:lvlText w:val="•"/>
      <w:lvlJc w:val="left"/>
      <w:pPr>
        <w:ind w:left="7813" w:hanging="361"/>
      </w:pPr>
      <w:rPr>
        <w:rFonts w:hint="default"/>
      </w:rPr>
    </w:lvl>
    <w:lvl w:ilvl="8" w:tplc="06BA4ACE">
      <w:numFmt w:val="bullet"/>
      <w:lvlText w:val="•"/>
      <w:lvlJc w:val="left"/>
      <w:pPr>
        <w:ind w:left="8838" w:hanging="361"/>
      </w:pPr>
      <w:rPr>
        <w:rFonts w:hint="default"/>
      </w:rPr>
    </w:lvl>
  </w:abstractNum>
  <w:abstractNum w:abstractNumId="4" w15:restartNumberingAfterBreak="0">
    <w:nsid w:val="08DC108A"/>
    <w:multiLevelType w:val="hybridMultilevel"/>
    <w:tmpl w:val="84542444"/>
    <w:lvl w:ilvl="0" w:tplc="9410D104">
      <w:start w:val="76"/>
      <w:numFmt w:val="decimal"/>
      <w:lvlText w:val="%1."/>
      <w:lvlJc w:val="left"/>
      <w:pPr>
        <w:ind w:left="635" w:hanging="332"/>
        <w:jc w:val="left"/>
      </w:pPr>
      <w:rPr>
        <w:rFonts w:ascii="Cambria" w:eastAsia="Cambria" w:hAnsi="Cambria" w:cs="Cambria" w:hint="default"/>
        <w:spacing w:val="-2"/>
        <w:w w:val="100"/>
        <w:sz w:val="22"/>
        <w:szCs w:val="22"/>
      </w:rPr>
    </w:lvl>
    <w:lvl w:ilvl="1" w:tplc="0D282C30">
      <w:start w:val="1"/>
      <w:numFmt w:val="decimal"/>
      <w:lvlText w:val="%2."/>
      <w:lvlJc w:val="left"/>
      <w:pPr>
        <w:ind w:left="884" w:hanging="357"/>
        <w:jc w:val="left"/>
      </w:pPr>
      <w:rPr>
        <w:rFonts w:ascii="Cambria" w:eastAsia="Cambria" w:hAnsi="Cambria" w:cs="Cambria" w:hint="default"/>
        <w:spacing w:val="-17"/>
        <w:w w:val="100"/>
        <w:sz w:val="22"/>
        <w:szCs w:val="22"/>
      </w:rPr>
    </w:lvl>
    <w:lvl w:ilvl="2" w:tplc="AF40A2B8">
      <w:numFmt w:val="bullet"/>
      <w:lvlText w:val="•"/>
      <w:lvlJc w:val="left"/>
      <w:pPr>
        <w:ind w:left="1947" w:hanging="357"/>
      </w:pPr>
      <w:rPr>
        <w:rFonts w:hint="default"/>
      </w:rPr>
    </w:lvl>
    <w:lvl w:ilvl="3" w:tplc="F930305A">
      <w:numFmt w:val="bullet"/>
      <w:lvlText w:val="•"/>
      <w:lvlJc w:val="left"/>
      <w:pPr>
        <w:ind w:left="3015" w:hanging="357"/>
      </w:pPr>
      <w:rPr>
        <w:rFonts w:hint="default"/>
      </w:rPr>
    </w:lvl>
    <w:lvl w:ilvl="4" w:tplc="633ED294">
      <w:numFmt w:val="bullet"/>
      <w:lvlText w:val="•"/>
      <w:lvlJc w:val="left"/>
      <w:pPr>
        <w:ind w:left="4082" w:hanging="357"/>
      </w:pPr>
      <w:rPr>
        <w:rFonts w:hint="default"/>
      </w:rPr>
    </w:lvl>
    <w:lvl w:ilvl="5" w:tplc="EDA46A22">
      <w:numFmt w:val="bullet"/>
      <w:lvlText w:val="•"/>
      <w:lvlJc w:val="left"/>
      <w:pPr>
        <w:ind w:left="5150" w:hanging="357"/>
      </w:pPr>
      <w:rPr>
        <w:rFonts w:hint="default"/>
      </w:rPr>
    </w:lvl>
    <w:lvl w:ilvl="6" w:tplc="1E645F9A">
      <w:numFmt w:val="bullet"/>
      <w:lvlText w:val="•"/>
      <w:lvlJc w:val="left"/>
      <w:pPr>
        <w:ind w:left="6217" w:hanging="357"/>
      </w:pPr>
      <w:rPr>
        <w:rFonts w:hint="default"/>
      </w:rPr>
    </w:lvl>
    <w:lvl w:ilvl="7" w:tplc="186C2E96">
      <w:numFmt w:val="bullet"/>
      <w:lvlText w:val="•"/>
      <w:lvlJc w:val="left"/>
      <w:pPr>
        <w:ind w:left="7285" w:hanging="357"/>
      </w:pPr>
      <w:rPr>
        <w:rFonts w:hint="default"/>
      </w:rPr>
    </w:lvl>
    <w:lvl w:ilvl="8" w:tplc="B8D2043C">
      <w:numFmt w:val="bullet"/>
      <w:lvlText w:val="•"/>
      <w:lvlJc w:val="left"/>
      <w:pPr>
        <w:ind w:left="8352" w:hanging="357"/>
      </w:pPr>
      <w:rPr>
        <w:rFonts w:hint="default"/>
      </w:rPr>
    </w:lvl>
  </w:abstractNum>
  <w:abstractNum w:abstractNumId="5" w15:restartNumberingAfterBreak="0">
    <w:nsid w:val="0A341670"/>
    <w:multiLevelType w:val="hybridMultilevel"/>
    <w:tmpl w:val="D5F229F0"/>
    <w:lvl w:ilvl="0" w:tplc="225CA600">
      <w:numFmt w:val="bullet"/>
      <w:lvlText w:val=""/>
      <w:lvlJc w:val="left"/>
      <w:pPr>
        <w:ind w:left="924" w:hanging="361"/>
      </w:pPr>
      <w:rPr>
        <w:rFonts w:hint="default"/>
        <w:w w:val="100"/>
      </w:rPr>
    </w:lvl>
    <w:lvl w:ilvl="1" w:tplc="BF2C9BC8">
      <w:numFmt w:val="bullet"/>
      <w:lvlText w:val="•"/>
      <w:lvlJc w:val="left"/>
      <w:pPr>
        <w:ind w:left="920" w:hanging="361"/>
      </w:pPr>
      <w:rPr>
        <w:rFonts w:hint="default"/>
      </w:rPr>
    </w:lvl>
    <w:lvl w:ilvl="2" w:tplc="C78E4802">
      <w:numFmt w:val="bullet"/>
      <w:lvlText w:val="•"/>
      <w:lvlJc w:val="left"/>
      <w:pPr>
        <w:ind w:left="1972" w:hanging="361"/>
      </w:pPr>
      <w:rPr>
        <w:rFonts w:hint="default"/>
      </w:rPr>
    </w:lvl>
    <w:lvl w:ilvl="3" w:tplc="E4202E32">
      <w:numFmt w:val="bullet"/>
      <w:lvlText w:val="•"/>
      <w:lvlJc w:val="left"/>
      <w:pPr>
        <w:ind w:left="3024" w:hanging="361"/>
      </w:pPr>
      <w:rPr>
        <w:rFonts w:hint="default"/>
      </w:rPr>
    </w:lvl>
    <w:lvl w:ilvl="4" w:tplc="9DE4D5CA">
      <w:numFmt w:val="bullet"/>
      <w:lvlText w:val="•"/>
      <w:lvlJc w:val="left"/>
      <w:pPr>
        <w:ind w:left="4076" w:hanging="361"/>
      </w:pPr>
      <w:rPr>
        <w:rFonts w:hint="default"/>
      </w:rPr>
    </w:lvl>
    <w:lvl w:ilvl="5" w:tplc="674A068A">
      <w:numFmt w:val="bullet"/>
      <w:lvlText w:val="•"/>
      <w:lvlJc w:val="left"/>
      <w:pPr>
        <w:ind w:left="5128" w:hanging="361"/>
      </w:pPr>
      <w:rPr>
        <w:rFonts w:hint="default"/>
      </w:rPr>
    </w:lvl>
    <w:lvl w:ilvl="6" w:tplc="5276D804">
      <w:numFmt w:val="bullet"/>
      <w:lvlText w:val="•"/>
      <w:lvlJc w:val="left"/>
      <w:pPr>
        <w:ind w:left="6180" w:hanging="361"/>
      </w:pPr>
      <w:rPr>
        <w:rFonts w:hint="default"/>
      </w:rPr>
    </w:lvl>
    <w:lvl w:ilvl="7" w:tplc="A04E6C38">
      <w:numFmt w:val="bullet"/>
      <w:lvlText w:val="•"/>
      <w:lvlJc w:val="left"/>
      <w:pPr>
        <w:ind w:left="7232" w:hanging="361"/>
      </w:pPr>
      <w:rPr>
        <w:rFonts w:hint="default"/>
      </w:rPr>
    </w:lvl>
    <w:lvl w:ilvl="8" w:tplc="379E244E">
      <w:numFmt w:val="bullet"/>
      <w:lvlText w:val="•"/>
      <w:lvlJc w:val="left"/>
      <w:pPr>
        <w:ind w:left="8284" w:hanging="361"/>
      </w:pPr>
      <w:rPr>
        <w:rFonts w:hint="default"/>
      </w:rPr>
    </w:lvl>
  </w:abstractNum>
  <w:abstractNum w:abstractNumId="6" w15:restartNumberingAfterBreak="0">
    <w:nsid w:val="0FEE4BCC"/>
    <w:multiLevelType w:val="hybridMultilevel"/>
    <w:tmpl w:val="4016D850"/>
    <w:lvl w:ilvl="0" w:tplc="104A4B92">
      <w:start w:val="76"/>
      <w:numFmt w:val="decimal"/>
      <w:lvlText w:val="%1."/>
      <w:lvlJc w:val="left"/>
      <w:pPr>
        <w:ind w:left="655" w:hanging="332"/>
        <w:jc w:val="left"/>
      </w:pPr>
      <w:rPr>
        <w:rFonts w:ascii="Cambria" w:eastAsia="Cambria" w:hAnsi="Cambria" w:cs="Cambria" w:hint="default"/>
        <w:spacing w:val="-2"/>
        <w:w w:val="100"/>
        <w:sz w:val="22"/>
        <w:szCs w:val="22"/>
      </w:rPr>
    </w:lvl>
    <w:lvl w:ilvl="1" w:tplc="9BB8863A">
      <w:numFmt w:val="bullet"/>
      <w:lvlText w:val=""/>
      <w:lvlJc w:val="left"/>
      <w:pPr>
        <w:ind w:left="891" w:hanging="361"/>
      </w:pPr>
      <w:rPr>
        <w:rFonts w:ascii="Wingdings" w:eastAsia="Wingdings" w:hAnsi="Wingdings" w:cs="Wingdings" w:hint="default"/>
        <w:w w:val="100"/>
        <w:sz w:val="22"/>
        <w:szCs w:val="22"/>
      </w:rPr>
    </w:lvl>
    <w:lvl w:ilvl="2" w:tplc="BECE567E">
      <w:numFmt w:val="bullet"/>
      <w:lvlText w:val="•"/>
      <w:lvlJc w:val="left"/>
      <w:pPr>
        <w:ind w:left="1954" w:hanging="361"/>
      </w:pPr>
      <w:rPr>
        <w:rFonts w:hint="default"/>
      </w:rPr>
    </w:lvl>
    <w:lvl w:ilvl="3" w:tplc="BB10DD52">
      <w:numFmt w:val="bullet"/>
      <w:lvlText w:val="•"/>
      <w:lvlJc w:val="left"/>
      <w:pPr>
        <w:ind w:left="3008" w:hanging="361"/>
      </w:pPr>
      <w:rPr>
        <w:rFonts w:hint="default"/>
      </w:rPr>
    </w:lvl>
    <w:lvl w:ilvl="4" w:tplc="2C10B17A">
      <w:numFmt w:val="bullet"/>
      <w:lvlText w:val="•"/>
      <w:lvlJc w:val="left"/>
      <w:pPr>
        <w:ind w:left="4062" w:hanging="361"/>
      </w:pPr>
      <w:rPr>
        <w:rFonts w:hint="default"/>
      </w:rPr>
    </w:lvl>
    <w:lvl w:ilvl="5" w:tplc="4854358A">
      <w:numFmt w:val="bullet"/>
      <w:lvlText w:val="•"/>
      <w:lvlJc w:val="left"/>
      <w:pPr>
        <w:ind w:left="5116" w:hanging="361"/>
      </w:pPr>
      <w:rPr>
        <w:rFonts w:hint="default"/>
      </w:rPr>
    </w:lvl>
    <w:lvl w:ilvl="6" w:tplc="76E0F296">
      <w:numFmt w:val="bullet"/>
      <w:lvlText w:val="•"/>
      <w:lvlJc w:val="left"/>
      <w:pPr>
        <w:ind w:left="6171" w:hanging="361"/>
      </w:pPr>
      <w:rPr>
        <w:rFonts w:hint="default"/>
      </w:rPr>
    </w:lvl>
    <w:lvl w:ilvl="7" w:tplc="EF24C568">
      <w:numFmt w:val="bullet"/>
      <w:lvlText w:val="•"/>
      <w:lvlJc w:val="left"/>
      <w:pPr>
        <w:ind w:left="7225" w:hanging="361"/>
      </w:pPr>
      <w:rPr>
        <w:rFonts w:hint="default"/>
      </w:rPr>
    </w:lvl>
    <w:lvl w:ilvl="8" w:tplc="D428BA74">
      <w:numFmt w:val="bullet"/>
      <w:lvlText w:val="•"/>
      <w:lvlJc w:val="left"/>
      <w:pPr>
        <w:ind w:left="8279" w:hanging="361"/>
      </w:pPr>
      <w:rPr>
        <w:rFonts w:hint="default"/>
      </w:rPr>
    </w:lvl>
  </w:abstractNum>
  <w:abstractNum w:abstractNumId="7" w15:restartNumberingAfterBreak="0">
    <w:nsid w:val="12F918C9"/>
    <w:multiLevelType w:val="hybridMultilevel"/>
    <w:tmpl w:val="F95A81B4"/>
    <w:lvl w:ilvl="0" w:tplc="3D70751C">
      <w:numFmt w:val="bullet"/>
      <w:lvlText w:val=""/>
      <w:lvlJc w:val="left"/>
      <w:pPr>
        <w:ind w:left="824" w:hanging="361"/>
      </w:pPr>
      <w:rPr>
        <w:rFonts w:ascii="Symbol" w:eastAsia="Symbol" w:hAnsi="Symbol" w:cs="Symbol" w:hint="default"/>
        <w:b/>
        <w:bCs/>
        <w:w w:val="99"/>
        <w:sz w:val="22"/>
        <w:szCs w:val="22"/>
      </w:rPr>
    </w:lvl>
    <w:lvl w:ilvl="1" w:tplc="4A26FA74">
      <w:numFmt w:val="bullet"/>
      <w:lvlText w:val="•"/>
      <w:lvlJc w:val="left"/>
      <w:pPr>
        <w:ind w:left="1756" w:hanging="361"/>
      </w:pPr>
      <w:rPr>
        <w:rFonts w:hint="default"/>
      </w:rPr>
    </w:lvl>
    <w:lvl w:ilvl="2" w:tplc="EB06EECE">
      <w:numFmt w:val="bullet"/>
      <w:lvlText w:val="•"/>
      <w:lvlJc w:val="left"/>
      <w:pPr>
        <w:ind w:left="2693" w:hanging="361"/>
      </w:pPr>
      <w:rPr>
        <w:rFonts w:hint="default"/>
      </w:rPr>
    </w:lvl>
    <w:lvl w:ilvl="3" w:tplc="D464A334">
      <w:numFmt w:val="bullet"/>
      <w:lvlText w:val="•"/>
      <w:lvlJc w:val="left"/>
      <w:pPr>
        <w:ind w:left="3630" w:hanging="361"/>
      </w:pPr>
      <w:rPr>
        <w:rFonts w:hint="default"/>
      </w:rPr>
    </w:lvl>
    <w:lvl w:ilvl="4" w:tplc="B35C7DCC">
      <w:numFmt w:val="bullet"/>
      <w:lvlText w:val="•"/>
      <w:lvlJc w:val="left"/>
      <w:pPr>
        <w:ind w:left="4567" w:hanging="361"/>
      </w:pPr>
      <w:rPr>
        <w:rFonts w:hint="default"/>
      </w:rPr>
    </w:lvl>
    <w:lvl w:ilvl="5" w:tplc="8690E584">
      <w:numFmt w:val="bullet"/>
      <w:lvlText w:val="•"/>
      <w:lvlJc w:val="left"/>
      <w:pPr>
        <w:ind w:left="5504" w:hanging="361"/>
      </w:pPr>
      <w:rPr>
        <w:rFonts w:hint="default"/>
      </w:rPr>
    </w:lvl>
    <w:lvl w:ilvl="6" w:tplc="B7F6EF02">
      <w:numFmt w:val="bullet"/>
      <w:lvlText w:val="•"/>
      <w:lvlJc w:val="left"/>
      <w:pPr>
        <w:ind w:left="6440" w:hanging="361"/>
      </w:pPr>
      <w:rPr>
        <w:rFonts w:hint="default"/>
      </w:rPr>
    </w:lvl>
    <w:lvl w:ilvl="7" w:tplc="A090285C">
      <w:numFmt w:val="bullet"/>
      <w:lvlText w:val="•"/>
      <w:lvlJc w:val="left"/>
      <w:pPr>
        <w:ind w:left="7377" w:hanging="361"/>
      </w:pPr>
      <w:rPr>
        <w:rFonts w:hint="default"/>
      </w:rPr>
    </w:lvl>
    <w:lvl w:ilvl="8" w:tplc="D238325C">
      <w:numFmt w:val="bullet"/>
      <w:lvlText w:val="•"/>
      <w:lvlJc w:val="left"/>
      <w:pPr>
        <w:ind w:left="8314" w:hanging="361"/>
      </w:pPr>
      <w:rPr>
        <w:rFonts w:hint="default"/>
      </w:rPr>
    </w:lvl>
  </w:abstractNum>
  <w:abstractNum w:abstractNumId="8" w15:restartNumberingAfterBreak="0">
    <w:nsid w:val="14025138"/>
    <w:multiLevelType w:val="hybridMultilevel"/>
    <w:tmpl w:val="097A04D2"/>
    <w:lvl w:ilvl="0" w:tplc="3E4E8D46">
      <w:start w:val="2"/>
      <w:numFmt w:val="decimal"/>
      <w:lvlText w:val="%1)"/>
      <w:lvlJc w:val="left"/>
      <w:pPr>
        <w:ind w:left="911" w:hanging="360"/>
        <w:jc w:val="left"/>
      </w:pPr>
      <w:rPr>
        <w:rFonts w:ascii="Cambria" w:eastAsia="Cambria" w:hAnsi="Cambria" w:cs="Cambria" w:hint="default"/>
        <w:b/>
        <w:bCs/>
        <w:spacing w:val="-8"/>
        <w:w w:val="100"/>
        <w:sz w:val="22"/>
        <w:szCs w:val="22"/>
      </w:rPr>
    </w:lvl>
    <w:lvl w:ilvl="1" w:tplc="4DCCF38E">
      <w:numFmt w:val="bullet"/>
      <w:lvlText w:val="•"/>
      <w:lvlJc w:val="left"/>
      <w:pPr>
        <w:ind w:left="1918" w:hanging="360"/>
      </w:pPr>
      <w:rPr>
        <w:rFonts w:hint="default"/>
      </w:rPr>
    </w:lvl>
    <w:lvl w:ilvl="2" w:tplc="3E8E4B3A">
      <w:numFmt w:val="bullet"/>
      <w:lvlText w:val="•"/>
      <w:lvlJc w:val="left"/>
      <w:pPr>
        <w:ind w:left="2917" w:hanging="360"/>
      </w:pPr>
      <w:rPr>
        <w:rFonts w:hint="default"/>
      </w:rPr>
    </w:lvl>
    <w:lvl w:ilvl="3" w:tplc="5C185E2A">
      <w:numFmt w:val="bullet"/>
      <w:lvlText w:val="•"/>
      <w:lvlJc w:val="left"/>
      <w:pPr>
        <w:ind w:left="3916" w:hanging="360"/>
      </w:pPr>
      <w:rPr>
        <w:rFonts w:hint="default"/>
      </w:rPr>
    </w:lvl>
    <w:lvl w:ilvl="4" w:tplc="D7289382">
      <w:numFmt w:val="bullet"/>
      <w:lvlText w:val="•"/>
      <w:lvlJc w:val="left"/>
      <w:pPr>
        <w:ind w:left="4915" w:hanging="360"/>
      </w:pPr>
      <w:rPr>
        <w:rFonts w:hint="default"/>
      </w:rPr>
    </w:lvl>
    <w:lvl w:ilvl="5" w:tplc="575AAD8A">
      <w:numFmt w:val="bullet"/>
      <w:lvlText w:val="•"/>
      <w:lvlJc w:val="left"/>
      <w:pPr>
        <w:ind w:left="5914" w:hanging="360"/>
      </w:pPr>
      <w:rPr>
        <w:rFonts w:hint="default"/>
      </w:rPr>
    </w:lvl>
    <w:lvl w:ilvl="6" w:tplc="FECEDC98">
      <w:numFmt w:val="bullet"/>
      <w:lvlText w:val="•"/>
      <w:lvlJc w:val="left"/>
      <w:pPr>
        <w:ind w:left="6912" w:hanging="360"/>
      </w:pPr>
      <w:rPr>
        <w:rFonts w:hint="default"/>
      </w:rPr>
    </w:lvl>
    <w:lvl w:ilvl="7" w:tplc="42E2296C">
      <w:numFmt w:val="bullet"/>
      <w:lvlText w:val="•"/>
      <w:lvlJc w:val="left"/>
      <w:pPr>
        <w:ind w:left="7911" w:hanging="360"/>
      </w:pPr>
      <w:rPr>
        <w:rFonts w:hint="default"/>
      </w:rPr>
    </w:lvl>
    <w:lvl w:ilvl="8" w:tplc="7F4E5A42">
      <w:numFmt w:val="bullet"/>
      <w:lvlText w:val="•"/>
      <w:lvlJc w:val="left"/>
      <w:pPr>
        <w:ind w:left="8910" w:hanging="360"/>
      </w:pPr>
      <w:rPr>
        <w:rFonts w:hint="default"/>
      </w:rPr>
    </w:lvl>
  </w:abstractNum>
  <w:abstractNum w:abstractNumId="9" w15:restartNumberingAfterBreak="0">
    <w:nsid w:val="1E1D66D5"/>
    <w:multiLevelType w:val="hybridMultilevel"/>
    <w:tmpl w:val="955C7C58"/>
    <w:lvl w:ilvl="0" w:tplc="B8FAD326">
      <w:start w:val="1"/>
      <w:numFmt w:val="decimal"/>
      <w:lvlText w:val="%1)"/>
      <w:lvlJc w:val="left"/>
      <w:pPr>
        <w:ind w:left="824" w:hanging="360"/>
        <w:jc w:val="left"/>
      </w:pPr>
      <w:rPr>
        <w:rFonts w:ascii="Cambria" w:eastAsia="Cambria" w:hAnsi="Cambria" w:cs="Cambria" w:hint="default"/>
        <w:spacing w:val="-24"/>
        <w:w w:val="100"/>
        <w:sz w:val="22"/>
        <w:szCs w:val="22"/>
      </w:rPr>
    </w:lvl>
    <w:lvl w:ilvl="1" w:tplc="FFA4BE0C">
      <w:numFmt w:val="bullet"/>
      <w:lvlText w:val="•"/>
      <w:lvlJc w:val="left"/>
      <w:pPr>
        <w:ind w:left="1756" w:hanging="360"/>
      </w:pPr>
      <w:rPr>
        <w:rFonts w:hint="default"/>
      </w:rPr>
    </w:lvl>
    <w:lvl w:ilvl="2" w:tplc="6238591E">
      <w:numFmt w:val="bullet"/>
      <w:lvlText w:val="•"/>
      <w:lvlJc w:val="left"/>
      <w:pPr>
        <w:ind w:left="2693" w:hanging="360"/>
      </w:pPr>
      <w:rPr>
        <w:rFonts w:hint="default"/>
      </w:rPr>
    </w:lvl>
    <w:lvl w:ilvl="3" w:tplc="497EE8A0">
      <w:numFmt w:val="bullet"/>
      <w:lvlText w:val="•"/>
      <w:lvlJc w:val="left"/>
      <w:pPr>
        <w:ind w:left="3630" w:hanging="360"/>
      </w:pPr>
      <w:rPr>
        <w:rFonts w:hint="default"/>
      </w:rPr>
    </w:lvl>
    <w:lvl w:ilvl="4" w:tplc="EAE60876">
      <w:numFmt w:val="bullet"/>
      <w:lvlText w:val="•"/>
      <w:lvlJc w:val="left"/>
      <w:pPr>
        <w:ind w:left="4567" w:hanging="360"/>
      </w:pPr>
      <w:rPr>
        <w:rFonts w:hint="default"/>
      </w:rPr>
    </w:lvl>
    <w:lvl w:ilvl="5" w:tplc="1652A9F2">
      <w:numFmt w:val="bullet"/>
      <w:lvlText w:val="•"/>
      <w:lvlJc w:val="left"/>
      <w:pPr>
        <w:ind w:left="5504" w:hanging="360"/>
      </w:pPr>
      <w:rPr>
        <w:rFonts w:hint="default"/>
      </w:rPr>
    </w:lvl>
    <w:lvl w:ilvl="6" w:tplc="18B07874">
      <w:numFmt w:val="bullet"/>
      <w:lvlText w:val="•"/>
      <w:lvlJc w:val="left"/>
      <w:pPr>
        <w:ind w:left="6440" w:hanging="360"/>
      </w:pPr>
      <w:rPr>
        <w:rFonts w:hint="default"/>
      </w:rPr>
    </w:lvl>
    <w:lvl w:ilvl="7" w:tplc="5F221E82">
      <w:numFmt w:val="bullet"/>
      <w:lvlText w:val="•"/>
      <w:lvlJc w:val="left"/>
      <w:pPr>
        <w:ind w:left="7377" w:hanging="360"/>
      </w:pPr>
      <w:rPr>
        <w:rFonts w:hint="default"/>
      </w:rPr>
    </w:lvl>
    <w:lvl w:ilvl="8" w:tplc="BA468F2A">
      <w:numFmt w:val="bullet"/>
      <w:lvlText w:val="•"/>
      <w:lvlJc w:val="left"/>
      <w:pPr>
        <w:ind w:left="8314" w:hanging="360"/>
      </w:pPr>
      <w:rPr>
        <w:rFonts w:hint="default"/>
      </w:rPr>
    </w:lvl>
  </w:abstractNum>
  <w:abstractNum w:abstractNumId="10" w15:restartNumberingAfterBreak="0">
    <w:nsid w:val="30AA2DB1"/>
    <w:multiLevelType w:val="hybridMultilevel"/>
    <w:tmpl w:val="558438A8"/>
    <w:lvl w:ilvl="0" w:tplc="EFECEBEE">
      <w:numFmt w:val="bullet"/>
      <w:lvlText w:val="-"/>
      <w:lvlJc w:val="left"/>
      <w:pPr>
        <w:ind w:left="891" w:hanging="360"/>
      </w:pPr>
      <w:rPr>
        <w:rFonts w:ascii="Cambria" w:eastAsia="Cambria" w:hAnsi="Cambria" w:cs="Cambria" w:hint="default"/>
        <w:spacing w:val="-6"/>
        <w:w w:val="100"/>
        <w:sz w:val="22"/>
        <w:szCs w:val="22"/>
      </w:rPr>
    </w:lvl>
    <w:lvl w:ilvl="1" w:tplc="AE4AFB1E">
      <w:numFmt w:val="bullet"/>
      <w:lvlText w:val=""/>
      <w:lvlJc w:val="left"/>
      <w:pPr>
        <w:ind w:left="1024" w:hanging="360"/>
      </w:pPr>
      <w:rPr>
        <w:rFonts w:ascii="Symbol" w:eastAsia="Symbol" w:hAnsi="Symbol" w:cs="Symbol" w:hint="default"/>
        <w:w w:val="100"/>
        <w:sz w:val="22"/>
        <w:szCs w:val="22"/>
      </w:rPr>
    </w:lvl>
    <w:lvl w:ilvl="2" w:tplc="4DCAC91A">
      <w:numFmt w:val="bullet"/>
      <w:lvlText w:val="•"/>
      <w:lvlJc w:val="left"/>
      <w:pPr>
        <w:ind w:left="2060" w:hanging="360"/>
      </w:pPr>
      <w:rPr>
        <w:rFonts w:hint="default"/>
      </w:rPr>
    </w:lvl>
    <w:lvl w:ilvl="3" w:tplc="7768728E">
      <w:numFmt w:val="bullet"/>
      <w:lvlText w:val="•"/>
      <w:lvlJc w:val="left"/>
      <w:pPr>
        <w:ind w:left="3101" w:hanging="360"/>
      </w:pPr>
      <w:rPr>
        <w:rFonts w:hint="default"/>
      </w:rPr>
    </w:lvl>
    <w:lvl w:ilvl="4" w:tplc="43BA9C9C">
      <w:numFmt w:val="bullet"/>
      <w:lvlText w:val="•"/>
      <w:lvlJc w:val="left"/>
      <w:pPr>
        <w:ind w:left="4142" w:hanging="360"/>
      </w:pPr>
      <w:rPr>
        <w:rFonts w:hint="default"/>
      </w:rPr>
    </w:lvl>
    <w:lvl w:ilvl="5" w:tplc="8C5048CC">
      <w:numFmt w:val="bullet"/>
      <w:lvlText w:val="•"/>
      <w:lvlJc w:val="left"/>
      <w:pPr>
        <w:ind w:left="5183" w:hanging="360"/>
      </w:pPr>
      <w:rPr>
        <w:rFonts w:hint="default"/>
      </w:rPr>
    </w:lvl>
    <w:lvl w:ilvl="6" w:tplc="21E01730">
      <w:numFmt w:val="bullet"/>
      <w:lvlText w:val="•"/>
      <w:lvlJc w:val="left"/>
      <w:pPr>
        <w:ind w:left="6224" w:hanging="360"/>
      </w:pPr>
      <w:rPr>
        <w:rFonts w:hint="default"/>
      </w:rPr>
    </w:lvl>
    <w:lvl w:ilvl="7" w:tplc="E6F86F24">
      <w:numFmt w:val="bullet"/>
      <w:lvlText w:val="•"/>
      <w:lvlJc w:val="left"/>
      <w:pPr>
        <w:ind w:left="7265" w:hanging="360"/>
      </w:pPr>
      <w:rPr>
        <w:rFonts w:hint="default"/>
      </w:rPr>
    </w:lvl>
    <w:lvl w:ilvl="8" w:tplc="3C80810A">
      <w:numFmt w:val="bullet"/>
      <w:lvlText w:val="•"/>
      <w:lvlJc w:val="left"/>
      <w:pPr>
        <w:ind w:left="8306" w:hanging="360"/>
      </w:pPr>
      <w:rPr>
        <w:rFonts w:hint="default"/>
      </w:rPr>
    </w:lvl>
  </w:abstractNum>
  <w:abstractNum w:abstractNumId="11" w15:restartNumberingAfterBreak="0">
    <w:nsid w:val="314B5465"/>
    <w:multiLevelType w:val="hybridMultilevel"/>
    <w:tmpl w:val="B91CF032"/>
    <w:lvl w:ilvl="0" w:tplc="3BC4387C">
      <w:numFmt w:val="bullet"/>
      <w:lvlText w:val=""/>
      <w:lvlJc w:val="left"/>
      <w:pPr>
        <w:ind w:left="824" w:hanging="361"/>
      </w:pPr>
      <w:rPr>
        <w:rFonts w:ascii="Symbol" w:eastAsia="Symbol" w:hAnsi="Symbol" w:cs="Symbol" w:hint="default"/>
        <w:w w:val="100"/>
        <w:sz w:val="22"/>
        <w:szCs w:val="22"/>
      </w:rPr>
    </w:lvl>
    <w:lvl w:ilvl="1" w:tplc="56464150">
      <w:numFmt w:val="bullet"/>
      <w:lvlText w:val="•"/>
      <w:lvlJc w:val="left"/>
      <w:pPr>
        <w:ind w:left="1756" w:hanging="361"/>
      </w:pPr>
      <w:rPr>
        <w:rFonts w:hint="default"/>
      </w:rPr>
    </w:lvl>
    <w:lvl w:ilvl="2" w:tplc="1F2AD55A">
      <w:numFmt w:val="bullet"/>
      <w:lvlText w:val="•"/>
      <w:lvlJc w:val="left"/>
      <w:pPr>
        <w:ind w:left="2693" w:hanging="361"/>
      </w:pPr>
      <w:rPr>
        <w:rFonts w:hint="default"/>
      </w:rPr>
    </w:lvl>
    <w:lvl w:ilvl="3" w:tplc="544EC080">
      <w:numFmt w:val="bullet"/>
      <w:lvlText w:val="•"/>
      <w:lvlJc w:val="left"/>
      <w:pPr>
        <w:ind w:left="3630" w:hanging="361"/>
      </w:pPr>
      <w:rPr>
        <w:rFonts w:hint="default"/>
      </w:rPr>
    </w:lvl>
    <w:lvl w:ilvl="4" w:tplc="5ECAC708">
      <w:numFmt w:val="bullet"/>
      <w:lvlText w:val="•"/>
      <w:lvlJc w:val="left"/>
      <w:pPr>
        <w:ind w:left="4567" w:hanging="361"/>
      </w:pPr>
      <w:rPr>
        <w:rFonts w:hint="default"/>
      </w:rPr>
    </w:lvl>
    <w:lvl w:ilvl="5" w:tplc="FB5A4B3C">
      <w:numFmt w:val="bullet"/>
      <w:lvlText w:val="•"/>
      <w:lvlJc w:val="left"/>
      <w:pPr>
        <w:ind w:left="5504" w:hanging="361"/>
      </w:pPr>
      <w:rPr>
        <w:rFonts w:hint="default"/>
      </w:rPr>
    </w:lvl>
    <w:lvl w:ilvl="6" w:tplc="9F249E3C">
      <w:numFmt w:val="bullet"/>
      <w:lvlText w:val="•"/>
      <w:lvlJc w:val="left"/>
      <w:pPr>
        <w:ind w:left="6440" w:hanging="361"/>
      </w:pPr>
      <w:rPr>
        <w:rFonts w:hint="default"/>
      </w:rPr>
    </w:lvl>
    <w:lvl w:ilvl="7" w:tplc="1570DB18">
      <w:numFmt w:val="bullet"/>
      <w:lvlText w:val="•"/>
      <w:lvlJc w:val="left"/>
      <w:pPr>
        <w:ind w:left="7377" w:hanging="361"/>
      </w:pPr>
      <w:rPr>
        <w:rFonts w:hint="default"/>
      </w:rPr>
    </w:lvl>
    <w:lvl w:ilvl="8" w:tplc="D9B2FE64">
      <w:numFmt w:val="bullet"/>
      <w:lvlText w:val="•"/>
      <w:lvlJc w:val="left"/>
      <w:pPr>
        <w:ind w:left="8314" w:hanging="361"/>
      </w:pPr>
      <w:rPr>
        <w:rFonts w:hint="default"/>
      </w:rPr>
    </w:lvl>
  </w:abstractNum>
  <w:abstractNum w:abstractNumId="12" w15:restartNumberingAfterBreak="0">
    <w:nsid w:val="362742B9"/>
    <w:multiLevelType w:val="hybridMultilevel"/>
    <w:tmpl w:val="CE0E952C"/>
    <w:lvl w:ilvl="0" w:tplc="2370CA5E">
      <w:numFmt w:val="bullet"/>
      <w:lvlText w:val=""/>
      <w:lvlJc w:val="left"/>
      <w:pPr>
        <w:ind w:left="824" w:hanging="361"/>
      </w:pPr>
      <w:rPr>
        <w:rFonts w:ascii="Symbol" w:eastAsia="Symbol" w:hAnsi="Symbol" w:cs="Symbol" w:hint="default"/>
        <w:w w:val="100"/>
        <w:sz w:val="22"/>
        <w:szCs w:val="22"/>
      </w:rPr>
    </w:lvl>
    <w:lvl w:ilvl="1" w:tplc="04F6A56E">
      <w:numFmt w:val="bullet"/>
      <w:lvlText w:val="•"/>
      <w:lvlJc w:val="left"/>
      <w:pPr>
        <w:ind w:left="1756" w:hanging="361"/>
      </w:pPr>
      <w:rPr>
        <w:rFonts w:hint="default"/>
      </w:rPr>
    </w:lvl>
    <w:lvl w:ilvl="2" w:tplc="DBF83386">
      <w:numFmt w:val="bullet"/>
      <w:lvlText w:val="•"/>
      <w:lvlJc w:val="left"/>
      <w:pPr>
        <w:ind w:left="2693" w:hanging="361"/>
      </w:pPr>
      <w:rPr>
        <w:rFonts w:hint="default"/>
      </w:rPr>
    </w:lvl>
    <w:lvl w:ilvl="3" w:tplc="EFC042A0">
      <w:numFmt w:val="bullet"/>
      <w:lvlText w:val="•"/>
      <w:lvlJc w:val="left"/>
      <w:pPr>
        <w:ind w:left="3630" w:hanging="361"/>
      </w:pPr>
      <w:rPr>
        <w:rFonts w:hint="default"/>
      </w:rPr>
    </w:lvl>
    <w:lvl w:ilvl="4" w:tplc="7DE07050">
      <w:numFmt w:val="bullet"/>
      <w:lvlText w:val="•"/>
      <w:lvlJc w:val="left"/>
      <w:pPr>
        <w:ind w:left="4567" w:hanging="361"/>
      </w:pPr>
      <w:rPr>
        <w:rFonts w:hint="default"/>
      </w:rPr>
    </w:lvl>
    <w:lvl w:ilvl="5" w:tplc="054CACDA">
      <w:numFmt w:val="bullet"/>
      <w:lvlText w:val="•"/>
      <w:lvlJc w:val="left"/>
      <w:pPr>
        <w:ind w:left="5504" w:hanging="361"/>
      </w:pPr>
      <w:rPr>
        <w:rFonts w:hint="default"/>
      </w:rPr>
    </w:lvl>
    <w:lvl w:ilvl="6" w:tplc="D0783E06">
      <w:numFmt w:val="bullet"/>
      <w:lvlText w:val="•"/>
      <w:lvlJc w:val="left"/>
      <w:pPr>
        <w:ind w:left="6440" w:hanging="361"/>
      </w:pPr>
      <w:rPr>
        <w:rFonts w:hint="default"/>
      </w:rPr>
    </w:lvl>
    <w:lvl w:ilvl="7" w:tplc="B7FCB88C">
      <w:numFmt w:val="bullet"/>
      <w:lvlText w:val="•"/>
      <w:lvlJc w:val="left"/>
      <w:pPr>
        <w:ind w:left="7377" w:hanging="361"/>
      </w:pPr>
      <w:rPr>
        <w:rFonts w:hint="default"/>
      </w:rPr>
    </w:lvl>
    <w:lvl w:ilvl="8" w:tplc="60D428AC">
      <w:numFmt w:val="bullet"/>
      <w:lvlText w:val="•"/>
      <w:lvlJc w:val="left"/>
      <w:pPr>
        <w:ind w:left="8314" w:hanging="361"/>
      </w:pPr>
      <w:rPr>
        <w:rFonts w:hint="default"/>
      </w:rPr>
    </w:lvl>
  </w:abstractNum>
  <w:abstractNum w:abstractNumId="13" w15:restartNumberingAfterBreak="0">
    <w:nsid w:val="387C261E"/>
    <w:multiLevelType w:val="hybridMultilevel"/>
    <w:tmpl w:val="FC201198"/>
    <w:lvl w:ilvl="0" w:tplc="40546640">
      <w:numFmt w:val="bullet"/>
      <w:lvlText w:val=""/>
      <w:lvlJc w:val="left"/>
      <w:pPr>
        <w:ind w:left="824" w:hanging="361"/>
      </w:pPr>
      <w:rPr>
        <w:rFonts w:ascii="Symbol" w:eastAsia="Symbol" w:hAnsi="Symbol" w:cs="Symbol" w:hint="default"/>
        <w:w w:val="100"/>
        <w:sz w:val="22"/>
        <w:szCs w:val="22"/>
      </w:rPr>
    </w:lvl>
    <w:lvl w:ilvl="1" w:tplc="FF3ADD84">
      <w:numFmt w:val="bullet"/>
      <w:lvlText w:val="•"/>
      <w:lvlJc w:val="left"/>
      <w:pPr>
        <w:ind w:left="1756" w:hanging="361"/>
      </w:pPr>
      <w:rPr>
        <w:rFonts w:hint="default"/>
      </w:rPr>
    </w:lvl>
    <w:lvl w:ilvl="2" w:tplc="CACECBC8">
      <w:numFmt w:val="bullet"/>
      <w:lvlText w:val="•"/>
      <w:lvlJc w:val="left"/>
      <w:pPr>
        <w:ind w:left="2693" w:hanging="361"/>
      </w:pPr>
      <w:rPr>
        <w:rFonts w:hint="default"/>
      </w:rPr>
    </w:lvl>
    <w:lvl w:ilvl="3" w:tplc="3BF8F8F2">
      <w:numFmt w:val="bullet"/>
      <w:lvlText w:val="•"/>
      <w:lvlJc w:val="left"/>
      <w:pPr>
        <w:ind w:left="3630" w:hanging="361"/>
      </w:pPr>
      <w:rPr>
        <w:rFonts w:hint="default"/>
      </w:rPr>
    </w:lvl>
    <w:lvl w:ilvl="4" w:tplc="FA4E1C00">
      <w:numFmt w:val="bullet"/>
      <w:lvlText w:val="•"/>
      <w:lvlJc w:val="left"/>
      <w:pPr>
        <w:ind w:left="4567" w:hanging="361"/>
      </w:pPr>
      <w:rPr>
        <w:rFonts w:hint="default"/>
      </w:rPr>
    </w:lvl>
    <w:lvl w:ilvl="5" w:tplc="8398F628">
      <w:numFmt w:val="bullet"/>
      <w:lvlText w:val="•"/>
      <w:lvlJc w:val="left"/>
      <w:pPr>
        <w:ind w:left="5504" w:hanging="361"/>
      </w:pPr>
      <w:rPr>
        <w:rFonts w:hint="default"/>
      </w:rPr>
    </w:lvl>
    <w:lvl w:ilvl="6" w:tplc="E4B6D6A0">
      <w:numFmt w:val="bullet"/>
      <w:lvlText w:val="•"/>
      <w:lvlJc w:val="left"/>
      <w:pPr>
        <w:ind w:left="6440" w:hanging="361"/>
      </w:pPr>
      <w:rPr>
        <w:rFonts w:hint="default"/>
      </w:rPr>
    </w:lvl>
    <w:lvl w:ilvl="7" w:tplc="3D74125E">
      <w:numFmt w:val="bullet"/>
      <w:lvlText w:val="•"/>
      <w:lvlJc w:val="left"/>
      <w:pPr>
        <w:ind w:left="7377" w:hanging="361"/>
      </w:pPr>
      <w:rPr>
        <w:rFonts w:hint="default"/>
      </w:rPr>
    </w:lvl>
    <w:lvl w:ilvl="8" w:tplc="E7183FF4">
      <w:numFmt w:val="bullet"/>
      <w:lvlText w:val="•"/>
      <w:lvlJc w:val="left"/>
      <w:pPr>
        <w:ind w:left="8314" w:hanging="361"/>
      </w:pPr>
      <w:rPr>
        <w:rFonts w:hint="default"/>
      </w:rPr>
    </w:lvl>
  </w:abstractNum>
  <w:abstractNum w:abstractNumId="14" w15:restartNumberingAfterBreak="0">
    <w:nsid w:val="3F1F418B"/>
    <w:multiLevelType w:val="hybridMultilevel"/>
    <w:tmpl w:val="49ACDB20"/>
    <w:lvl w:ilvl="0" w:tplc="0C38FC62">
      <w:start w:val="1"/>
      <w:numFmt w:val="lowerLetter"/>
      <w:lvlText w:val="(%1)"/>
      <w:lvlJc w:val="left"/>
      <w:pPr>
        <w:ind w:left="144" w:hanging="324"/>
        <w:jc w:val="left"/>
      </w:pPr>
      <w:rPr>
        <w:rFonts w:ascii="Cambria" w:eastAsia="Cambria" w:hAnsi="Cambria" w:cs="Cambria" w:hint="default"/>
        <w:w w:val="100"/>
        <w:sz w:val="22"/>
        <w:szCs w:val="22"/>
      </w:rPr>
    </w:lvl>
    <w:lvl w:ilvl="1" w:tplc="F1EEDE78">
      <w:numFmt w:val="bullet"/>
      <w:lvlText w:val="•"/>
      <w:lvlJc w:val="left"/>
      <w:pPr>
        <w:ind w:left="1082" w:hanging="324"/>
      </w:pPr>
      <w:rPr>
        <w:rFonts w:hint="default"/>
      </w:rPr>
    </w:lvl>
    <w:lvl w:ilvl="2" w:tplc="45F674E4">
      <w:numFmt w:val="bullet"/>
      <w:lvlText w:val="•"/>
      <w:lvlJc w:val="left"/>
      <w:pPr>
        <w:ind w:left="2024" w:hanging="324"/>
      </w:pPr>
      <w:rPr>
        <w:rFonts w:hint="default"/>
      </w:rPr>
    </w:lvl>
    <w:lvl w:ilvl="3" w:tplc="B36CC62E">
      <w:numFmt w:val="bullet"/>
      <w:lvlText w:val="•"/>
      <w:lvlJc w:val="left"/>
      <w:pPr>
        <w:ind w:left="2966" w:hanging="324"/>
      </w:pPr>
      <w:rPr>
        <w:rFonts w:hint="default"/>
      </w:rPr>
    </w:lvl>
    <w:lvl w:ilvl="4" w:tplc="479CAECC">
      <w:numFmt w:val="bullet"/>
      <w:lvlText w:val="•"/>
      <w:lvlJc w:val="left"/>
      <w:pPr>
        <w:ind w:left="3908" w:hanging="324"/>
      </w:pPr>
      <w:rPr>
        <w:rFonts w:hint="default"/>
      </w:rPr>
    </w:lvl>
    <w:lvl w:ilvl="5" w:tplc="3448FBEE">
      <w:numFmt w:val="bullet"/>
      <w:lvlText w:val="•"/>
      <w:lvlJc w:val="left"/>
      <w:pPr>
        <w:ind w:left="4850" w:hanging="324"/>
      </w:pPr>
      <w:rPr>
        <w:rFonts w:hint="default"/>
      </w:rPr>
    </w:lvl>
    <w:lvl w:ilvl="6" w:tplc="89AADC70">
      <w:numFmt w:val="bullet"/>
      <w:lvlText w:val="•"/>
      <w:lvlJc w:val="left"/>
      <w:pPr>
        <w:ind w:left="5792" w:hanging="324"/>
      </w:pPr>
      <w:rPr>
        <w:rFonts w:hint="default"/>
      </w:rPr>
    </w:lvl>
    <w:lvl w:ilvl="7" w:tplc="63C4BDD2">
      <w:numFmt w:val="bullet"/>
      <w:lvlText w:val="•"/>
      <w:lvlJc w:val="left"/>
      <w:pPr>
        <w:ind w:left="6734" w:hanging="324"/>
      </w:pPr>
      <w:rPr>
        <w:rFonts w:hint="default"/>
      </w:rPr>
    </w:lvl>
    <w:lvl w:ilvl="8" w:tplc="AAC83428">
      <w:numFmt w:val="bullet"/>
      <w:lvlText w:val="•"/>
      <w:lvlJc w:val="left"/>
      <w:pPr>
        <w:ind w:left="7676" w:hanging="324"/>
      </w:pPr>
      <w:rPr>
        <w:rFonts w:hint="default"/>
      </w:rPr>
    </w:lvl>
  </w:abstractNum>
  <w:abstractNum w:abstractNumId="15" w15:restartNumberingAfterBreak="0">
    <w:nsid w:val="46E21692"/>
    <w:multiLevelType w:val="hybridMultilevel"/>
    <w:tmpl w:val="2CB81A02"/>
    <w:lvl w:ilvl="0" w:tplc="15246C0A">
      <w:start w:val="1"/>
      <w:numFmt w:val="decimal"/>
      <w:lvlText w:val="%1."/>
      <w:lvlJc w:val="left"/>
      <w:pPr>
        <w:ind w:left="599" w:hanging="361"/>
        <w:jc w:val="right"/>
      </w:pPr>
      <w:rPr>
        <w:rFonts w:ascii="Cambria" w:eastAsia="Cambria" w:hAnsi="Cambria" w:cs="Cambria" w:hint="default"/>
        <w:spacing w:val="-24"/>
        <w:w w:val="100"/>
        <w:sz w:val="22"/>
        <w:szCs w:val="22"/>
      </w:rPr>
    </w:lvl>
    <w:lvl w:ilvl="1" w:tplc="56F69F34">
      <w:start w:val="1"/>
      <w:numFmt w:val="lowerLetter"/>
      <w:lvlText w:val="%2."/>
      <w:lvlJc w:val="left"/>
      <w:pPr>
        <w:ind w:left="1304" w:hanging="356"/>
        <w:jc w:val="left"/>
      </w:pPr>
      <w:rPr>
        <w:rFonts w:ascii="Cambria" w:eastAsia="Cambria" w:hAnsi="Cambria" w:cs="Cambria" w:hint="default"/>
        <w:spacing w:val="-9"/>
        <w:w w:val="100"/>
        <w:sz w:val="22"/>
        <w:szCs w:val="22"/>
      </w:rPr>
    </w:lvl>
    <w:lvl w:ilvl="2" w:tplc="2ED86B9E">
      <w:numFmt w:val="bullet"/>
      <w:lvlText w:val="•"/>
      <w:lvlJc w:val="left"/>
      <w:pPr>
        <w:ind w:left="2320" w:hanging="356"/>
      </w:pPr>
      <w:rPr>
        <w:rFonts w:hint="default"/>
      </w:rPr>
    </w:lvl>
    <w:lvl w:ilvl="3" w:tplc="E398E9EE">
      <w:numFmt w:val="bullet"/>
      <w:lvlText w:val="•"/>
      <w:lvlJc w:val="left"/>
      <w:pPr>
        <w:ind w:left="3341" w:hanging="356"/>
      </w:pPr>
      <w:rPr>
        <w:rFonts w:hint="default"/>
      </w:rPr>
    </w:lvl>
    <w:lvl w:ilvl="4" w:tplc="F108643A">
      <w:numFmt w:val="bullet"/>
      <w:lvlText w:val="•"/>
      <w:lvlJc w:val="left"/>
      <w:pPr>
        <w:ind w:left="4362" w:hanging="356"/>
      </w:pPr>
      <w:rPr>
        <w:rFonts w:hint="default"/>
      </w:rPr>
    </w:lvl>
    <w:lvl w:ilvl="5" w:tplc="7BC6CFC6">
      <w:numFmt w:val="bullet"/>
      <w:lvlText w:val="•"/>
      <w:lvlJc w:val="left"/>
      <w:pPr>
        <w:ind w:left="5383" w:hanging="356"/>
      </w:pPr>
      <w:rPr>
        <w:rFonts w:hint="default"/>
      </w:rPr>
    </w:lvl>
    <w:lvl w:ilvl="6" w:tplc="83F83290">
      <w:numFmt w:val="bullet"/>
      <w:lvlText w:val="•"/>
      <w:lvlJc w:val="left"/>
      <w:pPr>
        <w:ind w:left="6404" w:hanging="356"/>
      </w:pPr>
      <w:rPr>
        <w:rFonts w:hint="default"/>
      </w:rPr>
    </w:lvl>
    <w:lvl w:ilvl="7" w:tplc="12A004A0">
      <w:numFmt w:val="bullet"/>
      <w:lvlText w:val="•"/>
      <w:lvlJc w:val="left"/>
      <w:pPr>
        <w:ind w:left="7425" w:hanging="356"/>
      </w:pPr>
      <w:rPr>
        <w:rFonts w:hint="default"/>
      </w:rPr>
    </w:lvl>
    <w:lvl w:ilvl="8" w:tplc="CBC03CE8">
      <w:numFmt w:val="bullet"/>
      <w:lvlText w:val="•"/>
      <w:lvlJc w:val="left"/>
      <w:pPr>
        <w:ind w:left="8446" w:hanging="356"/>
      </w:pPr>
      <w:rPr>
        <w:rFonts w:hint="default"/>
      </w:rPr>
    </w:lvl>
  </w:abstractNum>
  <w:abstractNum w:abstractNumId="16" w15:restartNumberingAfterBreak="0">
    <w:nsid w:val="4ABD7CD0"/>
    <w:multiLevelType w:val="hybridMultilevel"/>
    <w:tmpl w:val="3AC4C684"/>
    <w:lvl w:ilvl="0" w:tplc="7310C0D8">
      <w:start w:val="1"/>
      <w:numFmt w:val="decimal"/>
      <w:lvlText w:val="%1)"/>
      <w:lvlJc w:val="left"/>
      <w:pPr>
        <w:ind w:left="1016" w:hanging="356"/>
        <w:jc w:val="left"/>
      </w:pPr>
      <w:rPr>
        <w:rFonts w:ascii="Cambria" w:eastAsia="Cambria" w:hAnsi="Cambria" w:cs="Cambria" w:hint="default"/>
        <w:spacing w:val="-10"/>
        <w:w w:val="100"/>
        <w:sz w:val="22"/>
        <w:szCs w:val="22"/>
      </w:rPr>
    </w:lvl>
    <w:lvl w:ilvl="1" w:tplc="B09AB8B0">
      <w:numFmt w:val="bullet"/>
      <w:lvlText w:val="•"/>
      <w:lvlJc w:val="left"/>
      <w:pPr>
        <w:ind w:left="2008" w:hanging="356"/>
      </w:pPr>
      <w:rPr>
        <w:rFonts w:hint="default"/>
      </w:rPr>
    </w:lvl>
    <w:lvl w:ilvl="2" w:tplc="B42A3DAC">
      <w:numFmt w:val="bullet"/>
      <w:lvlText w:val="•"/>
      <w:lvlJc w:val="left"/>
      <w:pPr>
        <w:ind w:left="2997" w:hanging="356"/>
      </w:pPr>
      <w:rPr>
        <w:rFonts w:hint="default"/>
      </w:rPr>
    </w:lvl>
    <w:lvl w:ilvl="3" w:tplc="82F6A2B6">
      <w:numFmt w:val="bullet"/>
      <w:lvlText w:val="•"/>
      <w:lvlJc w:val="left"/>
      <w:pPr>
        <w:ind w:left="3986" w:hanging="356"/>
      </w:pPr>
      <w:rPr>
        <w:rFonts w:hint="default"/>
      </w:rPr>
    </w:lvl>
    <w:lvl w:ilvl="4" w:tplc="C74EB674">
      <w:numFmt w:val="bullet"/>
      <w:lvlText w:val="•"/>
      <w:lvlJc w:val="left"/>
      <w:pPr>
        <w:ind w:left="4975" w:hanging="356"/>
      </w:pPr>
      <w:rPr>
        <w:rFonts w:hint="default"/>
      </w:rPr>
    </w:lvl>
    <w:lvl w:ilvl="5" w:tplc="2680827A">
      <w:numFmt w:val="bullet"/>
      <w:lvlText w:val="•"/>
      <w:lvlJc w:val="left"/>
      <w:pPr>
        <w:ind w:left="5964" w:hanging="356"/>
      </w:pPr>
      <w:rPr>
        <w:rFonts w:hint="default"/>
      </w:rPr>
    </w:lvl>
    <w:lvl w:ilvl="6" w:tplc="21168D12">
      <w:numFmt w:val="bullet"/>
      <w:lvlText w:val="•"/>
      <w:lvlJc w:val="left"/>
      <w:pPr>
        <w:ind w:left="6952" w:hanging="356"/>
      </w:pPr>
      <w:rPr>
        <w:rFonts w:hint="default"/>
      </w:rPr>
    </w:lvl>
    <w:lvl w:ilvl="7" w:tplc="829E60AC">
      <w:numFmt w:val="bullet"/>
      <w:lvlText w:val="•"/>
      <w:lvlJc w:val="left"/>
      <w:pPr>
        <w:ind w:left="7941" w:hanging="356"/>
      </w:pPr>
      <w:rPr>
        <w:rFonts w:hint="default"/>
      </w:rPr>
    </w:lvl>
    <w:lvl w:ilvl="8" w:tplc="3868459A">
      <w:numFmt w:val="bullet"/>
      <w:lvlText w:val="•"/>
      <w:lvlJc w:val="left"/>
      <w:pPr>
        <w:ind w:left="8930" w:hanging="356"/>
      </w:pPr>
      <w:rPr>
        <w:rFonts w:hint="default"/>
      </w:rPr>
    </w:lvl>
  </w:abstractNum>
  <w:abstractNum w:abstractNumId="17" w15:restartNumberingAfterBreak="0">
    <w:nsid w:val="4AE15BF3"/>
    <w:multiLevelType w:val="hybridMultilevel"/>
    <w:tmpl w:val="9AD20EFC"/>
    <w:lvl w:ilvl="0" w:tplc="252A00DE">
      <w:numFmt w:val="bullet"/>
      <w:lvlText w:val=""/>
      <w:lvlJc w:val="left"/>
      <w:pPr>
        <w:ind w:left="912" w:hanging="361"/>
      </w:pPr>
      <w:rPr>
        <w:rFonts w:ascii="Symbol" w:eastAsia="Symbol" w:hAnsi="Symbol" w:cs="Symbol" w:hint="default"/>
        <w:w w:val="100"/>
        <w:sz w:val="22"/>
        <w:szCs w:val="22"/>
      </w:rPr>
    </w:lvl>
    <w:lvl w:ilvl="1" w:tplc="B5D8AABC">
      <w:numFmt w:val="bullet"/>
      <w:lvlText w:val="•"/>
      <w:lvlJc w:val="left"/>
      <w:pPr>
        <w:ind w:left="1908" w:hanging="361"/>
      </w:pPr>
      <w:rPr>
        <w:rFonts w:hint="default"/>
      </w:rPr>
    </w:lvl>
    <w:lvl w:ilvl="2" w:tplc="68F031F6">
      <w:numFmt w:val="bullet"/>
      <w:lvlText w:val="•"/>
      <w:lvlJc w:val="left"/>
      <w:pPr>
        <w:ind w:left="2897" w:hanging="361"/>
      </w:pPr>
      <w:rPr>
        <w:rFonts w:hint="default"/>
      </w:rPr>
    </w:lvl>
    <w:lvl w:ilvl="3" w:tplc="FAA08DD4">
      <w:numFmt w:val="bullet"/>
      <w:lvlText w:val="•"/>
      <w:lvlJc w:val="left"/>
      <w:pPr>
        <w:ind w:left="3886" w:hanging="361"/>
      </w:pPr>
      <w:rPr>
        <w:rFonts w:hint="default"/>
      </w:rPr>
    </w:lvl>
    <w:lvl w:ilvl="4" w:tplc="74903978">
      <w:numFmt w:val="bullet"/>
      <w:lvlText w:val="•"/>
      <w:lvlJc w:val="left"/>
      <w:pPr>
        <w:ind w:left="4875" w:hanging="361"/>
      </w:pPr>
      <w:rPr>
        <w:rFonts w:hint="default"/>
      </w:rPr>
    </w:lvl>
    <w:lvl w:ilvl="5" w:tplc="1B8E92A0">
      <w:numFmt w:val="bullet"/>
      <w:lvlText w:val="•"/>
      <w:lvlJc w:val="left"/>
      <w:pPr>
        <w:ind w:left="5864" w:hanging="361"/>
      </w:pPr>
      <w:rPr>
        <w:rFonts w:hint="default"/>
      </w:rPr>
    </w:lvl>
    <w:lvl w:ilvl="6" w:tplc="96AE2AE2">
      <w:numFmt w:val="bullet"/>
      <w:lvlText w:val="•"/>
      <w:lvlJc w:val="left"/>
      <w:pPr>
        <w:ind w:left="6852" w:hanging="361"/>
      </w:pPr>
      <w:rPr>
        <w:rFonts w:hint="default"/>
      </w:rPr>
    </w:lvl>
    <w:lvl w:ilvl="7" w:tplc="9EA6B99C">
      <w:numFmt w:val="bullet"/>
      <w:lvlText w:val="•"/>
      <w:lvlJc w:val="left"/>
      <w:pPr>
        <w:ind w:left="7841" w:hanging="361"/>
      </w:pPr>
      <w:rPr>
        <w:rFonts w:hint="default"/>
      </w:rPr>
    </w:lvl>
    <w:lvl w:ilvl="8" w:tplc="0B90D182">
      <w:numFmt w:val="bullet"/>
      <w:lvlText w:val="•"/>
      <w:lvlJc w:val="left"/>
      <w:pPr>
        <w:ind w:left="8830" w:hanging="361"/>
      </w:pPr>
      <w:rPr>
        <w:rFonts w:hint="default"/>
      </w:rPr>
    </w:lvl>
  </w:abstractNum>
  <w:abstractNum w:abstractNumId="18" w15:restartNumberingAfterBreak="0">
    <w:nsid w:val="4E5E4053"/>
    <w:multiLevelType w:val="hybridMultilevel"/>
    <w:tmpl w:val="F63A9206"/>
    <w:lvl w:ilvl="0" w:tplc="5A2CD2EC">
      <w:numFmt w:val="bullet"/>
      <w:lvlText w:val=""/>
      <w:lvlJc w:val="left"/>
      <w:pPr>
        <w:ind w:left="1544" w:hanging="361"/>
      </w:pPr>
      <w:rPr>
        <w:rFonts w:ascii="Symbol" w:eastAsia="Symbol" w:hAnsi="Symbol" w:cs="Symbol" w:hint="default"/>
        <w:w w:val="100"/>
        <w:sz w:val="22"/>
        <w:szCs w:val="22"/>
      </w:rPr>
    </w:lvl>
    <w:lvl w:ilvl="1" w:tplc="4C303F26">
      <w:numFmt w:val="bullet"/>
      <w:lvlText w:val="•"/>
      <w:lvlJc w:val="left"/>
      <w:pPr>
        <w:ind w:left="2404" w:hanging="361"/>
      </w:pPr>
      <w:rPr>
        <w:rFonts w:hint="default"/>
      </w:rPr>
    </w:lvl>
    <w:lvl w:ilvl="2" w:tplc="1E60A68C">
      <w:numFmt w:val="bullet"/>
      <w:lvlText w:val="•"/>
      <w:lvlJc w:val="left"/>
      <w:pPr>
        <w:ind w:left="3269" w:hanging="361"/>
      </w:pPr>
      <w:rPr>
        <w:rFonts w:hint="default"/>
      </w:rPr>
    </w:lvl>
    <w:lvl w:ilvl="3" w:tplc="ED5225F6">
      <w:numFmt w:val="bullet"/>
      <w:lvlText w:val="•"/>
      <w:lvlJc w:val="left"/>
      <w:pPr>
        <w:ind w:left="4134" w:hanging="361"/>
      </w:pPr>
      <w:rPr>
        <w:rFonts w:hint="default"/>
      </w:rPr>
    </w:lvl>
    <w:lvl w:ilvl="4" w:tplc="D3724BD6">
      <w:numFmt w:val="bullet"/>
      <w:lvlText w:val="•"/>
      <w:lvlJc w:val="left"/>
      <w:pPr>
        <w:ind w:left="4999" w:hanging="361"/>
      </w:pPr>
      <w:rPr>
        <w:rFonts w:hint="default"/>
      </w:rPr>
    </w:lvl>
    <w:lvl w:ilvl="5" w:tplc="D4D8195A">
      <w:numFmt w:val="bullet"/>
      <w:lvlText w:val="•"/>
      <w:lvlJc w:val="left"/>
      <w:pPr>
        <w:ind w:left="5864" w:hanging="361"/>
      </w:pPr>
      <w:rPr>
        <w:rFonts w:hint="default"/>
      </w:rPr>
    </w:lvl>
    <w:lvl w:ilvl="6" w:tplc="F8043BA8">
      <w:numFmt w:val="bullet"/>
      <w:lvlText w:val="•"/>
      <w:lvlJc w:val="left"/>
      <w:pPr>
        <w:ind w:left="6728" w:hanging="361"/>
      </w:pPr>
      <w:rPr>
        <w:rFonts w:hint="default"/>
      </w:rPr>
    </w:lvl>
    <w:lvl w:ilvl="7" w:tplc="157A3CE0">
      <w:numFmt w:val="bullet"/>
      <w:lvlText w:val="•"/>
      <w:lvlJc w:val="left"/>
      <w:pPr>
        <w:ind w:left="7593" w:hanging="361"/>
      </w:pPr>
      <w:rPr>
        <w:rFonts w:hint="default"/>
      </w:rPr>
    </w:lvl>
    <w:lvl w:ilvl="8" w:tplc="AFE8E174">
      <w:numFmt w:val="bullet"/>
      <w:lvlText w:val="•"/>
      <w:lvlJc w:val="left"/>
      <w:pPr>
        <w:ind w:left="8458" w:hanging="361"/>
      </w:pPr>
      <w:rPr>
        <w:rFonts w:hint="default"/>
      </w:rPr>
    </w:lvl>
  </w:abstractNum>
  <w:abstractNum w:abstractNumId="19" w15:restartNumberingAfterBreak="0">
    <w:nsid w:val="53D72819"/>
    <w:multiLevelType w:val="hybridMultilevel"/>
    <w:tmpl w:val="04FC7EFC"/>
    <w:lvl w:ilvl="0" w:tplc="1BE8070C">
      <w:numFmt w:val="bullet"/>
      <w:lvlText w:val=""/>
      <w:lvlJc w:val="left"/>
      <w:pPr>
        <w:ind w:left="1544" w:hanging="361"/>
      </w:pPr>
      <w:rPr>
        <w:rFonts w:ascii="Symbol" w:eastAsia="Symbol" w:hAnsi="Symbol" w:cs="Symbol" w:hint="default"/>
        <w:w w:val="100"/>
        <w:sz w:val="22"/>
        <w:szCs w:val="22"/>
      </w:rPr>
    </w:lvl>
    <w:lvl w:ilvl="1" w:tplc="D368DD00">
      <w:numFmt w:val="bullet"/>
      <w:lvlText w:val="•"/>
      <w:lvlJc w:val="left"/>
      <w:pPr>
        <w:ind w:left="2404" w:hanging="361"/>
      </w:pPr>
      <w:rPr>
        <w:rFonts w:hint="default"/>
      </w:rPr>
    </w:lvl>
    <w:lvl w:ilvl="2" w:tplc="D6844836">
      <w:numFmt w:val="bullet"/>
      <w:lvlText w:val="•"/>
      <w:lvlJc w:val="left"/>
      <w:pPr>
        <w:ind w:left="3269" w:hanging="361"/>
      </w:pPr>
      <w:rPr>
        <w:rFonts w:hint="default"/>
      </w:rPr>
    </w:lvl>
    <w:lvl w:ilvl="3" w:tplc="B2FCE712">
      <w:numFmt w:val="bullet"/>
      <w:lvlText w:val="•"/>
      <w:lvlJc w:val="left"/>
      <w:pPr>
        <w:ind w:left="4134" w:hanging="361"/>
      </w:pPr>
      <w:rPr>
        <w:rFonts w:hint="default"/>
      </w:rPr>
    </w:lvl>
    <w:lvl w:ilvl="4" w:tplc="3A80C9C8">
      <w:numFmt w:val="bullet"/>
      <w:lvlText w:val="•"/>
      <w:lvlJc w:val="left"/>
      <w:pPr>
        <w:ind w:left="4999" w:hanging="361"/>
      </w:pPr>
      <w:rPr>
        <w:rFonts w:hint="default"/>
      </w:rPr>
    </w:lvl>
    <w:lvl w:ilvl="5" w:tplc="A9B630CA">
      <w:numFmt w:val="bullet"/>
      <w:lvlText w:val="•"/>
      <w:lvlJc w:val="left"/>
      <w:pPr>
        <w:ind w:left="5864" w:hanging="361"/>
      </w:pPr>
      <w:rPr>
        <w:rFonts w:hint="default"/>
      </w:rPr>
    </w:lvl>
    <w:lvl w:ilvl="6" w:tplc="41722ED8">
      <w:numFmt w:val="bullet"/>
      <w:lvlText w:val="•"/>
      <w:lvlJc w:val="left"/>
      <w:pPr>
        <w:ind w:left="6728" w:hanging="361"/>
      </w:pPr>
      <w:rPr>
        <w:rFonts w:hint="default"/>
      </w:rPr>
    </w:lvl>
    <w:lvl w:ilvl="7" w:tplc="9988606C">
      <w:numFmt w:val="bullet"/>
      <w:lvlText w:val="•"/>
      <w:lvlJc w:val="left"/>
      <w:pPr>
        <w:ind w:left="7593" w:hanging="361"/>
      </w:pPr>
      <w:rPr>
        <w:rFonts w:hint="default"/>
      </w:rPr>
    </w:lvl>
    <w:lvl w:ilvl="8" w:tplc="79E84AC6">
      <w:numFmt w:val="bullet"/>
      <w:lvlText w:val="•"/>
      <w:lvlJc w:val="left"/>
      <w:pPr>
        <w:ind w:left="8458" w:hanging="361"/>
      </w:pPr>
      <w:rPr>
        <w:rFonts w:hint="default"/>
      </w:rPr>
    </w:lvl>
  </w:abstractNum>
  <w:abstractNum w:abstractNumId="20" w15:restartNumberingAfterBreak="0">
    <w:nsid w:val="66C73537"/>
    <w:multiLevelType w:val="hybridMultilevel"/>
    <w:tmpl w:val="811ED5CC"/>
    <w:lvl w:ilvl="0" w:tplc="907459A0">
      <w:numFmt w:val="bullet"/>
      <w:lvlText w:val=""/>
      <w:lvlJc w:val="left"/>
      <w:pPr>
        <w:ind w:left="416" w:hanging="273"/>
      </w:pPr>
      <w:rPr>
        <w:rFonts w:ascii="Symbol" w:eastAsia="Symbol" w:hAnsi="Symbol" w:cs="Symbol" w:hint="default"/>
        <w:w w:val="100"/>
        <w:sz w:val="22"/>
        <w:szCs w:val="22"/>
      </w:rPr>
    </w:lvl>
    <w:lvl w:ilvl="1" w:tplc="AE3835C2">
      <w:numFmt w:val="bullet"/>
      <w:lvlText w:val="•"/>
      <w:lvlJc w:val="left"/>
      <w:pPr>
        <w:ind w:left="1396" w:hanging="273"/>
      </w:pPr>
      <w:rPr>
        <w:rFonts w:hint="default"/>
      </w:rPr>
    </w:lvl>
    <w:lvl w:ilvl="2" w:tplc="BC4EA69C">
      <w:numFmt w:val="bullet"/>
      <w:lvlText w:val="•"/>
      <w:lvlJc w:val="left"/>
      <w:pPr>
        <w:ind w:left="2373" w:hanging="273"/>
      </w:pPr>
      <w:rPr>
        <w:rFonts w:hint="default"/>
      </w:rPr>
    </w:lvl>
    <w:lvl w:ilvl="3" w:tplc="56D6D24A">
      <w:numFmt w:val="bullet"/>
      <w:lvlText w:val="•"/>
      <w:lvlJc w:val="left"/>
      <w:pPr>
        <w:ind w:left="3350" w:hanging="273"/>
      </w:pPr>
      <w:rPr>
        <w:rFonts w:hint="default"/>
      </w:rPr>
    </w:lvl>
    <w:lvl w:ilvl="4" w:tplc="09068284">
      <w:numFmt w:val="bullet"/>
      <w:lvlText w:val="•"/>
      <w:lvlJc w:val="left"/>
      <w:pPr>
        <w:ind w:left="4327" w:hanging="273"/>
      </w:pPr>
      <w:rPr>
        <w:rFonts w:hint="default"/>
      </w:rPr>
    </w:lvl>
    <w:lvl w:ilvl="5" w:tplc="A26C7F76">
      <w:numFmt w:val="bullet"/>
      <w:lvlText w:val="•"/>
      <w:lvlJc w:val="left"/>
      <w:pPr>
        <w:ind w:left="5304" w:hanging="273"/>
      </w:pPr>
      <w:rPr>
        <w:rFonts w:hint="default"/>
      </w:rPr>
    </w:lvl>
    <w:lvl w:ilvl="6" w:tplc="70FE4572">
      <w:numFmt w:val="bullet"/>
      <w:lvlText w:val="•"/>
      <w:lvlJc w:val="left"/>
      <w:pPr>
        <w:ind w:left="6280" w:hanging="273"/>
      </w:pPr>
      <w:rPr>
        <w:rFonts w:hint="default"/>
      </w:rPr>
    </w:lvl>
    <w:lvl w:ilvl="7" w:tplc="8EB086FC">
      <w:numFmt w:val="bullet"/>
      <w:lvlText w:val="•"/>
      <w:lvlJc w:val="left"/>
      <w:pPr>
        <w:ind w:left="7257" w:hanging="273"/>
      </w:pPr>
      <w:rPr>
        <w:rFonts w:hint="default"/>
      </w:rPr>
    </w:lvl>
    <w:lvl w:ilvl="8" w:tplc="0F381E70">
      <w:numFmt w:val="bullet"/>
      <w:lvlText w:val="•"/>
      <w:lvlJc w:val="left"/>
      <w:pPr>
        <w:ind w:left="8234" w:hanging="273"/>
      </w:pPr>
      <w:rPr>
        <w:rFonts w:hint="default"/>
      </w:rPr>
    </w:lvl>
  </w:abstractNum>
  <w:abstractNum w:abstractNumId="21" w15:restartNumberingAfterBreak="0">
    <w:nsid w:val="69041EA9"/>
    <w:multiLevelType w:val="hybridMultilevel"/>
    <w:tmpl w:val="07E2C218"/>
    <w:lvl w:ilvl="0" w:tplc="9B5A5EB6">
      <w:numFmt w:val="bullet"/>
      <w:lvlText w:val=""/>
      <w:lvlJc w:val="left"/>
      <w:pPr>
        <w:ind w:left="532" w:hanging="361"/>
      </w:pPr>
      <w:rPr>
        <w:rFonts w:ascii="Symbol" w:eastAsia="Symbol" w:hAnsi="Symbol" w:cs="Symbol" w:hint="default"/>
        <w:w w:val="100"/>
        <w:sz w:val="22"/>
        <w:szCs w:val="22"/>
      </w:rPr>
    </w:lvl>
    <w:lvl w:ilvl="1" w:tplc="C7489942">
      <w:numFmt w:val="bullet"/>
      <w:lvlText w:val="o"/>
      <w:lvlJc w:val="left"/>
      <w:pPr>
        <w:ind w:left="891" w:hanging="360"/>
      </w:pPr>
      <w:rPr>
        <w:rFonts w:ascii="Courier New" w:eastAsia="Courier New" w:hAnsi="Courier New" w:cs="Courier New" w:hint="default"/>
        <w:spacing w:val="-5"/>
        <w:w w:val="100"/>
        <w:sz w:val="22"/>
        <w:szCs w:val="22"/>
      </w:rPr>
    </w:lvl>
    <w:lvl w:ilvl="2" w:tplc="F128115A">
      <w:numFmt w:val="bullet"/>
      <w:lvlText w:val="•"/>
      <w:lvlJc w:val="left"/>
      <w:pPr>
        <w:ind w:left="1954" w:hanging="360"/>
      </w:pPr>
      <w:rPr>
        <w:rFonts w:hint="default"/>
      </w:rPr>
    </w:lvl>
    <w:lvl w:ilvl="3" w:tplc="F12481AE">
      <w:numFmt w:val="bullet"/>
      <w:lvlText w:val="•"/>
      <w:lvlJc w:val="left"/>
      <w:pPr>
        <w:ind w:left="3008" w:hanging="360"/>
      </w:pPr>
      <w:rPr>
        <w:rFonts w:hint="default"/>
      </w:rPr>
    </w:lvl>
    <w:lvl w:ilvl="4" w:tplc="90EE972E">
      <w:numFmt w:val="bullet"/>
      <w:lvlText w:val="•"/>
      <w:lvlJc w:val="left"/>
      <w:pPr>
        <w:ind w:left="4062" w:hanging="360"/>
      </w:pPr>
      <w:rPr>
        <w:rFonts w:hint="default"/>
      </w:rPr>
    </w:lvl>
    <w:lvl w:ilvl="5" w:tplc="2766B77E">
      <w:numFmt w:val="bullet"/>
      <w:lvlText w:val="•"/>
      <w:lvlJc w:val="left"/>
      <w:pPr>
        <w:ind w:left="5116" w:hanging="360"/>
      </w:pPr>
      <w:rPr>
        <w:rFonts w:hint="default"/>
      </w:rPr>
    </w:lvl>
    <w:lvl w:ilvl="6" w:tplc="ECAAEDCE">
      <w:numFmt w:val="bullet"/>
      <w:lvlText w:val="•"/>
      <w:lvlJc w:val="left"/>
      <w:pPr>
        <w:ind w:left="6171" w:hanging="360"/>
      </w:pPr>
      <w:rPr>
        <w:rFonts w:hint="default"/>
      </w:rPr>
    </w:lvl>
    <w:lvl w:ilvl="7" w:tplc="939E94FC">
      <w:numFmt w:val="bullet"/>
      <w:lvlText w:val="•"/>
      <w:lvlJc w:val="left"/>
      <w:pPr>
        <w:ind w:left="7225" w:hanging="360"/>
      </w:pPr>
      <w:rPr>
        <w:rFonts w:hint="default"/>
      </w:rPr>
    </w:lvl>
    <w:lvl w:ilvl="8" w:tplc="12B04B0A">
      <w:numFmt w:val="bullet"/>
      <w:lvlText w:val="•"/>
      <w:lvlJc w:val="left"/>
      <w:pPr>
        <w:ind w:left="8279" w:hanging="360"/>
      </w:pPr>
      <w:rPr>
        <w:rFonts w:hint="default"/>
      </w:rPr>
    </w:lvl>
  </w:abstractNum>
  <w:abstractNum w:abstractNumId="22" w15:restartNumberingAfterBreak="0">
    <w:nsid w:val="69291779"/>
    <w:multiLevelType w:val="hybridMultilevel"/>
    <w:tmpl w:val="7E864832"/>
    <w:lvl w:ilvl="0" w:tplc="097AE8B4">
      <w:numFmt w:val="bullet"/>
      <w:lvlText w:val=""/>
      <w:lvlJc w:val="left"/>
      <w:pPr>
        <w:ind w:left="824" w:hanging="361"/>
      </w:pPr>
      <w:rPr>
        <w:rFonts w:ascii="Symbol" w:eastAsia="Symbol" w:hAnsi="Symbol" w:cs="Symbol" w:hint="default"/>
        <w:w w:val="100"/>
        <w:sz w:val="22"/>
        <w:szCs w:val="22"/>
      </w:rPr>
    </w:lvl>
    <w:lvl w:ilvl="1" w:tplc="BF8AC726">
      <w:numFmt w:val="bullet"/>
      <w:lvlText w:val="•"/>
      <w:lvlJc w:val="left"/>
      <w:pPr>
        <w:ind w:left="1756" w:hanging="361"/>
      </w:pPr>
      <w:rPr>
        <w:rFonts w:hint="default"/>
      </w:rPr>
    </w:lvl>
    <w:lvl w:ilvl="2" w:tplc="74A2FA2A">
      <w:numFmt w:val="bullet"/>
      <w:lvlText w:val="•"/>
      <w:lvlJc w:val="left"/>
      <w:pPr>
        <w:ind w:left="2693" w:hanging="361"/>
      </w:pPr>
      <w:rPr>
        <w:rFonts w:hint="default"/>
      </w:rPr>
    </w:lvl>
    <w:lvl w:ilvl="3" w:tplc="AE101968">
      <w:numFmt w:val="bullet"/>
      <w:lvlText w:val="•"/>
      <w:lvlJc w:val="left"/>
      <w:pPr>
        <w:ind w:left="3630" w:hanging="361"/>
      </w:pPr>
      <w:rPr>
        <w:rFonts w:hint="default"/>
      </w:rPr>
    </w:lvl>
    <w:lvl w:ilvl="4" w:tplc="F9C6C7C6">
      <w:numFmt w:val="bullet"/>
      <w:lvlText w:val="•"/>
      <w:lvlJc w:val="left"/>
      <w:pPr>
        <w:ind w:left="4567" w:hanging="361"/>
      </w:pPr>
      <w:rPr>
        <w:rFonts w:hint="default"/>
      </w:rPr>
    </w:lvl>
    <w:lvl w:ilvl="5" w:tplc="ADF2CFA6">
      <w:numFmt w:val="bullet"/>
      <w:lvlText w:val="•"/>
      <w:lvlJc w:val="left"/>
      <w:pPr>
        <w:ind w:left="5504" w:hanging="361"/>
      </w:pPr>
      <w:rPr>
        <w:rFonts w:hint="default"/>
      </w:rPr>
    </w:lvl>
    <w:lvl w:ilvl="6" w:tplc="B59A6AFC">
      <w:numFmt w:val="bullet"/>
      <w:lvlText w:val="•"/>
      <w:lvlJc w:val="left"/>
      <w:pPr>
        <w:ind w:left="6440" w:hanging="361"/>
      </w:pPr>
      <w:rPr>
        <w:rFonts w:hint="default"/>
      </w:rPr>
    </w:lvl>
    <w:lvl w:ilvl="7" w:tplc="D3864174">
      <w:numFmt w:val="bullet"/>
      <w:lvlText w:val="•"/>
      <w:lvlJc w:val="left"/>
      <w:pPr>
        <w:ind w:left="7377" w:hanging="361"/>
      </w:pPr>
      <w:rPr>
        <w:rFonts w:hint="default"/>
      </w:rPr>
    </w:lvl>
    <w:lvl w:ilvl="8" w:tplc="615EEC96">
      <w:numFmt w:val="bullet"/>
      <w:lvlText w:val="•"/>
      <w:lvlJc w:val="left"/>
      <w:pPr>
        <w:ind w:left="8314" w:hanging="361"/>
      </w:pPr>
      <w:rPr>
        <w:rFonts w:hint="default"/>
      </w:rPr>
    </w:lvl>
  </w:abstractNum>
  <w:abstractNum w:abstractNumId="23" w15:restartNumberingAfterBreak="0">
    <w:nsid w:val="6D2B533C"/>
    <w:multiLevelType w:val="hybridMultilevel"/>
    <w:tmpl w:val="FDF68D5A"/>
    <w:lvl w:ilvl="0" w:tplc="2A80B960">
      <w:numFmt w:val="bullet"/>
      <w:lvlText w:val="o"/>
      <w:lvlJc w:val="left"/>
      <w:pPr>
        <w:ind w:left="1124" w:hanging="280"/>
      </w:pPr>
      <w:rPr>
        <w:rFonts w:ascii="Courier New" w:eastAsia="Courier New" w:hAnsi="Courier New" w:cs="Courier New" w:hint="default"/>
        <w:w w:val="100"/>
        <w:sz w:val="22"/>
        <w:szCs w:val="22"/>
      </w:rPr>
    </w:lvl>
    <w:lvl w:ilvl="1" w:tplc="0F580ED2">
      <w:numFmt w:val="bullet"/>
      <w:lvlText w:val="•"/>
      <w:lvlJc w:val="left"/>
      <w:pPr>
        <w:ind w:left="2026" w:hanging="280"/>
      </w:pPr>
      <w:rPr>
        <w:rFonts w:hint="default"/>
      </w:rPr>
    </w:lvl>
    <w:lvl w:ilvl="2" w:tplc="D7A2F48E">
      <w:numFmt w:val="bullet"/>
      <w:lvlText w:val="•"/>
      <w:lvlJc w:val="left"/>
      <w:pPr>
        <w:ind w:left="2933" w:hanging="280"/>
      </w:pPr>
      <w:rPr>
        <w:rFonts w:hint="default"/>
      </w:rPr>
    </w:lvl>
    <w:lvl w:ilvl="3" w:tplc="8D567FF0">
      <w:numFmt w:val="bullet"/>
      <w:lvlText w:val="•"/>
      <w:lvlJc w:val="left"/>
      <w:pPr>
        <w:ind w:left="3840" w:hanging="280"/>
      </w:pPr>
      <w:rPr>
        <w:rFonts w:hint="default"/>
      </w:rPr>
    </w:lvl>
    <w:lvl w:ilvl="4" w:tplc="7E2A7AEC">
      <w:numFmt w:val="bullet"/>
      <w:lvlText w:val="•"/>
      <w:lvlJc w:val="left"/>
      <w:pPr>
        <w:ind w:left="4747" w:hanging="280"/>
      </w:pPr>
      <w:rPr>
        <w:rFonts w:hint="default"/>
      </w:rPr>
    </w:lvl>
    <w:lvl w:ilvl="5" w:tplc="351CF6C8">
      <w:numFmt w:val="bullet"/>
      <w:lvlText w:val="•"/>
      <w:lvlJc w:val="left"/>
      <w:pPr>
        <w:ind w:left="5654" w:hanging="280"/>
      </w:pPr>
      <w:rPr>
        <w:rFonts w:hint="default"/>
      </w:rPr>
    </w:lvl>
    <w:lvl w:ilvl="6" w:tplc="052E2984">
      <w:numFmt w:val="bullet"/>
      <w:lvlText w:val="•"/>
      <w:lvlJc w:val="left"/>
      <w:pPr>
        <w:ind w:left="6560" w:hanging="280"/>
      </w:pPr>
      <w:rPr>
        <w:rFonts w:hint="default"/>
      </w:rPr>
    </w:lvl>
    <w:lvl w:ilvl="7" w:tplc="24ECB8B8">
      <w:numFmt w:val="bullet"/>
      <w:lvlText w:val="•"/>
      <w:lvlJc w:val="left"/>
      <w:pPr>
        <w:ind w:left="7467" w:hanging="280"/>
      </w:pPr>
      <w:rPr>
        <w:rFonts w:hint="default"/>
      </w:rPr>
    </w:lvl>
    <w:lvl w:ilvl="8" w:tplc="F3E6543C">
      <w:numFmt w:val="bullet"/>
      <w:lvlText w:val="•"/>
      <w:lvlJc w:val="left"/>
      <w:pPr>
        <w:ind w:left="8374" w:hanging="280"/>
      </w:pPr>
      <w:rPr>
        <w:rFonts w:hint="default"/>
      </w:rPr>
    </w:lvl>
  </w:abstractNum>
  <w:abstractNum w:abstractNumId="24" w15:restartNumberingAfterBreak="0">
    <w:nsid w:val="6DD12C57"/>
    <w:multiLevelType w:val="hybridMultilevel"/>
    <w:tmpl w:val="7138007E"/>
    <w:lvl w:ilvl="0" w:tplc="2F6210D2">
      <w:numFmt w:val="bullet"/>
      <w:lvlText w:val=""/>
      <w:lvlJc w:val="left"/>
      <w:pPr>
        <w:ind w:left="824" w:hanging="361"/>
      </w:pPr>
      <w:rPr>
        <w:rFonts w:ascii="Symbol" w:eastAsia="Symbol" w:hAnsi="Symbol" w:cs="Symbol" w:hint="default"/>
        <w:w w:val="100"/>
        <w:sz w:val="22"/>
        <w:szCs w:val="22"/>
      </w:rPr>
    </w:lvl>
    <w:lvl w:ilvl="1" w:tplc="BBCAB85C">
      <w:numFmt w:val="bullet"/>
      <w:lvlText w:val="-"/>
      <w:lvlJc w:val="left"/>
      <w:pPr>
        <w:ind w:left="1184" w:hanging="360"/>
      </w:pPr>
      <w:rPr>
        <w:rFonts w:ascii="Cambria" w:eastAsia="Cambria" w:hAnsi="Cambria" w:cs="Cambria" w:hint="default"/>
        <w:spacing w:val="-5"/>
        <w:w w:val="100"/>
        <w:sz w:val="22"/>
        <w:szCs w:val="22"/>
      </w:rPr>
    </w:lvl>
    <w:lvl w:ilvl="2" w:tplc="4E0CA5AE">
      <w:numFmt w:val="bullet"/>
      <w:lvlText w:val="•"/>
      <w:lvlJc w:val="left"/>
      <w:pPr>
        <w:ind w:left="2165" w:hanging="360"/>
      </w:pPr>
      <w:rPr>
        <w:rFonts w:hint="default"/>
      </w:rPr>
    </w:lvl>
    <w:lvl w:ilvl="3" w:tplc="77BE3FE8">
      <w:numFmt w:val="bullet"/>
      <w:lvlText w:val="•"/>
      <w:lvlJc w:val="left"/>
      <w:pPr>
        <w:ind w:left="3151" w:hanging="360"/>
      </w:pPr>
      <w:rPr>
        <w:rFonts w:hint="default"/>
      </w:rPr>
    </w:lvl>
    <w:lvl w:ilvl="4" w:tplc="24E0246E">
      <w:numFmt w:val="bullet"/>
      <w:lvlText w:val="•"/>
      <w:lvlJc w:val="left"/>
      <w:pPr>
        <w:ind w:left="4137" w:hanging="360"/>
      </w:pPr>
      <w:rPr>
        <w:rFonts w:hint="default"/>
      </w:rPr>
    </w:lvl>
    <w:lvl w:ilvl="5" w:tplc="0A3ACB28">
      <w:numFmt w:val="bullet"/>
      <w:lvlText w:val="•"/>
      <w:lvlJc w:val="left"/>
      <w:pPr>
        <w:ind w:left="5123" w:hanging="360"/>
      </w:pPr>
      <w:rPr>
        <w:rFonts w:hint="default"/>
      </w:rPr>
    </w:lvl>
    <w:lvl w:ilvl="6" w:tplc="45AA04D6">
      <w:numFmt w:val="bullet"/>
      <w:lvlText w:val="•"/>
      <w:lvlJc w:val="left"/>
      <w:pPr>
        <w:ind w:left="6108" w:hanging="360"/>
      </w:pPr>
      <w:rPr>
        <w:rFonts w:hint="default"/>
      </w:rPr>
    </w:lvl>
    <w:lvl w:ilvl="7" w:tplc="C608AD30">
      <w:numFmt w:val="bullet"/>
      <w:lvlText w:val="•"/>
      <w:lvlJc w:val="left"/>
      <w:pPr>
        <w:ind w:left="7094" w:hanging="360"/>
      </w:pPr>
      <w:rPr>
        <w:rFonts w:hint="default"/>
      </w:rPr>
    </w:lvl>
    <w:lvl w:ilvl="8" w:tplc="7840CE74">
      <w:numFmt w:val="bullet"/>
      <w:lvlText w:val="•"/>
      <w:lvlJc w:val="left"/>
      <w:pPr>
        <w:ind w:left="8080" w:hanging="360"/>
      </w:pPr>
      <w:rPr>
        <w:rFonts w:hint="default"/>
      </w:rPr>
    </w:lvl>
  </w:abstractNum>
  <w:abstractNum w:abstractNumId="25" w15:restartNumberingAfterBreak="0">
    <w:nsid w:val="6E132C4E"/>
    <w:multiLevelType w:val="hybridMultilevel"/>
    <w:tmpl w:val="D56AFE82"/>
    <w:lvl w:ilvl="0" w:tplc="515A8402">
      <w:numFmt w:val="bullet"/>
      <w:lvlText w:val=""/>
      <w:lvlJc w:val="left"/>
      <w:pPr>
        <w:ind w:left="1004" w:hanging="361"/>
      </w:pPr>
      <w:rPr>
        <w:rFonts w:ascii="Symbol" w:eastAsia="Symbol" w:hAnsi="Symbol" w:cs="Symbol" w:hint="default"/>
        <w:w w:val="100"/>
        <w:sz w:val="22"/>
        <w:szCs w:val="22"/>
      </w:rPr>
    </w:lvl>
    <w:lvl w:ilvl="1" w:tplc="E732EB72">
      <w:numFmt w:val="bullet"/>
      <w:lvlText w:val="o"/>
      <w:lvlJc w:val="left"/>
      <w:pPr>
        <w:ind w:left="1724" w:hanging="360"/>
      </w:pPr>
      <w:rPr>
        <w:rFonts w:ascii="Courier New" w:eastAsia="Courier New" w:hAnsi="Courier New" w:cs="Courier New" w:hint="default"/>
        <w:spacing w:val="-37"/>
        <w:w w:val="100"/>
        <w:sz w:val="22"/>
        <w:szCs w:val="22"/>
      </w:rPr>
    </w:lvl>
    <w:lvl w:ilvl="2" w:tplc="3356BB92">
      <w:numFmt w:val="bullet"/>
      <w:lvlText w:val="•"/>
      <w:lvlJc w:val="left"/>
      <w:pPr>
        <w:ind w:left="2694" w:hanging="360"/>
      </w:pPr>
      <w:rPr>
        <w:rFonts w:hint="default"/>
      </w:rPr>
    </w:lvl>
    <w:lvl w:ilvl="3" w:tplc="5DF4B974">
      <w:numFmt w:val="bullet"/>
      <w:lvlText w:val="•"/>
      <w:lvlJc w:val="left"/>
      <w:pPr>
        <w:ind w:left="3668" w:hanging="360"/>
      </w:pPr>
      <w:rPr>
        <w:rFonts w:hint="default"/>
      </w:rPr>
    </w:lvl>
    <w:lvl w:ilvl="4" w:tplc="22903F9C">
      <w:numFmt w:val="bullet"/>
      <w:lvlText w:val="•"/>
      <w:lvlJc w:val="left"/>
      <w:pPr>
        <w:ind w:left="4642" w:hanging="360"/>
      </w:pPr>
      <w:rPr>
        <w:rFonts w:hint="default"/>
      </w:rPr>
    </w:lvl>
    <w:lvl w:ilvl="5" w:tplc="B5B21C9A">
      <w:numFmt w:val="bullet"/>
      <w:lvlText w:val="•"/>
      <w:lvlJc w:val="left"/>
      <w:pPr>
        <w:ind w:left="5616" w:hanging="360"/>
      </w:pPr>
      <w:rPr>
        <w:rFonts w:hint="default"/>
      </w:rPr>
    </w:lvl>
    <w:lvl w:ilvl="6" w:tplc="A6CC5352">
      <w:numFmt w:val="bullet"/>
      <w:lvlText w:val="•"/>
      <w:lvlJc w:val="left"/>
      <w:pPr>
        <w:ind w:left="6591" w:hanging="360"/>
      </w:pPr>
      <w:rPr>
        <w:rFonts w:hint="default"/>
      </w:rPr>
    </w:lvl>
    <w:lvl w:ilvl="7" w:tplc="EC1C8990">
      <w:numFmt w:val="bullet"/>
      <w:lvlText w:val="•"/>
      <w:lvlJc w:val="left"/>
      <w:pPr>
        <w:ind w:left="7565" w:hanging="360"/>
      </w:pPr>
      <w:rPr>
        <w:rFonts w:hint="default"/>
      </w:rPr>
    </w:lvl>
    <w:lvl w:ilvl="8" w:tplc="C0900EFE">
      <w:numFmt w:val="bullet"/>
      <w:lvlText w:val="•"/>
      <w:lvlJc w:val="left"/>
      <w:pPr>
        <w:ind w:left="8539" w:hanging="360"/>
      </w:pPr>
      <w:rPr>
        <w:rFonts w:hint="default"/>
      </w:rPr>
    </w:lvl>
  </w:abstractNum>
  <w:abstractNum w:abstractNumId="26" w15:restartNumberingAfterBreak="0">
    <w:nsid w:val="6E2B3075"/>
    <w:multiLevelType w:val="hybridMultilevel"/>
    <w:tmpl w:val="6B8E7DDA"/>
    <w:lvl w:ilvl="0" w:tplc="7DD4D588">
      <w:start w:val="1"/>
      <w:numFmt w:val="decimal"/>
      <w:lvlText w:val="%1."/>
      <w:lvlJc w:val="left"/>
      <w:pPr>
        <w:ind w:left="532" w:hanging="361"/>
        <w:jc w:val="left"/>
      </w:pPr>
      <w:rPr>
        <w:rFonts w:ascii="Cambria" w:eastAsia="Cambria" w:hAnsi="Cambria" w:cs="Cambria" w:hint="default"/>
        <w:spacing w:val="-3"/>
        <w:w w:val="100"/>
        <w:sz w:val="22"/>
        <w:szCs w:val="22"/>
      </w:rPr>
    </w:lvl>
    <w:lvl w:ilvl="1" w:tplc="63A29E72">
      <w:start w:val="76"/>
      <w:numFmt w:val="decimal"/>
      <w:lvlText w:val="%2."/>
      <w:lvlJc w:val="left"/>
      <w:pPr>
        <w:ind w:left="635" w:hanging="332"/>
        <w:jc w:val="left"/>
      </w:pPr>
      <w:rPr>
        <w:rFonts w:ascii="Cambria" w:eastAsia="Cambria" w:hAnsi="Cambria" w:cs="Cambria" w:hint="default"/>
        <w:spacing w:val="-2"/>
        <w:w w:val="100"/>
        <w:sz w:val="22"/>
        <w:szCs w:val="22"/>
      </w:rPr>
    </w:lvl>
    <w:lvl w:ilvl="2" w:tplc="2926F1F6">
      <w:start w:val="1"/>
      <w:numFmt w:val="decimal"/>
      <w:lvlText w:val="%3)"/>
      <w:lvlJc w:val="left"/>
      <w:pPr>
        <w:ind w:left="911" w:hanging="360"/>
        <w:jc w:val="left"/>
      </w:pPr>
      <w:rPr>
        <w:rFonts w:ascii="Cambria" w:eastAsia="Cambria" w:hAnsi="Cambria" w:cs="Cambria" w:hint="default"/>
        <w:spacing w:val="-16"/>
        <w:w w:val="100"/>
        <w:sz w:val="22"/>
        <w:szCs w:val="22"/>
      </w:rPr>
    </w:lvl>
    <w:lvl w:ilvl="3" w:tplc="129E9F4C">
      <w:numFmt w:val="bullet"/>
      <w:lvlText w:val="•"/>
      <w:lvlJc w:val="left"/>
      <w:pPr>
        <w:ind w:left="2116" w:hanging="360"/>
      </w:pPr>
      <w:rPr>
        <w:rFonts w:hint="default"/>
      </w:rPr>
    </w:lvl>
    <w:lvl w:ilvl="4" w:tplc="D780C14E">
      <w:numFmt w:val="bullet"/>
      <w:lvlText w:val="•"/>
      <w:lvlJc w:val="left"/>
      <w:pPr>
        <w:ind w:left="3312" w:hanging="360"/>
      </w:pPr>
      <w:rPr>
        <w:rFonts w:hint="default"/>
      </w:rPr>
    </w:lvl>
    <w:lvl w:ilvl="5" w:tplc="40266B2A">
      <w:numFmt w:val="bullet"/>
      <w:lvlText w:val="•"/>
      <w:lvlJc w:val="left"/>
      <w:pPr>
        <w:ind w:left="4508" w:hanging="360"/>
      </w:pPr>
      <w:rPr>
        <w:rFonts w:hint="default"/>
      </w:rPr>
    </w:lvl>
    <w:lvl w:ilvl="6" w:tplc="B7D4BD30">
      <w:numFmt w:val="bullet"/>
      <w:lvlText w:val="•"/>
      <w:lvlJc w:val="left"/>
      <w:pPr>
        <w:ind w:left="5704" w:hanging="360"/>
      </w:pPr>
      <w:rPr>
        <w:rFonts w:hint="default"/>
      </w:rPr>
    </w:lvl>
    <w:lvl w:ilvl="7" w:tplc="7200F98C">
      <w:numFmt w:val="bullet"/>
      <w:lvlText w:val="•"/>
      <w:lvlJc w:val="left"/>
      <w:pPr>
        <w:ind w:left="6900" w:hanging="360"/>
      </w:pPr>
      <w:rPr>
        <w:rFonts w:hint="default"/>
      </w:rPr>
    </w:lvl>
    <w:lvl w:ilvl="8" w:tplc="F7344176">
      <w:numFmt w:val="bullet"/>
      <w:lvlText w:val="•"/>
      <w:lvlJc w:val="left"/>
      <w:pPr>
        <w:ind w:left="8096" w:hanging="360"/>
      </w:pPr>
      <w:rPr>
        <w:rFonts w:hint="default"/>
      </w:rPr>
    </w:lvl>
  </w:abstractNum>
  <w:abstractNum w:abstractNumId="27" w15:restartNumberingAfterBreak="0">
    <w:nsid w:val="7B3C7BB3"/>
    <w:multiLevelType w:val="hybridMultilevel"/>
    <w:tmpl w:val="CC3253EA"/>
    <w:lvl w:ilvl="0" w:tplc="8A94F70A">
      <w:numFmt w:val="bullet"/>
      <w:lvlText w:val=""/>
      <w:lvlJc w:val="left"/>
      <w:pPr>
        <w:ind w:left="824" w:hanging="361"/>
      </w:pPr>
      <w:rPr>
        <w:rFonts w:ascii="Symbol" w:eastAsia="Symbol" w:hAnsi="Symbol" w:cs="Symbol" w:hint="default"/>
        <w:w w:val="100"/>
        <w:sz w:val="22"/>
        <w:szCs w:val="22"/>
      </w:rPr>
    </w:lvl>
    <w:lvl w:ilvl="1" w:tplc="DD48B4E0">
      <w:numFmt w:val="bullet"/>
      <w:lvlText w:val="•"/>
      <w:lvlJc w:val="left"/>
      <w:pPr>
        <w:ind w:left="1756" w:hanging="361"/>
      </w:pPr>
      <w:rPr>
        <w:rFonts w:hint="default"/>
      </w:rPr>
    </w:lvl>
    <w:lvl w:ilvl="2" w:tplc="6BCE46D4">
      <w:numFmt w:val="bullet"/>
      <w:lvlText w:val="•"/>
      <w:lvlJc w:val="left"/>
      <w:pPr>
        <w:ind w:left="2693" w:hanging="361"/>
      </w:pPr>
      <w:rPr>
        <w:rFonts w:hint="default"/>
      </w:rPr>
    </w:lvl>
    <w:lvl w:ilvl="3" w:tplc="AE5EC4F6">
      <w:numFmt w:val="bullet"/>
      <w:lvlText w:val="•"/>
      <w:lvlJc w:val="left"/>
      <w:pPr>
        <w:ind w:left="3630" w:hanging="361"/>
      </w:pPr>
      <w:rPr>
        <w:rFonts w:hint="default"/>
      </w:rPr>
    </w:lvl>
    <w:lvl w:ilvl="4" w:tplc="C540A230">
      <w:numFmt w:val="bullet"/>
      <w:lvlText w:val="•"/>
      <w:lvlJc w:val="left"/>
      <w:pPr>
        <w:ind w:left="4567" w:hanging="361"/>
      </w:pPr>
      <w:rPr>
        <w:rFonts w:hint="default"/>
      </w:rPr>
    </w:lvl>
    <w:lvl w:ilvl="5" w:tplc="9306D6B4">
      <w:numFmt w:val="bullet"/>
      <w:lvlText w:val="•"/>
      <w:lvlJc w:val="left"/>
      <w:pPr>
        <w:ind w:left="5504" w:hanging="361"/>
      </w:pPr>
      <w:rPr>
        <w:rFonts w:hint="default"/>
      </w:rPr>
    </w:lvl>
    <w:lvl w:ilvl="6" w:tplc="2F16D516">
      <w:numFmt w:val="bullet"/>
      <w:lvlText w:val="•"/>
      <w:lvlJc w:val="left"/>
      <w:pPr>
        <w:ind w:left="6440" w:hanging="361"/>
      </w:pPr>
      <w:rPr>
        <w:rFonts w:hint="default"/>
      </w:rPr>
    </w:lvl>
    <w:lvl w:ilvl="7" w:tplc="66CE4B00">
      <w:numFmt w:val="bullet"/>
      <w:lvlText w:val="•"/>
      <w:lvlJc w:val="left"/>
      <w:pPr>
        <w:ind w:left="7377" w:hanging="361"/>
      </w:pPr>
      <w:rPr>
        <w:rFonts w:hint="default"/>
      </w:rPr>
    </w:lvl>
    <w:lvl w:ilvl="8" w:tplc="D7686CEE">
      <w:numFmt w:val="bullet"/>
      <w:lvlText w:val="•"/>
      <w:lvlJc w:val="left"/>
      <w:pPr>
        <w:ind w:left="8314" w:hanging="361"/>
      </w:pPr>
      <w:rPr>
        <w:rFonts w:hint="default"/>
      </w:rPr>
    </w:lvl>
  </w:abstractNum>
  <w:abstractNum w:abstractNumId="28" w15:restartNumberingAfterBreak="0">
    <w:nsid w:val="7C6212F5"/>
    <w:multiLevelType w:val="hybridMultilevel"/>
    <w:tmpl w:val="06F67EB6"/>
    <w:lvl w:ilvl="0" w:tplc="7CDC7A92">
      <w:start w:val="1"/>
      <w:numFmt w:val="decimal"/>
      <w:lvlText w:val="(%1)"/>
      <w:lvlJc w:val="left"/>
      <w:pPr>
        <w:ind w:left="3688" w:hanging="720"/>
        <w:jc w:val="right"/>
      </w:pPr>
      <w:rPr>
        <w:rFonts w:ascii="Cambria" w:eastAsia="Cambria" w:hAnsi="Cambria" w:cs="Cambria" w:hint="default"/>
        <w:b/>
        <w:bCs/>
        <w:spacing w:val="-3"/>
        <w:w w:val="100"/>
        <w:sz w:val="32"/>
        <w:szCs w:val="32"/>
      </w:rPr>
    </w:lvl>
    <w:lvl w:ilvl="1" w:tplc="96663A40">
      <w:numFmt w:val="bullet"/>
      <w:lvlText w:val="•"/>
      <w:lvlJc w:val="left"/>
      <w:pPr>
        <w:ind w:left="4166" w:hanging="720"/>
      </w:pPr>
      <w:rPr>
        <w:rFonts w:hint="default"/>
      </w:rPr>
    </w:lvl>
    <w:lvl w:ilvl="2" w:tplc="2FB80D8C">
      <w:numFmt w:val="bullet"/>
      <w:lvlText w:val="•"/>
      <w:lvlJc w:val="left"/>
      <w:pPr>
        <w:ind w:left="4653" w:hanging="720"/>
      </w:pPr>
      <w:rPr>
        <w:rFonts w:hint="default"/>
      </w:rPr>
    </w:lvl>
    <w:lvl w:ilvl="3" w:tplc="0B32D1A2">
      <w:numFmt w:val="bullet"/>
      <w:lvlText w:val="•"/>
      <w:lvlJc w:val="left"/>
      <w:pPr>
        <w:ind w:left="5140" w:hanging="720"/>
      </w:pPr>
      <w:rPr>
        <w:rFonts w:hint="default"/>
      </w:rPr>
    </w:lvl>
    <w:lvl w:ilvl="4" w:tplc="E084DADA">
      <w:numFmt w:val="bullet"/>
      <w:lvlText w:val="•"/>
      <w:lvlJc w:val="left"/>
      <w:pPr>
        <w:ind w:left="5627" w:hanging="720"/>
      </w:pPr>
      <w:rPr>
        <w:rFonts w:hint="default"/>
      </w:rPr>
    </w:lvl>
    <w:lvl w:ilvl="5" w:tplc="A142D03C">
      <w:numFmt w:val="bullet"/>
      <w:lvlText w:val="•"/>
      <w:lvlJc w:val="left"/>
      <w:pPr>
        <w:ind w:left="6114" w:hanging="720"/>
      </w:pPr>
      <w:rPr>
        <w:rFonts w:hint="default"/>
      </w:rPr>
    </w:lvl>
    <w:lvl w:ilvl="6" w:tplc="4B68659E">
      <w:numFmt w:val="bullet"/>
      <w:lvlText w:val="•"/>
      <w:lvlJc w:val="left"/>
      <w:pPr>
        <w:ind w:left="6600" w:hanging="720"/>
      </w:pPr>
      <w:rPr>
        <w:rFonts w:hint="default"/>
      </w:rPr>
    </w:lvl>
    <w:lvl w:ilvl="7" w:tplc="D27A2902">
      <w:numFmt w:val="bullet"/>
      <w:lvlText w:val="•"/>
      <w:lvlJc w:val="left"/>
      <w:pPr>
        <w:ind w:left="7087" w:hanging="720"/>
      </w:pPr>
      <w:rPr>
        <w:rFonts w:hint="default"/>
      </w:rPr>
    </w:lvl>
    <w:lvl w:ilvl="8" w:tplc="8DBE23F2">
      <w:numFmt w:val="bullet"/>
      <w:lvlText w:val="•"/>
      <w:lvlJc w:val="left"/>
      <w:pPr>
        <w:ind w:left="7574" w:hanging="720"/>
      </w:pPr>
      <w:rPr>
        <w:rFonts w:hint="default"/>
      </w:rPr>
    </w:lvl>
  </w:abstractNum>
  <w:num w:numId="1">
    <w:abstractNumId w:val="16"/>
  </w:num>
  <w:num w:numId="2">
    <w:abstractNumId w:val="18"/>
  </w:num>
  <w:num w:numId="3">
    <w:abstractNumId w:val="19"/>
  </w:num>
  <w:num w:numId="4">
    <w:abstractNumId w:val="3"/>
  </w:num>
  <w:num w:numId="5">
    <w:abstractNumId w:val="9"/>
  </w:num>
  <w:num w:numId="6">
    <w:abstractNumId w:val="23"/>
  </w:num>
  <w:num w:numId="7">
    <w:abstractNumId w:val="22"/>
  </w:num>
  <w:num w:numId="8">
    <w:abstractNumId w:val="26"/>
  </w:num>
  <w:num w:numId="9">
    <w:abstractNumId w:val="20"/>
  </w:num>
  <w:num w:numId="10">
    <w:abstractNumId w:val="4"/>
  </w:num>
  <w:num w:numId="11">
    <w:abstractNumId w:val="25"/>
  </w:num>
  <w:num w:numId="12">
    <w:abstractNumId w:val="15"/>
  </w:num>
  <w:num w:numId="13">
    <w:abstractNumId w:val="27"/>
  </w:num>
  <w:num w:numId="14">
    <w:abstractNumId w:val="14"/>
  </w:num>
  <w:num w:numId="15">
    <w:abstractNumId w:val="10"/>
  </w:num>
  <w:num w:numId="16">
    <w:abstractNumId w:val="24"/>
  </w:num>
  <w:num w:numId="17">
    <w:abstractNumId w:val="21"/>
  </w:num>
  <w:num w:numId="18">
    <w:abstractNumId w:val="2"/>
  </w:num>
  <w:num w:numId="19">
    <w:abstractNumId w:val="5"/>
  </w:num>
  <w:num w:numId="20">
    <w:abstractNumId w:val="6"/>
  </w:num>
  <w:num w:numId="21">
    <w:abstractNumId w:val="13"/>
  </w:num>
  <w:num w:numId="22">
    <w:abstractNumId w:val="0"/>
  </w:num>
  <w:num w:numId="23">
    <w:abstractNumId w:val="8"/>
  </w:num>
  <w:num w:numId="24">
    <w:abstractNumId w:val="7"/>
  </w:num>
  <w:num w:numId="25">
    <w:abstractNumId w:val="11"/>
  </w:num>
  <w:num w:numId="26">
    <w:abstractNumId w:val="1"/>
  </w:num>
  <w:num w:numId="27">
    <w:abstractNumId w:val="12"/>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7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D4C35"/>
    <w:rsid w:val="001D4C35"/>
    <w:rsid w:val="007E1209"/>
    <w:rsid w:val="007E6DC4"/>
    <w:rsid w:val="00AA5B32"/>
    <w:rsid w:val="00D27AA2"/>
    <w:rsid w:val="00D76835"/>
    <w:rsid w:val="00D848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4474AA83"/>
  <w15:docId w15:val="{E50D917F-AA14-46F7-97A2-42B31135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00"/>
      <w:ind w:left="192"/>
      <w:outlineLvl w:val="0"/>
    </w:pPr>
    <w:rPr>
      <w:b/>
      <w:bCs/>
      <w:sz w:val="32"/>
      <w:szCs w:val="32"/>
    </w:rPr>
  </w:style>
  <w:style w:type="paragraph" w:styleId="Heading2">
    <w:name w:val="heading 2"/>
    <w:basedOn w:val="Normal"/>
    <w:uiPriority w:val="9"/>
    <w:unhideWhenUsed/>
    <w:qFormat/>
    <w:pPr>
      <w:ind w:left="60"/>
      <w:outlineLvl w:val="1"/>
    </w:pPr>
    <w:rPr>
      <w:sz w:val="24"/>
      <w:szCs w:val="24"/>
    </w:rPr>
  </w:style>
  <w:style w:type="paragraph" w:styleId="Heading3">
    <w:name w:val="heading 3"/>
    <w:basedOn w:val="Normal"/>
    <w:uiPriority w:val="9"/>
    <w:unhideWhenUsed/>
    <w:qFormat/>
    <w:pPr>
      <w:ind w:left="3971"/>
      <w:outlineLvl w:val="2"/>
    </w:pPr>
    <w:rPr>
      <w:b/>
      <w:bCs/>
    </w:rPr>
  </w:style>
  <w:style w:type="paragraph" w:styleId="Heading4">
    <w:name w:val="heading 4"/>
    <w:basedOn w:val="Normal"/>
    <w:uiPriority w:val="9"/>
    <w:unhideWhenUsed/>
    <w:qFormat/>
    <w:pPr>
      <w:spacing w:before="100"/>
      <w:ind w:left="172"/>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91" w:hanging="360"/>
      <w:jc w:val="both"/>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AA5B32"/>
    <w:pPr>
      <w:tabs>
        <w:tab w:val="center" w:pos="4513"/>
        <w:tab w:val="right" w:pos="9026"/>
      </w:tabs>
    </w:pPr>
  </w:style>
  <w:style w:type="character" w:customStyle="1" w:styleId="HeaderChar">
    <w:name w:val="Header Char"/>
    <w:basedOn w:val="DefaultParagraphFont"/>
    <w:link w:val="Header"/>
    <w:uiPriority w:val="99"/>
    <w:rsid w:val="00AA5B32"/>
    <w:rPr>
      <w:rFonts w:ascii="Cambria" w:eastAsia="Cambria" w:hAnsi="Cambria" w:cs="Cambria"/>
    </w:rPr>
  </w:style>
  <w:style w:type="paragraph" w:styleId="Footer">
    <w:name w:val="footer"/>
    <w:basedOn w:val="Normal"/>
    <w:link w:val="FooterChar"/>
    <w:uiPriority w:val="99"/>
    <w:unhideWhenUsed/>
    <w:rsid w:val="00AA5B32"/>
    <w:pPr>
      <w:tabs>
        <w:tab w:val="center" w:pos="4513"/>
        <w:tab w:val="right" w:pos="9026"/>
      </w:tabs>
    </w:pPr>
  </w:style>
  <w:style w:type="character" w:customStyle="1" w:styleId="FooterChar">
    <w:name w:val="Footer Char"/>
    <w:basedOn w:val="DefaultParagraphFont"/>
    <w:link w:val="Footer"/>
    <w:uiPriority w:val="99"/>
    <w:rsid w:val="00AA5B32"/>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gjones@isda.org" TargetMode="External"/><Relationship Id="rId18" Type="http://schemas.openxmlformats.org/officeDocument/2006/relationships/hyperlink" Target="http://www.afme.e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ba.europa.eu/sites/default/documents/files/document_library/Publications/Reports/2021/1020673/EBA%20Report%20on%20Basel%20III%20Monitoring%20%28data%20as%20of%2031%20December%202020%29.pdf" TargetMode="External"/><Relationship Id="rId17" Type="http://schemas.openxmlformats.org/officeDocument/2006/relationships/hyperlink" Target="http://www.isda.org/" TargetMode="External"/><Relationship Id="rId2" Type="http://schemas.openxmlformats.org/officeDocument/2006/relationships/styles" Target="styles.xml"/><Relationship Id="rId16" Type="http://schemas.openxmlformats.org/officeDocument/2006/relationships/hyperlink" Target="mailto:stefano.mazzocchi@afme.e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ahir.akbar@afme.eu" TargetMode="External"/><Relationship Id="rId10" Type="http://schemas.openxmlformats.org/officeDocument/2006/relationships/hyperlink" Target="https://www.bis.org/bcbs/publ/d507.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s.org/bcbs/publ/d424.pdf" TargetMode="External"/><Relationship Id="rId14" Type="http://schemas.openxmlformats.org/officeDocument/2006/relationships/hyperlink" Target="mailto:slapinsonniere@is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2591</Words>
  <Characters>14775</Characters>
  <Application>Microsoft Office Word</Application>
  <DocSecurity>0</DocSecurity>
  <Lines>123</Lines>
  <Paragraphs>34</Paragraphs>
  <ScaleCrop>false</ScaleCrop>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amillar</dc:creator>
  <cp:lastModifiedBy>Sandrine Lapinsonniere</cp:lastModifiedBy>
  <cp:revision>6</cp:revision>
  <dcterms:created xsi:type="dcterms:W3CDTF">2022-03-09T10:36:00Z</dcterms:created>
  <dcterms:modified xsi:type="dcterms:W3CDTF">2022-03-22T07:25:00Z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Creator">
    <vt:lpwstr>Acrobat PDFMaker 21 for Word</vt:lpwstr>
  </property>
  <property fmtid="{D5CDD505-2E9C-101B-9397-08002B2CF9AE}" pid="4" name="LastSaved">
    <vt:filetime>2022-03-09T00:00:00Z</vt:filetime>
  </property>
</Properties>
</file>