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D4" w:rsidRPr="00C97DD4" w:rsidRDefault="00C97DD4" w:rsidP="00C97DD4">
      <w:pPr>
        <w:spacing w:line="240" w:lineRule="auto"/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2009 Rouse and </w:t>
      </w:r>
      <w:proofErr w:type="spellStart"/>
      <w:r>
        <w:rPr>
          <w:rFonts w:eastAsia="Times New Roman" w:cs="Times New Roman"/>
        </w:rPr>
        <w:t>Chemtura</w:t>
      </w:r>
      <w:proofErr w:type="spellEnd"/>
      <w:r>
        <w:rPr>
          <w:rFonts w:eastAsia="Times New Roman" w:cs="Times New Roman"/>
        </w:rPr>
        <w:t xml:space="preserve"> Protocols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97DD4" w:rsidRPr="00C97DD4" w:rsidTr="00C97DD4">
        <w:trPr>
          <w:tblCellSpacing w:w="0" w:type="dxa"/>
        </w:trPr>
        <w:tc>
          <w:tcPr>
            <w:tcW w:w="5000" w:type="pct"/>
            <w:hideMark/>
          </w:tcPr>
          <w:p w:rsidR="00C97DD4" w:rsidRPr="00C97DD4" w:rsidRDefault="00C97DD4" w:rsidP="00C97DD4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CDS Dealers</w:t>
            </w:r>
          </w:p>
          <w:p w:rsidR="00C97DD4" w:rsidRPr="00C97DD4" w:rsidRDefault="00C97DD4" w:rsidP="00C97DD4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 xml:space="preserve">The following is a list of “CDS Dealers” for the purposes of the definition of that term in the Revised 2009 </w:t>
            </w:r>
            <w:proofErr w:type="spellStart"/>
            <w:r w:rsidRPr="00C97DD4">
              <w:rPr>
                <w:rFonts w:ascii="Arial" w:eastAsia="Times New Roman" w:hAnsi="Arial" w:cs="Arial"/>
                <w:sz w:val="20"/>
                <w:szCs w:val="20"/>
              </w:rPr>
              <w:t>Chemtura</w:t>
            </w:r>
            <w:proofErr w:type="spellEnd"/>
            <w:r w:rsidRPr="00C97DD4">
              <w:rPr>
                <w:rFonts w:ascii="Arial" w:eastAsia="Times New Roman" w:hAnsi="Arial" w:cs="Arial"/>
                <w:sz w:val="20"/>
                <w:szCs w:val="20"/>
              </w:rPr>
              <w:t xml:space="preserve"> Entities/Rouse CDS Protocols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ABN AMRO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Bank of America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Barclays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BNP Paribas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Citigroup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Commerzbank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Credit Suisse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Deutsche Bank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Dresdner Kleinwort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Goldman Sachs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HSBC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JPMorgan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Merrill Lynch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Mitsubishi UFJ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Mizuho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Morgan Stanley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Nomura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RBS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DD4">
              <w:rPr>
                <w:rFonts w:ascii="Arial" w:eastAsia="Times New Roman" w:hAnsi="Arial" w:cs="Arial"/>
                <w:sz w:val="20"/>
                <w:szCs w:val="20"/>
              </w:rPr>
              <w:t>Société</w:t>
            </w:r>
            <w:proofErr w:type="spellEnd"/>
            <w:r w:rsidRPr="00C97D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7DD4">
              <w:rPr>
                <w:rFonts w:ascii="Arial" w:eastAsia="Times New Roman" w:hAnsi="Arial" w:cs="Arial"/>
                <w:sz w:val="20"/>
                <w:szCs w:val="20"/>
              </w:rPr>
              <w:t>Générale</w:t>
            </w:r>
            <w:proofErr w:type="spellEnd"/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TD Securities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UBS</w:t>
            </w:r>
          </w:p>
          <w:p w:rsidR="00C97DD4" w:rsidRPr="00C97DD4" w:rsidRDefault="00C97DD4" w:rsidP="00C97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DD4">
              <w:rPr>
                <w:rFonts w:ascii="Arial" w:eastAsia="Times New Roman" w:hAnsi="Arial" w:cs="Arial"/>
                <w:sz w:val="20"/>
                <w:szCs w:val="20"/>
              </w:rPr>
              <w:t>Wachovia</w:t>
            </w:r>
          </w:p>
        </w:tc>
      </w:tr>
    </w:tbl>
    <w:p w:rsidR="00054772" w:rsidRDefault="00054772"/>
    <w:sectPr w:rsidR="0005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17C57"/>
    <w:multiLevelType w:val="multilevel"/>
    <w:tmpl w:val="B10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D4"/>
    <w:rsid w:val="00054772"/>
    <w:rsid w:val="001560F7"/>
    <w:rsid w:val="006176CB"/>
    <w:rsid w:val="008C78A4"/>
    <w:rsid w:val="00C97DD4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C27FE-272F-4A26-A6E9-968D2DE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DD4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C97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1</cp:revision>
  <dcterms:created xsi:type="dcterms:W3CDTF">2017-12-04T19:47:00Z</dcterms:created>
  <dcterms:modified xsi:type="dcterms:W3CDTF">2017-12-04T19:48:00Z</dcterms:modified>
</cp:coreProperties>
</file>