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75D72" w14:textId="0A9B03CA" w:rsidR="00160754" w:rsidRPr="00192F2D" w:rsidRDefault="0074544A" w:rsidP="00D276CE">
      <w:pPr>
        <w:pStyle w:val="Body"/>
        <w:jc w:val="center"/>
        <w:rPr>
          <w:rFonts w:ascii="Times New Roman" w:hAnsi="Times New Roman"/>
          <w:b/>
          <w:bCs/>
          <w:sz w:val="24"/>
          <w:szCs w:val="28"/>
        </w:rPr>
      </w:pPr>
      <w:r w:rsidRPr="00192F2D">
        <w:rPr>
          <w:rFonts w:ascii="Times New Roman" w:hAnsi="Times New Roman"/>
          <w:b/>
          <w:bCs/>
          <w:sz w:val="24"/>
          <w:szCs w:val="28"/>
        </w:rPr>
        <w:t>LIBOR ICE Swap Rate Fallback Drafting</w:t>
      </w:r>
      <w:r w:rsidR="000E7F00">
        <w:rPr>
          <w:rFonts w:ascii="Times New Roman" w:hAnsi="Times New Roman"/>
          <w:b/>
          <w:bCs/>
          <w:sz w:val="24"/>
          <w:szCs w:val="28"/>
        </w:rPr>
        <w:t xml:space="preserve"> – Settlement Rate Provisions</w:t>
      </w:r>
      <w:r w:rsidR="00735BA2">
        <w:rPr>
          <w:rFonts w:ascii="Times New Roman" w:hAnsi="Times New Roman"/>
          <w:b/>
          <w:bCs/>
          <w:sz w:val="24"/>
          <w:szCs w:val="28"/>
        </w:rPr>
        <w:t xml:space="preserve"> </w:t>
      </w:r>
      <w:r w:rsidR="005B57EC">
        <w:rPr>
          <w:rFonts w:ascii="Times New Roman" w:hAnsi="Times New Roman"/>
          <w:b/>
          <w:bCs/>
          <w:sz w:val="24"/>
          <w:szCs w:val="28"/>
        </w:rPr>
        <w:t xml:space="preserve">– </w:t>
      </w:r>
      <w:r w:rsidR="00735BA2">
        <w:rPr>
          <w:rFonts w:ascii="Times New Roman" w:hAnsi="Times New Roman"/>
          <w:b/>
          <w:bCs/>
          <w:sz w:val="24"/>
          <w:szCs w:val="28"/>
        </w:rPr>
        <w:t>USD</w:t>
      </w:r>
    </w:p>
    <w:p w14:paraId="02B7EAAC" w14:textId="3CF565C3" w:rsidR="0074544A" w:rsidRDefault="0074544A" w:rsidP="00D276CE">
      <w:pPr>
        <w:pStyle w:val="Body"/>
        <w:rPr>
          <w:rFonts w:ascii="Times New Roman" w:hAnsi="Times New Roman"/>
          <w:b/>
          <w:bCs/>
          <w:i/>
          <w:iCs/>
          <w:sz w:val="24"/>
          <w:szCs w:val="28"/>
        </w:rPr>
      </w:pPr>
      <w:r w:rsidRPr="008402A9">
        <w:rPr>
          <w:rFonts w:ascii="Times New Roman" w:hAnsi="Times New Roman"/>
          <w:sz w:val="24"/>
          <w:szCs w:val="28"/>
        </w:rPr>
        <w:t>[</w:t>
      </w:r>
      <w:r w:rsidR="00F761C9">
        <w:rPr>
          <w:rFonts w:ascii="Times New Roman" w:hAnsi="Times New Roman"/>
          <w:b/>
          <w:bCs/>
          <w:i/>
          <w:iCs/>
          <w:sz w:val="24"/>
          <w:szCs w:val="28"/>
          <w:highlight w:val="yellow"/>
        </w:rPr>
        <w:t>Drafting note</w:t>
      </w:r>
      <w:r w:rsidRPr="00192F2D">
        <w:rPr>
          <w:rFonts w:ascii="Times New Roman" w:hAnsi="Times New Roman"/>
          <w:b/>
          <w:bCs/>
          <w:i/>
          <w:iCs/>
          <w:sz w:val="24"/>
          <w:szCs w:val="28"/>
          <w:highlight w:val="yellow"/>
        </w:rPr>
        <w:t xml:space="preserve">: Format of amendments to be confirmed. This drafting will either form part of (i) a bilateral template for new and legacy transactions or (ii) a Supplement to the 2006 ISDA Definitions for new transactions and a bilateral template for </w:t>
      </w:r>
      <w:r w:rsidR="00AB5103">
        <w:rPr>
          <w:rFonts w:ascii="Times New Roman" w:hAnsi="Times New Roman"/>
          <w:b/>
          <w:bCs/>
          <w:i/>
          <w:iCs/>
          <w:sz w:val="24"/>
          <w:szCs w:val="28"/>
          <w:highlight w:val="yellow"/>
        </w:rPr>
        <w:t>applying the terms of</w:t>
      </w:r>
      <w:r w:rsidR="00AB5103" w:rsidRPr="00192F2D">
        <w:rPr>
          <w:rFonts w:ascii="Times New Roman" w:hAnsi="Times New Roman"/>
          <w:b/>
          <w:bCs/>
          <w:i/>
          <w:iCs/>
          <w:sz w:val="24"/>
          <w:szCs w:val="28"/>
          <w:highlight w:val="yellow"/>
        </w:rPr>
        <w:t xml:space="preserve"> </w:t>
      </w:r>
      <w:r w:rsidRPr="00192F2D">
        <w:rPr>
          <w:rFonts w:ascii="Times New Roman" w:hAnsi="Times New Roman"/>
          <w:b/>
          <w:bCs/>
          <w:i/>
          <w:iCs/>
          <w:sz w:val="24"/>
          <w:szCs w:val="28"/>
          <w:highlight w:val="yellow"/>
        </w:rPr>
        <w:t xml:space="preserve">the Supplement </w:t>
      </w:r>
      <w:r w:rsidR="00AB5103">
        <w:rPr>
          <w:rFonts w:ascii="Times New Roman" w:hAnsi="Times New Roman"/>
          <w:b/>
          <w:bCs/>
          <w:i/>
          <w:iCs/>
          <w:sz w:val="24"/>
          <w:szCs w:val="28"/>
          <w:highlight w:val="yellow"/>
        </w:rPr>
        <w:t>to</w:t>
      </w:r>
      <w:r w:rsidRPr="00192F2D">
        <w:rPr>
          <w:rFonts w:ascii="Times New Roman" w:hAnsi="Times New Roman"/>
          <w:b/>
          <w:bCs/>
          <w:i/>
          <w:iCs/>
          <w:sz w:val="24"/>
          <w:szCs w:val="28"/>
          <w:highlight w:val="yellow"/>
        </w:rPr>
        <w:t xml:space="preserve"> legacy transactions.</w:t>
      </w:r>
      <w:r w:rsidR="00F07349" w:rsidRPr="008402A9">
        <w:rPr>
          <w:rFonts w:ascii="Times New Roman" w:hAnsi="Times New Roman"/>
          <w:sz w:val="24"/>
          <w:szCs w:val="28"/>
        </w:rPr>
        <w:t>]</w:t>
      </w:r>
    </w:p>
    <w:p w14:paraId="378AAAB3" w14:textId="18DCD3BE" w:rsidR="00162AF2" w:rsidRPr="00192F2D" w:rsidRDefault="00162AF2" w:rsidP="00D276CE">
      <w:pPr>
        <w:pStyle w:val="Body"/>
        <w:rPr>
          <w:rFonts w:ascii="Times New Roman" w:hAnsi="Times New Roman"/>
          <w:b/>
          <w:bCs/>
          <w:i/>
          <w:iCs/>
          <w:sz w:val="24"/>
          <w:szCs w:val="28"/>
        </w:rPr>
      </w:pPr>
      <w:r w:rsidRPr="008402A9">
        <w:rPr>
          <w:rFonts w:ascii="Times New Roman" w:hAnsi="Times New Roman"/>
          <w:sz w:val="24"/>
          <w:szCs w:val="28"/>
        </w:rPr>
        <w:t>[</w:t>
      </w:r>
      <w:r w:rsidR="00F761C9">
        <w:rPr>
          <w:rFonts w:ascii="Times New Roman" w:hAnsi="Times New Roman"/>
          <w:b/>
          <w:bCs/>
          <w:i/>
          <w:iCs/>
          <w:sz w:val="24"/>
          <w:szCs w:val="28"/>
          <w:highlight w:val="yellow"/>
        </w:rPr>
        <w:t>Drafting note</w:t>
      </w:r>
      <w:r w:rsidRPr="00162AF2">
        <w:rPr>
          <w:rFonts w:ascii="Times New Roman" w:hAnsi="Times New Roman"/>
          <w:b/>
          <w:bCs/>
          <w:i/>
          <w:iCs/>
          <w:sz w:val="24"/>
          <w:szCs w:val="28"/>
          <w:highlight w:val="yellow"/>
        </w:rPr>
        <w:t xml:space="preserve">: In this draft, </w:t>
      </w:r>
      <w:r w:rsidR="000609C1">
        <w:rPr>
          <w:rFonts w:ascii="Times New Roman" w:hAnsi="Times New Roman"/>
          <w:b/>
          <w:bCs/>
          <w:i/>
          <w:iCs/>
          <w:sz w:val="24"/>
          <w:szCs w:val="28"/>
          <w:highlight w:val="yellow"/>
        </w:rPr>
        <w:t>proposed amendments to existing provisions of the 2006 ISDA Definitions (e.g. Section 13.9 and 18.2(f)) are shown in track changes.</w:t>
      </w:r>
      <w:r w:rsidRPr="008402A9">
        <w:rPr>
          <w:rFonts w:ascii="Times New Roman" w:hAnsi="Times New Roman"/>
          <w:sz w:val="24"/>
          <w:szCs w:val="28"/>
        </w:rPr>
        <w:t>]</w:t>
      </w:r>
    </w:p>
    <w:p w14:paraId="27D1EFDB" w14:textId="7FF00FEE" w:rsidR="00714CCA" w:rsidRPr="003A3514" w:rsidRDefault="00880291" w:rsidP="003A3514">
      <w:pPr>
        <w:pStyle w:val="Body"/>
        <w:numPr>
          <w:ilvl w:val="0"/>
          <w:numId w:val="62"/>
        </w:numPr>
        <w:ind w:hanging="720"/>
        <w:rPr>
          <w:rFonts w:ascii="Times New Roman" w:hAnsi="Times New Roman"/>
          <w:sz w:val="24"/>
          <w:szCs w:val="28"/>
        </w:rPr>
      </w:pPr>
      <w:r w:rsidRPr="00192F2D">
        <w:rPr>
          <w:rFonts w:ascii="Times New Roman" w:hAnsi="Times New Roman"/>
          <w:sz w:val="24"/>
          <w:szCs w:val="28"/>
        </w:rPr>
        <w:t xml:space="preserve">Section </w:t>
      </w:r>
      <w:r w:rsidR="00CF77AA">
        <w:rPr>
          <w:rFonts w:ascii="Times New Roman" w:hAnsi="Times New Roman"/>
          <w:sz w:val="24"/>
          <w:szCs w:val="28"/>
        </w:rPr>
        <w:t xml:space="preserve">13.9 </w:t>
      </w:r>
      <w:r w:rsidRPr="00192F2D">
        <w:rPr>
          <w:rFonts w:ascii="Times New Roman" w:hAnsi="Times New Roman"/>
          <w:sz w:val="24"/>
          <w:szCs w:val="28"/>
        </w:rPr>
        <w:t>is amended by deleting it in its entirety and restating as follows:</w:t>
      </w:r>
    </w:p>
    <w:p w14:paraId="0781877F" w14:textId="762340EA" w:rsidR="008B44E2" w:rsidRPr="008B44E2" w:rsidRDefault="008B44E2" w:rsidP="008B44E2">
      <w:pPr>
        <w:pStyle w:val="Body"/>
        <w:ind w:left="709" w:hanging="709"/>
        <w:rPr>
          <w:rFonts w:ascii="Times New Roman" w:hAnsi="Times New Roman"/>
          <w:sz w:val="24"/>
          <w:szCs w:val="28"/>
        </w:rPr>
      </w:pPr>
      <w:r>
        <w:rPr>
          <w:rFonts w:ascii="Times New Roman" w:hAnsi="Times New Roman"/>
          <w:sz w:val="24"/>
          <w:szCs w:val="28"/>
        </w:rPr>
        <w:t>“</w:t>
      </w:r>
      <w:r w:rsidRPr="008B44E2">
        <w:rPr>
          <w:rFonts w:ascii="Times New Roman" w:hAnsi="Times New Roman"/>
          <w:sz w:val="24"/>
          <w:szCs w:val="28"/>
        </w:rPr>
        <w:t>13.9</w:t>
      </w:r>
      <w:r w:rsidRPr="008B44E2">
        <w:rPr>
          <w:rFonts w:ascii="Times New Roman" w:hAnsi="Times New Roman"/>
          <w:sz w:val="24"/>
          <w:szCs w:val="28"/>
        </w:rPr>
        <w:tab/>
      </w:r>
      <w:r w:rsidRPr="008B44E2">
        <w:rPr>
          <w:rFonts w:ascii="Times New Roman" w:hAnsi="Times New Roman"/>
          <w:b/>
          <w:bCs/>
          <w:sz w:val="24"/>
          <w:szCs w:val="28"/>
        </w:rPr>
        <w:t>Settlement Rate on Automatic Exercise or Fallback Exercise.</w:t>
      </w:r>
      <w:r w:rsidRPr="008B44E2">
        <w:rPr>
          <w:rFonts w:ascii="Times New Roman" w:hAnsi="Times New Roman"/>
          <w:sz w:val="24"/>
          <w:szCs w:val="28"/>
        </w:rPr>
        <w:t xml:space="preserve"> For purposes of Section 13.7 (Automatic Exercise) and Section 13.8 (Fallback Exercise) and determining whether Buyer is in-the-money, the Settlement Rate will be:</w:t>
      </w:r>
    </w:p>
    <w:p w14:paraId="0F37D60D" w14:textId="77777777" w:rsidR="008B44E2" w:rsidRPr="008B44E2" w:rsidRDefault="008B44E2" w:rsidP="008B44E2">
      <w:pPr>
        <w:pStyle w:val="Body"/>
        <w:ind w:left="1276" w:hanging="567"/>
        <w:rPr>
          <w:rFonts w:ascii="Times New Roman" w:hAnsi="Times New Roman"/>
          <w:sz w:val="24"/>
          <w:szCs w:val="28"/>
        </w:rPr>
      </w:pPr>
      <w:r w:rsidRPr="008B44E2">
        <w:rPr>
          <w:rFonts w:ascii="Times New Roman" w:hAnsi="Times New Roman"/>
          <w:sz w:val="24"/>
          <w:szCs w:val="28"/>
        </w:rPr>
        <w:t>(a)</w:t>
      </w:r>
      <w:r w:rsidRPr="008B44E2">
        <w:rPr>
          <w:rFonts w:ascii="Times New Roman" w:hAnsi="Times New Roman"/>
          <w:sz w:val="24"/>
          <w:szCs w:val="28"/>
        </w:rPr>
        <w:tab/>
        <w:t>if the ISDA Settlement Matrix applies and an applicable Settlement Rate is specified in the ISDA Settlement Matrix, the par swap rate for swaps in the currency in which the Relevant Swap Transaction is denominated and, if there is more than one par swap rate for the relevant currency specified in the ISDA Settlement Matrix, with a floating leg referencing the same benchmark as the benchmark that applies pursuant to the Floating Rate Option for the Relevant Swap Transaction, for a period equivalent to the remaining Term of the Relevant Swap Transaction which appears in the price source specified in the ISDA Settlement Matrix as of the Expiration Time on the Expiration Date; or</w:t>
      </w:r>
    </w:p>
    <w:p w14:paraId="6C1B6C10" w14:textId="6546FAA8" w:rsidR="008B44E2" w:rsidRPr="008B44E2" w:rsidRDefault="008B44E2" w:rsidP="008B44E2">
      <w:pPr>
        <w:pStyle w:val="Body"/>
        <w:ind w:left="1276" w:hanging="567"/>
        <w:rPr>
          <w:rFonts w:ascii="Times New Roman" w:hAnsi="Times New Roman"/>
          <w:sz w:val="24"/>
          <w:szCs w:val="28"/>
        </w:rPr>
      </w:pPr>
      <w:r w:rsidRPr="008B44E2">
        <w:rPr>
          <w:rFonts w:ascii="Times New Roman" w:hAnsi="Times New Roman"/>
          <w:sz w:val="24"/>
          <w:szCs w:val="28"/>
        </w:rPr>
        <w:t>(b)</w:t>
      </w:r>
      <w:r w:rsidRPr="008B44E2">
        <w:rPr>
          <w:rFonts w:ascii="Times New Roman" w:hAnsi="Times New Roman"/>
          <w:sz w:val="24"/>
          <w:szCs w:val="28"/>
        </w:rPr>
        <w:tab/>
        <w:t xml:space="preserve">if (i) the ISDA Settlement Matrix applies but either an applicable Settlement Rate is not specified in the ISDA Settlement Matrix or such rate does not appear in the price source specified in the ISDA Settlement Matrix or (ii) the ISDA Settlement Matrix does not apply, the par swap rate for swaps in the currency in which the Relevant Swap Transaction is denominated, with a floating leg referencing the same benchmark as the benchmark that applies pursuant to the Floating Rate Option for the Relevant Swap Transaction, for a period equivalent to the remaining Term of the Relevant Swap Transaction as </w:t>
      </w:r>
      <w:del w:id="0" w:author="Any Authorised User" w:date="2021-05-07T11:07:00Z">
        <w:r w:rsidRPr="008B44E2" w:rsidDel="00B577A8">
          <w:rPr>
            <w:rFonts w:ascii="Times New Roman" w:hAnsi="Times New Roman"/>
            <w:sz w:val="24"/>
            <w:szCs w:val="28"/>
          </w:rPr>
          <w:delText>published by the ICESWAP Rate Administrator</w:delText>
        </w:r>
      </w:del>
      <w:ins w:id="1" w:author="Any Authorised User" w:date="2021-04-30T19:28:00Z">
        <w:r w:rsidR="00F55400">
          <w:rPr>
            <w:rFonts w:ascii="Times New Roman" w:hAnsi="Times New Roman"/>
            <w:sz w:val="24"/>
            <w:szCs w:val="28"/>
          </w:rPr>
          <w:t>provided by the ICESWAP Rate Administrator to, and published by, authorized distributors of that rate</w:t>
        </w:r>
      </w:ins>
      <w:r w:rsidRPr="008B44E2">
        <w:rPr>
          <w:rFonts w:ascii="Times New Roman" w:hAnsi="Times New Roman"/>
          <w:sz w:val="24"/>
          <w:szCs w:val="28"/>
        </w:rPr>
        <w:t xml:space="preserve"> as of the Expiration Time on the Expiration Date; or</w:t>
      </w:r>
      <w:ins w:id="2" w:author="Any Authorised User" w:date="2021-04-30T18:45:00Z">
        <w:r w:rsidR="009A7265">
          <w:rPr>
            <w:rFonts w:ascii="Times New Roman" w:hAnsi="Times New Roman"/>
            <w:sz w:val="24"/>
            <w:szCs w:val="28"/>
          </w:rPr>
          <w:t xml:space="preserve"> </w:t>
        </w:r>
      </w:ins>
    </w:p>
    <w:p w14:paraId="6F8966C3" w14:textId="30263A56" w:rsidR="00940095" w:rsidRDefault="008B44E2" w:rsidP="008B44E2">
      <w:pPr>
        <w:pStyle w:val="Body"/>
        <w:ind w:left="1276" w:hanging="567"/>
        <w:rPr>
          <w:ins w:id="3" w:author="Any Authorised User" w:date="2021-03-25T17:30:00Z"/>
          <w:rFonts w:ascii="Times New Roman" w:hAnsi="Times New Roman"/>
          <w:sz w:val="24"/>
          <w:szCs w:val="28"/>
        </w:rPr>
      </w:pPr>
      <w:r w:rsidRPr="008B44E2">
        <w:rPr>
          <w:rFonts w:ascii="Times New Roman" w:hAnsi="Times New Roman"/>
          <w:sz w:val="24"/>
          <w:szCs w:val="28"/>
        </w:rPr>
        <w:t>(c)</w:t>
      </w:r>
      <w:r w:rsidRPr="008B44E2">
        <w:rPr>
          <w:rFonts w:ascii="Times New Roman" w:hAnsi="Times New Roman"/>
          <w:sz w:val="24"/>
          <w:szCs w:val="28"/>
        </w:rPr>
        <w:tab/>
      </w:r>
      <w:ins w:id="4" w:author="Any Authorised User" w:date="2021-04-28T10:17:00Z">
        <w:r w:rsidR="00572BF8">
          <w:rPr>
            <w:rFonts w:ascii="Times New Roman" w:hAnsi="Times New Roman"/>
            <w:sz w:val="24"/>
            <w:szCs w:val="28"/>
          </w:rPr>
          <w:t xml:space="preserve">subject to </w:t>
        </w:r>
      </w:ins>
      <w:ins w:id="5" w:author="Any Authorised User" w:date="2021-04-28T10:18:00Z">
        <w:r w:rsidR="00572BF8">
          <w:rPr>
            <w:rFonts w:ascii="Times New Roman" w:hAnsi="Times New Roman"/>
            <w:sz w:val="24"/>
            <w:szCs w:val="28"/>
          </w:rPr>
          <w:t>sub-paragraph (d)</w:t>
        </w:r>
      </w:ins>
      <w:ins w:id="6" w:author="Any Authorised User" w:date="2021-04-28T10:19:00Z">
        <w:r w:rsidR="00572BF8">
          <w:rPr>
            <w:rFonts w:ascii="Times New Roman" w:hAnsi="Times New Roman"/>
            <w:sz w:val="24"/>
            <w:szCs w:val="28"/>
          </w:rPr>
          <w:t xml:space="preserve"> below, </w:t>
        </w:r>
      </w:ins>
      <w:r w:rsidRPr="008B44E2">
        <w:rPr>
          <w:rFonts w:ascii="Times New Roman" w:hAnsi="Times New Roman"/>
          <w:sz w:val="24"/>
          <w:szCs w:val="28"/>
        </w:rPr>
        <w:t xml:space="preserve">if a par swap rate for swaps in the currency in which the Relevant Swap Transaction is denominated, with a floating leg referencing the same benchmark as the benchmark that applies pursuant to the Floating Rate Option for the Relevant Swap Transaction, for a period </w:t>
      </w:r>
      <w:r w:rsidRPr="008B44E2">
        <w:rPr>
          <w:rFonts w:ascii="Times New Roman" w:hAnsi="Times New Roman"/>
          <w:sz w:val="24"/>
          <w:szCs w:val="28"/>
        </w:rPr>
        <w:lastRenderedPageBreak/>
        <w:t xml:space="preserve">equivalent to the remaining Term of the Relevant Swap Transaction is not published by the ICESWAP Rate Administrator </w:t>
      </w:r>
      <w:ins w:id="7" w:author="Any Authorised User" w:date="2021-04-28T10:20:00Z">
        <w:r w:rsidR="00572BF8">
          <w:rPr>
            <w:rFonts w:ascii="Times New Roman" w:hAnsi="Times New Roman"/>
            <w:sz w:val="24"/>
            <w:szCs w:val="28"/>
          </w:rPr>
          <w:t>or an authorized distributor</w:t>
        </w:r>
      </w:ins>
      <w:ins w:id="8" w:author="Any Authorised User" w:date="2021-04-28T10:21:00Z">
        <w:r w:rsidR="00572BF8">
          <w:rPr>
            <w:rFonts w:ascii="Times New Roman" w:hAnsi="Times New Roman"/>
            <w:sz w:val="24"/>
            <w:szCs w:val="28"/>
          </w:rPr>
          <w:t xml:space="preserve"> and is not otherwise provided by the ICESWAP Rate Administrator</w:t>
        </w:r>
      </w:ins>
      <w:ins w:id="9" w:author="Any Authorised User" w:date="2021-04-30T18:48:00Z">
        <w:r w:rsidR="009A7265">
          <w:rPr>
            <w:rFonts w:ascii="Times New Roman" w:hAnsi="Times New Roman"/>
            <w:sz w:val="24"/>
            <w:szCs w:val="28"/>
          </w:rPr>
          <w:t xml:space="preserve"> (including in circumstances where the words “</w:t>
        </w:r>
      </w:ins>
      <w:ins w:id="10" w:author="Any Authorised User" w:date="2021-04-30T18:49:00Z">
        <w:r w:rsidR="009A7265">
          <w:rPr>
            <w:rFonts w:ascii="Times New Roman" w:hAnsi="Times New Roman"/>
            <w:sz w:val="24"/>
            <w:szCs w:val="28"/>
          </w:rPr>
          <w:t xml:space="preserve">No Publication” (or similar) are published in accordance with the ICESWAP Rate Administrator’s insufficient data policy) </w:t>
        </w:r>
      </w:ins>
      <w:ins w:id="11" w:author="Any Authorised User" w:date="2021-04-28T10:22:00Z">
        <w:r w:rsidR="00572BF8">
          <w:rPr>
            <w:rFonts w:ascii="Times New Roman" w:hAnsi="Times New Roman"/>
            <w:sz w:val="24"/>
            <w:szCs w:val="28"/>
          </w:rPr>
          <w:t xml:space="preserve">by </w:t>
        </w:r>
      </w:ins>
      <w:ins w:id="12" w:author="Any Authorised User" w:date="2021-05-07T13:43:00Z">
        <w:r w:rsidR="00FB0DDC">
          <w:rPr>
            <w:rFonts w:ascii="Times New Roman" w:hAnsi="Times New Roman"/>
            <w:sz w:val="24"/>
            <w:szCs w:val="28"/>
          </w:rPr>
          <w:t xml:space="preserve">when </w:t>
        </w:r>
      </w:ins>
      <w:ins w:id="13" w:author="Any Authorised User" w:date="2021-04-30T18:51:00Z">
        <w:r w:rsidR="009A7265">
          <w:rPr>
            <w:rFonts w:ascii="Times New Roman" w:hAnsi="Times New Roman"/>
            <w:sz w:val="24"/>
            <w:szCs w:val="28"/>
          </w:rPr>
          <w:t>that rate</w:t>
        </w:r>
      </w:ins>
      <w:ins w:id="14" w:author="Any Authorised User" w:date="2021-04-28T10:22:00Z">
        <w:r w:rsidR="00572BF8">
          <w:rPr>
            <w:rFonts w:ascii="Times New Roman" w:hAnsi="Times New Roman"/>
            <w:sz w:val="24"/>
            <w:szCs w:val="28"/>
          </w:rPr>
          <w:t xml:space="preserve"> is required</w:t>
        </w:r>
      </w:ins>
      <w:ins w:id="15" w:author="Any Authorised User" w:date="2021-04-28T10:21:00Z">
        <w:r w:rsidR="00572BF8" w:rsidRPr="00647747">
          <w:rPr>
            <w:rFonts w:ascii="Times New Roman" w:hAnsi="Times New Roman"/>
            <w:b/>
            <w:bCs/>
            <w:i/>
            <w:iCs/>
            <w:sz w:val="24"/>
            <w:szCs w:val="28"/>
          </w:rPr>
          <w:t xml:space="preserve"> </w:t>
        </w:r>
      </w:ins>
      <w:r w:rsidRPr="008B44E2">
        <w:rPr>
          <w:rFonts w:ascii="Times New Roman" w:hAnsi="Times New Roman"/>
          <w:sz w:val="24"/>
          <w:szCs w:val="28"/>
        </w:rPr>
        <w:t>(or an ICESWAP Rate is not available for such currency), the rate determined by Seller on the basis of the par swap rates quote</w:t>
      </w:r>
      <w:r w:rsidRPr="00387F78">
        <w:rPr>
          <w:rFonts w:ascii="Times New Roman" w:hAnsi="Times New Roman"/>
          <w:sz w:val="24"/>
          <w:szCs w:val="28"/>
        </w:rPr>
        <w:t>d by the Cash Settlement Reference Banks (which, if Physical Settlement is specified to be applicable or if institutions are not specified in the related</w:t>
      </w:r>
      <w:r w:rsidRPr="008B44E2">
        <w:rPr>
          <w:rFonts w:ascii="Times New Roman" w:hAnsi="Times New Roman"/>
          <w:sz w:val="24"/>
          <w:szCs w:val="28"/>
        </w:rPr>
        <w:t xml:space="preserve"> Confirmation, will be five leading dealers selected by Seller in good faith) using the relevant Quotation Rate (or, if Physical Settlement is specified to be applicable or if a Quotation Rate is not specified in the related Confirmation, using “mid” as the relevant Quotation Rate), as of the Expiration Time on the Expiration Date (if possible) or for the Expiration Date, for swaps in the currency in which the Relevant Swap Transaction is denominated, with a floating leg referencing the same benchmark as the benchmark that applies pursuant to the Floating Rate Option for the Relevant Swap Transaction, for a period equivalent to the remaining Term of the Relevant Swap Transaction and with dealers in the relevant market of the highest credit standing which satisfy all the credit criteria which such Cash Settlement Reference Banks apply generally at the time in deciding whether to offer or make an extension of credit. If five quotations are provided as requested, the Settlement Rate will be calculated by eliminating the highest and lowest rates and taking the arithmetic mean of the remaining rates. If at least three, but fewer than five, quotations are provided, the Settlement Rate will be the arithmetic mean of the quotations. If fewer than three quotations are provided as requested, the Settlement Rate will be determined by Seller in good faith and in a commercially reasonable manner</w:t>
      </w:r>
      <w:ins w:id="16" w:author="Any Authorised User" w:date="2021-03-29T11:47:00Z">
        <w:r w:rsidR="00924593">
          <w:rPr>
            <w:rFonts w:ascii="Times New Roman" w:hAnsi="Times New Roman"/>
            <w:sz w:val="24"/>
            <w:szCs w:val="28"/>
          </w:rPr>
          <w:t>; or</w:t>
        </w:r>
      </w:ins>
      <w:del w:id="17" w:author="Any Authorised User" w:date="2021-03-29T11:47:00Z">
        <w:r w:rsidRPr="008B44E2" w:rsidDel="00924593">
          <w:rPr>
            <w:rFonts w:ascii="Times New Roman" w:hAnsi="Times New Roman"/>
            <w:sz w:val="24"/>
            <w:szCs w:val="28"/>
          </w:rPr>
          <w:delText>.</w:delText>
        </w:r>
      </w:del>
    </w:p>
    <w:p w14:paraId="3C50301D" w14:textId="77777777" w:rsidR="009A59F3" w:rsidRDefault="00940095" w:rsidP="008B44E2">
      <w:pPr>
        <w:pStyle w:val="Body"/>
        <w:ind w:left="1276" w:hanging="567"/>
        <w:rPr>
          <w:ins w:id="18" w:author="Any Authorised User" w:date="2021-03-25T17:52:00Z"/>
          <w:rFonts w:ascii="Times New Roman" w:hAnsi="Times New Roman"/>
          <w:sz w:val="24"/>
          <w:szCs w:val="28"/>
        </w:rPr>
      </w:pPr>
      <w:ins w:id="19" w:author="Any Authorised User" w:date="2021-03-25T17:30:00Z">
        <w:r>
          <w:rPr>
            <w:rFonts w:ascii="Times New Roman" w:hAnsi="Times New Roman"/>
            <w:sz w:val="24"/>
            <w:szCs w:val="28"/>
          </w:rPr>
          <w:t>(d)</w:t>
        </w:r>
        <w:r>
          <w:rPr>
            <w:rFonts w:ascii="Times New Roman" w:hAnsi="Times New Roman"/>
            <w:sz w:val="24"/>
            <w:szCs w:val="28"/>
          </w:rPr>
          <w:tab/>
        </w:r>
      </w:ins>
      <w:ins w:id="20" w:author="Any Authorised User" w:date="2021-03-25T17:37:00Z">
        <w:r>
          <w:rPr>
            <w:rFonts w:ascii="Times New Roman" w:hAnsi="Times New Roman"/>
            <w:sz w:val="24"/>
            <w:szCs w:val="28"/>
          </w:rPr>
          <w:t>i</w:t>
        </w:r>
      </w:ins>
      <w:ins w:id="21" w:author="Any Authorised User" w:date="2021-03-25T17:34:00Z">
        <w:r>
          <w:rPr>
            <w:rFonts w:ascii="Times New Roman" w:hAnsi="Times New Roman"/>
            <w:sz w:val="24"/>
            <w:szCs w:val="28"/>
          </w:rPr>
          <w:t>f</w:t>
        </w:r>
      </w:ins>
      <w:ins w:id="22" w:author="Any Authorised User" w:date="2021-03-25T17:52:00Z">
        <w:r w:rsidR="009A59F3">
          <w:rPr>
            <w:rFonts w:ascii="Times New Roman" w:hAnsi="Times New Roman"/>
            <w:sz w:val="24"/>
            <w:szCs w:val="28"/>
          </w:rPr>
          <w:t>:</w:t>
        </w:r>
      </w:ins>
    </w:p>
    <w:p w14:paraId="2DE04DE4" w14:textId="6F7DD19A" w:rsidR="00784D7B" w:rsidRPr="00784D7B" w:rsidRDefault="009A59F3" w:rsidP="00061059">
      <w:pPr>
        <w:pStyle w:val="Body"/>
        <w:numPr>
          <w:ilvl w:val="0"/>
          <w:numId w:val="58"/>
        </w:numPr>
        <w:ind w:left="1843" w:hanging="567"/>
        <w:rPr>
          <w:ins w:id="23" w:author="Any Authorised User" w:date="2021-05-12T15:13:00Z"/>
          <w:rFonts w:ascii="Times New Roman" w:hAnsi="Times New Roman"/>
          <w:sz w:val="24"/>
          <w:szCs w:val="28"/>
        </w:rPr>
      </w:pPr>
      <w:ins w:id="24" w:author="Any Authorised User" w:date="2021-03-25T17:50:00Z">
        <w:r>
          <w:rPr>
            <w:rFonts w:ascii="Times New Roman" w:hAnsi="Times New Roman"/>
            <w:sz w:val="24"/>
            <w:szCs w:val="28"/>
          </w:rPr>
          <w:t>the currency in which the Relevant Swap Transaction is denominated is an Applicable Currency</w:t>
        </w:r>
      </w:ins>
      <w:ins w:id="25" w:author="Any Authorised User" w:date="2021-05-13T11:05:00Z">
        <w:r w:rsidR="00641E23">
          <w:rPr>
            <w:rFonts w:ascii="Times New Roman" w:hAnsi="Times New Roman"/>
            <w:sz w:val="24"/>
            <w:szCs w:val="28"/>
          </w:rPr>
          <w:t>,</w:t>
        </w:r>
      </w:ins>
      <w:ins w:id="26" w:author="Any Authorised User" w:date="2021-05-12T14:32:00Z">
        <w:r w:rsidR="00E121B8">
          <w:rPr>
            <w:rFonts w:ascii="Times New Roman" w:hAnsi="Times New Roman"/>
            <w:sz w:val="24"/>
            <w:szCs w:val="28"/>
          </w:rPr>
          <w:t xml:space="preserve"> </w:t>
        </w:r>
        <w:r w:rsidR="00E121B8" w:rsidRPr="00E121B8">
          <w:rPr>
            <w:rFonts w:ascii="Times New Roman" w:hAnsi="Times New Roman"/>
            <w:sz w:val="24"/>
            <w:szCs w:val="28"/>
          </w:rPr>
          <w:t>the Floating Rate Option for the Relevant Swap Transaction</w:t>
        </w:r>
      </w:ins>
      <w:ins w:id="27" w:author="Any Authorised User" w:date="2021-05-12T14:36:00Z">
        <w:r w:rsidR="00E121B8">
          <w:rPr>
            <w:rFonts w:ascii="Times New Roman" w:hAnsi="Times New Roman"/>
            <w:sz w:val="24"/>
            <w:szCs w:val="28"/>
          </w:rPr>
          <w:t xml:space="preserve"> is based on </w:t>
        </w:r>
      </w:ins>
      <w:ins w:id="28" w:author="Any Authorised User" w:date="2021-05-12T14:37:00Z">
        <w:r w:rsidR="00E121B8">
          <w:rPr>
            <w:rFonts w:ascii="Times New Roman" w:hAnsi="Times New Roman"/>
            <w:sz w:val="24"/>
            <w:szCs w:val="28"/>
          </w:rPr>
          <w:t>the London Interbank Offered Rate</w:t>
        </w:r>
      </w:ins>
      <w:ins w:id="29" w:author="Any Authorised User" w:date="2021-05-13T11:05:00Z">
        <w:r w:rsidR="00641E23">
          <w:rPr>
            <w:rFonts w:ascii="Times New Roman" w:hAnsi="Times New Roman"/>
            <w:sz w:val="24"/>
            <w:szCs w:val="28"/>
          </w:rPr>
          <w:t xml:space="preserve"> (LIBOR)</w:t>
        </w:r>
      </w:ins>
      <w:ins w:id="30" w:author="Any Authorised User" w:date="2021-05-12T15:12:00Z">
        <w:r w:rsidR="00784D7B">
          <w:rPr>
            <w:rFonts w:ascii="Times New Roman" w:hAnsi="Times New Roman"/>
            <w:sz w:val="24"/>
            <w:szCs w:val="28"/>
          </w:rPr>
          <w:t xml:space="preserve"> </w:t>
        </w:r>
      </w:ins>
      <w:ins w:id="31" w:author="Any Authorised User" w:date="2021-05-13T11:05:00Z">
        <w:r w:rsidR="00641E23">
          <w:rPr>
            <w:rFonts w:ascii="Times New Roman" w:hAnsi="Times New Roman"/>
            <w:sz w:val="24"/>
            <w:szCs w:val="28"/>
          </w:rPr>
          <w:t xml:space="preserve">for that Applicable Currency </w:t>
        </w:r>
      </w:ins>
      <w:ins w:id="32" w:author="Any Authorised User" w:date="2021-05-12T15:12:00Z">
        <w:r w:rsidR="00784D7B">
          <w:rPr>
            <w:rFonts w:ascii="Times New Roman" w:hAnsi="Times New Roman"/>
            <w:sz w:val="24"/>
            <w:szCs w:val="28"/>
          </w:rPr>
          <w:t xml:space="preserve">and </w:t>
        </w:r>
        <w:r w:rsidR="00784D7B" w:rsidRPr="00784D7B">
          <w:rPr>
            <w:rFonts w:ascii="Times New Roman" w:hAnsi="Times New Roman"/>
            <w:sz w:val="24"/>
            <w:szCs w:val="28"/>
          </w:rPr>
          <w:t>“ICESWAP Rate” is specified or deemed to be specified;</w:t>
        </w:r>
      </w:ins>
      <w:ins w:id="33" w:author="Any Authorised User" w:date="2021-05-12T14:51:00Z">
        <w:r w:rsidR="004F0BEE">
          <w:rPr>
            <w:rFonts w:ascii="Times New Roman" w:hAnsi="Times New Roman"/>
            <w:sz w:val="24"/>
            <w:szCs w:val="28"/>
          </w:rPr>
          <w:t xml:space="preserve"> and</w:t>
        </w:r>
      </w:ins>
      <w:ins w:id="34" w:author="Any Authorised User" w:date="2021-05-12T14:37:00Z">
        <w:r w:rsidR="00E121B8">
          <w:rPr>
            <w:rFonts w:ascii="Times New Roman" w:hAnsi="Times New Roman"/>
            <w:sz w:val="24"/>
            <w:szCs w:val="28"/>
          </w:rPr>
          <w:t xml:space="preserve"> </w:t>
        </w:r>
      </w:ins>
    </w:p>
    <w:p w14:paraId="4E446482" w14:textId="04EDA12C" w:rsidR="00940095" w:rsidRDefault="00940095" w:rsidP="00061059">
      <w:pPr>
        <w:pStyle w:val="Body"/>
        <w:numPr>
          <w:ilvl w:val="0"/>
          <w:numId w:val="58"/>
        </w:numPr>
        <w:ind w:left="1843" w:hanging="567"/>
        <w:rPr>
          <w:ins w:id="35" w:author="Any Authorised User" w:date="2021-03-25T17:37:00Z"/>
          <w:rFonts w:ascii="Times New Roman" w:hAnsi="Times New Roman"/>
          <w:sz w:val="24"/>
          <w:szCs w:val="28"/>
        </w:rPr>
      </w:pPr>
      <w:ins w:id="36" w:author="Any Authorised User" w:date="2021-03-25T17:35:00Z">
        <w:r>
          <w:rPr>
            <w:rFonts w:ascii="Times New Roman" w:hAnsi="Times New Roman"/>
            <w:sz w:val="24"/>
            <w:szCs w:val="28"/>
          </w:rPr>
          <w:t>an Applicable LIBOR Index Cessation Effective Date with respect to the Applicable Tenor has occurred</w:t>
        </w:r>
      </w:ins>
      <w:ins w:id="37" w:author="Any Authorised User" w:date="2021-03-25T17:37:00Z">
        <w:r>
          <w:rPr>
            <w:rFonts w:ascii="Times New Roman" w:hAnsi="Times New Roman"/>
            <w:sz w:val="24"/>
            <w:szCs w:val="28"/>
          </w:rPr>
          <w:t>:</w:t>
        </w:r>
      </w:ins>
      <w:ins w:id="38" w:author="Any Authorised User" w:date="2021-05-13T16:39:00Z">
        <w:r w:rsidR="00FE0291">
          <w:rPr>
            <w:rFonts w:ascii="Times New Roman" w:hAnsi="Times New Roman"/>
            <w:sz w:val="24"/>
            <w:szCs w:val="28"/>
          </w:rPr>
          <w:t xml:space="preserve"> </w:t>
        </w:r>
      </w:ins>
    </w:p>
    <w:p w14:paraId="3760597A" w14:textId="5254F1D0" w:rsidR="00940095" w:rsidRDefault="00940095" w:rsidP="0042644E">
      <w:pPr>
        <w:pStyle w:val="Body"/>
        <w:numPr>
          <w:ilvl w:val="1"/>
          <w:numId w:val="59"/>
        </w:numPr>
        <w:ind w:left="2410" w:hanging="567"/>
        <w:rPr>
          <w:ins w:id="39" w:author="Any Authorised User" w:date="2021-03-25T17:38:00Z"/>
          <w:rFonts w:ascii="Times New Roman" w:hAnsi="Times New Roman"/>
          <w:sz w:val="24"/>
          <w:szCs w:val="28"/>
        </w:rPr>
      </w:pPr>
      <w:ins w:id="40" w:author="Any Authorised User" w:date="2021-03-25T17:37:00Z">
        <w:r>
          <w:rPr>
            <w:rFonts w:ascii="Times New Roman" w:hAnsi="Times New Roman"/>
            <w:sz w:val="24"/>
            <w:szCs w:val="28"/>
          </w:rPr>
          <w:lastRenderedPageBreak/>
          <w:t xml:space="preserve">the </w:t>
        </w:r>
      </w:ins>
      <w:ins w:id="41" w:author="Any Authorised User" w:date="2021-03-25T17:38:00Z">
        <w:r>
          <w:rPr>
            <w:rFonts w:ascii="Times New Roman" w:hAnsi="Times New Roman"/>
            <w:sz w:val="24"/>
            <w:szCs w:val="28"/>
          </w:rPr>
          <w:t>Applicable Published ISR Fallback Rate (if any); or</w:t>
        </w:r>
      </w:ins>
    </w:p>
    <w:p w14:paraId="1FCD9CAB" w14:textId="6A8A691E" w:rsidR="00940095" w:rsidRDefault="00C60247" w:rsidP="0042644E">
      <w:pPr>
        <w:pStyle w:val="Body"/>
        <w:numPr>
          <w:ilvl w:val="1"/>
          <w:numId w:val="59"/>
        </w:numPr>
        <w:ind w:left="2410" w:hanging="567"/>
        <w:rPr>
          <w:ins w:id="42" w:author="Any Authorised User" w:date="2021-03-25T17:39:00Z"/>
          <w:rFonts w:ascii="Times New Roman" w:hAnsi="Times New Roman"/>
          <w:sz w:val="24"/>
          <w:szCs w:val="28"/>
        </w:rPr>
      </w:pPr>
      <w:ins w:id="43" w:author="Any Authorised User" w:date="2021-03-25T17:38:00Z">
        <w:r>
          <w:rPr>
            <w:rFonts w:ascii="Times New Roman" w:hAnsi="Times New Roman"/>
            <w:sz w:val="24"/>
            <w:szCs w:val="28"/>
          </w:rPr>
          <w:t>if there is no Applicable Published ISR Fallback R</w:t>
        </w:r>
      </w:ins>
      <w:ins w:id="44" w:author="Any Authorised User" w:date="2021-03-25T17:39:00Z">
        <w:r>
          <w:rPr>
            <w:rFonts w:ascii="Times New Roman" w:hAnsi="Times New Roman"/>
            <w:sz w:val="24"/>
            <w:szCs w:val="28"/>
          </w:rPr>
          <w:t>ate, the Applicable Calculated ISR Fallback Rate,</w:t>
        </w:r>
      </w:ins>
    </w:p>
    <w:p w14:paraId="5AEF8E38" w14:textId="71B51FDC" w:rsidR="00C60247" w:rsidRDefault="00C60247" w:rsidP="00061059">
      <w:pPr>
        <w:pStyle w:val="Body"/>
        <w:ind w:left="1276"/>
        <w:rPr>
          <w:ins w:id="45" w:author="Any Authorised User" w:date="2021-03-25T17:34:00Z"/>
          <w:rFonts w:ascii="Times New Roman" w:hAnsi="Times New Roman"/>
          <w:sz w:val="24"/>
          <w:szCs w:val="28"/>
        </w:rPr>
      </w:pPr>
      <w:ins w:id="46" w:author="Any Authorised User" w:date="2021-03-25T17:39:00Z">
        <w:r>
          <w:rPr>
            <w:rFonts w:ascii="Times New Roman" w:hAnsi="Times New Roman"/>
            <w:sz w:val="24"/>
            <w:szCs w:val="28"/>
          </w:rPr>
          <w:t>in each case</w:t>
        </w:r>
      </w:ins>
      <w:ins w:id="47" w:author="Any Authorised User" w:date="2021-03-25T17:41:00Z">
        <w:r>
          <w:rPr>
            <w:rFonts w:ascii="Times New Roman" w:hAnsi="Times New Roman"/>
            <w:sz w:val="24"/>
            <w:szCs w:val="28"/>
          </w:rPr>
          <w:t xml:space="preserve"> </w:t>
        </w:r>
        <w:r w:rsidRPr="00C60247">
          <w:rPr>
            <w:rFonts w:ascii="Times New Roman" w:hAnsi="Times New Roman"/>
            <w:sz w:val="24"/>
            <w:szCs w:val="28"/>
          </w:rPr>
          <w:t>for a period equivalent to the remaining Term of the Relevant Swap Transaction</w:t>
        </w:r>
      </w:ins>
      <w:ins w:id="48" w:author="Any Authorised User" w:date="2021-03-25T17:42:00Z">
        <w:r>
          <w:rPr>
            <w:rFonts w:ascii="Times New Roman" w:hAnsi="Times New Roman"/>
            <w:sz w:val="24"/>
            <w:szCs w:val="28"/>
          </w:rPr>
          <w:t>,</w:t>
        </w:r>
        <w:r w:rsidRPr="009342CC">
          <w:rPr>
            <w:rFonts w:ascii="Times New Roman" w:hAnsi="Times New Roman"/>
            <w:b/>
            <w:bCs/>
            <w:i/>
            <w:iCs/>
            <w:sz w:val="24"/>
            <w:szCs w:val="28"/>
          </w:rPr>
          <w:t xml:space="preserve"> </w:t>
        </w:r>
        <w:r>
          <w:rPr>
            <w:rFonts w:ascii="Times New Roman" w:hAnsi="Times New Roman"/>
            <w:sz w:val="24"/>
            <w:szCs w:val="28"/>
          </w:rPr>
          <w:t xml:space="preserve">provided or calculated (as applicable) as of </w:t>
        </w:r>
        <w:r w:rsidRPr="008B44E2">
          <w:rPr>
            <w:rFonts w:ascii="Times New Roman" w:hAnsi="Times New Roman"/>
            <w:sz w:val="24"/>
            <w:szCs w:val="28"/>
          </w:rPr>
          <w:t>the Expiration Time on the Expiration Date</w:t>
        </w:r>
      </w:ins>
      <w:ins w:id="49" w:author="Any Authorised User" w:date="2021-05-07T11:39:00Z">
        <w:r w:rsidR="00B01C3D">
          <w:rPr>
            <w:rFonts w:ascii="Times New Roman" w:hAnsi="Times New Roman"/>
            <w:sz w:val="24"/>
            <w:szCs w:val="28"/>
          </w:rPr>
          <w:t>.</w:t>
        </w:r>
      </w:ins>
      <w:ins w:id="50" w:author="Any Authorised User" w:date="2021-05-13T16:43:00Z">
        <w:r w:rsidR="00BE2E3B">
          <w:rPr>
            <w:rFonts w:ascii="Times New Roman" w:hAnsi="Times New Roman"/>
            <w:sz w:val="24"/>
            <w:szCs w:val="28"/>
          </w:rPr>
          <w:t xml:space="preserve"> </w:t>
        </w:r>
      </w:ins>
      <w:ins w:id="51" w:author="Any Authorised User" w:date="2021-05-07T11:39:00Z">
        <w:r w:rsidR="00B01C3D">
          <w:rPr>
            <w:rFonts w:ascii="Times New Roman" w:hAnsi="Times New Roman"/>
            <w:sz w:val="24"/>
            <w:szCs w:val="28"/>
          </w:rPr>
          <w:t>However, if the</w:t>
        </w:r>
      </w:ins>
      <w:ins w:id="52" w:author="Any Authorised User" w:date="2021-05-07T11:40:00Z">
        <w:r w:rsidR="00B01C3D">
          <w:rPr>
            <w:rFonts w:ascii="Times New Roman" w:hAnsi="Times New Roman"/>
            <w:sz w:val="24"/>
            <w:szCs w:val="28"/>
          </w:rPr>
          <w:t xml:space="preserve"> </w:t>
        </w:r>
      </w:ins>
      <w:ins w:id="53" w:author="Any Authorised User" w:date="2021-04-30T19:02:00Z">
        <w:r w:rsidR="00B72FF5">
          <w:rPr>
            <w:rFonts w:ascii="Times New Roman" w:hAnsi="Times New Roman"/>
            <w:sz w:val="24"/>
            <w:szCs w:val="28"/>
          </w:rPr>
          <w:t xml:space="preserve">Applicable RFR ICE Swap Rate is not </w:t>
        </w:r>
        <w:r w:rsidR="00B72FF5" w:rsidRPr="00FB0DDC">
          <w:rPr>
            <w:rFonts w:ascii="Times New Roman" w:hAnsi="Times New Roman"/>
            <w:sz w:val="24"/>
            <w:szCs w:val="28"/>
          </w:rPr>
          <w:t xml:space="preserve">published by the </w:t>
        </w:r>
      </w:ins>
      <w:ins w:id="54" w:author="Any Authorised User" w:date="2021-04-30T19:03:00Z">
        <w:r w:rsidR="00B72FF5" w:rsidRPr="00FB0DDC">
          <w:rPr>
            <w:rFonts w:ascii="Times New Roman" w:hAnsi="Times New Roman"/>
            <w:sz w:val="24"/>
            <w:szCs w:val="28"/>
          </w:rPr>
          <w:t>administrator of that rate or an authorized distributor</w:t>
        </w:r>
        <w:r w:rsidR="005C0101" w:rsidRPr="00FB0DDC">
          <w:rPr>
            <w:rFonts w:ascii="Times New Roman" w:hAnsi="Times New Roman"/>
            <w:sz w:val="24"/>
            <w:szCs w:val="28"/>
          </w:rPr>
          <w:t xml:space="preserve"> and is not otherwise provided by the administrator of that rate</w:t>
        </w:r>
      </w:ins>
      <w:ins w:id="55" w:author="Any Authorised User" w:date="2021-04-30T19:06:00Z">
        <w:r w:rsidR="005C0101" w:rsidRPr="00FB0DDC">
          <w:rPr>
            <w:rFonts w:ascii="Times New Roman" w:hAnsi="Times New Roman"/>
            <w:b/>
            <w:bCs/>
            <w:i/>
            <w:iCs/>
            <w:sz w:val="24"/>
            <w:szCs w:val="28"/>
          </w:rPr>
          <w:t xml:space="preserve"> </w:t>
        </w:r>
      </w:ins>
      <w:ins w:id="56" w:author="Any Authorised User" w:date="2021-04-01T15:41:00Z">
        <w:r w:rsidR="0042644E" w:rsidRPr="00FB0DDC">
          <w:rPr>
            <w:rFonts w:ascii="Times New Roman" w:hAnsi="Times New Roman"/>
            <w:sz w:val="24"/>
            <w:szCs w:val="28"/>
          </w:rPr>
          <w:t>by</w:t>
        </w:r>
      </w:ins>
      <w:ins w:id="57" w:author="Any Authorised User" w:date="2021-05-07T11:40:00Z">
        <w:r w:rsidR="00B01C3D" w:rsidRPr="00FB0DDC">
          <w:rPr>
            <w:rFonts w:ascii="Times New Roman" w:hAnsi="Times New Roman"/>
            <w:sz w:val="24"/>
            <w:szCs w:val="28"/>
          </w:rPr>
          <w:t xml:space="preserve"> when</w:t>
        </w:r>
      </w:ins>
      <w:ins w:id="58" w:author="Any Authorised User" w:date="2021-04-01T15:41:00Z">
        <w:r w:rsidR="0042644E" w:rsidRPr="00FB0DDC">
          <w:rPr>
            <w:rFonts w:ascii="Times New Roman" w:hAnsi="Times New Roman"/>
            <w:sz w:val="24"/>
            <w:szCs w:val="28"/>
          </w:rPr>
          <w:t xml:space="preserve"> such rate is required</w:t>
        </w:r>
      </w:ins>
      <w:ins w:id="59" w:author="Any Authorised User" w:date="2021-04-01T15:45:00Z">
        <w:r w:rsidR="0042644E" w:rsidRPr="00FB0DDC">
          <w:rPr>
            <w:rFonts w:ascii="Times New Roman" w:hAnsi="Times New Roman"/>
            <w:sz w:val="24"/>
            <w:szCs w:val="28"/>
          </w:rPr>
          <w:t xml:space="preserve"> </w:t>
        </w:r>
      </w:ins>
      <w:ins w:id="60" w:author="Any Authorised User" w:date="2021-03-25T17:56:00Z">
        <w:r w:rsidR="009342CC" w:rsidRPr="00FB0DDC">
          <w:rPr>
            <w:rFonts w:ascii="Times New Roman" w:hAnsi="Times New Roman"/>
            <w:sz w:val="24"/>
            <w:szCs w:val="28"/>
          </w:rPr>
          <w:t>then, in respect of any day for which that rate is required, references to that rate will be deemed to be reference</w:t>
        </w:r>
      </w:ins>
      <w:ins w:id="61" w:author="Any Authorised User" w:date="2021-04-01T15:46:00Z">
        <w:r w:rsidR="0042644E" w:rsidRPr="00FB0DDC">
          <w:rPr>
            <w:rFonts w:ascii="Times New Roman" w:hAnsi="Times New Roman"/>
            <w:sz w:val="24"/>
            <w:szCs w:val="28"/>
          </w:rPr>
          <w:t>s</w:t>
        </w:r>
      </w:ins>
      <w:ins w:id="62" w:author="Any Authorised User" w:date="2021-03-25T17:56:00Z">
        <w:r w:rsidR="009342CC" w:rsidRPr="00FB0DDC">
          <w:rPr>
            <w:rFonts w:ascii="Times New Roman" w:hAnsi="Times New Roman"/>
            <w:sz w:val="24"/>
            <w:szCs w:val="28"/>
          </w:rPr>
          <w:t xml:space="preserve"> to the rate determined by the Calculation</w:t>
        </w:r>
        <w:r w:rsidR="009342CC">
          <w:rPr>
            <w:rFonts w:ascii="Times New Roman" w:hAnsi="Times New Roman"/>
            <w:sz w:val="24"/>
            <w:szCs w:val="28"/>
          </w:rPr>
          <w:t xml:space="preserve"> Agent</w:t>
        </w:r>
      </w:ins>
      <w:ins w:id="63" w:author="Any Authorised User" w:date="2021-03-26T15:27:00Z">
        <w:r w:rsidR="00B6584D">
          <w:rPr>
            <w:rFonts w:ascii="Times New Roman" w:hAnsi="Times New Roman"/>
            <w:sz w:val="24"/>
            <w:szCs w:val="28"/>
          </w:rPr>
          <w:t>,</w:t>
        </w:r>
      </w:ins>
      <w:ins w:id="64" w:author="Any Authorised User" w:date="2021-03-25T19:05:00Z">
        <w:r w:rsidR="001D1496">
          <w:rPr>
            <w:rFonts w:ascii="Times New Roman" w:hAnsi="Times New Roman"/>
            <w:sz w:val="24"/>
            <w:szCs w:val="28"/>
          </w:rPr>
          <w:t xml:space="preserve"> </w:t>
        </w:r>
      </w:ins>
    </w:p>
    <w:p w14:paraId="6BE33AE5" w14:textId="55F61439" w:rsidR="001047DB" w:rsidRDefault="001047DB" w:rsidP="00061059">
      <w:pPr>
        <w:pStyle w:val="Body"/>
        <w:ind w:left="1276"/>
        <w:rPr>
          <w:ins w:id="65" w:author="Any Authorised User" w:date="2021-03-25T18:41:00Z"/>
          <w:rFonts w:ascii="Times New Roman" w:hAnsi="Times New Roman"/>
          <w:sz w:val="24"/>
          <w:szCs w:val="28"/>
        </w:rPr>
      </w:pPr>
      <w:ins w:id="66" w:author="Any Authorised User" w:date="2021-03-25T18:41:00Z">
        <w:r>
          <w:rPr>
            <w:rFonts w:ascii="Times New Roman" w:hAnsi="Times New Roman"/>
            <w:sz w:val="24"/>
            <w:szCs w:val="28"/>
          </w:rPr>
          <w:t>where</w:t>
        </w:r>
      </w:ins>
      <w:ins w:id="67" w:author="Any Authorised User" w:date="2021-05-13T11:31:00Z">
        <w:r w:rsidR="003A3514">
          <w:rPr>
            <w:rFonts w:ascii="Times New Roman" w:hAnsi="Times New Roman"/>
            <w:sz w:val="24"/>
            <w:szCs w:val="28"/>
          </w:rPr>
          <w:t>, for these purposes</w:t>
        </w:r>
      </w:ins>
      <w:ins w:id="68" w:author="Any Authorised User" w:date="2021-03-25T18:41:00Z">
        <w:r>
          <w:rPr>
            <w:rFonts w:ascii="Times New Roman" w:hAnsi="Times New Roman"/>
            <w:sz w:val="24"/>
            <w:szCs w:val="28"/>
          </w:rPr>
          <w:t>:</w:t>
        </w:r>
      </w:ins>
    </w:p>
    <w:p w14:paraId="2C06E1C2" w14:textId="3A5C54FB" w:rsidR="0041384B" w:rsidRDefault="00380742" w:rsidP="00061059">
      <w:pPr>
        <w:pStyle w:val="Body"/>
        <w:ind w:left="1276"/>
        <w:rPr>
          <w:ins w:id="69" w:author="Any Authorised User" w:date="2021-05-13T15:29:00Z"/>
          <w:rFonts w:ascii="Times New Roman" w:hAnsi="Times New Roman"/>
          <w:sz w:val="24"/>
          <w:szCs w:val="28"/>
        </w:rPr>
      </w:pPr>
      <w:ins w:id="70" w:author="Any Authorised User" w:date="2021-03-25T18:07:00Z">
        <w:r>
          <w:rPr>
            <w:rFonts w:ascii="Times New Roman" w:hAnsi="Times New Roman"/>
            <w:sz w:val="24"/>
            <w:szCs w:val="28"/>
          </w:rPr>
          <w:t>“</w:t>
        </w:r>
      </w:ins>
      <w:ins w:id="71" w:author="Any Authorised User" w:date="2021-03-25T17:39:00Z">
        <w:r>
          <w:rPr>
            <w:rFonts w:ascii="Times New Roman" w:hAnsi="Times New Roman"/>
            <w:sz w:val="24"/>
            <w:szCs w:val="28"/>
          </w:rPr>
          <w:t>Applicable Calculated ISR Fallback Rate</w:t>
        </w:r>
      </w:ins>
      <w:ins w:id="72" w:author="Any Authorised User" w:date="2021-03-25T18:07:00Z">
        <w:r>
          <w:rPr>
            <w:rFonts w:ascii="Times New Roman" w:hAnsi="Times New Roman"/>
            <w:sz w:val="24"/>
            <w:szCs w:val="28"/>
          </w:rPr>
          <w:t>”</w:t>
        </w:r>
      </w:ins>
      <w:ins w:id="73" w:author="Any Authorised User" w:date="2021-03-25T17:39:00Z">
        <w:r>
          <w:rPr>
            <w:rFonts w:ascii="Times New Roman" w:hAnsi="Times New Roman"/>
            <w:sz w:val="24"/>
            <w:szCs w:val="28"/>
          </w:rPr>
          <w:t xml:space="preserve"> </w:t>
        </w:r>
      </w:ins>
      <w:ins w:id="74" w:author="Any Authorised User" w:date="2021-03-25T18:05:00Z">
        <w:r>
          <w:rPr>
            <w:rFonts w:ascii="Times New Roman" w:hAnsi="Times New Roman"/>
            <w:sz w:val="24"/>
            <w:szCs w:val="28"/>
          </w:rPr>
          <w:t>means</w:t>
        </w:r>
      </w:ins>
      <w:ins w:id="75" w:author="Any Authorised User" w:date="2021-05-13T15:38:00Z">
        <w:r w:rsidR="00B92B5B" w:rsidRPr="00B92B5B">
          <w:rPr>
            <w:rFonts w:ascii="Times New Roman" w:hAnsi="Times New Roman"/>
            <w:sz w:val="24"/>
            <w:szCs w:val="28"/>
          </w:rPr>
          <w:t xml:space="preserve"> </w:t>
        </w:r>
        <w:r w:rsidR="00B92B5B">
          <w:rPr>
            <w:rFonts w:ascii="Times New Roman" w:hAnsi="Times New Roman"/>
            <w:sz w:val="24"/>
            <w:szCs w:val="28"/>
          </w:rPr>
          <w:t>if the currency in which the Relevant Swap Transaction is denominated is</w:t>
        </w:r>
      </w:ins>
      <w:ins w:id="76" w:author="Any Authorised User" w:date="2021-05-13T15:29:00Z">
        <w:r w:rsidR="0041384B">
          <w:rPr>
            <w:rFonts w:ascii="Times New Roman" w:hAnsi="Times New Roman"/>
            <w:sz w:val="24"/>
            <w:szCs w:val="28"/>
          </w:rPr>
          <w:t>:</w:t>
        </w:r>
      </w:ins>
    </w:p>
    <w:p w14:paraId="43FF54D2" w14:textId="3664CAE1" w:rsidR="0041384B" w:rsidRDefault="00924593" w:rsidP="0041384B">
      <w:pPr>
        <w:pStyle w:val="Body"/>
        <w:numPr>
          <w:ilvl w:val="0"/>
          <w:numId w:val="68"/>
        </w:numPr>
        <w:rPr>
          <w:ins w:id="77" w:author="Any Authorised User" w:date="2021-05-13T15:29:00Z"/>
          <w:rFonts w:ascii="Times New Roman" w:hAnsi="Times New Roman"/>
          <w:sz w:val="24"/>
          <w:szCs w:val="28"/>
        </w:rPr>
      </w:pPr>
      <w:ins w:id="78" w:author="Any Authorised User" w:date="2021-03-29T11:52:00Z">
        <w:r>
          <w:rPr>
            <w:rFonts w:ascii="Times New Roman" w:hAnsi="Times New Roman"/>
            <w:sz w:val="24"/>
            <w:szCs w:val="28"/>
          </w:rPr>
          <w:t>S</w:t>
        </w:r>
      </w:ins>
      <w:ins w:id="79" w:author="Any Authorised User" w:date="2021-03-25T18:07:00Z">
        <w:r w:rsidR="00380742">
          <w:rPr>
            <w:rFonts w:ascii="Times New Roman" w:hAnsi="Times New Roman"/>
            <w:sz w:val="24"/>
            <w:szCs w:val="28"/>
          </w:rPr>
          <w:t xml:space="preserve">terling, </w:t>
        </w:r>
      </w:ins>
      <w:ins w:id="80" w:author="Any Authorised User" w:date="2021-03-25T18:06:00Z">
        <w:r w:rsidR="00380742">
          <w:rPr>
            <w:rFonts w:ascii="Times New Roman" w:hAnsi="Times New Roman"/>
            <w:sz w:val="24"/>
            <w:szCs w:val="28"/>
          </w:rPr>
          <w:t xml:space="preserve">the </w:t>
        </w:r>
      </w:ins>
      <w:ins w:id="81" w:author="Any Authorised User" w:date="2021-03-25T18:37:00Z">
        <w:r w:rsidR="00380742">
          <w:rPr>
            <w:rFonts w:ascii="Times New Roman" w:hAnsi="Times New Roman"/>
            <w:sz w:val="24"/>
            <w:szCs w:val="28"/>
          </w:rPr>
          <w:t xml:space="preserve">Calculated </w:t>
        </w:r>
      </w:ins>
      <w:ins w:id="82" w:author="Any Authorised User" w:date="2021-03-25T18:36:00Z">
        <w:r w:rsidR="00380742">
          <w:rPr>
            <w:rFonts w:ascii="Times New Roman" w:hAnsi="Times New Roman"/>
            <w:sz w:val="24"/>
            <w:szCs w:val="28"/>
          </w:rPr>
          <w:t>GBP ISR Fallback Rate</w:t>
        </w:r>
      </w:ins>
      <w:ins w:id="83" w:author="Any Authorised User" w:date="2021-05-13T15:29:00Z">
        <w:r w:rsidR="0041384B">
          <w:rPr>
            <w:rFonts w:ascii="Times New Roman" w:hAnsi="Times New Roman"/>
            <w:sz w:val="24"/>
            <w:szCs w:val="28"/>
          </w:rPr>
          <w:t>; and</w:t>
        </w:r>
      </w:ins>
    </w:p>
    <w:p w14:paraId="6A68E3E0" w14:textId="14DE8465" w:rsidR="00380742" w:rsidRDefault="0041384B" w:rsidP="0041384B">
      <w:pPr>
        <w:pStyle w:val="Body"/>
        <w:numPr>
          <w:ilvl w:val="0"/>
          <w:numId w:val="68"/>
        </w:numPr>
        <w:rPr>
          <w:ins w:id="84" w:author="Any Authorised User" w:date="2021-03-25T18:36:00Z"/>
          <w:rFonts w:ascii="Times New Roman" w:hAnsi="Times New Roman"/>
          <w:sz w:val="24"/>
          <w:szCs w:val="28"/>
        </w:rPr>
      </w:pPr>
      <w:ins w:id="85" w:author="Any Authorised User" w:date="2021-05-13T15:30:00Z">
        <w:r>
          <w:rPr>
            <w:rFonts w:ascii="Times New Roman" w:hAnsi="Times New Roman"/>
            <w:sz w:val="24"/>
            <w:szCs w:val="28"/>
          </w:rPr>
          <w:t>U.S. Dollar, the Calculated USD ISR Fallback Rate</w:t>
        </w:r>
      </w:ins>
      <w:ins w:id="86" w:author="Any Authorised User" w:date="2021-03-25T18:36:00Z">
        <w:r w:rsidR="00380742">
          <w:rPr>
            <w:rFonts w:ascii="Times New Roman" w:hAnsi="Times New Roman"/>
            <w:sz w:val="24"/>
            <w:szCs w:val="28"/>
          </w:rPr>
          <w:t>.</w:t>
        </w:r>
      </w:ins>
      <w:ins w:id="87" w:author="Any Authorised User" w:date="2021-03-26T18:47:00Z">
        <w:r w:rsidR="00EF1C5D">
          <w:rPr>
            <w:rFonts w:ascii="Times New Roman" w:hAnsi="Times New Roman"/>
            <w:sz w:val="24"/>
            <w:szCs w:val="28"/>
          </w:rPr>
          <w:t xml:space="preserve"> </w:t>
        </w:r>
      </w:ins>
    </w:p>
    <w:p w14:paraId="02573A2B" w14:textId="4EC4B190" w:rsidR="00C60247" w:rsidRDefault="00940095" w:rsidP="00061059">
      <w:pPr>
        <w:pStyle w:val="Body"/>
        <w:ind w:left="1276"/>
        <w:rPr>
          <w:ins w:id="88" w:author="Any Authorised User" w:date="2021-03-25T17:47:00Z"/>
          <w:rFonts w:ascii="Times New Roman" w:hAnsi="Times New Roman"/>
          <w:sz w:val="24"/>
          <w:szCs w:val="28"/>
        </w:rPr>
      </w:pPr>
      <w:ins w:id="89" w:author="Any Authorised User" w:date="2021-03-25T17:30:00Z">
        <w:r>
          <w:rPr>
            <w:rFonts w:ascii="Times New Roman" w:hAnsi="Times New Roman"/>
            <w:sz w:val="24"/>
            <w:szCs w:val="28"/>
          </w:rPr>
          <w:t>“</w:t>
        </w:r>
      </w:ins>
      <w:ins w:id="90" w:author="Any Authorised User" w:date="2021-03-25T17:47:00Z">
        <w:r w:rsidR="00C60247">
          <w:rPr>
            <w:rFonts w:ascii="Times New Roman" w:hAnsi="Times New Roman"/>
            <w:sz w:val="24"/>
            <w:szCs w:val="28"/>
          </w:rPr>
          <w:t>Applicable Currency</w:t>
        </w:r>
      </w:ins>
      <w:ins w:id="91" w:author="Any Authorised User" w:date="2021-03-25T17:59:00Z">
        <w:r w:rsidR="00F36303">
          <w:rPr>
            <w:rFonts w:ascii="Times New Roman" w:hAnsi="Times New Roman"/>
            <w:sz w:val="24"/>
            <w:szCs w:val="28"/>
          </w:rPr>
          <w:t xml:space="preserve">” means </w:t>
        </w:r>
      </w:ins>
      <w:ins w:id="92" w:author="Any Authorised User" w:date="2021-03-29T11:52:00Z">
        <w:r w:rsidR="00924593">
          <w:rPr>
            <w:rFonts w:ascii="Times New Roman" w:hAnsi="Times New Roman"/>
            <w:sz w:val="24"/>
            <w:szCs w:val="28"/>
          </w:rPr>
          <w:t>S</w:t>
        </w:r>
      </w:ins>
      <w:ins w:id="93" w:author="Any Authorised User" w:date="2021-03-25T18:00:00Z">
        <w:r w:rsidR="00F36303">
          <w:rPr>
            <w:rFonts w:ascii="Times New Roman" w:hAnsi="Times New Roman"/>
            <w:sz w:val="24"/>
            <w:szCs w:val="28"/>
          </w:rPr>
          <w:t>terling</w:t>
        </w:r>
      </w:ins>
      <w:ins w:id="94" w:author="Any Authorised User" w:date="2021-05-13T15:31:00Z">
        <w:r w:rsidR="0041384B">
          <w:rPr>
            <w:rFonts w:ascii="Times New Roman" w:hAnsi="Times New Roman"/>
            <w:sz w:val="24"/>
            <w:szCs w:val="28"/>
          </w:rPr>
          <w:t xml:space="preserve"> </w:t>
        </w:r>
      </w:ins>
      <w:ins w:id="95" w:author="Any Authorised User" w:date="2021-06-04T09:34:00Z">
        <w:r w:rsidR="00B842FB">
          <w:rPr>
            <w:rFonts w:ascii="Times New Roman" w:hAnsi="Times New Roman"/>
            <w:sz w:val="24"/>
            <w:szCs w:val="28"/>
          </w:rPr>
          <w:t xml:space="preserve">or </w:t>
        </w:r>
      </w:ins>
      <w:ins w:id="96" w:author="Any Authorised User" w:date="2021-05-13T15:31:00Z">
        <w:r w:rsidR="0041384B">
          <w:rPr>
            <w:rFonts w:ascii="Times New Roman" w:hAnsi="Times New Roman"/>
            <w:sz w:val="24"/>
            <w:szCs w:val="28"/>
          </w:rPr>
          <w:t>U.S. Dollar</w:t>
        </w:r>
      </w:ins>
      <w:ins w:id="97" w:author="Any Authorised User" w:date="2021-06-04T09:34:00Z">
        <w:r w:rsidR="00B842FB">
          <w:rPr>
            <w:rFonts w:ascii="Times New Roman" w:hAnsi="Times New Roman"/>
            <w:sz w:val="24"/>
            <w:szCs w:val="28"/>
          </w:rPr>
          <w:t>, as applicable</w:t>
        </w:r>
      </w:ins>
      <w:ins w:id="98" w:author="Any Authorised User" w:date="2021-03-25T18:00:00Z">
        <w:r w:rsidR="00F36303">
          <w:rPr>
            <w:rFonts w:ascii="Times New Roman" w:hAnsi="Times New Roman"/>
            <w:sz w:val="24"/>
            <w:szCs w:val="28"/>
          </w:rPr>
          <w:t xml:space="preserve">. </w:t>
        </w:r>
      </w:ins>
    </w:p>
    <w:p w14:paraId="5498DA79" w14:textId="77777777" w:rsidR="00380742" w:rsidRDefault="00380742" w:rsidP="00061059">
      <w:pPr>
        <w:pStyle w:val="Body"/>
        <w:ind w:left="1276"/>
        <w:rPr>
          <w:ins w:id="99" w:author="Any Authorised User" w:date="2021-03-25T18:02:00Z"/>
          <w:rFonts w:ascii="Times New Roman" w:hAnsi="Times New Roman"/>
          <w:sz w:val="24"/>
          <w:szCs w:val="28"/>
        </w:rPr>
      </w:pPr>
      <w:ins w:id="100" w:author="Any Authorised User" w:date="2021-03-25T18:17:00Z">
        <w:r>
          <w:rPr>
            <w:rFonts w:ascii="Times New Roman" w:hAnsi="Times New Roman"/>
            <w:sz w:val="24"/>
            <w:szCs w:val="28"/>
          </w:rPr>
          <w:t>“Applicable GBP Tenor” means,</w:t>
        </w:r>
      </w:ins>
      <w:ins w:id="101" w:author="Any Authorised User" w:date="2021-03-25T18:15:00Z">
        <w:r>
          <w:rPr>
            <w:rFonts w:ascii="Times New Roman" w:hAnsi="Times New Roman"/>
            <w:sz w:val="24"/>
            <w:szCs w:val="28"/>
          </w:rPr>
          <w:t xml:space="preserve"> </w:t>
        </w:r>
      </w:ins>
      <w:ins w:id="102" w:author="Any Authorised User" w:date="2021-03-25T18:01:00Z">
        <w:r>
          <w:rPr>
            <w:rFonts w:ascii="Times New Roman" w:hAnsi="Times New Roman"/>
            <w:sz w:val="24"/>
            <w:szCs w:val="28"/>
          </w:rPr>
          <w:t xml:space="preserve">in respect of GBP </w:t>
        </w:r>
      </w:ins>
      <w:ins w:id="103" w:author="Any Authorised User" w:date="2021-03-25T18:02:00Z">
        <w:r>
          <w:rPr>
            <w:rFonts w:ascii="Times New Roman" w:hAnsi="Times New Roman"/>
            <w:sz w:val="24"/>
            <w:szCs w:val="28"/>
          </w:rPr>
          <w:t xml:space="preserve">LIBOR, if the </w:t>
        </w:r>
        <w:r w:rsidRPr="008B44E2">
          <w:rPr>
            <w:rFonts w:ascii="Times New Roman" w:hAnsi="Times New Roman"/>
            <w:sz w:val="24"/>
            <w:szCs w:val="28"/>
          </w:rPr>
          <w:t>period equivalent to the remaining Term of the Relevant Swap Transaction</w:t>
        </w:r>
        <w:r>
          <w:rPr>
            <w:rFonts w:ascii="Times New Roman" w:hAnsi="Times New Roman"/>
            <w:sz w:val="24"/>
            <w:szCs w:val="28"/>
          </w:rPr>
          <w:t xml:space="preserve"> is:</w:t>
        </w:r>
      </w:ins>
    </w:p>
    <w:p w14:paraId="07022ABA" w14:textId="77777777" w:rsidR="00380742" w:rsidRDefault="00380742" w:rsidP="00061059">
      <w:pPr>
        <w:pStyle w:val="Body"/>
        <w:numPr>
          <w:ilvl w:val="0"/>
          <w:numId w:val="60"/>
        </w:numPr>
        <w:ind w:left="1276" w:firstLine="0"/>
        <w:rPr>
          <w:ins w:id="104" w:author="Any Authorised User" w:date="2021-03-25T18:03:00Z"/>
          <w:rFonts w:ascii="Times New Roman" w:hAnsi="Times New Roman"/>
          <w:sz w:val="24"/>
          <w:szCs w:val="28"/>
        </w:rPr>
      </w:pPr>
      <w:ins w:id="105" w:author="Any Authorised User" w:date="2021-03-25T18:02:00Z">
        <w:r>
          <w:rPr>
            <w:rFonts w:ascii="Times New Roman" w:hAnsi="Times New Roman"/>
            <w:sz w:val="24"/>
            <w:szCs w:val="28"/>
          </w:rPr>
          <w:t>equal to one year, three month</w:t>
        </w:r>
      </w:ins>
      <w:ins w:id="106" w:author="Any Authorised User" w:date="2021-03-25T18:03:00Z">
        <w:r>
          <w:rPr>
            <w:rFonts w:ascii="Times New Roman" w:hAnsi="Times New Roman"/>
            <w:sz w:val="24"/>
            <w:szCs w:val="28"/>
          </w:rPr>
          <w:t>s; or</w:t>
        </w:r>
      </w:ins>
    </w:p>
    <w:p w14:paraId="792DE215" w14:textId="77777777" w:rsidR="00380742" w:rsidRDefault="00380742" w:rsidP="00061059">
      <w:pPr>
        <w:pStyle w:val="Body"/>
        <w:numPr>
          <w:ilvl w:val="0"/>
          <w:numId w:val="60"/>
        </w:numPr>
        <w:ind w:left="1276" w:firstLine="0"/>
        <w:rPr>
          <w:ins w:id="107" w:author="Any Authorised User" w:date="2021-03-25T18:03:00Z"/>
          <w:rFonts w:ascii="Times New Roman" w:hAnsi="Times New Roman"/>
          <w:sz w:val="24"/>
          <w:szCs w:val="28"/>
        </w:rPr>
      </w:pPr>
      <w:ins w:id="108" w:author="Any Authorised User" w:date="2021-03-25T18:03:00Z">
        <w:r>
          <w:rPr>
            <w:rFonts w:ascii="Times New Roman" w:hAnsi="Times New Roman"/>
            <w:sz w:val="24"/>
            <w:szCs w:val="28"/>
          </w:rPr>
          <w:t>longer than one year, six months,</w:t>
        </w:r>
      </w:ins>
    </w:p>
    <w:p w14:paraId="70472887" w14:textId="406C5E2C" w:rsidR="00380742" w:rsidRPr="00F36303" w:rsidRDefault="00380742" w:rsidP="00061059">
      <w:pPr>
        <w:pStyle w:val="Body"/>
        <w:ind w:left="1276"/>
        <w:rPr>
          <w:ins w:id="109" w:author="Any Authorised User" w:date="2021-03-25T17:38:00Z"/>
          <w:rFonts w:ascii="Times New Roman" w:hAnsi="Times New Roman"/>
          <w:b/>
          <w:bCs/>
          <w:i/>
          <w:iCs/>
          <w:sz w:val="24"/>
          <w:szCs w:val="28"/>
        </w:rPr>
      </w:pPr>
      <w:ins w:id="110" w:author="Any Authorised User" w:date="2021-03-25T18:03:00Z">
        <w:r>
          <w:rPr>
            <w:rFonts w:ascii="Times New Roman" w:hAnsi="Times New Roman"/>
            <w:sz w:val="24"/>
            <w:szCs w:val="28"/>
          </w:rPr>
          <w:t xml:space="preserve">or, </w:t>
        </w:r>
        <w:r w:rsidRPr="00F36303">
          <w:rPr>
            <w:rFonts w:ascii="Times New Roman" w:hAnsi="Times New Roman"/>
            <w:sz w:val="24"/>
            <w:szCs w:val="28"/>
          </w:rPr>
          <w:t xml:space="preserve">in each case, any tenor of GBP LIBOR which is referenced in fixed-for-floating Sterling swap transactions on which the GBP LIBOR ICE Swap Rate with a maturity of </w:t>
        </w:r>
      </w:ins>
      <w:ins w:id="111" w:author="Any Authorised User" w:date="2021-03-25T18:04:00Z">
        <w:r>
          <w:rPr>
            <w:rFonts w:ascii="Times New Roman" w:hAnsi="Times New Roman"/>
            <w:sz w:val="24"/>
            <w:szCs w:val="28"/>
          </w:rPr>
          <w:t xml:space="preserve">the </w:t>
        </w:r>
        <w:r w:rsidRPr="008B44E2">
          <w:rPr>
            <w:rFonts w:ascii="Times New Roman" w:hAnsi="Times New Roman"/>
            <w:sz w:val="24"/>
            <w:szCs w:val="28"/>
          </w:rPr>
          <w:t>period equivalent to the remaining Term of the Relevant Swap Transaction</w:t>
        </w:r>
        <w:r w:rsidRPr="00F36303">
          <w:rPr>
            <w:rFonts w:ascii="Times New Roman" w:hAnsi="Times New Roman"/>
            <w:sz w:val="24"/>
            <w:szCs w:val="28"/>
          </w:rPr>
          <w:t xml:space="preserve"> </w:t>
        </w:r>
      </w:ins>
      <w:ins w:id="112" w:author="Any Authorised User" w:date="2021-03-25T18:03:00Z">
        <w:r w:rsidRPr="00F36303">
          <w:rPr>
            <w:rFonts w:ascii="Times New Roman" w:hAnsi="Times New Roman"/>
            <w:sz w:val="24"/>
            <w:szCs w:val="28"/>
          </w:rPr>
          <w:t>is based</w:t>
        </w:r>
      </w:ins>
      <w:ins w:id="113" w:author="Any Authorised User" w:date="2021-06-04T12:01:00Z">
        <w:r w:rsidR="003C6F41">
          <w:rPr>
            <w:rFonts w:ascii="Times New Roman" w:hAnsi="Times New Roman"/>
            <w:sz w:val="24"/>
            <w:szCs w:val="28"/>
          </w:rPr>
          <w:t>.</w:t>
        </w:r>
      </w:ins>
    </w:p>
    <w:p w14:paraId="1600EF09" w14:textId="7071DAA5" w:rsidR="0041384B" w:rsidRDefault="00380742" w:rsidP="00061059">
      <w:pPr>
        <w:pStyle w:val="Body"/>
        <w:ind w:left="1276"/>
        <w:rPr>
          <w:ins w:id="114" w:author="Any Authorised User" w:date="2021-05-13T15:32:00Z"/>
          <w:rFonts w:ascii="Times New Roman" w:hAnsi="Times New Roman"/>
          <w:sz w:val="24"/>
          <w:szCs w:val="28"/>
        </w:rPr>
      </w:pPr>
      <w:ins w:id="115" w:author="Any Authorised User" w:date="2021-03-25T18:31:00Z">
        <w:r>
          <w:rPr>
            <w:rFonts w:ascii="Times New Roman" w:hAnsi="Times New Roman"/>
            <w:sz w:val="24"/>
            <w:szCs w:val="28"/>
          </w:rPr>
          <w:t>“Applicable LIBOR” means</w:t>
        </w:r>
      </w:ins>
      <w:ins w:id="116" w:author="Any Authorised User" w:date="2021-05-13T15:38:00Z">
        <w:r w:rsidR="00B92B5B" w:rsidRPr="00B92B5B">
          <w:rPr>
            <w:rFonts w:ascii="Times New Roman" w:hAnsi="Times New Roman"/>
            <w:sz w:val="24"/>
            <w:szCs w:val="28"/>
          </w:rPr>
          <w:t xml:space="preserve"> </w:t>
        </w:r>
        <w:r w:rsidR="00B92B5B">
          <w:rPr>
            <w:rFonts w:ascii="Times New Roman" w:hAnsi="Times New Roman"/>
            <w:sz w:val="24"/>
            <w:szCs w:val="28"/>
          </w:rPr>
          <w:t>if the currency in which the Relevant Swap Transaction is denominated is</w:t>
        </w:r>
      </w:ins>
      <w:ins w:id="117" w:author="Any Authorised User" w:date="2021-05-13T15:32:00Z">
        <w:r w:rsidR="0041384B">
          <w:rPr>
            <w:rFonts w:ascii="Times New Roman" w:hAnsi="Times New Roman"/>
            <w:sz w:val="24"/>
            <w:szCs w:val="28"/>
          </w:rPr>
          <w:t>:</w:t>
        </w:r>
      </w:ins>
    </w:p>
    <w:p w14:paraId="63664130" w14:textId="3C453176" w:rsidR="0041384B" w:rsidRDefault="00924593" w:rsidP="0041384B">
      <w:pPr>
        <w:pStyle w:val="Body"/>
        <w:numPr>
          <w:ilvl w:val="0"/>
          <w:numId w:val="69"/>
        </w:numPr>
        <w:rPr>
          <w:ins w:id="118" w:author="Any Authorised User" w:date="2021-05-13T15:33:00Z"/>
          <w:rFonts w:ascii="Times New Roman" w:hAnsi="Times New Roman"/>
          <w:sz w:val="24"/>
          <w:szCs w:val="28"/>
        </w:rPr>
      </w:pPr>
      <w:ins w:id="119" w:author="Any Authorised User" w:date="2021-03-29T11:52:00Z">
        <w:r>
          <w:rPr>
            <w:rFonts w:ascii="Times New Roman" w:hAnsi="Times New Roman"/>
            <w:sz w:val="24"/>
            <w:szCs w:val="28"/>
          </w:rPr>
          <w:t>S</w:t>
        </w:r>
      </w:ins>
      <w:ins w:id="120" w:author="Any Authorised User" w:date="2021-03-25T18:31:00Z">
        <w:r w:rsidR="00380742">
          <w:rPr>
            <w:rFonts w:ascii="Times New Roman" w:hAnsi="Times New Roman"/>
            <w:sz w:val="24"/>
            <w:szCs w:val="28"/>
          </w:rPr>
          <w:t>terling, GBP LIBOR</w:t>
        </w:r>
      </w:ins>
      <w:ins w:id="121" w:author="Any Authorised User" w:date="2021-05-13T15:32:00Z">
        <w:r w:rsidR="0041384B">
          <w:rPr>
            <w:rFonts w:ascii="Times New Roman" w:hAnsi="Times New Roman"/>
            <w:sz w:val="24"/>
            <w:szCs w:val="28"/>
          </w:rPr>
          <w:t>;</w:t>
        </w:r>
      </w:ins>
      <w:ins w:id="122" w:author="Any Authorised User" w:date="2021-05-13T15:33:00Z">
        <w:r w:rsidR="0041384B">
          <w:rPr>
            <w:rFonts w:ascii="Times New Roman" w:hAnsi="Times New Roman"/>
            <w:sz w:val="24"/>
            <w:szCs w:val="28"/>
          </w:rPr>
          <w:t xml:space="preserve"> and</w:t>
        </w:r>
      </w:ins>
    </w:p>
    <w:p w14:paraId="27FB76DA" w14:textId="2F19A74B" w:rsidR="00380742" w:rsidRPr="00192F2D" w:rsidRDefault="0041384B" w:rsidP="0041384B">
      <w:pPr>
        <w:pStyle w:val="Body"/>
        <w:numPr>
          <w:ilvl w:val="0"/>
          <w:numId w:val="69"/>
        </w:numPr>
        <w:rPr>
          <w:rFonts w:ascii="Times New Roman" w:hAnsi="Times New Roman"/>
          <w:sz w:val="24"/>
          <w:szCs w:val="28"/>
        </w:rPr>
      </w:pPr>
      <w:ins w:id="123" w:author="Any Authorised User" w:date="2021-05-13T15:33:00Z">
        <w:r>
          <w:rPr>
            <w:rFonts w:ascii="Times New Roman" w:hAnsi="Times New Roman"/>
            <w:sz w:val="24"/>
            <w:szCs w:val="28"/>
          </w:rPr>
          <w:t>U.S. Dollar, USD LIBOR</w:t>
        </w:r>
      </w:ins>
      <w:ins w:id="124" w:author="Any Authorised User" w:date="2021-03-25T18:31:00Z">
        <w:r w:rsidR="00380742">
          <w:rPr>
            <w:rFonts w:ascii="Times New Roman" w:hAnsi="Times New Roman"/>
            <w:sz w:val="24"/>
            <w:szCs w:val="28"/>
          </w:rPr>
          <w:t>.</w:t>
        </w:r>
      </w:ins>
      <w:ins w:id="125" w:author="Any Authorised User" w:date="2021-03-25T18:54:00Z">
        <w:r w:rsidR="00380742">
          <w:rPr>
            <w:rFonts w:ascii="Times New Roman" w:hAnsi="Times New Roman"/>
            <w:sz w:val="24"/>
            <w:szCs w:val="28"/>
          </w:rPr>
          <w:t xml:space="preserve"> </w:t>
        </w:r>
      </w:ins>
    </w:p>
    <w:p w14:paraId="597AD8B5" w14:textId="77777777" w:rsidR="00B842FB" w:rsidRDefault="00C60247" w:rsidP="00061059">
      <w:pPr>
        <w:pStyle w:val="Body"/>
        <w:ind w:left="1276"/>
        <w:rPr>
          <w:ins w:id="126" w:author="Any Authorised User" w:date="2021-06-04T09:34:00Z"/>
          <w:rFonts w:ascii="Times New Roman" w:hAnsi="Times New Roman"/>
          <w:sz w:val="24"/>
          <w:szCs w:val="28"/>
        </w:rPr>
      </w:pPr>
      <w:ins w:id="127" w:author="Any Authorised User" w:date="2021-03-25T17:47:00Z">
        <w:r>
          <w:rPr>
            <w:rFonts w:ascii="Times New Roman" w:hAnsi="Times New Roman"/>
            <w:sz w:val="24"/>
            <w:szCs w:val="28"/>
          </w:rPr>
          <w:t>“</w:t>
        </w:r>
      </w:ins>
      <w:ins w:id="128" w:author="Any Authorised User" w:date="2021-03-25T17:30:00Z">
        <w:r w:rsidR="00940095">
          <w:rPr>
            <w:rFonts w:ascii="Times New Roman" w:hAnsi="Times New Roman"/>
            <w:sz w:val="24"/>
            <w:szCs w:val="28"/>
          </w:rPr>
          <w:t>Applicable LIBOR Index Cessation Effective Date” means</w:t>
        </w:r>
      </w:ins>
      <w:ins w:id="129" w:author="Any Authorised User" w:date="2021-03-25T18:16:00Z">
        <w:r w:rsidR="00E15FD9">
          <w:rPr>
            <w:rFonts w:ascii="Times New Roman" w:hAnsi="Times New Roman"/>
            <w:sz w:val="24"/>
            <w:szCs w:val="28"/>
          </w:rPr>
          <w:t>,</w:t>
        </w:r>
      </w:ins>
      <w:ins w:id="130" w:author="Any Authorised User" w:date="2021-03-25T18:15:00Z">
        <w:r w:rsidR="00E15FD9">
          <w:rPr>
            <w:rFonts w:ascii="Times New Roman" w:hAnsi="Times New Roman"/>
            <w:sz w:val="24"/>
            <w:szCs w:val="28"/>
          </w:rPr>
          <w:t xml:space="preserve"> </w:t>
        </w:r>
      </w:ins>
      <w:ins w:id="131" w:author="Any Authorised User" w:date="2021-03-25T18:14:00Z">
        <w:r w:rsidR="00E15FD9">
          <w:rPr>
            <w:rFonts w:ascii="Times New Roman" w:hAnsi="Times New Roman"/>
            <w:sz w:val="24"/>
            <w:szCs w:val="28"/>
          </w:rPr>
          <w:t>if the currency in which the Relevant Swap Transaction is denominated is</w:t>
        </w:r>
      </w:ins>
      <w:ins w:id="132" w:author="Any Authorised User" w:date="2021-06-04T09:34:00Z">
        <w:r w:rsidR="00B842FB">
          <w:rPr>
            <w:rFonts w:ascii="Times New Roman" w:hAnsi="Times New Roman"/>
            <w:sz w:val="24"/>
            <w:szCs w:val="28"/>
          </w:rPr>
          <w:t>:</w:t>
        </w:r>
      </w:ins>
    </w:p>
    <w:p w14:paraId="6C866FFB" w14:textId="5A387B06" w:rsidR="00B842FB" w:rsidRPr="00B842FB" w:rsidRDefault="00924593" w:rsidP="00B842FB">
      <w:pPr>
        <w:pStyle w:val="Body"/>
        <w:numPr>
          <w:ilvl w:val="0"/>
          <w:numId w:val="73"/>
        </w:numPr>
        <w:rPr>
          <w:ins w:id="133" w:author="Any Authorised User" w:date="2021-06-04T09:36:00Z"/>
          <w:rFonts w:ascii="Times New Roman" w:hAnsi="Times New Roman"/>
          <w:b/>
          <w:bCs/>
          <w:i/>
          <w:iCs/>
          <w:sz w:val="24"/>
          <w:szCs w:val="28"/>
        </w:rPr>
      </w:pPr>
      <w:ins w:id="134" w:author="Any Authorised User" w:date="2021-03-29T11:52:00Z">
        <w:r w:rsidRPr="00B842FB">
          <w:rPr>
            <w:rFonts w:ascii="Times New Roman" w:hAnsi="Times New Roman"/>
            <w:sz w:val="24"/>
            <w:szCs w:val="28"/>
          </w:rPr>
          <w:lastRenderedPageBreak/>
          <w:t>S</w:t>
        </w:r>
      </w:ins>
      <w:ins w:id="135" w:author="Any Authorised User" w:date="2021-03-25T18:14:00Z">
        <w:r w:rsidR="00E15FD9" w:rsidRPr="00B842FB">
          <w:rPr>
            <w:rFonts w:ascii="Times New Roman" w:hAnsi="Times New Roman"/>
            <w:sz w:val="24"/>
            <w:szCs w:val="28"/>
          </w:rPr>
          <w:t>terling</w:t>
        </w:r>
      </w:ins>
      <w:ins w:id="136" w:author="Any Authorised User" w:date="2021-05-13T15:34:00Z">
        <w:r w:rsidR="0041384B" w:rsidRPr="00B842FB">
          <w:rPr>
            <w:rFonts w:ascii="Times New Roman" w:hAnsi="Times New Roman"/>
            <w:sz w:val="24"/>
            <w:szCs w:val="28"/>
          </w:rPr>
          <w:t xml:space="preserve"> </w:t>
        </w:r>
      </w:ins>
      <w:ins w:id="137" w:author="Any Authorised User" w:date="2021-06-04T09:36:00Z">
        <w:r w:rsidR="00B842FB" w:rsidRPr="00B842FB">
          <w:rPr>
            <w:rFonts w:ascii="Times New Roman" w:hAnsi="Times New Roman"/>
            <w:sz w:val="24"/>
            <w:szCs w:val="28"/>
          </w:rPr>
          <w:t>and in respect of a GBP LIBOR Index Cessation Event</w:t>
        </w:r>
        <w:r w:rsidR="00B842FB">
          <w:rPr>
            <w:rFonts w:ascii="Times New Roman" w:hAnsi="Times New Roman"/>
            <w:sz w:val="24"/>
            <w:szCs w:val="28"/>
          </w:rPr>
          <w:t>;</w:t>
        </w:r>
      </w:ins>
      <w:ins w:id="138" w:author="Any Authorised User" w:date="2021-06-04T09:37:00Z">
        <w:r w:rsidR="00B842FB">
          <w:rPr>
            <w:rFonts w:ascii="Times New Roman" w:hAnsi="Times New Roman"/>
            <w:sz w:val="24"/>
            <w:szCs w:val="28"/>
          </w:rPr>
          <w:t xml:space="preserve"> or</w:t>
        </w:r>
      </w:ins>
    </w:p>
    <w:p w14:paraId="2DBB25DC" w14:textId="77777777" w:rsidR="00B842FB" w:rsidRPr="00B842FB" w:rsidRDefault="0041384B" w:rsidP="00B842FB">
      <w:pPr>
        <w:pStyle w:val="Body"/>
        <w:numPr>
          <w:ilvl w:val="0"/>
          <w:numId w:val="73"/>
        </w:numPr>
        <w:rPr>
          <w:ins w:id="139" w:author="Any Authorised User" w:date="2021-06-04T09:37:00Z"/>
          <w:rFonts w:ascii="Times New Roman" w:hAnsi="Times New Roman"/>
          <w:b/>
          <w:bCs/>
          <w:i/>
          <w:iCs/>
          <w:sz w:val="24"/>
          <w:szCs w:val="28"/>
        </w:rPr>
      </w:pPr>
      <w:ins w:id="140" w:author="Any Authorised User" w:date="2021-05-13T15:34:00Z">
        <w:r w:rsidRPr="00B842FB">
          <w:rPr>
            <w:rFonts w:ascii="Times New Roman" w:hAnsi="Times New Roman"/>
            <w:sz w:val="24"/>
            <w:szCs w:val="28"/>
          </w:rPr>
          <w:t>U.S. Dollar</w:t>
        </w:r>
      </w:ins>
      <w:ins w:id="141" w:author="Any Authorised User" w:date="2021-03-25T18:16:00Z">
        <w:r w:rsidR="00E15FD9" w:rsidRPr="00B842FB">
          <w:rPr>
            <w:rFonts w:ascii="Times New Roman" w:hAnsi="Times New Roman"/>
            <w:sz w:val="24"/>
            <w:szCs w:val="28"/>
          </w:rPr>
          <w:t xml:space="preserve"> </w:t>
        </w:r>
      </w:ins>
      <w:ins w:id="142" w:author="Any Authorised User" w:date="2021-06-04T09:37:00Z">
        <w:r w:rsidR="00B842FB">
          <w:rPr>
            <w:rFonts w:ascii="Times New Roman" w:hAnsi="Times New Roman"/>
            <w:sz w:val="24"/>
            <w:szCs w:val="28"/>
          </w:rPr>
          <w:t xml:space="preserve">and in respect of a </w:t>
        </w:r>
      </w:ins>
      <w:ins w:id="143" w:author="Any Authorised User" w:date="2021-05-13T15:34:00Z">
        <w:r w:rsidRPr="00B842FB">
          <w:rPr>
            <w:rFonts w:ascii="Times New Roman" w:hAnsi="Times New Roman"/>
            <w:sz w:val="24"/>
            <w:szCs w:val="28"/>
          </w:rPr>
          <w:t>USD LIBOR Index Cessa</w:t>
        </w:r>
      </w:ins>
      <w:ins w:id="144" w:author="Any Authorised User" w:date="2021-05-13T15:35:00Z">
        <w:r w:rsidRPr="00B842FB">
          <w:rPr>
            <w:rFonts w:ascii="Times New Roman" w:hAnsi="Times New Roman"/>
            <w:sz w:val="24"/>
            <w:szCs w:val="28"/>
          </w:rPr>
          <w:t>tion Event</w:t>
        </w:r>
      </w:ins>
      <w:ins w:id="145" w:author="Any Authorised User" w:date="2021-06-04T09:37:00Z">
        <w:r w:rsidR="00B842FB">
          <w:rPr>
            <w:rFonts w:ascii="Times New Roman" w:hAnsi="Times New Roman"/>
            <w:sz w:val="24"/>
            <w:szCs w:val="28"/>
          </w:rPr>
          <w:t>,</w:t>
        </w:r>
      </w:ins>
    </w:p>
    <w:p w14:paraId="6409E69A" w14:textId="734467D9" w:rsidR="00DD71A0" w:rsidRPr="00B842FB" w:rsidRDefault="0041384B" w:rsidP="00B842FB">
      <w:pPr>
        <w:pStyle w:val="Body"/>
        <w:ind w:left="1360"/>
        <w:rPr>
          <w:ins w:id="146" w:author="Any Authorised User" w:date="2021-04-01T16:03:00Z"/>
          <w:rFonts w:ascii="Times New Roman" w:hAnsi="Times New Roman"/>
          <w:b/>
          <w:bCs/>
          <w:i/>
          <w:iCs/>
          <w:sz w:val="24"/>
          <w:szCs w:val="28"/>
        </w:rPr>
      </w:pPr>
      <w:ins w:id="147" w:author="Any Authorised User" w:date="2021-05-13T15:35:00Z">
        <w:r w:rsidRPr="00B842FB">
          <w:rPr>
            <w:rFonts w:ascii="Times New Roman" w:hAnsi="Times New Roman"/>
            <w:sz w:val="24"/>
            <w:szCs w:val="28"/>
          </w:rPr>
          <w:t xml:space="preserve">in each case </w:t>
        </w:r>
      </w:ins>
      <w:ins w:id="148" w:author="Any Authorised User" w:date="2021-03-25T18:43:00Z">
        <w:r w:rsidR="001047DB" w:rsidRPr="00B842FB">
          <w:rPr>
            <w:rFonts w:ascii="Times New Roman" w:hAnsi="Times New Roman"/>
            <w:sz w:val="24"/>
            <w:szCs w:val="28"/>
          </w:rPr>
          <w:t>for the Applicable Tenor</w:t>
        </w:r>
      </w:ins>
      <w:ins w:id="149" w:author="Any Authorised User" w:date="2021-03-25T18:16:00Z">
        <w:r w:rsidR="00E15FD9" w:rsidRPr="00B842FB">
          <w:rPr>
            <w:rFonts w:ascii="Times New Roman" w:hAnsi="Times New Roman"/>
            <w:sz w:val="24"/>
            <w:szCs w:val="28"/>
          </w:rPr>
          <w:t xml:space="preserve">, the first date on which </w:t>
        </w:r>
      </w:ins>
      <w:ins w:id="150" w:author="Any Authorised User" w:date="2021-03-25T18:45:00Z">
        <w:r w:rsidR="001047DB" w:rsidRPr="00B842FB">
          <w:rPr>
            <w:rFonts w:ascii="Times New Roman" w:hAnsi="Times New Roman"/>
            <w:sz w:val="24"/>
            <w:szCs w:val="28"/>
          </w:rPr>
          <w:t>the Applicable LIBOR</w:t>
        </w:r>
      </w:ins>
      <w:ins w:id="151" w:author="Any Authorised User" w:date="2021-03-25T18:16:00Z">
        <w:r w:rsidR="00E15FD9" w:rsidRPr="00B842FB">
          <w:rPr>
            <w:rFonts w:ascii="Times New Roman" w:hAnsi="Times New Roman"/>
            <w:sz w:val="24"/>
            <w:szCs w:val="28"/>
          </w:rPr>
          <w:t xml:space="preserve"> for that Applicable Tenor would ordinarily have been provided and is either (</w:t>
        </w:r>
      </w:ins>
      <w:ins w:id="152" w:author="Any Authorised User" w:date="2021-06-04T09:36:00Z">
        <w:r w:rsidR="00B842FB">
          <w:rPr>
            <w:rFonts w:ascii="Times New Roman" w:hAnsi="Times New Roman"/>
            <w:sz w:val="24"/>
            <w:szCs w:val="28"/>
          </w:rPr>
          <w:t>A</w:t>
        </w:r>
      </w:ins>
      <w:ins w:id="153" w:author="Any Authorised User" w:date="2021-03-25T18:16:00Z">
        <w:r w:rsidR="00E15FD9" w:rsidRPr="00B842FB">
          <w:rPr>
            <w:rFonts w:ascii="Times New Roman" w:hAnsi="Times New Roman"/>
            <w:sz w:val="24"/>
            <w:szCs w:val="28"/>
          </w:rPr>
          <w:t>) Non-Representative by reference to the most recent statement or publication contemplated in subparagraph (</w:t>
        </w:r>
      </w:ins>
      <w:ins w:id="154" w:author="Any Authorised User" w:date="2021-03-25T18:26:00Z">
        <w:r w:rsidR="005B7F6C" w:rsidRPr="00B842FB">
          <w:rPr>
            <w:rFonts w:ascii="Times New Roman" w:hAnsi="Times New Roman"/>
            <w:sz w:val="24"/>
            <w:szCs w:val="28"/>
          </w:rPr>
          <w:t>I</w:t>
        </w:r>
      </w:ins>
      <w:ins w:id="155" w:author="Any Authorised User" w:date="2021-03-25T18:16:00Z">
        <w:r w:rsidR="00E15FD9" w:rsidRPr="00B842FB">
          <w:rPr>
            <w:rFonts w:ascii="Times New Roman" w:hAnsi="Times New Roman"/>
            <w:sz w:val="24"/>
            <w:szCs w:val="28"/>
          </w:rPr>
          <w:t>) or (</w:t>
        </w:r>
      </w:ins>
      <w:ins w:id="156" w:author="Any Authorised User" w:date="2021-03-25T18:26:00Z">
        <w:r w:rsidR="005B7F6C" w:rsidRPr="00B842FB">
          <w:rPr>
            <w:rFonts w:ascii="Times New Roman" w:hAnsi="Times New Roman"/>
            <w:sz w:val="24"/>
            <w:szCs w:val="28"/>
          </w:rPr>
          <w:t>II</w:t>
        </w:r>
      </w:ins>
      <w:ins w:id="157" w:author="Any Authorised User" w:date="2021-03-25T18:16:00Z">
        <w:r w:rsidR="00E15FD9" w:rsidRPr="00B842FB">
          <w:rPr>
            <w:rFonts w:ascii="Times New Roman" w:hAnsi="Times New Roman"/>
            <w:sz w:val="24"/>
            <w:szCs w:val="28"/>
          </w:rPr>
          <w:t>)(</w:t>
        </w:r>
      </w:ins>
      <w:ins w:id="158" w:author="Any Authorised User" w:date="2021-03-25T18:26:00Z">
        <w:r w:rsidR="005B7F6C" w:rsidRPr="00B842FB">
          <w:rPr>
            <w:rFonts w:ascii="Times New Roman" w:hAnsi="Times New Roman"/>
            <w:sz w:val="24"/>
            <w:szCs w:val="28"/>
          </w:rPr>
          <w:t>C</w:t>
        </w:r>
      </w:ins>
      <w:ins w:id="159" w:author="Any Authorised User" w:date="2021-03-25T18:16:00Z">
        <w:r w:rsidR="00E15FD9" w:rsidRPr="00B842FB">
          <w:rPr>
            <w:rFonts w:ascii="Times New Roman" w:hAnsi="Times New Roman"/>
            <w:sz w:val="24"/>
            <w:szCs w:val="28"/>
          </w:rPr>
          <w:t xml:space="preserve">) (as applicable) of the definition of GBP LIBOR Index Cessation Event </w:t>
        </w:r>
      </w:ins>
      <w:ins w:id="160" w:author="Any Authorised User" w:date="2021-05-13T15:36:00Z">
        <w:r w:rsidRPr="00B842FB">
          <w:rPr>
            <w:rFonts w:ascii="Times New Roman" w:hAnsi="Times New Roman"/>
            <w:sz w:val="24"/>
            <w:szCs w:val="28"/>
          </w:rPr>
          <w:t xml:space="preserve">or USD LIBOR Index Cessation Event (as applicable) </w:t>
        </w:r>
      </w:ins>
      <w:ins w:id="161" w:author="Any Authorised User" w:date="2021-03-25T18:16:00Z">
        <w:r w:rsidR="00E15FD9" w:rsidRPr="00B842FB">
          <w:rPr>
            <w:rFonts w:ascii="Times New Roman" w:hAnsi="Times New Roman"/>
            <w:sz w:val="24"/>
            <w:szCs w:val="28"/>
          </w:rPr>
          <w:t xml:space="preserve">and even if </w:t>
        </w:r>
      </w:ins>
      <w:ins w:id="162" w:author="Any Authorised User" w:date="2021-03-25T18:46:00Z">
        <w:r w:rsidR="001047DB" w:rsidRPr="00B842FB">
          <w:rPr>
            <w:rFonts w:ascii="Times New Roman" w:hAnsi="Times New Roman"/>
            <w:sz w:val="24"/>
            <w:szCs w:val="28"/>
          </w:rPr>
          <w:t>the Applicable LIBOR</w:t>
        </w:r>
      </w:ins>
      <w:ins w:id="163" w:author="Any Authorised User" w:date="2021-03-25T18:16:00Z">
        <w:r w:rsidR="00E15FD9" w:rsidRPr="00B842FB">
          <w:rPr>
            <w:rFonts w:ascii="Times New Roman" w:hAnsi="Times New Roman"/>
            <w:sz w:val="24"/>
            <w:szCs w:val="28"/>
          </w:rPr>
          <w:t xml:space="preserve"> continues to be provided on such date or (</w:t>
        </w:r>
      </w:ins>
      <w:ins w:id="164" w:author="Any Authorised User" w:date="2021-06-04T09:36:00Z">
        <w:r w:rsidR="00B842FB">
          <w:rPr>
            <w:rFonts w:ascii="Times New Roman" w:hAnsi="Times New Roman"/>
            <w:sz w:val="24"/>
            <w:szCs w:val="28"/>
          </w:rPr>
          <w:t>B</w:t>
        </w:r>
      </w:ins>
      <w:ins w:id="165" w:author="Any Authorised User" w:date="2021-03-25T18:16:00Z">
        <w:r w:rsidR="00E15FD9" w:rsidRPr="00B842FB">
          <w:rPr>
            <w:rFonts w:ascii="Times New Roman" w:hAnsi="Times New Roman"/>
            <w:sz w:val="24"/>
            <w:szCs w:val="28"/>
          </w:rPr>
          <w:t xml:space="preserve">) no longer provided. </w:t>
        </w:r>
      </w:ins>
    </w:p>
    <w:p w14:paraId="78C16178" w14:textId="16BC9955" w:rsidR="00B92B5B" w:rsidRDefault="00380742" w:rsidP="00061059">
      <w:pPr>
        <w:pStyle w:val="Body"/>
        <w:ind w:left="1276"/>
        <w:rPr>
          <w:ins w:id="166" w:author="Any Authorised User" w:date="2021-05-13T15:37:00Z"/>
          <w:rFonts w:ascii="Times New Roman" w:hAnsi="Times New Roman"/>
          <w:sz w:val="24"/>
          <w:szCs w:val="28"/>
        </w:rPr>
      </w:pPr>
      <w:ins w:id="167" w:author="Any Authorised User" w:date="2021-03-25T18:35:00Z">
        <w:r>
          <w:rPr>
            <w:rFonts w:ascii="Times New Roman" w:hAnsi="Times New Roman"/>
            <w:sz w:val="24"/>
            <w:szCs w:val="28"/>
          </w:rPr>
          <w:t>“</w:t>
        </w:r>
      </w:ins>
      <w:ins w:id="168" w:author="Any Authorised User" w:date="2021-03-25T17:38:00Z">
        <w:r>
          <w:rPr>
            <w:rFonts w:ascii="Times New Roman" w:hAnsi="Times New Roman"/>
            <w:sz w:val="24"/>
            <w:szCs w:val="28"/>
          </w:rPr>
          <w:t>Applicable Published ISR Fallback Rate</w:t>
        </w:r>
      </w:ins>
      <w:ins w:id="169" w:author="Any Authorised User" w:date="2021-03-25T18:35:00Z">
        <w:r>
          <w:rPr>
            <w:rFonts w:ascii="Times New Roman" w:hAnsi="Times New Roman"/>
            <w:sz w:val="24"/>
            <w:szCs w:val="28"/>
          </w:rPr>
          <w:t xml:space="preserve">” </w:t>
        </w:r>
      </w:ins>
      <w:ins w:id="170" w:author="Any Authorised User" w:date="2021-03-25T18:34:00Z">
        <w:r>
          <w:rPr>
            <w:rFonts w:ascii="Times New Roman" w:hAnsi="Times New Roman"/>
            <w:sz w:val="24"/>
            <w:szCs w:val="28"/>
          </w:rPr>
          <w:t>means</w:t>
        </w:r>
      </w:ins>
      <w:ins w:id="171" w:author="Any Authorised User" w:date="2021-05-13T15:38:00Z">
        <w:r w:rsidR="00B92B5B" w:rsidRPr="00B92B5B">
          <w:rPr>
            <w:rFonts w:ascii="Times New Roman" w:hAnsi="Times New Roman"/>
            <w:sz w:val="24"/>
            <w:szCs w:val="28"/>
          </w:rPr>
          <w:t xml:space="preserve"> </w:t>
        </w:r>
        <w:r w:rsidR="00B92B5B">
          <w:rPr>
            <w:rFonts w:ascii="Times New Roman" w:hAnsi="Times New Roman"/>
            <w:sz w:val="24"/>
            <w:szCs w:val="28"/>
          </w:rPr>
          <w:t>if the currency in which the Relevant Swap Transaction is denominated is</w:t>
        </w:r>
      </w:ins>
      <w:ins w:id="172" w:author="Any Authorised User" w:date="2021-05-13T15:37:00Z">
        <w:r w:rsidR="00B92B5B">
          <w:rPr>
            <w:rFonts w:ascii="Times New Roman" w:hAnsi="Times New Roman"/>
            <w:sz w:val="24"/>
            <w:szCs w:val="28"/>
          </w:rPr>
          <w:t>:</w:t>
        </w:r>
      </w:ins>
    </w:p>
    <w:p w14:paraId="0C071312" w14:textId="77628CA9" w:rsidR="00380742" w:rsidRDefault="00924593" w:rsidP="00B92B5B">
      <w:pPr>
        <w:pStyle w:val="Body"/>
        <w:numPr>
          <w:ilvl w:val="0"/>
          <w:numId w:val="70"/>
        </w:numPr>
        <w:rPr>
          <w:ins w:id="173" w:author="Any Authorised User" w:date="2021-05-13T15:37:00Z"/>
          <w:rFonts w:ascii="Times New Roman" w:hAnsi="Times New Roman"/>
          <w:sz w:val="24"/>
          <w:szCs w:val="28"/>
        </w:rPr>
      </w:pPr>
      <w:ins w:id="174" w:author="Any Authorised User" w:date="2021-03-29T11:52:00Z">
        <w:r>
          <w:rPr>
            <w:rFonts w:ascii="Times New Roman" w:hAnsi="Times New Roman"/>
            <w:sz w:val="24"/>
            <w:szCs w:val="28"/>
          </w:rPr>
          <w:t>S</w:t>
        </w:r>
      </w:ins>
      <w:ins w:id="175" w:author="Any Authorised User" w:date="2021-03-25T18:34:00Z">
        <w:r w:rsidR="00380742">
          <w:rPr>
            <w:rFonts w:ascii="Times New Roman" w:hAnsi="Times New Roman"/>
            <w:sz w:val="24"/>
            <w:szCs w:val="28"/>
          </w:rPr>
          <w:t>terling</w:t>
        </w:r>
      </w:ins>
      <w:ins w:id="176" w:author="Any Authorised User" w:date="2021-03-25T18:35:00Z">
        <w:r w:rsidR="00380742">
          <w:rPr>
            <w:rFonts w:ascii="Times New Roman" w:hAnsi="Times New Roman"/>
            <w:sz w:val="24"/>
            <w:szCs w:val="28"/>
          </w:rPr>
          <w:t xml:space="preserve">, </w:t>
        </w:r>
        <w:r w:rsidR="00380742" w:rsidRPr="001F3CA5">
          <w:rPr>
            <w:rFonts w:ascii="Times New Roman" w:hAnsi="Times New Roman"/>
            <w:sz w:val="24"/>
            <w:szCs w:val="28"/>
          </w:rPr>
          <w:t xml:space="preserve">the </w:t>
        </w:r>
      </w:ins>
      <w:ins w:id="177" w:author="Any Authorised User" w:date="2021-03-25T18:38:00Z">
        <w:r w:rsidR="00380742">
          <w:rPr>
            <w:rFonts w:ascii="Times New Roman" w:hAnsi="Times New Roman"/>
            <w:sz w:val="24"/>
            <w:szCs w:val="28"/>
          </w:rPr>
          <w:t>Published GBP ISR Fallback Rate</w:t>
        </w:r>
      </w:ins>
      <w:ins w:id="178" w:author="Any Authorised User" w:date="2021-05-13T15:37:00Z">
        <w:r w:rsidR="00B92B5B">
          <w:rPr>
            <w:rFonts w:ascii="Times New Roman" w:hAnsi="Times New Roman"/>
            <w:sz w:val="24"/>
            <w:szCs w:val="28"/>
          </w:rPr>
          <w:t>; and</w:t>
        </w:r>
      </w:ins>
    </w:p>
    <w:p w14:paraId="4555D3A1" w14:textId="339E658D" w:rsidR="00B92B5B" w:rsidRPr="00B92B5B" w:rsidRDefault="00B92B5B" w:rsidP="00B92B5B">
      <w:pPr>
        <w:pStyle w:val="Body"/>
        <w:numPr>
          <w:ilvl w:val="0"/>
          <w:numId w:val="70"/>
        </w:numPr>
        <w:rPr>
          <w:ins w:id="179" w:author="Any Authorised User" w:date="2021-03-25T18:38:00Z"/>
          <w:rFonts w:ascii="Times New Roman" w:hAnsi="Times New Roman"/>
          <w:sz w:val="24"/>
          <w:szCs w:val="28"/>
        </w:rPr>
      </w:pPr>
      <w:ins w:id="180" w:author="Any Authorised User" w:date="2021-05-13T15:37:00Z">
        <w:r w:rsidRPr="00B92B5B">
          <w:rPr>
            <w:rFonts w:ascii="Times New Roman" w:hAnsi="Times New Roman"/>
            <w:sz w:val="24"/>
            <w:szCs w:val="28"/>
          </w:rPr>
          <w:t xml:space="preserve">U.S. Dollar, the Published USD ISR Fallback Rate. </w:t>
        </w:r>
      </w:ins>
    </w:p>
    <w:p w14:paraId="6202AEAC" w14:textId="77777777" w:rsidR="00B92B5B" w:rsidRDefault="00380742" w:rsidP="00061059">
      <w:pPr>
        <w:pStyle w:val="Body"/>
        <w:ind w:left="1276"/>
        <w:rPr>
          <w:ins w:id="181" w:author="Any Authorised User" w:date="2021-05-13T15:39:00Z"/>
          <w:rFonts w:ascii="Times New Roman" w:hAnsi="Times New Roman"/>
          <w:sz w:val="24"/>
          <w:szCs w:val="28"/>
        </w:rPr>
      </w:pPr>
      <w:ins w:id="182" w:author="Any Authorised User" w:date="2021-03-25T18:27:00Z">
        <w:r>
          <w:rPr>
            <w:rFonts w:ascii="Times New Roman" w:hAnsi="Times New Roman"/>
            <w:sz w:val="24"/>
            <w:szCs w:val="28"/>
          </w:rPr>
          <w:t>“</w:t>
        </w:r>
      </w:ins>
      <w:ins w:id="183" w:author="Any Authorised User" w:date="2021-03-25T17:55:00Z">
        <w:r>
          <w:rPr>
            <w:rFonts w:ascii="Times New Roman" w:hAnsi="Times New Roman"/>
            <w:sz w:val="24"/>
            <w:szCs w:val="28"/>
          </w:rPr>
          <w:t>Applicable RFR ICE Swap Rate</w:t>
        </w:r>
      </w:ins>
      <w:ins w:id="184" w:author="Any Authorised User" w:date="2021-03-25T18:27:00Z">
        <w:r>
          <w:rPr>
            <w:rFonts w:ascii="Times New Roman" w:hAnsi="Times New Roman"/>
            <w:sz w:val="24"/>
            <w:szCs w:val="28"/>
          </w:rPr>
          <w:t>” means, if the currency in which the Relevant Swap Transaction is denominated is</w:t>
        </w:r>
      </w:ins>
      <w:ins w:id="185" w:author="Any Authorised User" w:date="2021-05-13T15:39:00Z">
        <w:r w:rsidR="00B92B5B">
          <w:rPr>
            <w:rFonts w:ascii="Times New Roman" w:hAnsi="Times New Roman"/>
            <w:sz w:val="24"/>
            <w:szCs w:val="28"/>
          </w:rPr>
          <w:t>:</w:t>
        </w:r>
      </w:ins>
    </w:p>
    <w:p w14:paraId="42CD49AC" w14:textId="77777777" w:rsidR="00B92B5B" w:rsidRDefault="00924593" w:rsidP="00B92B5B">
      <w:pPr>
        <w:pStyle w:val="Body"/>
        <w:numPr>
          <w:ilvl w:val="0"/>
          <w:numId w:val="71"/>
        </w:numPr>
        <w:rPr>
          <w:ins w:id="186" w:author="Any Authorised User" w:date="2021-05-13T15:39:00Z"/>
          <w:rFonts w:ascii="Times New Roman" w:hAnsi="Times New Roman"/>
          <w:sz w:val="24"/>
          <w:szCs w:val="28"/>
        </w:rPr>
      </w:pPr>
      <w:ins w:id="187" w:author="Any Authorised User" w:date="2021-03-29T11:52:00Z">
        <w:r>
          <w:rPr>
            <w:rFonts w:ascii="Times New Roman" w:hAnsi="Times New Roman"/>
            <w:sz w:val="24"/>
            <w:szCs w:val="28"/>
          </w:rPr>
          <w:t>S</w:t>
        </w:r>
      </w:ins>
      <w:ins w:id="188" w:author="Any Authorised User" w:date="2021-03-25T18:27:00Z">
        <w:r w:rsidR="00380742">
          <w:rPr>
            <w:rFonts w:ascii="Times New Roman" w:hAnsi="Times New Roman"/>
            <w:sz w:val="24"/>
            <w:szCs w:val="28"/>
          </w:rPr>
          <w:t>terling</w:t>
        </w:r>
      </w:ins>
      <w:ins w:id="189" w:author="Any Authorised User" w:date="2021-03-25T18:28:00Z">
        <w:r w:rsidR="00380742">
          <w:rPr>
            <w:rFonts w:ascii="Times New Roman" w:hAnsi="Times New Roman"/>
            <w:sz w:val="24"/>
            <w:szCs w:val="28"/>
          </w:rPr>
          <w:t>, the GBP SONIA ICE Swap Rate</w:t>
        </w:r>
      </w:ins>
      <w:ins w:id="190" w:author="Any Authorised User" w:date="2021-05-13T15:39:00Z">
        <w:r w:rsidR="00B92B5B">
          <w:rPr>
            <w:rFonts w:ascii="Times New Roman" w:hAnsi="Times New Roman"/>
            <w:sz w:val="24"/>
            <w:szCs w:val="28"/>
          </w:rPr>
          <w:t>; and</w:t>
        </w:r>
      </w:ins>
    </w:p>
    <w:p w14:paraId="733AA36A" w14:textId="2403B71A" w:rsidR="00380742" w:rsidRDefault="00B92B5B" w:rsidP="00B92B5B">
      <w:pPr>
        <w:pStyle w:val="Body"/>
        <w:numPr>
          <w:ilvl w:val="0"/>
          <w:numId w:val="71"/>
        </w:numPr>
        <w:rPr>
          <w:rFonts w:ascii="Times New Roman" w:hAnsi="Times New Roman"/>
          <w:sz w:val="24"/>
          <w:szCs w:val="28"/>
        </w:rPr>
      </w:pPr>
      <w:ins w:id="191" w:author="Any Authorised User" w:date="2021-05-13T15:39:00Z">
        <w:r>
          <w:rPr>
            <w:rFonts w:ascii="Times New Roman" w:hAnsi="Times New Roman"/>
            <w:sz w:val="24"/>
            <w:szCs w:val="28"/>
          </w:rPr>
          <w:t xml:space="preserve">U.S. Dollar, the USD </w:t>
        </w:r>
      </w:ins>
      <w:ins w:id="192" w:author="Any Authorised User" w:date="2021-05-13T15:40:00Z">
        <w:r>
          <w:rPr>
            <w:rFonts w:ascii="Times New Roman" w:hAnsi="Times New Roman"/>
            <w:sz w:val="24"/>
            <w:szCs w:val="28"/>
          </w:rPr>
          <w:t>SOFR ICE Swap Rate</w:t>
        </w:r>
      </w:ins>
      <w:ins w:id="193" w:author="Any Authorised User" w:date="2021-03-25T18:28:00Z">
        <w:r w:rsidR="00380742">
          <w:rPr>
            <w:rFonts w:ascii="Times New Roman" w:hAnsi="Times New Roman"/>
            <w:sz w:val="24"/>
            <w:szCs w:val="28"/>
          </w:rPr>
          <w:t>.</w:t>
        </w:r>
      </w:ins>
    </w:p>
    <w:p w14:paraId="0EC612F2" w14:textId="77777777" w:rsidR="00B92B5B" w:rsidRDefault="00940095" w:rsidP="00061059">
      <w:pPr>
        <w:pStyle w:val="Body"/>
        <w:ind w:left="1276"/>
        <w:rPr>
          <w:ins w:id="194" w:author="Any Authorised User" w:date="2021-05-13T15:40:00Z"/>
          <w:rFonts w:ascii="Times New Roman" w:hAnsi="Times New Roman"/>
          <w:sz w:val="24"/>
          <w:szCs w:val="28"/>
        </w:rPr>
      </w:pPr>
      <w:ins w:id="195" w:author="Any Authorised User" w:date="2021-03-25T17:30:00Z">
        <w:r>
          <w:rPr>
            <w:rFonts w:ascii="Times New Roman" w:hAnsi="Times New Roman"/>
            <w:sz w:val="24"/>
            <w:szCs w:val="28"/>
          </w:rPr>
          <w:t>“Applicable Tenor” means</w:t>
        </w:r>
      </w:ins>
      <w:ins w:id="196" w:author="Any Authorised User" w:date="2021-03-25T18:01:00Z">
        <w:r w:rsidR="00F36303">
          <w:rPr>
            <w:rFonts w:ascii="Times New Roman" w:hAnsi="Times New Roman"/>
            <w:sz w:val="24"/>
            <w:szCs w:val="28"/>
          </w:rPr>
          <w:t xml:space="preserve">, </w:t>
        </w:r>
      </w:ins>
      <w:ins w:id="197" w:author="Any Authorised User" w:date="2021-03-25T18:14:00Z">
        <w:r w:rsidR="00E15FD9">
          <w:rPr>
            <w:rFonts w:ascii="Times New Roman" w:hAnsi="Times New Roman"/>
            <w:sz w:val="24"/>
            <w:szCs w:val="28"/>
          </w:rPr>
          <w:t>if the c</w:t>
        </w:r>
      </w:ins>
      <w:ins w:id="198" w:author="Any Authorised User" w:date="2021-03-25T18:15:00Z">
        <w:r w:rsidR="00E15FD9">
          <w:rPr>
            <w:rFonts w:ascii="Times New Roman" w:hAnsi="Times New Roman"/>
            <w:sz w:val="24"/>
            <w:szCs w:val="28"/>
          </w:rPr>
          <w:t>urrency in which the Relevant Swap Transaction is denominated is</w:t>
        </w:r>
      </w:ins>
      <w:ins w:id="199" w:author="Any Authorised User" w:date="2021-05-13T15:40:00Z">
        <w:r w:rsidR="00B92B5B">
          <w:rPr>
            <w:rFonts w:ascii="Times New Roman" w:hAnsi="Times New Roman"/>
            <w:sz w:val="24"/>
            <w:szCs w:val="28"/>
          </w:rPr>
          <w:t>:</w:t>
        </w:r>
      </w:ins>
    </w:p>
    <w:p w14:paraId="5CC05BAB" w14:textId="77777777" w:rsidR="00B92B5B" w:rsidRDefault="00924593" w:rsidP="00B92B5B">
      <w:pPr>
        <w:pStyle w:val="Body"/>
        <w:numPr>
          <w:ilvl w:val="0"/>
          <w:numId w:val="72"/>
        </w:numPr>
        <w:rPr>
          <w:ins w:id="200" w:author="Any Authorised User" w:date="2021-05-13T15:40:00Z"/>
          <w:rFonts w:ascii="Times New Roman" w:hAnsi="Times New Roman"/>
          <w:sz w:val="24"/>
          <w:szCs w:val="28"/>
        </w:rPr>
      </w:pPr>
      <w:ins w:id="201" w:author="Any Authorised User" w:date="2021-03-29T11:52:00Z">
        <w:r>
          <w:rPr>
            <w:rFonts w:ascii="Times New Roman" w:hAnsi="Times New Roman"/>
            <w:sz w:val="24"/>
            <w:szCs w:val="28"/>
          </w:rPr>
          <w:t>S</w:t>
        </w:r>
      </w:ins>
      <w:ins w:id="202" w:author="Any Authorised User" w:date="2021-03-25T18:15:00Z">
        <w:r w:rsidR="00E15FD9">
          <w:rPr>
            <w:rFonts w:ascii="Times New Roman" w:hAnsi="Times New Roman"/>
            <w:sz w:val="24"/>
            <w:szCs w:val="28"/>
          </w:rPr>
          <w:t>terling</w:t>
        </w:r>
      </w:ins>
      <w:ins w:id="203" w:author="Any Authorised User" w:date="2021-03-25T18:17:00Z">
        <w:r w:rsidR="00E15FD9">
          <w:rPr>
            <w:rFonts w:ascii="Times New Roman" w:hAnsi="Times New Roman"/>
            <w:sz w:val="24"/>
            <w:szCs w:val="28"/>
          </w:rPr>
          <w:t>, the Applicable GBP Tenor</w:t>
        </w:r>
      </w:ins>
      <w:ins w:id="204" w:author="Any Authorised User" w:date="2021-05-13T15:40:00Z">
        <w:r w:rsidR="00B92B5B">
          <w:rPr>
            <w:rFonts w:ascii="Times New Roman" w:hAnsi="Times New Roman"/>
            <w:sz w:val="24"/>
            <w:szCs w:val="28"/>
          </w:rPr>
          <w:t>; and</w:t>
        </w:r>
      </w:ins>
    </w:p>
    <w:p w14:paraId="67BAD828" w14:textId="16D49349" w:rsidR="00E15FD9" w:rsidRDefault="00B92B5B" w:rsidP="00B92B5B">
      <w:pPr>
        <w:pStyle w:val="Body"/>
        <w:numPr>
          <w:ilvl w:val="0"/>
          <w:numId w:val="72"/>
        </w:numPr>
        <w:rPr>
          <w:ins w:id="205" w:author="Any Authorised User" w:date="2021-05-13T15:45:00Z"/>
          <w:rFonts w:ascii="Times New Roman" w:hAnsi="Times New Roman"/>
          <w:sz w:val="24"/>
          <w:szCs w:val="28"/>
        </w:rPr>
      </w:pPr>
      <w:ins w:id="206" w:author="Any Authorised User" w:date="2021-05-13T15:40:00Z">
        <w:r>
          <w:rPr>
            <w:rFonts w:ascii="Times New Roman" w:hAnsi="Times New Roman"/>
            <w:sz w:val="24"/>
            <w:szCs w:val="28"/>
          </w:rPr>
          <w:t>U.S. Dollar, the App</w:t>
        </w:r>
      </w:ins>
      <w:ins w:id="207" w:author="Any Authorised User" w:date="2021-05-13T15:41:00Z">
        <w:r>
          <w:rPr>
            <w:rFonts w:ascii="Times New Roman" w:hAnsi="Times New Roman"/>
            <w:sz w:val="24"/>
            <w:szCs w:val="28"/>
          </w:rPr>
          <w:t>licable USD Tenor</w:t>
        </w:r>
      </w:ins>
      <w:ins w:id="208" w:author="Any Authorised User" w:date="2021-03-25T18:17:00Z">
        <w:r w:rsidR="00E15FD9">
          <w:rPr>
            <w:rFonts w:ascii="Times New Roman" w:hAnsi="Times New Roman"/>
            <w:sz w:val="24"/>
            <w:szCs w:val="28"/>
          </w:rPr>
          <w:t>.</w:t>
        </w:r>
      </w:ins>
    </w:p>
    <w:p w14:paraId="74231E66" w14:textId="0FDD67E4" w:rsidR="00B92B5B" w:rsidRPr="00B92B5B" w:rsidRDefault="00B92B5B" w:rsidP="00B92B5B">
      <w:pPr>
        <w:pStyle w:val="Body"/>
        <w:ind w:left="1276"/>
        <w:rPr>
          <w:ins w:id="209" w:author="Any Authorised User" w:date="2021-03-25T18:17:00Z"/>
          <w:rFonts w:ascii="Times New Roman" w:hAnsi="Times New Roman"/>
          <w:sz w:val="24"/>
          <w:szCs w:val="28"/>
        </w:rPr>
      </w:pPr>
      <w:ins w:id="210" w:author="Any Authorised User" w:date="2021-05-13T15:45:00Z">
        <w:r>
          <w:rPr>
            <w:rFonts w:ascii="Times New Roman" w:hAnsi="Times New Roman"/>
            <w:sz w:val="24"/>
            <w:szCs w:val="28"/>
          </w:rPr>
          <w:t xml:space="preserve">“Applicable USD Tenor” means, in respect of </w:t>
        </w:r>
      </w:ins>
      <w:ins w:id="211" w:author="Any Authorised User" w:date="2021-05-13T15:46:00Z">
        <w:r>
          <w:rPr>
            <w:rFonts w:ascii="Times New Roman" w:hAnsi="Times New Roman"/>
            <w:sz w:val="24"/>
            <w:szCs w:val="28"/>
          </w:rPr>
          <w:t>USD</w:t>
        </w:r>
      </w:ins>
      <w:ins w:id="212" w:author="Any Authorised User" w:date="2021-05-13T15:45:00Z">
        <w:r>
          <w:rPr>
            <w:rFonts w:ascii="Times New Roman" w:hAnsi="Times New Roman"/>
            <w:sz w:val="24"/>
            <w:szCs w:val="28"/>
          </w:rPr>
          <w:t xml:space="preserve"> LIBOR, three months</w:t>
        </w:r>
      </w:ins>
      <w:ins w:id="213" w:author="Any Authorised User" w:date="2021-05-13T15:46:00Z">
        <w:r>
          <w:rPr>
            <w:rFonts w:ascii="Times New Roman" w:hAnsi="Times New Roman"/>
            <w:sz w:val="24"/>
            <w:szCs w:val="28"/>
          </w:rPr>
          <w:t xml:space="preserve"> </w:t>
        </w:r>
      </w:ins>
      <w:ins w:id="214" w:author="Any Authorised User" w:date="2021-05-13T15:45:00Z">
        <w:r>
          <w:rPr>
            <w:rFonts w:ascii="Times New Roman" w:hAnsi="Times New Roman"/>
            <w:sz w:val="24"/>
            <w:szCs w:val="28"/>
          </w:rPr>
          <w:t>or</w:t>
        </w:r>
      </w:ins>
      <w:ins w:id="215" w:author="Any Authorised User" w:date="2021-05-13T15:46:00Z">
        <w:r>
          <w:rPr>
            <w:rFonts w:ascii="Times New Roman" w:hAnsi="Times New Roman"/>
            <w:sz w:val="24"/>
            <w:szCs w:val="28"/>
          </w:rPr>
          <w:t xml:space="preserve"> </w:t>
        </w:r>
      </w:ins>
      <w:ins w:id="216" w:author="Any Authorised User" w:date="2021-05-13T15:45:00Z">
        <w:r w:rsidRPr="00F36303">
          <w:rPr>
            <w:rFonts w:ascii="Times New Roman" w:hAnsi="Times New Roman"/>
            <w:sz w:val="24"/>
            <w:szCs w:val="28"/>
          </w:rPr>
          <w:t xml:space="preserve">any tenor of </w:t>
        </w:r>
      </w:ins>
      <w:ins w:id="217" w:author="Any Authorised User" w:date="2021-05-13T15:46:00Z">
        <w:r>
          <w:rPr>
            <w:rFonts w:ascii="Times New Roman" w:hAnsi="Times New Roman"/>
            <w:sz w:val="24"/>
            <w:szCs w:val="28"/>
          </w:rPr>
          <w:t>USD</w:t>
        </w:r>
      </w:ins>
      <w:ins w:id="218" w:author="Any Authorised User" w:date="2021-05-13T15:45:00Z">
        <w:r w:rsidRPr="00F36303">
          <w:rPr>
            <w:rFonts w:ascii="Times New Roman" w:hAnsi="Times New Roman"/>
            <w:sz w:val="24"/>
            <w:szCs w:val="28"/>
          </w:rPr>
          <w:t xml:space="preserve"> LIBOR which is referenced in fixed-for-floating </w:t>
        </w:r>
      </w:ins>
      <w:ins w:id="219" w:author="Any Authorised User" w:date="2021-05-13T15:47:00Z">
        <w:r>
          <w:rPr>
            <w:rFonts w:ascii="Times New Roman" w:hAnsi="Times New Roman"/>
            <w:sz w:val="24"/>
            <w:szCs w:val="28"/>
          </w:rPr>
          <w:t>U.S. Dollar</w:t>
        </w:r>
      </w:ins>
      <w:ins w:id="220" w:author="Any Authorised User" w:date="2021-05-13T15:45:00Z">
        <w:r w:rsidRPr="00F36303">
          <w:rPr>
            <w:rFonts w:ascii="Times New Roman" w:hAnsi="Times New Roman"/>
            <w:sz w:val="24"/>
            <w:szCs w:val="28"/>
          </w:rPr>
          <w:t xml:space="preserve"> swap transactions on which the </w:t>
        </w:r>
      </w:ins>
      <w:ins w:id="221" w:author="Any Authorised User" w:date="2021-05-13T15:47:00Z">
        <w:r>
          <w:rPr>
            <w:rFonts w:ascii="Times New Roman" w:hAnsi="Times New Roman"/>
            <w:sz w:val="24"/>
            <w:szCs w:val="28"/>
          </w:rPr>
          <w:t>USD</w:t>
        </w:r>
      </w:ins>
      <w:ins w:id="222" w:author="Any Authorised User" w:date="2021-05-13T15:45:00Z">
        <w:r w:rsidRPr="00F36303">
          <w:rPr>
            <w:rFonts w:ascii="Times New Roman" w:hAnsi="Times New Roman"/>
            <w:sz w:val="24"/>
            <w:szCs w:val="28"/>
          </w:rPr>
          <w:t xml:space="preserve"> LIBOR ICE Swap Rate with a maturity of </w:t>
        </w:r>
        <w:r>
          <w:rPr>
            <w:rFonts w:ascii="Times New Roman" w:hAnsi="Times New Roman"/>
            <w:sz w:val="24"/>
            <w:szCs w:val="28"/>
          </w:rPr>
          <w:t xml:space="preserve">the </w:t>
        </w:r>
        <w:r w:rsidRPr="008B44E2">
          <w:rPr>
            <w:rFonts w:ascii="Times New Roman" w:hAnsi="Times New Roman"/>
            <w:sz w:val="24"/>
            <w:szCs w:val="28"/>
          </w:rPr>
          <w:t>period equivalent to the remaining Term of the Relevant Swap Transaction</w:t>
        </w:r>
        <w:r w:rsidRPr="00F36303">
          <w:rPr>
            <w:rFonts w:ascii="Times New Roman" w:hAnsi="Times New Roman"/>
            <w:sz w:val="24"/>
            <w:szCs w:val="28"/>
          </w:rPr>
          <w:t xml:space="preserve"> is based; </w:t>
        </w:r>
        <w:r w:rsidRPr="00F36303">
          <w:rPr>
            <w:rFonts w:ascii="Times New Roman" w:hAnsi="Times New Roman"/>
            <w:b/>
            <w:bCs/>
            <w:i/>
            <w:iCs/>
            <w:sz w:val="24"/>
            <w:szCs w:val="28"/>
          </w:rPr>
          <w:t xml:space="preserve"> </w:t>
        </w:r>
      </w:ins>
    </w:p>
    <w:p w14:paraId="74EE79BD" w14:textId="61F096DC" w:rsidR="00380742" w:rsidRDefault="00380742" w:rsidP="00061059">
      <w:pPr>
        <w:pStyle w:val="Body"/>
        <w:ind w:left="1276"/>
        <w:rPr>
          <w:ins w:id="223" w:author="Any Authorised User" w:date="2021-03-25T18:07:00Z"/>
          <w:rFonts w:ascii="Times New Roman" w:hAnsi="Times New Roman"/>
          <w:sz w:val="24"/>
          <w:szCs w:val="28"/>
        </w:rPr>
      </w:pPr>
      <w:ins w:id="224" w:author="Any Authorised User" w:date="2021-03-25T18:36:00Z">
        <w:r>
          <w:rPr>
            <w:rFonts w:ascii="Times New Roman" w:hAnsi="Times New Roman"/>
            <w:sz w:val="24"/>
            <w:szCs w:val="28"/>
          </w:rPr>
          <w:t>“</w:t>
        </w:r>
      </w:ins>
      <w:ins w:id="225" w:author="Any Authorised User" w:date="2021-03-25T18:38:00Z">
        <w:r>
          <w:rPr>
            <w:rFonts w:ascii="Times New Roman" w:hAnsi="Times New Roman"/>
            <w:sz w:val="24"/>
            <w:szCs w:val="28"/>
          </w:rPr>
          <w:t>Calculated</w:t>
        </w:r>
      </w:ins>
      <w:ins w:id="226" w:author="Any Authorised User" w:date="2021-03-25T18:36:00Z">
        <w:r>
          <w:rPr>
            <w:rFonts w:ascii="Times New Roman" w:hAnsi="Times New Roman"/>
            <w:sz w:val="24"/>
            <w:szCs w:val="28"/>
          </w:rPr>
          <w:t xml:space="preserve"> GBP ISR Fallback Rate” means the </w:t>
        </w:r>
      </w:ins>
      <w:ins w:id="227" w:author="Any Authorised User" w:date="2021-03-25T18:06:00Z">
        <w:r>
          <w:rPr>
            <w:rFonts w:ascii="Times New Roman" w:hAnsi="Times New Roman"/>
            <w:sz w:val="24"/>
            <w:szCs w:val="28"/>
          </w:rPr>
          <w:t xml:space="preserve">rate calculated as follows, and the </w:t>
        </w:r>
        <w:r w:rsidRPr="00F36303">
          <w:rPr>
            <w:rFonts w:ascii="Times New Roman" w:hAnsi="Times New Roman"/>
            <w:sz w:val="24"/>
            <w:szCs w:val="28"/>
          </w:rPr>
          <w:t>resulting percentage will be rounded, if necessary, in accordance with the method set forth in Section 8.1(a)</w:t>
        </w:r>
      </w:ins>
      <w:ins w:id="228" w:author="Any Authorised User" w:date="2021-04-30T19:13:00Z">
        <w:r w:rsidR="005C0101">
          <w:rPr>
            <w:rFonts w:ascii="Times New Roman" w:hAnsi="Times New Roman"/>
            <w:sz w:val="24"/>
            <w:szCs w:val="28"/>
          </w:rPr>
          <w:t>, but to the nearest one ten-thousandth of a percentage point (0.0001%)</w:t>
        </w:r>
      </w:ins>
      <w:ins w:id="229" w:author="Any Authorised User" w:date="2021-03-25T18:07:00Z">
        <w:r>
          <w:rPr>
            <w:rFonts w:ascii="Times New Roman" w:hAnsi="Times New Roman"/>
            <w:sz w:val="24"/>
            <w:szCs w:val="28"/>
          </w:rPr>
          <w:t>:</w:t>
        </w:r>
      </w:ins>
      <w:ins w:id="230" w:author="Any Authorised User" w:date="2021-03-25T18:09:00Z">
        <w:r>
          <w:rPr>
            <w:rFonts w:ascii="Times New Roman" w:hAnsi="Times New Roman"/>
            <w:sz w:val="24"/>
            <w:szCs w:val="28"/>
          </w:rPr>
          <w:t xml:space="preserve"> </w:t>
        </w:r>
      </w:ins>
    </w:p>
    <w:p w14:paraId="7BC1325B" w14:textId="77777777" w:rsidR="00380742" w:rsidRDefault="00380742" w:rsidP="00061059">
      <w:pPr>
        <w:pStyle w:val="Body"/>
        <w:numPr>
          <w:ilvl w:val="0"/>
          <w:numId w:val="61"/>
        </w:numPr>
        <w:ind w:left="1985" w:hanging="709"/>
        <w:rPr>
          <w:ins w:id="231" w:author="Any Authorised User" w:date="2021-03-25T18:08:00Z"/>
          <w:rFonts w:ascii="Times New Roman" w:hAnsi="Times New Roman"/>
          <w:sz w:val="24"/>
          <w:szCs w:val="28"/>
        </w:rPr>
      </w:pPr>
      <w:ins w:id="232" w:author="Any Authorised User" w:date="2021-03-25T18:07:00Z">
        <w:r>
          <w:rPr>
            <w:rFonts w:ascii="Times New Roman" w:hAnsi="Times New Roman"/>
            <w:sz w:val="24"/>
            <w:szCs w:val="28"/>
          </w:rPr>
          <w:t xml:space="preserve">if the </w:t>
        </w:r>
      </w:ins>
      <w:ins w:id="233" w:author="Any Authorised User" w:date="2021-03-25T18:08:00Z">
        <w:r w:rsidRPr="008B44E2">
          <w:rPr>
            <w:rFonts w:ascii="Times New Roman" w:hAnsi="Times New Roman"/>
            <w:sz w:val="24"/>
            <w:szCs w:val="28"/>
          </w:rPr>
          <w:t>remaining Term of the Relevant Swap Transaction</w:t>
        </w:r>
        <w:r>
          <w:rPr>
            <w:rFonts w:ascii="Times New Roman" w:hAnsi="Times New Roman"/>
            <w:sz w:val="24"/>
            <w:szCs w:val="28"/>
          </w:rPr>
          <w:t xml:space="preserve"> is equal to one year:</w:t>
        </w:r>
      </w:ins>
    </w:p>
    <w:p w14:paraId="3DB5C013" w14:textId="4C7DB50D" w:rsidR="00380742" w:rsidRPr="00E15FD9" w:rsidRDefault="00CF0A04" w:rsidP="00061059">
      <w:pPr>
        <w:pStyle w:val="Body"/>
        <w:ind w:left="1985"/>
        <w:rPr>
          <w:ins w:id="234" w:author="Any Authorised User" w:date="2021-03-25T18:08:00Z"/>
          <w:rFonts w:ascii="Times New Roman" w:hAnsi="Times New Roman"/>
          <w:b/>
          <w:bCs/>
          <w:i/>
          <w:iCs/>
          <w:sz w:val="24"/>
          <w:szCs w:val="28"/>
        </w:rPr>
      </w:pPr>
      <m:oMath>
        <m:sSup>
          <m:sSupPr>
            <m:ctrlPr>
              <w:ins w:id="235" w:author="Any Authorised User" w:date="2021-05-12T16:41:00Z">
                <w:rPr>
                  <w:rFonts w:ascii="Cambria Math" w:hAnsi="Cambria Math"/>
                  <w:i/>
                  <w:sz w:val="24"/>
                  <w:szCs w:val="24"/>
                </w:rPr>
              </w:ins>
            </m:ctrlPr>
          </m:sSupPr>
          <m:e>
            <m:r>
              <w:ins w:id="236" w:author="Any Authorised User" w:date="2021-05-12T16:41:00Z">
                <w:rPr>
                  <w:rFonts w:ascii="Cambria Math" w:hAnsi="Cambria Math"/>
                  <w:sz w:val="24"/>
                  <w:szCs w:val="24"/>
                </w:rPr>
                <m:t>y</m:t>
              </w:ins>
            </m:r>
          </m:e>
          <m:sup>
            <m:r>
              <w:ins w:id="237" w:author="Any Authorised User" w:date="2021-05-12T16:41:00Z">
                <w:rPr>
                  <w:rFonts w:ascii="Cambria Math" w:hAnsi="Cambria Math"/>
                  <w:sz w:val="24"/>
                  <w:szCs w:val="24"/>
                </w:rPr>
                <m:t>L</m:t>
              </w:ins>
            </m:r>
          </m:sup>
        </m:sSup>
        <m:r>
          <w:ins w:id="238" w:author="Any Authorised User" w:date="2021-05-12T16:41:00Z">
            <w:rPr>
              <w:rFonts w:ascii="Cambria Math" w:hAnsi="Cambria Math"/>
              <w:sz w:val="24"/>
              <w:szCs w:val="24"/>
            </w:rPr>
            <m:t xml:space="preserve">= </m:t>
          </w:ins>
        </m:r>
        <m:d>
          <m:dPr>
            <m:begChr m:val="{"/>
            <m:endChr m:val=""/>
            <m:ctrlPr>
              <w:ins w:id="239" w:author="Any Authorised User" w:date="2021-05-12T16:41:00Z">
                <w:rPr>
                  <w:rFonts w:ascii="Cambria Math" w:hAnsi="Cambria Math"/>
                  <w:i/>
                  <w:sz w:val="24"/>
                  <w:szCs w:val="24"/>
                </w:rPr>
              </w:ins>
            </m:ctrlPr>
          </m:dPr>
          <m:e>
            <m:sSup>
              <m:sSupPr>
                <m:ctrlPr>
                  <w:ins w:id="240" w:author="Any Authorised User" w:date="2021-05-12T16:41:00Z">
                    <w:rPr>
                      <w:rFonts w:ascii="Cambria Math" w:hAnsi="Cambria Math"/>
                      <w:i/>
                      <w:sz w:val="24"/>
                      <w:szCs w:val="24"/>
                    </w:rPr>
                  </w:ins>
                </m:ctrlPr>
              </m:sSupPr>
              <m:e>
                <m:r>
                  <w:ins w:id="241" w:author="Any Authorised User" w:date="2021-05-12T16:41:00Z">
                    <w:rPr>
                      <w:rFonts w:ascii="Cambria Math" w:hAnsi="Cambria Math"/>
                      <w:sz w:val="24"/>
                      <w:szCs w:val="24"/>
                    </w:rPr>
                    <m:t>y</m:t>
                  </w:ins>
                </m:r>
              </m:e>
              <m:sup>
                <m:r>
                  <w:ins w:id="242" w:author="Any Authorised User" w:date="2021-05-12T16:41:00Z">
                    <w:rPr>
                      <w:rFonts w:ascii="Cambria Math" w:hAnsi="Cambria Math"/>
                      <w:sz w:val="24"/>
                      <w:szCs w:val="24"/>
                    </w:rPr>
                    <m:t>OIS</m:t>
                  </w:ins>
                </m:r>
              </m:sup>
            </m:sSup>
            <m:r>
              <w:ins w:id="243" w:author="Any Authorised User" w:date="2021-05-12T16:41:00Z">
                <w:rPr>
                  <w:rFonts w:ascii="Cambria Math" w:hAnsi="Cambria Math"/>
                  <w:sz w:val="24"/>
                  <w:szCs w:val="24"/>
                </w:rPr>
                <m:t>+</m:t>
              </w:ins>
            </m:r>
            <m:sSup>
              <m:sSupPr>
                <m:ctrlPr>
                  <w:ins w:id="244" w:author="Any Authorised User" w:date="2021-05-12T16:41:00Z">
                    <w:rPr>
                      <w:rFonts w:ascii="Cambria Math" w:hAnsi="Cambria Math"/>
                      <w:i/>
                      <w:sz w:val="24"/>
                      <w:szCs w:val="24"/>
                    </w:rPr>
                  </w:ins>
                </m:ctrlPr>
              </m:sSupPr>
              <m:e>
                <m:r>
                  <w:ins w:id="245" w:author="Any Authorised User" w:date="2021-05-12T16:41:00Z">
                    <w:rPr>
                      <w:rFonts w:ascii="Cambria Math" w:hAnsi="Cambria Math"/>
                      <w:sz w:val="24"/>
                      <w:szCs w:val="24"/>
                    </w:rPr>
                    <m:t>s</m:t>
                  </w:ins>
                </m:r>
              </m:e>
              <m:sup>
                <m:r>
                  <w:ins w:id="246" w:author="Any Authorised User" w:date="2021-05-12T16:41:00Z">
                    <w:rPr>
                      <w:rFonts w:ascii="Cambria Math" w:hAnsi="Cambria Math"/>
                      <w:sz w:val="24"/>
                      <w:szCs w:val="24"/>
                    </w:rPr>
                    <m:t>3M</m:t>
                  </w:ins>
                </m:r>
              </m:sup>
            </m:sSup>
            <m:f>
              <m:fPr>
                <m:ctrlPr>
                  <w:ins w:id="247" w:author="Any Authorised User" w:date="2021-05-12T16:41:00Z">
                    <w:rPr>
                      <w:rFonts w:ascii="Cambria Math" w:hAnsi="Cambria Math"/>
                      <w:i/>
                      <w:sz w:val="24"/>
                      <w:szCs w:val="24"/>
                    </w:rPr>
                  </w:ins>
                </m:ctrlPr>
              </m:fPr>
              <m:num>
                <m:d>
                  <m:dPr>
                    <m:ctrlPr>
                      <w:ins w:id="248" w:author="Any Authorised User" w:date="2021-05-12T16:41:00Z">
                        <w:rPr>
                          <w:rFonts w:ascii="Cambria Math" w:hAnsi="Cambria Math"/>
                          <w:i/>
                          <w:sz w:val="24"/>
                          <w:szCs w:val="24"/>
                        </w:rPr>
                      </w:ins>
                    </m:ctrlPr>
                  </m:dPr>
                  <m:e>
                    <m:sSup>
                      <m:sSupPr>
                        <m:ctrlPr>
                          <w:ins w:id="249" w:author="Any Authorised User" w:date="2021-05-12T16:41:00Z">
                            <w:rPr>
                              <w:rFonts w:ascii="Cambria Math" w:hAnsi="Cambria Math"/>
                              <w:i/>
                              <w:sz w:val="24"/>
                              <w:szCs w:val="24"/>
                            </w:rPr>
                          </w:ins>
                        </m:ctrlPr>
                      </m:sSupPr>
                      <m:e>
                        <m:d>
                          <m:dPr>
                            <m:ctrlPr>
                              <w:ins w:id="250" w:author="Any Authorised User" w:date="2021-05-12T16:41:00Z">
                                <w:rPr>
                                  <w:rFonts w:ascii="Cambria Math" w:hAnsi="Cambria Math"/>
                                  <w:i/>
                                  <w:sz w:val="24"/>
                                  <w:szCs w:val="24"/>
                                </w:rPr>
                              </w:ins>
                            </m:ctrlPr>
                          </m:dPr>
                          <m:e>
                            <m:r>
                              <w:ins w:id="251" w:author="Any Authorised User" w:date="2021-05-12T16:41:00Z">
                                <w:rPr>
                                  <w:rFonts w:ascii="Cambria Math" w:hAnsi="Cambria Math"/>
                                  <w:sz w:val="24"/>
                                  <w:szCs w:val="24"/>
                                </w:rPr>
                                <m:t>1+</m:t>
                              </w:ins>
                            </m:r>
                            <m:sSup>
                              <m:sSupPr>
                                <m:ctrlPr>
                                  <w:ins w:id="252" w:author="Any Authorised User" w:date="2021-05-12T16:41:00Z">
                                    <w:rPr>
                                      <w:rFonts w:ascii="Cambria Math" w:hAnsi="Cambria Math"/>
                                      <w:i/>
                                      <w:sz w:val="24"/>
                                      <w:szCs w:val="24"/>
                                    </w:rPr>
                                  </w:ins>
                                </m:ctrlPr>
                              </m:sSupPr>
                              <m:e>
                                <m:r>
                                  <w:ins w:id="253" w:author="Any Authorised User" w:date="2021-05-12T16:41:00Z">
                                    <w:rPr>
                                      <w:rFonts w:ascii="Cambria Math" w:hAnsi="Cambria Math"/>
                                      <w:sz w:val="24"/>
                                      <w:szCs w:val="24"/>
                                    </w:rPr>
                                    <m:t>y</m:t>
                                  </w:ins>
                                </m:r>
                              </m:e>
                              <m:sup>
                                <m:r>
                                  <w:ins w:id="254" w:author="Any Authorised User" w:date="2021-05-12T16:41:00Z">
                                    <w:rPr>
                                      <w:rFonts w:ascii="Cambria Math" w:hAnsi="Cambria Math"/>
                                      <w:sz w:val="24"/>
                                      <w:szCs w:val="24"/>
                                    </w:rPr>
                                    <m:t>OIS</m:t>
                                  </w:ins>
                                </m:r>
                              </m:sup>
                            </m:sSup>
                          </m:e>
                        </m:d>
                      </m:e>
                      <m:sup>
                        <m:f>
                          <m:fPr>
                            <m:ctrlPr>
                              <w:ins w:id="255" w:author="Any Authorised User" w:date="2021-05-12T16:41:00Z">
                                <w:rPr>
                                  <w:rFonts w:ascii="Cambria Math" w:hAnsi="Cambria Math"/>
                                  <w:i/>
                                  <w:sz w:val="24"/>
                                  <w:szCs w:val="24"/>
                                </w:rPr>
                              </w:ins>
                            </m:ctrlPr>
                          </m:fPr>
                          <m:num>
                            <m:r>
                              <w:ins w:id="256" w:author="Any Authorised User" w:date="2021-05-12T16:41:00Z">
                                <w:rPr>
                                  <w:rFonts w:ascii="Cambria Math" w:hAnsi="Cambria Math"/>
                                  <w:sz w:val="24"/>
                                  <w:szCs w:val="24"/>
                                </w:rPr>
                                <m:t>1</m:t>
                              </w:ins>
                            </m:r>
                          </m:num>
                          <m:den>
                            <m:r>
                              <w:ins w:id="257" w:author="Any Authorised User" w:date="2021-05-12T16:41:00Z">
                                <w:rPr>
                                  <w:rFonts w:ascii="Cambria Math" w:hAnsi="Cambria Math"/>
                                  <w:sz w:val="24"/>
                                  <w:szCs w:val="24"/>
                                </w:rPr>
                                <m:t>4</m:t>
                              </w:ins>
                            </m:r>
                          </m:den>
                        </m:f>
                      </m:sup>
                    </m:sSup>
                    <m:r>
                      <w:ins w:id="258" w:author="Any Authorised User" w:date="2021-05-12T16:41:00Z">
                        <w:rPr>
                          <w:rFonts w:ascii="Cambria Math" w:hAnsi="Cambria Math"/>
                          <w:sz w:val="24"/>
                          <w:szCs w:val="24"/>
                        </w:rPr>
                        <m:t>+1</m:t>
                      </w:ins>
                    </m:r>
                  </m:e>
                </m:d>
                <m:d>
                  <m:dPr>
                    <m:ctrlPr>
                      <w:ins w:id="259" w:author="Any Authorised User" w:date="2021-05-12T16:41:00Z">
                        <w:rPr>
                          <w:rFonts w:ascii="Cambria Math" w:hAnsi="Cambria Math"/>
                          <w:i/>
                          <w:sz w:val="24"/>
                          <w:szCs w:val="24"/>
                        </w:rPr>
                      </w:ins>
                    </m:ctrlPr>
                  </m:dPr>
                  <m:e>
                    <m:sSup>
                      <m:sSupPr>
                        <m:ctrlPr>
                          <w:ins w:id="260" w:author="Any Authorised User" w:date="2021-05-12T16:41:00Z">
                            <w:rPr>
                              <w:rFonts w:ascii="Cambria Math" w:hAnsi="Cambria Math"/>
                              <w:i/>
                              <w:sz w:val="24"/>
                              <w:szCs w:val="24"/>
                            </w:rPr>
                          </w:ins>
                        </m:ctrlPr>
                      </m:sSupPr>
                      <m:e>
                        <m:d>
                          <m:dPr>
                            <m:ctrlPr>
                              <w:ins w:id="261" w:author="Any Authorised User" w:date="2021-05-12T16:41:00Z">
                                <w:rPr>
                                  <w:rFonts w:ascii="Cambria Math" w:hAnsi="Cambria Math"/>
                                  <w:i/>
                                  <w:sz w:val="24"/>
                                  <w:szCs w:val="24"/>
                                </w:rPr>
                              </w:ins>
                            </m:ctrlPr>
                          </m:dPr>
                          <m:e>
                            <m:r>
                              <w:ins w:id="262" w:author="Any Authorised User" w:date="2021-05-12T16:41:00Z">
                                <w:rPr>
                                  <w:rFonts w:ascii="Cambria Math" w:hAnsi="Cambria Math"/>
                                  <w:sz w:val="24"/>
                                  <w:szCs w:val="24"/>
                                </w:rPr>
                                <m:t>1+</m:t>
                              </w:ins>
                            </m:r>
                            <m:sSup>
                              <m:sSupPr>
                                <m:ctrlPr>
                                  <w:ins w:id="263" w:author="Any Authorised User" w:date="2021-05-12T16:41:00Z">
                                    <w:rPr>
                                      <w:rFonts w:ascii="Cambria Math" w:hAnsi="Cambria Math"/>
                                      <w:i/>
                                      <w:sz w:val="24"/>
                                      <w:szCs w:val="24"/>
                                    </w:rPr>
                                  </w:ins>
                                </m:ctrlPr>
                              </m:sSupPr>
                              <m:e>
                                <m:r>
                                  <w:ins w:id="264" w:author="Any Authorised User" w:date="2021-05-12T16:41:00Z">
                                    <w:rPr>
                                      <w:rFonts w:ascii="Cambria Math" w:hAnsi="Cambria Math"/>
                                      <w:sz w:val="24"/>
                                      <w:szCs w:val="24"/>
                                    </w:rPr>
                                    <m:t>y</m:t>
                                  </w:ins>
                                </m:r>
                              </m:e>
                              <m:sup>
                                <m:r>
                                  <w:ins w:id="265" w:author="Any Authorised User" w:date="2021-05-12T16:41:00Z">
                                    <w:rPr>
                                      <w:rFonts w:ascii="Cambria Math" w:hAnsi="Cambria Math"/>
                                      <w:sz w:val="24"/>
                                      <w:szCs w:val="24"/>
                                    </w:rPr>
                                    <m:t>OIS</m:t>
                                  </w:ins>
                                </m:r>
                              </m:sup>
                            </m:sSup>
                          </m:e>
                        </m:d>
                      </m:e>
                      <m:sup>
                        <m:f>
                          <m:fPr>
                            <m:ctrlPr>
                              <w:ins w:id="266" w:author="Any Authorised User" w:date="2021-05-12T16:41:00Z">
                                <w:rPr>
                                  <w:rFonts w:ascii="Cambria Math" w:hAnsi="Cambria Math"/>
                                  <w:i/>
                                  <w:sz w:val="24"/>
                                  <w:szCs w:val="24"/>
                                </w:rPr>
                              </w:ins>
                            </m:ctrlPr>
                          </m:fPr>
                          <m:num>
                            <m:r>
                              <w:ins w:id="267" w:author="Any Authorised User" w:date="2021-05-12T16:41:00Z">
                                <w:rPr>
                                  <w:rFonts w:ascii="Cambria Math" w:hAnsi="Cambria Math"/>
                                  <w:sz w:val="24"/>
                                  <w:szCs w:val="24"/>
                                </w:rPr>
                                <m:t>1</m:t>
                              </w:ins>
                            </m:r>
                          </m:num>
                          <m:den>
                            <m:r>
                              <w:ins w:id="268" w:author="Any Authorised User" w:date="2021-05-12T16:41:00Z">
                                <w:rPr>
                                  <w:rFonts w:ascii="Cambria Math" w:hAnsi="Cambria Math"/>
                                  <w:sz w:val="24"/>
                                  <w:szCs w:val="24"/>
                                </w:rPr>
                                <m:t>2</m:t>
                              </w:ins>
                            </m:r>
                          </m:den>
                        </m:f>
                      </m:sup>
                    </m:sSup>
                    <m:r>
                      <w:ins w:id="269" w:author="Any Authorised User" w:date="2021-05-12T16:41:00Z">
                        <w:rPr>
                          <w:rFonts w:ascii="Cambria Math" w:hAnsi="Cambria Math"/>
                          <w:sz w:val="24"/>
                          <w:szCs w:val="24"/>
                        </w:rPr>
                        <m:t>+1</m:t>
                      </w:ins>
                    </m:r>
                  </m:e>
                </m:d>
              </m:num>
              <m:den>
                <m:r>
                  <w:ins w:id="270" w:author="Any Authorised User" w:date="2021-05-12T16:41:00Z">
                    <w:rPr>
                      <w:rFonts w:ascii="Cambria Math" w:hAnsi="Cambria Math"/>
                      <w:sz w:val="24"/>
                      <w:szCs w:val="24"/>
                    </w:rPr>
                    <m:t>4</m:t>
                  </w:ins>
                </m:r>
              </m:den>
            </m:f>
          </m:e>
        </m:d>
      </m:oMath>
      <w:ins w:id="271" w:author="Any Authorised User" w:date="2021-03-25T18:08:00Z">
        <w:r w:rsidR="00380742" w:rsidRPr="005502E6">
          <w:rPr>
            <w:rFonts w:ascii="Times New Roman" w:hAnsi="Times New Roman"/>
            <w:sz w:val="24"/>
            <w:szCs w:val="28"/>
          </w:rPr>
          <w:t>; or</w:t>
        </w:r>
        <w:r w:rsidR="00380742">
          <w:rPr>
            <w:rFonts w:ascii="Times New Roman" w:hAnsi="Times New Roman"/>
            <w:sz w:val="24"/>
            <w:szCs w:val="28"/>
          </w:rPr>
          <w:t xml:space="preserve"> </w:t>
        </w:r>
      </w:ins>
    </w:p>
    <w:p w14:paraId="00966BDA" w14:textId="77777777" w:rsidR="00380742" w:rsidRDefault="00380742" w:rsidP="00061059">
      <w:pPr>
        <w:pStyle w:val="Body"/>
        <w:numPr>
          <w:ilvl w:val="0"/>
          <w:numId w:val="61"/>
        </w:numPr>
        <w:ind w:left="1985" w:hanging="709"/>
        <w:rPr>
          <w:ins w:id="272" w:author="Any Authorised User" w:date="2021-03-25T18:09:00Z"/>
          <w:rFonts w:ascii="Times New Roman" w:hAnsi="Times New Roman"/>
          <w:sz w:val="24"/>
          <w:szCs w:val="28"/>
        </w:rPr>
      </w:pPr>
      <w:ins w:id="273" w:author="Any Authorised User" w:date="2021-03-25T18:08:00Z">
        <w:r>
          <w:rPr>
            <w:rFonts w:ascii="Times New Roman" w:hAnsi="Times New Roman"/>
            <w:sz w:val="24"/>
            <w:szCs w:val="28"/>
          </w:rPr>
          <w:t>if the remaining Term of the Relevant Swap Transaction is longer than one year:</w:t>
        </w:r>
      </w:ins>
      <w:ins w:id="274" w:author="Any Authorised User" w:date="2021-03-25T18:09:00Z">
        <w:r>
          <w:rPr>
            <w:rFonts w:ascii="Times New Roman" w:hAnsi="Times New Roman"/>
            <w:sz w:val="24"/>
            <w:szCs w:val="28"/>
          </w:rPr>
          <w:t xml:space="preserve"> </w:t>
        </w:r>
      </w:ins>
    </w:p>
    <w:p w14:paraId="25B44098" w14:textId="1F5298C3" w:rsidR="00380742" w:rsidRDefault="00CF0A04" w:rsidP="00D477BB">
      <w:pPr>
        <w:pStyle w:val="Body"/>
        <w:ind w:left="1985"/>
        <w:rPr>
          <w:ins w:id="275" w:author="Any Authorised User" w:date="2021-05-12T16:42:00Z"/>
          <w:rFonts w:ascii="Times New Roman" w:eastAsiaTheme="minorEastAsia" w:hAnsi="Times New Roman"/>
          <w:sz w:val="24"/>
          <w:szCs w:val="24"/>
        </w:rPr>
      </w:pPr>
      <m:oMath>
        <m:sSup>
          <m:sSupPr>
            <m:ctrlPr>
              <w:ins w:id="276" w:author="Any Authorised User" w:date="2021-05-12T16:42:00Z">
                <w:rPr>
                  <w:rFonts w:ascii="Cambria Math" w:hAnsi="Cambria Math"/>
                  <w:i/>
                  <w:sz w:val="24"/>
                  <w:szCs w:val="24"/>
                </w:rPr>
              </w:ins>
            </m:ctrlPr>
          </m:sSupPr>
          <m:e>
            <m:r>
              <w:ins w:id="277" w:author="Any Authorised User" w:date="2021-05-12T16:42:00Z">
                <w:rPr>
                  <w:rFonts w:ascii="Cambria Math" w:hAnsi="Cambria Math"/>
                  <w:sz w:val="24"/>
                  <w:szCs w:val="24"/>
                </w:rPr>
                <m:t>y</m:t>
              </w:ins>
            </m:r>
          </m:e>
          <m:sup>
            <m:r>
              <w:ins w:id="278" w:author="Any Authorised User" w:date="2021-05-12T16:42:00Z">
                <w:rPr>
                  <w:rFonts w:ascii="Cambria Math" w:hAnsi="Cambria Math"/>
                  <w:sz w:val="24"/>
                  <w:szCs w:val="24"/>
                </w:rPr>
                <m:t>L</m:t>
              </w:ins>
            </m:r>
          </m:sup>
        </m:sSup>
        <m:r>
          <w:ins w:id="279" w:author="Any Authorised User" w:date="2021-05-12T16:42:00Z">
            <w:rPr>
              <w:rFonts w:ascii="Cambria Math" w:hAnsi="Cambria Math"/>
              <w:sz w:val="24"/>
              <w:szCs w:val="24"/>
            </w:rPr>
            <m:t xml:space="preserve">= </m:t>
          </w:ins>
        </m:r>
        <m:d>
          <m:dPr>
            <m:begChr m:val="{"/>
            <m:endChr m:val=""/>
            <m:ctrlPr>
              <w:ins w:id="280" w:author="Any Authorised User" w:date="2021-05-12T16:42:00Z">
                <w:rPr>
                  <w:rFonts w:ascii="Cambria Math" w:hAnsi="Cambria Math"/>
                  <w:i/>
                  <w:sz w:val="24"/>
                  <w:szCs w:val="24"/>
                </w:rPr>
              </w:ins>
            </m:ctrlPr>
          </m:dPr>
          <m:e>
            <m:r>
              <w:ins w:id="281" w:author="Any Authorised User" w:date="2021-05-12T16:42:00Z">
                <w:rPr>
                  <w:rFonts w:ascii="Cambria Math" w:hAnsi="Cambria Math"/>
                  <w:sz w:val="24"/>
                  <w:szCs w:val="24"/>
                </w:rPr>
                <m:t>2</m:t>
              </w:ins>
            </m:r>
            <m:d>
              <m:dPr>
                <m:ctrlPr>
                  <w:ins w:id="282" w:author="Any Authorised User" w:date="2021-05-12T16:42:00Z">
                    <w:rPr>
                      <w:rFonts w:ascii="Cambria Math" w:hAnsi="Cambria Math"/>
                      <w:i/>
                      <w:sz w:val="24"/>
                      <w:szCs w:val="24"/>
                    </w:rPr>
                  </w:ins>
                </m:ctrlPr>
              </m:dPr>
              <m:e>
                <m:sSup>
                  <m:sSupPr>
                    <m:ctrlPr>
                      <w:ins w:id="283" w:author="Any Authorised User" w:date="2021-05-12T16:42:00Z">
                        <w:rPr>
                          <w:rFonts w:ascii="Cambria Math" w:hAnsi="Cambria Math"/>
                          <w:i/>
                          <w:sz w:val="24"/>
                          <w:szCs w:val="24"/>
                        </w:rPr>
                      </w:ins>
                    </m:ctrlPr>
                  </m:sSupPr>
                  <m:e>
                    <m:d>
                      <m:dPr>
                        <m:ctrlPr>
                          <w:ins w:id="284" w:author="Any Authorised User" w:date="2021-05-12T16:42:00Z">
                            <w:rPr>
                              <w:rFonts w:ascii="Cambria Math" w:hAnsi="Cambria Math"/>
                              <w:i/>
                              <w:sz w:val="24"/>
                              <w:szCs w:val="24"/>
                            </w:rPr>
                          </w:ins>
                        </m:ctrlPr>
                      </m:dPr>
                      <m:e>
                        <m:r>
                          <w:ins w:id="285" w:author="Any Authorised User" w:date="2021-05-12T16:42:00Z">
                            <w:rPr>
                              <w:rFonts w:ascii="Cambria Math" w:hAnsi="Cambria Math"/>
                              <w:sz w:val="24"/>
                              <w:szCs w:val="24"/>
                            </w:rPr>
                            <m:t>1+</m:t>
                          </w:ins>
                        </m:r>
                        <m:sSup>
                          <m:sSupPr>
                            <m:ctrlPr>
                              <w:ins w:id="286" w:author="Any Authorised User" w:date="2021-05-12T16:42:00Z">
                                <w:rPr>
                                  <w:rFonts w:ascii="Cambria Math" w:hAnsi="Cambria Math"/>
                                  <w:i/>
                                  <w:sz w:val="24"/>
                                  <w:szCs w:val="24"/>
                                </w:rPr>
                              </w:ins>
                            </m:ctrlPr>
                          </m:sSupPr>
                          <m:e>
                            <m:r>
                              <w:ins w:id="287" w:author="Any Authorised User" w:date="2021-05-12T16:42:00Z">
                                <w:rPr>
                                  <w:rFonts w:ascii="Cambria Math" w:hAnsi="Cambria Math"/>
                                  <w:sz w:val="24"/>
                                  <w:szCs w:val="24"/>
                                </w:rPr>
                                <m:t>y</m:t>
                              </w:ins>
                            </m:r>
                          </m:e>
                          <m:sup>
                            <m:r>
                              <w:ins w:id="288" w:author="Any Authorised User" w:date="2021-05-12T16:42:00Z">
                                <w:rPr>
                                  <w:rFonts w:ascii="Cambria Math" w:hAnsi="Cambria Math"/>
                                  <w:sz w:val="24"/>
                                  <w:szCs w:val="24"/>
                                </w:rPr>
                                <m:t>OIS</m:t>
                              </w:ins>
                            </m:r>
                          </m:sup>
                        </m:sSup>
                      </m:e>
                    </m:d>
                  </m:e>
                  <m:sup>
                    <m:f>
                      <m:fPr>
                        <m:ctrlPr>
                          <w:ins w:id="289" w:author="Any Authorised User" w:date="2021-05-12T16:42:00Z">
                            <w:rPr>
                              <w:rFonts w:ascii="Cambria Math" w:hAnsi="Cambria Math"/>
                              <w:i/>
                              <w:sz w:val="24"/>
                              <w:szCs w:val="24"/>
                            </w:rPr>
                          </w:ins>
                        </m:ctrlPr>
                      </m:fPr>
                      <m:num>
                        <m:r>
                          <w:ins w:id="290" w:author="Any Authorised User" w:date="2021-05-12T16:42:00Z">
                            <w:rPr>
                              <w:rFonts w:ascii="Cambria Math" w:hAnsi="Cambria Math"/>
                              <w:sz w:val="24"/>
                              <w:szCs w:val="24"/>
                            </w:rPr>
                            <m:t>1</m:t>
                          </w:ins>
                        </m:r>
                      </m:num>
                      <m:den>
                        <m:r>
                          <w:ins w:id="291" w:author="Any Authorised User" w:date="2021-05-12T16:42:00Z">
                            <w:rPr>
                              <w:rFonts w:ascii="Cambria Math" w:hAnsi="Cambria Math"/>
                              <w:sz w:val="24"/>
                              <w:szCs w:val="24"/>
                            </w:rPr>
                            <m:t>2</m:t>
                          </w:ins>
                        </m:r>
                      </m:den>
                    </m:f>
                  </m:sup>
                </m:sSup>
                <m:r>
                  <w:ins w:id="292" w:author="Any Authorised User" w:date="2021-05-12T16:42:00Z">
                    <w:rPr>
                      <w:rFonts w:ascii="Cambria Math" w:hAnsi="Cambria Math"/>
                      <w:sz w:val="24"/>
                      <w:szCs w:val="24"/>
                    </w:rPr>
                    <m:t>-1</m:t>
                  </w:ins>
                </m:r>
              </m:e>
            </m:d>
            <m:r>
              <w:ins w:id="293" w:author="Any Authorised User" w:date="2021-05-12T16:42:00Z">
                <w:rPr>
                  <w:rFonts w:ascii="Cambria Math" w:hAnsi="Cambria Math"/>
                  <w:sz w:val="24"/>
                  <w:szCs w:val="24"/>
                </w:rPr>
                <m:t>+</m:t>
              </w:ins>
            </m:r>
            <m:sSup>
              <m:sSupPr>
                <m:ctrlPr>
                  <w:ins w:id="294" w:author="Any Authorised User" w:date="2021-05-12T16:42:00Z">
                    <w:rPr>
                      <w:rFonts w:ascii="Cambria Math" w:hAnsi="Cambria Math"/>
                      <w:i/>
                      <w:sz w:val="24"/>
                      <w:szCs w:val="24"/>
                    </w:rPr>
                  </w:ins>
                </m:ctrlPr>
              </m:sSupPr>
              <m:e>
                <m:r>
                  <w:ins w:id="295" w:author="Any Authorised User" w:date="2021-05-12T16:42:00Z">
                    <w:rPr>
                      <w:rFonts w:ascii="Cambria Math" w:hAnsi="Cambria Math"/>
                      <w:sz w:val="24"/>
                      <w:szCs w:val="24"/>
                    </w:rPr>
                    <m:t>s</m:t>
                  </w:ins>
                </m:r>
              </m:e>
              <m:sup>
                <m:r>
                  <w:ins w:id="296" w:author="Any Authorised User" w:date="2021-05-12T16:42:00Z">
                    <w:rPr>
                      <w:rFonts w:ascii="Cambria Math" w:hAnsi="Cambria Math"/>
                      <w:sz w:val="24"/>
                      <w:szCs w:val="24"/>
                    </w:rPr>
                    <m:t>6M</m:t>
                  </w:ins>
                </m:r>
              </m:sup>
            </m:sSup>
          </m:e>
        </m:d>
      </m:oMath>
      <w:ins w:id="297" w:author="Any Authorised User" w:date="2021-05-12T16:42:00Z">
        <w:r w:rsidR="00D477BB">
          <w:rPr>
            <w:rFonts w:ascii="Times New Roman" w:eastAsiaTheme="minorEastAsia" w:hAnsi="Times New Roman"/>
            <w:sz w:val="24"/>
            <w:szCs w:val="24"/>
          </w:rPr>
          <w:t>,</w:t>
        </w:r>
      </w:ins>
    </w:p>
    <w:p w14:paraId="313871E0" w14:textId="77777777" w:rsidR="00D477BB" w:rsidRPr="0014784B" w:rsidRDefault="00D477BB" w:rsidP="00787110">
      <w:pPr>
        <w:spacing w:after="120"/>
        <w:ind w:left="680" w:firstLine="596"/>
        <w:rPr>
          <w:ins w:id="298" w:author="Any Authorised User" w:date="2021-05-12T16:42:00Z"/>
          <w:rFonts w:ascii="Times New Roman" w:hAnsi="Times New Roman" w:cs="Times New Roman"/>
          <w:sz w:val="24"/>
          <w:szCs w:val="24"/>
        </w:rPr>
      </w:pPr>
      <w:ins w:id="299" w:author="Any Authorised User" w:date="2021-05-12T16:42:00Z">
        <w:r>
          <w:rPr>
            <w:rFonts w:ascii="Times New Roman" w:hAnsi="Times New Roman" w:cs="Times New Roman"/>
            <w:sz w:val="24"/>
            <w:szCs w:val="24"/>
          </w:rPr>
          <w:t>in each case, w</w:t>
        </w:r>
        <w:r w:rsidRPr="0014784B">
          <w:rPr>
            <w:rFonts w:ascii="Times New Roman" w:hAnsi="Times New Roman" w:cs="Times New Roman"/>
            <w:sz w:val="24"/>
            <w:szCs w:val="24"/>
          </w:rPr>
          <w:t>here:</w:t>
        </w:r>
      </w:ins>
    </w:p>
    <w:p w14:paraId="5D757CC8" w14:textId="7F98298F" w:rsidR="00D477BB" w:rsidRPr="008B0A57" w:rsidRDefault="00D477BB" w:rsidP="00787110">
      <w:pPr>
        <w:spacing w:after="120" w:line="259" w:lineRule="auto"/>
        <w:ind w:left="1843"/>
        <w:jc w:val="both"/>
        <w:rPr>
          <w:ins w:id="300" w:author="Any Authorised User" w:date="2021-05-12T16:42:00Z"/>
          <w:rFonts w:ascii="Times New Roman" w:eastAsiaTheme="minorEastAsia" w:hAnsi="Times New Roman" w:cs="Times New Roman"/>
          <w:sz w:val="24"/>
          <w:szCs w:val="24"/>
        </w:rPr>
      </w:pPr>
      <w:ins w:id="301" w:author="Any Authorised User" w:date="2021-05-12T16:42:00Z">
        <w:r>
          <w:rPr>
            <w:rFonts w:ascii="Times New Roman" w:eastAsiaTheme="minorEastAsia" w:hAnsi="Times New Roman" w:cs="Times New Roman"/>
            <w:iCs/>
            <w:sz w:val="24"/>
            <w:szCs w:val="24"/>
          </w:rPr>
          <w:t>“</w:t>
        </w:r>
        <m:oMath>
          <m:sSup>
            <m:sSupPr>
              <m:ctrlPr>
                <w:rPr>
                  <w:rFonts w:ascii="Cambria Math" w:hAnsi="Cambria Math" w:cs="Times New Roman"/>
                  <w:iCs/>
                  <w:sz w:val="24"/>
                  <w:szCs w:val="24"/>
                </w:rPr>
              </m:ctrlPr>
            </m:sSupPr>
            <m:e>
              <m:r>
                <m:rPr>
                  <m:sty m:val="p"/>
                </m:rPr>
                <w:rPr>
                  <w:rFonts w:ascii="Cambria Math" w:hAnsi="Cambria Math" w:cs="Times New Roman"/>
                  <w:sz w:val="24"/>
                  <w:szCs w:val="24"/>
                </w:rPr>
                <m:t>y</m:t>
              </m:r>
            </m:e>
            <m:sup>
              <m:r>
                <m:rPr>
                  <m:sty m:val="p"/>
                </m:rPr>
                <w:rPr>
                  <w:rFonts w:ascii="Cambria Math" w:hAnsi="Cambria Math" w:cs="Times New Roman"/>
                  <w:sz w:val="24"/>
                  <w:szCs w:val="24"/>
                </w:rPr>
                <m:t>L</m:t>
              </m:r>
            </m:sup>
          </m:sSup>
        </m:oMath>
        <w:r>
          <w:rPr>
            <w:rFonts w:ascii="Times New Roman" w:eastAsiaTheme="minorEastAsia" w:hAnsi="Times New Roman" w:cs="Times New Roman"/>
            <w:iCs/>
            <w:sz w:val="24"/>
            <w:szCs w:val="24"/>
          </w:rPr>
          <w:t xml:space="preserve">” </w:t>
        </w:r>
        <w:r w:rsidRPr="008B0A57">
          <w:rPr>
            <w:rFonts w:ascii="Times New Roman" w:eastAsiaTheme="minorEastAsia" w:hAnsi="Times New Roman" w:cs="Times New Roman"/>
            <w:sz w:val="24"/>
            <w:szCs w:val="24"/>
          </w:rPr>
          <w:t xml:space="preserve">is the </w:t>
        </w:r>
        <w:r w:rsidRPr="008B0A57">
          <w:rPr>
            <w:rFonts w:ascii="Times New Roman" w:hAnsi="Times New Roman"/>
            <w:sz w:val="24"/>
            <w:szCs w:val="28"/>
          </w:rPr>
          <w:t xml:space="preserve">Calculated GBP ISR Fallback Rate </w:t>
        </w:r>
        <w:r>
          <w:rPr>
            <w:rFonts w:ascii="Times New Roman" w:hAnsi="Times New Roman"/>
            <w:sz w:val="24"/>
            <w:szCs w:val="28"/>
          </w:rPr>
          <w:t>with</w:t>
        </w:r>
        <w:r w:rsidRPr="008B0A57">
          <w:rPr>
            <w:rFonts w:ascii="Times New Roman" w:hAnsi="Times New Roman"/>
            <w:sz w:val="24"/>
            <w:szCs w:val="28"/>
          </w:rPr>
          <w:t xml:space="preserve"> a maturity of the </w:t>
        </w:r>
      </w:ins>
      <w:ins w:id="302" w:author="Any Authorised User" w:date="2021-05-12T17:05:00Z">
        <w:r w:rsidR="00787110" w:rsidRPr="008B44E2">
          <w:rPr>
            <w:rFonts w:ascii="Times New Roman" w:hAnsi="Times New Roman"/>
            <w:sz w:val="24"/>
            <w:szCs w:val="28"/>
          </w:rPr>
          <w:t>remaining Term of the Relevant Swap Transaction</w:t>
        </w:r>
      </w:ins>
      <w:ins w:id="303" w:author="Any Authorised User" w:date="2021-05-12T16:42:00Z">
        <w:r w:rsidRPr="008B0A57">
          <w:rPr>
            <w:rFonts w:ascii="Times New Roman" w:eastAsiaTheme="minorEastAsia" w:hAnsi="Times New Roman" w:cs="Times New Roman"/>
            <w:sz w:val="24"/>
            <w:szCs w:val="24"/>
          </w:rPr>
          <w:t>;</w:t>
        </w:r>
      </w:ins>
    </w:p>
    <w:p w14:paraId="7F40FFC3" w14:textId="31EED57D" w:rsidR="00D477BB" w:rsidRPr="008B4146" w:rsidRDefault="00D477BB" w:rsidP="00787110">
      <w:pPr>
        <w:spacing w:after="120" w:line="259" w:lineRule="auto"/>
        <w:ind w:left="1843"/>
        <w:jc w:val="both"/>
        <w:rPr>
          <w:ins w:id="304" w:author="Any Authorised User" w:date="2021-05-12T16:42:00Z"/>
          <w:rFonts w:ascii="Times New Roman" w:eastAsiaTheme="minorEastAsia" w:hAnsi="Times New Roman" w:cs="Times New Roman"/>
          <w:sz w:val="24"/>
          <w:szCs w:val="24"/>
        </w:rPr>
      </w:pPr>
      <w:ins w:id="305" w:author="Any Authorised User" w:date="2021-05-12T16:42:00Z">
        <w:r w:rsidRPr="008B0A57">
          <w:rPr>
            <w:rFonts w:ascii="Times New Roman" w:eastAsiaTheme="minorEastAsia" w:hAnsi="Times New Roman" w:cs="Times New Roman"/>
            <w:sz w:val="24"/>
            <w:szCs w:val="24"/>
          </w:rPr>
          <w:t>“</w:t>
        </w:r>
        <m:oMath>
          <m:sSup>
            <m:sSupPr>
              <m:ctrlPr>
                <w:rPr>
                  <w:rFonts w:ascii="Cambria Math" w:hAnsi="Cambria Math" w:cs="Times New Roman"/>
                  <w:sz w:val="24"/>
                  <w:szCs w:val="24"/>
                </w:rPr>
              </m:ctrlPr>
            </m:sSupPr>
            <m:e>
              <m:r>
                <m:rPr>
                  <m:sty m:val="p"/>
                </m:rPr>
                <w:rPr>
                  <w:rFonts w:ascii="Cambria Math" w:hAnsi="Cambria Math" w:cs="Times New Roman"/>
                  <w:sz w:val="24"/>
                  <w:szCs w:val="24"/>
                </w:rPr>
                <m:t>y</m:t>
              </m:r>
            </m:e>
            <m:sup>
              <m:r>
                <m:rPr>
                  <m:sty m:val="p"/>
                </m:rPr>
                <w:rPr>
                  <w:rFonts w:ascii="Cambria Math" w:hAnsi="Cambria Math" w:cs="Times New Roman"/>
                  <w:sz w:val="24"/>
                  <w:szCs w:val="24"/>
                </w:rPr>
                <m:t>OIS</m:t>
              </m:r>
            </m:sup>
          </m:sSup>
        </m:oMath>
        <w:r>
          <w:rPr>
            <w:rFonts w:ascii="Times New Roman" w:eastAsiaTheme="minorEastAsia" w:hAnsi="Times New Roman" w:cs="Times New Roman"/>
            <w:sz w:val="24"/>
            <w:szCs w:val="24"/>
          </w:rPr>
          <w:t xml:space="preserve">” </w:t>
        </w:r>
        <w:r w:rsidRPr="00FD4E9F">
          <w:rPr>
            <w:rFonts w:ascii="Times New Roman" w:eastAsiaTheme="minorEastAsia" w:hAnsi="Times New Roman" w:cs="Times New Roman"/>
            <w:sz w:val="24"/>
            <w:szCs w:val="24"/>
          </w:rPr>
          <w:t xml:space="preserve">is the </w:t>
        </w:r>
        <w:r w:rsidRPr="006338DC">
          <w:rPr>
            <w:rFonts w:ascii="Times New Roman" w:hAnsi="Times New Roman"/>
            <w:sz w:val="24"/>
            <w:szCs w:val="28"/>
          </w:rPr>
          <w:t>GBP</w:t>
        </w:r>
        <w:r w:rsidRPr="00FD4E9F">
          <w:rPr>
            <w:rFonts w:ascii="Times New Roman" w:hAnsi="Times New Roman" w:cs="Times New Roman"/>
            <w:sz w:val="24"/>
            <w:szCs w:val="24"/>
          </w:rPr>
          <w:t xml:space="preserve"> </w:t>
        </w:r>
        <w:r w:rsidRPr="008B4146">
          <w:rPr>
            <w:rFonts w:ascii="Times New Roman" w:hAnsi="Times New Roman" w:cs="Times New Roman"/>
            <w:sz w:val="24"/>
            <w:szCs w:val="24"/>
          </w:rPr>
          <w:t>SONIA ICE Swap Rate</w:t>
        </w:r>
        <w:r>
          <w:rPr>
            <w:rFonts w:ascii="Times New Roman" w:hAnsi="Times New Roman" w:cs="Times New Roman"/>
            <w:sz w:val="24"/>
            <w:szCs w:val="24"/>
          </w:rPr>
          <w:t xml:space="preserve"> with a maturity of the </w:t>
        </w:r>
      </w:ins>
      <w:ins w:id="306" w:author="Any Authorised User" w:date="2021-05-12T17:05:00Z">
        <w:r w:rsidR="00787110" w:rsidRPr="008B44E2">
          <w:rPr>
            <w:rFonts w:ascii="Times New Roman" w:hAnsi="Times New Roman"/>
            <w:sz w:val="24"/>
            <w:szCs w:val="28"/>
          </w:rPr>
          <w:t>remaining Term of the Relevant Swap Transaction</w:t>
        </w:r>
      </w:ins>
      <w:ins w:id="307" w:author="Any Authorised User" w:date="2021-05-12T16:42:00Z">
        <w:r w:rsidRPr="008B4146">
          <w:rPr>
            <w:rFonts w:ascii="Times New Roman" w:eastAsiaTheme="minorEastAsia" w:hAnsi="Times New Roman" w:cs="Times New Roman"/>
            <w:sz w:val="24"/>
            <w:szCs w:val="24"/>
          </w:rPr>
          <w:t>;</w:t>
        </w:r>
      </w:ins>
    </w:p>
    <w:p w14:paraId="7BA0C662" w14:textId="77777777" w:rsidR="00D477BB" w:rsidRDefault="00D477BB" w:rsidP="00787110">
      <w:pPr>
        <w:spacing w:after="120" w:line="259" w:lineRule="auto"/>
        <w:ind w:left="1163" w:firstLine="680"/>
        <w:jc w:val="both"/>
        <w:rPr>
          <w:ins w:id="308" w:author="Any Authorised User" w:date="2021-05-12T16:42:00Z"/>
          <w:rFonts w:ascii="Times New Roman" w:eastAsiaTheme="minorEastAsia" w:hAnsi="Times New Roman" w:cs="Times New Roman"/>
          <w:sz w:val="24"/>
          <w:szCs w:val="24"/>
        </w:rPr>
      </w:pPr>
      <w:ins w:id="309" w:author="Any Authorised User" w:date="2021-05-12T16:42:00Z">
        <w:r w:rsidRPr="008B0A57">
          <w:rPr>
            <w:rFonts w:ascii="Times New Roman" w:eastAsiaTheme="minorEastAsia" w:hAnsi="Times New Roman" w:cs="Times New Roman"/>
            <w:sz w:val="24"/>
            <w:szCs w:val="24"/>
          </w:rPr>
          <w:t>“</w:t>
        </w:r>
        <m:oMath>
          <m:sSup>
            <m:sSupPr>
              <m:ctrlPr>
                <w:rPr>
                  <w:rFonts w:ascii="Cambria Math" w:hAnsi="Cambria Math" w:cs="Times New Roman"/>
                  <w:sz w:val="24"/>
                  <w:szCs w:val="24"/>
                </w:rPr>
              </m:ctrlPr>
            </m:sSupPr>
            <m:e>
              <m:r>
                <m:rPr>
                  <m:sty m:val="p"/>
                </m:rPr>
                <w:rPr>
                  <w:rFonts w:ascii="Cambria Math" w:hAnsi="Cambria Math" w:cs="Times New Roman"/>
                  <w:sz w:val="24"/>
                  <w:szCs w:val="24"/>
                </w:rPr>
                <m:t>s</m:t>
              </m:r>
            </m:e>
            <m:sup>
              <m:r>
                <m:rPr>
                  <m:sty m:val="p"/>
                </m:rPr>
                <w:rPr>
                  <w:rFonts w:ascii="Cambria Math" w:hAnsi="Cambria Math" w:cs="Times New Roman"/>
                  <w:sz w:val="24"/>
                  <w:szCs w:val="24"/>
                </w:rPr>
                <m:t>3M</m:t>
              </m:r>
            </m:sup>
          </m:sSup>
        </m:oMath>
        <w:r>
          <w:rPr>
            <w:rFonts w:ascii="Times New Roman" w:eastAsiaTheme="minorEastAsia" w:hAnsi="Times New Roman" w:cs="Times New Roman"/>
            <w:sz w:val="24"/>
            <w:szCs w:val="24"/>
          </w:rPr>
          <w:t xml:space="preserve">” </w:t>
        </w:r>
        <w:r w:rsidRPr="0014784B">
          <w:rPr>
            <w:rFonts w:ascii="Times New Roman" w:eastAsiaTheme="minorEastAsia" w:hAnsi="Times New Roman" w:cs="Times New Roman"/>
            <w:sz w:val="24"/>
            <w:szCs w:val="24"/>
          </w:rPr>
          <w:t xml:space="preserve">is </w:t>
        </w:r>
        <w:r w:rsidRPr="00EB0322">
          <w:rPr>
            <w:rFonts w:ascii="Times New Roman" w:eastAsiaTheme="minorEastAsia" w:hAnsi="Times New Roman" w:cs="Times New Roman"/>
            <w:sz w:val="24"/>
            <w:szCs w:val="24"/>
          </w:rPr>
          <w:t>0.1193%</w:t>
        </w:r>
        <w:r>
          <w:rPr>
            <w:rFonts w:ascii="Times New Roman" w:eastAsiaTheme="minorEastAsia" w:hAnsi="Times New Roman" w:cs="Times New Roman"/>
            <w:sz w:val="24"/>
            <w:szCs w:val="24"/>
          </w:rPr>
          <w:t>; and</w:t>
        </w:r>
      </w:ins>
    </w:p>
    <w:p w14:paraId="3EBB444F" w14:textId="61E7A931" w:rsidR="00D477BB" w:rsidRPr="00D477BB" w:rsidRDefault="00D477BB" w:rsidP="00787110">
      <w:pPr>
        <w:pStyle w:val="Body"/>
        <w:ind w:left="1163" w:firstLine="680"/>
        <w:rPr>
          <w:ins w:id="310" w:author="Any Authorised User" w:date="2021-05-12T14:53:00Z"/>
          <w:rFonts w:ascii="Times New Roman" w:hAnsi="Times New Roman"/>
          <w:sz w:val="24"/>
          <w:szCs w:val="28"/>
        </w:rPr>
      </w:pPr>
      <w:ins w:id="311" w:author="Any Authorised User" w:date="2021-05-12T16:42:00Z">
        <w:r>
          <w:rPr>
            <w:rFonts w:ascii="Times New Roman" w:eastAsiaTheme="minorEastAsia" w:hAnsi="Times New Roman"/>
            <w:sz w:val="24"/>
            <w:szCs w:val="24"/>
          </w:rPr>
          <w:t>“</w:t>
        </w:r>
        <m:oMath>
          <m:sSup>
            <m:sSupPr>
              <m:ctrlPr>
                <w:rPr>
                  <w:rFonts w:ascii="Cambria Math" w:eastAsiaTheme="minorEastAsia" w:hAnsi="Cambria Math"/>
                  <w:sz w:val="24"/>
                  <w:szCs w:val="24"/>
                </w:rPr>
              </m:ctrlPr>
            </m:sSupPr>
            <m:e>
              <m:r>
                <m:rPr>
                  <m:sty m:val="p"/>
                </m:rPr>
                <w:rPr>
                  <w:rFonts w:ascii="Cambria Math" w:eastAsiaTheme="minorEastAsia" w:hAnsi="Cambria Math"/>
                  <w:sz w:val="24"/>
                  <w:szCs w:val="24"/>
                </w:rPr>
                <m:t>s</m:t>
              </m:r>
            </m:e>
            <m:sup>
              <m:r>
                <m:rPr>
                  <m:sty m:val="p"/>
                </m:rPr>
                <w:rPr>
                  <w:rFonts w:ascii="Cambria Math" w:eastAsiaTheme="minorEastAsia" w:hAnsi="Cambria Math"/>
                  <w:sz w:val="24"/>
                  <w:szCs w:val="24"/>
                </w:rPr>
                <m:t>6M</m:t>
              </m:r>
            </m:sup>
          </m:sSup>
        </m:oMath>
        <w:r>
          <w:rPr>
            <w:rFonts w:ascii="Times New Roman" w:eastAsiaTheme="minorEastAsia" w:hAnsi="Times New Roman"/>
            <w:sz w:val="24"/>
            <w:szCs w:val="24"/>
          </w:rPr>
          <w:t xml:space="preserve">” </w:t>
        </w:r>
        <w:r w:rsidRPr="008B4146">
          <w:rPr>
            <w:rFonts w:ascii="Times New Roman" w:eastAsiaTheme="minorEastAsia" w:hAnsi="Times New Roman"/>
            <w:sz w:val="24"/>
            <w:szCs w:val="24"/>
          </w:rPr>
          <w:t xml:space="preserve">is </w:t>
        </w:r>
        <w:r w:rsidRPr="00EB0322">
          <w:rPr>
            <w:rFonts w:ascii="Times New Roman" w:eastAsiaTheme="minorEastAsia" w:hAnsi="Times New Roman"/>
            <w:sz w:val="24"/>
            <w:szCs w:val="24"/>
          </w:rPr>
          <w:t>0.2766%</w:t>
        </w:r>
        <w:r w:rsidRPr="006338DC">
          <w:rPr>
            <w:rFonts w:ascii="Times New Roman" w:eastAsiaTheme="minorEastAsia" w:hAnsi="Times New Roman"/>
            <w:sz w:val="24"/>
            <w:szCs w:val="24"/>
          </w:rPr>
          <w:t>;</w:t>
        </w:r>
      </w:ins>
    </w:p>
    <w:p w14:paraId="1DA2DC76" w14:textId="2C4BA85E" w:rsidR="008F1E10" w:rsidRDefault="008F1E10" w:rsidP="00061059">
      <w:pPr>
        <w:pStyle w:val="Body"/>
        <w:ind w:left="1276"/>
        <w:rPr>
          <w:ins w:id="312" w:author="Any Authorised User" w:date="2021-05-13T15:51:00Z"/>
          <w:rFonts w:ascii="Times New Roman" w:hAnsi="Times New Roman"/>
          <w:sz w:val="24"/>
          <w:szCs w:val="28"/>
        </w:rPr>
      </w:pPr>
      <w:ins w:id="313" w:author="Any Authorised User" w:date="2021-05-13T15:49:00Z">
        <w:r>
          <w:rPr>
            <w:rFonts w:ascii="Times New Roman" w:hAnsi="Times New Roman"/>
            <w:sz w:val="24"/>
            <w:szCs w:val="28"/>
          </w:rPr>
          <w:t xml:space="preserve">“Calculated USD ISR Fallback Rate” means the rate calculated as follows, and the </w:t>
        </w:r>
        <w:r w:rsidRPr="00F36303">
          <w:rPr>
            <w:rFonts w:ascii="Times New Roman" w:hAnsi="Times New Roman"/>
            <w:sz w:val="24"/>
            <w:szCs w:val="28"/>
          </w:rPr>
          <w:t>resulting percentage will be rounded, if necessary, in accordance with the method set forth in Section 8.1(a)</w:t>
        </w:r>
      </w:ins>
      <w:ins w:id="314" w:author="Any Authorised User" w:date="2021-05-13T15:51:00Z">
        <w:r>
          <w:rPr>
            <w:rFonts w:ascii="Times New Roman" w:hAnsi="Times New Roman"/>
            <w:sz w:val="24"/>
            <w:szCs w:val="28"/>
          </w:rPr>
          <w:t>:</w:t>
        </w:r>
      </w:ins>
    </w:p>
    <w:bookmarkStart w:id="315" w:name="_BPDCI_2"/>
    <w:p w14:paraId="6AA16060" w14:textId="77777777" w:rsidR="0014486A" w:rsidRPr="0014486A" w:rsidRDefault="00CF0A04" w:rsidP="0014486A">
      <w:pPr>
        <w:pStyle w:val="Body"/>
        <w:spacing w:after="0"/>
        <w:ind w:left="1276"/>
        <w:rPr>
          <w:ins w:id="316" w:author="Any Authorised User" w:date="2021-06-07T09:07:00Z"/>
          <w:rFonts w:ascii="Times New Roman" w:hAnsi="Times New Roman"/>
          <w:sz w:val="24"/>
          <w:szCs w:val="24"/>
        </w:rPr>
      </w:pPr>
      <m:oMathPara>
        <m:oMath>
          <m:sSup>
            <m:sSupPr>
              <m:ctrlPr>
                <w:ins w:id="317" w:author="Any Authorised User" w:date="2021-06-07T09:07:00Z">
                  <w:rPr>
                    <w:rFonts w:ascii="Cambria Math" w:hAnsi="Cambria Math"/>
                    <w:i/>
                    <w:sz w:val="24"/>
                    <w:szCs w:val="24"/>
                  </w:rPr>
                </w:ins>
              </m:ctrlPr>
            </m:sSupPr>
            <m:e>
              <m:r>
                <w:ins w:id="318" w:author="Any Authorised User" w:date="2021-06-07T09:07:00Z">
                  <w:rPr>
                    <w:rFonts w:ascii="Cambria Math" w:hAnsi="Cambria Math"/>
                    <w:sz w:val="24"/>
                    <w:szCs w:val="24"/>
                  </w:rPr>
                  <m:t>y</m:t>
                </w:ins>
              </m:r>
            </m:e>
            <m:sup>
              <m:r>
                <w:ins w:id="319" w:author="Any Authorised User" w:date="2021-06-07T09:07:00Z">
                  <w:rPr>
                    <w:rFonts w:ascii="Cambria Math" w:hAnsi="Cambria Math"/>
                    <w:sz w:val="24"/>
                    <w:szCs w:val="24"/>
                  </w:rPr>
                  <m:t>L</m:t>
                </w:ins>
              </m:r>
            </m:sup>
          </m:sSup>
          <m:r>
            <w:ins w:id="320" w:author="Any Authorised User" w:date="2021-06-07T09:07:00Z">
              <w:rPr>
                <w:rFonts w:ascii="Cambria Math" w:hAnsi="Cambria Math"/>
                <w:sz w:val="24"/>
                <w:szCs w:val="24"/>
              </w:rPr>
              <m:t>=</m:t>
            </w:ins>
          </m:r>
          <m:f>
            <m:fPr>
              <m:ctrlPr>
                <w:ins w:id="321" w:author="Any Authorised User" w:date="2021-06-07T09:07:00Z">
                  <w:rPr>
                    <w:rFonts w:ascii="Cambria Math" w:eastAsia="Calibri" w:hAnsi="Cambria Math"/>
                    <w:i/>
                    <w:sz w:val="24"/>
                    <w:szCs w:val="24"/>
                  </w:rPr>
                </w:ins>
              </m:ctrlPr>
            </m:fPr>
            <m:num>
              <m:r>
                <w:ins w:id="322" w:author="Any Authorised User" w:date="2021-06-07T09:07:00Z">
                  <w:rPr>
                    <w:rFonts w:ascii="Cambria Math" w:eastAsia="Calibri" w:hAnsi="Cambria Math"/>
                    <w:sz w:val="24"/>
                    <w:szCs w:val="24"/>
                  </w:rPr>
                  <m:t>365.25</m:t>
                </w:ins>
              </m:r>
            </m:num>
            <m:den>
              <m:r>
                <w:ins w:id="323" w:author="Any Authorised User" w:date="2021-06-07T09:07:00Z">
                  <w:rPr>
                    <w:rFonts w:ascii="Cambria Math" w:eastAsia="Calibri" w:hAnsi="Cambria Math"/>
                    <w:sz w:val="24"/>
                    <w:szCs w:val="24"/>
                  </w:rPr>
                  <m:t>360</m:t>
                </w:ins>
              </m:r>
            </m:den>
          </m:f>
          <m:d>
            <m:dPr>
              <m:begChr m:val="["/>
              <m:endChr m:val="]"/>
              <m:ctrlPr>
                <w:ins w:id="324" w:author="Any Authorised User" w:date="2021-06-07T09:07:00Z">
                  <w:rPr>
                    <w:rFonts w:ascii="Cambria Math" w:eastAsia="Calibri" w:hAnsi="Cambria Math"/>
                    <w:i/>
                    <w:sz w:val="24"/>
                    <w:szCs w:val="24"/>
                  </w:rPr>
                </w:ins>
              </m:ctrlPr>
            </m:dPr>
            <m:e>
              <m:r>
                <w:ins w:id="325" w:author="Any Authorised User" w:date="2021-06-07T09:07:00Z">
                  <w:rPr>
                    <w:rFonts w:ascii="Cambria Math" w:eastAsia="Calibri" w:hAnsi="Cambria Math"/>
                    <w:sz w:val="24"/>
                    <w:szCs w:val="24"/>
                  </w:rPr>
                  <m:t>2×</m:t>
                </w:ins>
              </m:r>
              <m:d>
                <m:dPr>
                  <m:ctrlPr>
                    <w:ins w:id="326" w:author="Any Authorised User" w:date="2021-06-07T09:07:00Z">
                      <w:rPr>
                        <w:rFonts w:ascii="Cambria Math" w:eastAsia="Calibri" w:hAnsi="Cambria Math"/>
                        <w:i/>
                        <w:sz w:val="24"/>
                        <w:szCs w:val="24"/>
                      </w:rPr>
                    </w:ins>
                  </m:ctrlPr>
                </m:dPr>
                <m:e>
                  <m:rad>
                    <m:radPr>
                      <m:degHide m:val="1"/>
                      <m:ctrlPr>
                        <w:ins w:id="327" w:author="Any Authorised User" w:date="2021-06-07T09:07:00Z">
                          <w:rPr>
                            <w:rFonts w:ascii="Cambria Math" w:eastAsia="Calibri" w:hAnsi="Cambria Math"/>
                            <w:i/>
                            <w:sz w:val="24"/>
                            <w:szCs w:val="24"/>
                          </w:rPr>
                        </w:ins>
                      </m:ctrlPr>
                    </m:radPr>
                    <m:deg/>
                    <m:e>
                      <m:r>
                        <w:ins w:id="328" w:author="Any Authorised User" w:date="2021-06-07T09:07:00Z">
                          <w:rPr>
                            <w:rFonts w:ascii="Cambria Math" w:eastAsia="Calibri" w:hAnsi="Cambria Math"/>
                            <w:sz w:val="24"/>
                            <w:szCs w:val="24"/>
                          </w:rPr>
                          <m:t>1+</m:t>
                        </w:ins>
                      </m:r>
                      <m:sSup>
                        <m:sSupPr>
                          <m:ctrlPr>
                            <w:ins w:id="329" w:author="Any Authorised User" w:date="2021-06-07T09:07:00Z">
                              <w:rPr>
                                <w:rFonts w:ascii="Cambria Math" w:eastAsia="Calibri" w:hAnsi="Cambria Math"/>
                                <w:i/>
                                <w:sz w:val="24"/>
                                <w:szCs w:val="24"/>
                              </w:rPr>
                            </w:ins>
                          </m:ctrlPr>
                        </m:sSupPr>
                        <m:e>
                          <m:r>
                            <w:ins w:id="330" w:author="Any Authorised User" w:date="2021-06-07T09:07:00Z">
                              <w:rPr>
                                <w:rFonts w:ascii="Cambria Math" w:eastAsia="Calibri" w:hAnsi="Cambria Math"/>
                                <w:sz w:val="24"/>
                                <w:szCs w:val="24"/>
                              </w:rPr>
                              <m:t>y</m:t>
                            </w:ins>
                          </m:r>
                        </m:e>
                        <m:sup>
                          <m:r>
                            <w:ins w:id="331" w:author="Any Authorised User" w:date="2021-06-07T09:07:00Z">
                              <w:rPr>
                                <w:rFonts w:ascii="Cambria Math" w:eastAsia="Calibri" w:hAnsi="Cambria Math"/>
                                <w:sz w:val="24"/>
                                <w:szCs w:val="24"/>
                              </w:rPr>
                              <m:t>OIS</m:t>
                            </w:ins>
                          </m:r>
                        </m:sup>
                      </m:sSup>
                    </m:e>
                  </m:rad>
                  <m:r>
                    <w:ins w:id="332" w:author="Any Authorised User" w:date="2021-06-07T09:07:00Z">
                      <w:rPr>
                        <w:rFonts w:ascii="Cambria Math" w:eastAsia="Calibri" w:hAnsi="Cambria Math"/>
                        <w:sz w:val="24"/>
                        <w:szCs w:val="24"/>
                      </w:rPr>
                      <m:t>-1</m:t>
                    </w:ins>
                  </m:r>
                </m:e>
              </m:d>
              <m:r>
                <w:ins w:id="333" w:author="Any Authorised User" w:date="2021-06-07T09:07:00Z">
                  <w:rPr>
                    <w:rFonts w:ascii="Cambria Math" w:eastAsia="Calibri" w:hAnsi="Cambria Math"/>
                    <w:sz w:val="24"/>
                    <w:szCs w:val="24"/>
                  </w:rPr>
                  <m:t>+</m:t>
                </w:ins>
              </m:r>
              <m:d>
                <m:dPr>
                  <m:ctrlPr>
                    <w:ins w:id="334" w:author="Any Authorised User" w:date="2021-06-07T09:07:00Z">
                      <w:rPr>
                        <w:rFonts w:ascii="Cambria Math" w:eastAsia="Calibri" w:hAnsi="Cambria Math"/>
                        <w:i/>
                        <w:sz w:val="24"/>
                        <w:szCs w:val="24"/>
                      </w:rPr>
                    </w:ins>
                  </m:ctrlPr>
                </m:dPr>
                <m:e>
                  <m:sSup>
                    <m:sSupPr>
                      <m:ctrlPr>
                        <w:ins w:id="335" w:author="Any Authorised User" w:date="2021-06-07T09:07:00Z">
                          <w:rPr>
                            <w:rFonts w:ascii="Cambria Math" w:eastAsia="Calibri" w:hAnsi="Cambria Math"/>
                            <w:i/>
                            <w:sz w:val="24"/>
                            <w:szCs w:val="24"/>
                          </w:rPr>
                        </w:ins>
                      </m:ctrlPr>
                    </m:sSupPr>
                    <m:e>
                      <m:r>
                        <w:ins w:id="336" w:author="Any Authorised User" w:date="2021-06-07T09:07:00Z">
                          <w:rPr>
                            <w:rFonts w:ascii="Cambria Math" w:eastAsia="Calibri" w:hAnsi="Cambria Math"/>
                            <w:sz w:val="24"/>
                            <w:szCs w:val="24"/>
                          </w:rPr>
                          <m:t>s</m:t>
                        </w:ins>
                      </m:r>
                    </m:e>
                    <m:sup>
                      <m:r>
                        <w:ins w:id="337" w:author="Any Authorised User" w:date="2021-06-07T09:07:00Z">
                          <w:rPr>
                            <w:rFonts w:ascii="Cambria Math" w:eastAsia="Calibri" w:hAnsi="Cambria Math"/>
                            <w:sz w:val="24"/>
                            <w:szCs w:val="24"/>
                          </w:rPr>
                          <m:t>3M</m:t>
                        </w:ins>
                      </m:r>
                    </m:sup>
                  </m:sSup>
                  <m:r>
                    <w:ins w:id="338" w:author="Any Authorised User" w:date="2021-06-07T09:07:00Z">
                      <w:rPr>
                        <w:rFonts w:ascii="Cambria Math" w:eastAsia="Calibri" w:hAnsi="Cambria Math"/>
                        <w:sz w:val="24"/>
                        <w:szCs w:val="24"/>
                      </w:rPr>
                      <m:t>×</m:t>
                    </w:ins>
                  </m:r>
                  <m:f>
                    <m:fPr>
                      <m:ctrlPr>
                        <w:ins w:id="339" w:author="Any Authorised User" w:date="2021-06-07T09:07:00Z">
                          <w:rPr>
                            <w:rFonts w:ascii="Cambria Math" w:eastAsia="Calibri" w:hAnsi="Cambria Math"/>
                            <w:i/>
                            <w:sz w:val="24"/>
                            <w:szCs w:val="24"/>
                          </w:rPr>
                        </w:ins>
                      </m:ctrlPr>
                    </m:fPr>
                    <m:num>
                      <m:r>
                        <w:ins w:id="340" w:author="Any Authorised User" w:date="2021-06-07T09:07:00Z">
                          <w:rPr>
                            <w:rFonts w:ascii="Cambria Math" w:eastAsia="Calibri" w:hAnsi="Cambria Math"/>
                            <w:sz w:val="24"/>
                            <w:szCs w:val="24"/>
                          </w:rPr>
                          <m:t>1</m:t>
                        </w:ins>
                      </m:r>
                    </m:num>
                    <m:den>
                      <m:r>
                        <w:ins w:id="341" w:author="Any Authorised User" w:date="2021-06-07T09:07:00Z">
                          <w:rPr>
                            <w:rFonts w:ascii="Cambria Math" w:eastAsia="Calibri" w:hAnsi="Cambria Math"/>
                            <w:sz w:val="24"/>
                            <w:szCs w:val="24"/>
                          </w:rPr>
                          <m:t>2</m:t>
                        </w:ins>
                      </m:r>
                    </m:den>
                  </m:f>
                  <m:r>
                    <w:ins w:id="342" w:author="Any Authorised User" w:date="2021-06-07T09:07:00Z">
                      <w:rPr>
                        <w:rFonts w:ascii="Cambria Math" w:eastAsia="Calibri" w:hAnsi="Cambria Math"/>
                        <w:sz w:val="24"/>
                        <w:szCs w:val="24"/>
                      </w:rPr>
                      <m:t>×</m:t>
                    </w:ins>
                  </m:r>
                  <m:d>
                    <m:dPr>
                      <m:ctrlPr>
                        <w:ins w:id="343" w:author="Any Authorised User" w:date="2021-06-07T09:07:00Z">
                          <w:rPr>
                            <w:rFonts w:ascii="Cambria Math" w:eastAsia="Calibri" w:hAnsi="Cambria Math"/>
                            <w:i/>
                            <w:sz w:val="24"/>
                            <w:szCs w:val="24"/>
                          </w:rPr>
                        </w:ins>
                      </m:ctrlPr>
                    </m:dPr>
                    <m:e>
                      <m:rad>
                        <m:radPr>
                          <m:ctrlPr>
                            <w:ins w:id="344" w:author="Any Authorised User" w:date="2021-06-07T09:07:00Z">
                              <w:rPr>
                                <w:rFonts w:ascii="Cambria Math" w:eastAsia="Calibri" w:hAnsi="Cambria Math"/>
                                <w:i/>
                                <w:sz w:val="24"/>
                                <w:szCs w:val="24"/>
                              </w:rPr>
                            </w:ins>
                          </m:ctrlPr>
                        </m:radPr>
                        <m:deg>
                          <m:r>
                            <w:ins w:id="345" w:author="Any Authorised User" w:date="2021-06-07T09:07:00Z">
                              <w:rPr>
                                <w:rFonts w:ascii="Cambria Math" w:eastAsia="Calibri" w:hAnsi="Cambria Math"/>
                                <w:sz w:val="24"/>
                                <w:szCs w:val="24"/>
                              </w:rPr>
                              <m:t>4</m:t>
                            </w:ins>
                          </m:r>
                        </m:deg>
                        <m:e>
                          <m:r>
                            <w:ins w:id="346" w:author="Any Authorised User" w:date="2021-06-07T09:07:00Z">
                              <w:rPr>
                                <w:rFonts w:ascii="Cambria Math" w:eastAsia="Calibri" w:hAnsi="Cambria Math"/>
                                <w:sz w:val="24"/>
                                <w:szCs w:val="24"/>
                              </w:rPr>
                              <m:t>1+</m:t>
                            </w:ins>
                          </m:r>
                          <m:sSup>
                            <m:sSupPr>
                              <m:ctrlPr>
                                <w:ins w:id="347" w:author="Any Authorised User" w:date="2021-06-07T09:07:00Z">
                                  <w:rPr>
                                    <w:rFonts w:ascii="Cambria Math" w:eastAsia="Calibri" w:hAnsi="Cambria Math"/>
                                    <w:i/>
                                    <w:sz w:val="24"/>
                                    <w:szCs w:val="24"/>
                                  </w:rPr>
                                </w:ins>
                              </m:ctrlPr>
                            </m:sSupPr>
                            <m:e>
                              <m:r>
                                <w:ins w:id="348" w:author="Any Authorised User" w:date="2021-06-07T09:07:00Z">
                                  <w:rPr>
                                    <w:rFonts w:ascii="Cambria Math" w:eastAsia="Calibri" w:hAnsi="Cambria Math"/>
                                    <w:sz w:val="24"/>
                                    <w:szCs w:val="24"/>
                                  </w:rPr>
                                  <m:t>y</m:t>
                                </w:ins>
                              </m:r>
                            </m:e>
                            <m:sup>
                              <m:r>
                                <w:ins w:id="349" w:author="Any Authorised User" w:date="2021-06-07T09:07:00Z">
                                  <w:rPr>
                                    <w:rFonts w:ascii="Cambria Math" w:eastAsia="Calibri" w:hAnsi="Cambria Math"/>
                                    <w:sz w:val="24"/>
                                    <w:szCs w:val="24"/>
                                  </w:rPr>
                                  <m:t>OIS</m:t>
                                </w:ins>
                              </m:r>
                            </m:sup>
                          </m:sSup>
                        </m:e>
                      </m:rad>
                      <m:r>
                        <w:ins w:id="350" w:author="Any Authorised User" w:date="2021-06-07T09:07:00Z">
                          <w:rPr>
                            <w:rFonts w:ascii="Cambria Math" w:eastAsia="Calibri" w:hAnsi="Cambria Math"/>
                            <w:sz w:val="24"/>
                            <w:szCs w:val="24"/>
                          </w:rPr>
                          <m:t>+1</m:t>
                        </w:ins>
                      </m:r>
                    </m:e>
                  </m:d>
                </m:e>
              </m:d>
            </m:e>
          </m:d>
        </m:oMath>
      </m:oMathPara>
      <w:bookmarkEnd w:id="315"/>
    </w:p>
    <w:p w14:paraId="4BFB3D3C" w14:textId="2EF428A3" w:rsidR="0014486A" w:rsidRPr="0014486A" w:rsidRDefault="0014486A" w:rsidP="0014486A">
      <w:pPr>
        <w:spacing w:line="259" w:lineRule="auto"/>
        <w:ind w:left="360"/>
        <w:jc w:val="both"/>
        <w:rPr>
          <w:ins w:id="351" w:author="Any Authorised User" w:date="2021-06-07T09:07:00Z"/>
          <w:rFonts w:ascii="Times New Roman" w:eastAsia="Calibri" w:hAnsi="Times New Roman" w:cs="Times New Roman"/>
          <w:sz w:val="24"/>
          <w:szCs w:val="24"/>
        </w:rPr>
      </w:pPr>
      <w:bookmarkStart w:id="352" w:name="_BPDCI_3"/>
      <w:ins w:id="353" w:author="Any Authorised User" w:date="2021-06-07T09:07:00Z">
        <w:r w:rsidRPr="0014486A">
          <w:rPr>
            <w:rFonts w:ascii="Times New Roman" w:eastAsia="Calibri" w:hAnsi="Times New Roman" w:cs="Times New Roman"/>
            <w:sz w:val="24"/>
            <w:szCs w:val="24"/>
          </w:rPr>
          <w:tab/>
        </w:r>
        <w:r w:rsidRPr="0014486A">
          <w:rPr>
            <w:rFonts w:ascii="Times New Roman" w:eastAsia="Calibri" w:hAnsi="Times New Roman" w:cs="Times New Roman"/>
            <w:sz w:val="24"/>
            <w:szCs w:val="24"/>
          </w:rPr>
          <w:tab/>
          <w:t>where:</w:t>
        </w:r>
        <w:bookmarkEnd w:id="352"/>
      </w:ins>
    </w:p>
    <w:p w14:paraId="737F6A5F" w14:textId="77777777" w:rsidR="0014486A" w:rsidRPr="0014486A" w:rsidRDefault="0014486A" w:rsidP="0014486A">
      <w:pPr>
        <w:spacing w:line="259" w:lineRule="auto"/>
        <w:ind w:left="360"/>
        <w:jc w:val="both"/>
        <w:rPr>
          <w:ins w:id="354" w:author="Any Authorised User" w:date="2021-06-07T09:07:00Z"/>
          <w:rFonts w:ascii="Times New Roman" w:eastAsia="Calibri" w:hAnsi="Times New Roman" w:cs="Times New Roman"/>
          <w:sz w:val="24"/>
          <w:szCs w:val="24"/>
        </w:rPr>
      </w:pPr>
    </w:p>
    <w:p w14:paraId="0068F207" w14:textId="28B4F359" w:rsidR="0014486A" w:rsidRPr="0014486A" w:rsidRDefault="0014486A" w:rsidP="0014486A">
      <w:pPr>
        <w:spacing w:line="259" w:lineRule="auto"/>
        <w:ind w:left="1360"/>
        <w:jc w:val="both"/>
        <w:rPr>
          <w:ins w:id="355" w:author="Any Authorised User" w:date="2021-06-07T09:08:00Z"/>
          <w:rFonts w:ascii="Times New Roman" w:eastAsia="Calibri" w:hAnsi="Times New Roman" w:cs="Times New Roman"/>
          <w:sz w:val="24"/>
          <w:szCs w:val="24"/>
        </w:rPr>
      </w:pPr>
      <w:ins w:id="356" w:author="Any Authorised User" w:date="2021-06-07T09:07:00Z">
        <w:r w:rsidRPr="0014486A">
          <w:rPr>
            <w:rFonts w:ascii="Times New Roman" w:eastAsia="Calibri" w:hAnsi="Times New Roman" w:cs="Times New Roman"/>
            <w:sz w:val="24"/>
            <w:szCs w:val="24"/>
          </w:rPr>
          <w:t>“</w:t>
        </w:r>
        <m:oMath>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L</m:t>
              </m:r>
            </m:sup>
          </m:sSup>
        </m:oMath>
        <w:bookmarkStart w:id="357" w:name="_BPDCI_4"/>
        <w:r w:rsidRPr="0014486A">
          <w:rPr>
            <w:rFonts w:ascii="Times New Roman" w:eastAsia="Calibri" w:hAnsi="Times New Roman" w:cs="Times New Roman"/>
            <w:sz w:val="24"/>
            <w:szCs w:val="24"/>
          </w:rPr>
          <w:t>” is the Calculated USD ISR Fallback Rate with a maturity of the Designated Maturity;</w:t>
        </w:r>
      </w:ins>
      <w:bookmarkEnd w:id="357"/>
    </w:p>
    <w:p w14:paraId="40E87167" w14:textId="113C78F3" w:rsidR="0014486A" w:rsidRPr="0014486A" w:rsidRDefault="0014486A" w:rsidP="0014486A">
      <w:pPr>
        <w:spacing w:line="259" w:lineRule="auto"/>
        <w:ind w:left="1360"/>
        <w:jc w:val="both"/>
        <w:rPr>
          <w:ins w:id="358" w:author="Any Authorised User" w:date="2021-06-07T09:07:00Z"/>
          <w:rFonts w:ascii="Times New Roman" w:eastAsia="Calibri" w:hAnsi="Times New Roman" w:cs="Times New Roman"/>
          <w:sz w:val="24"/>
          <w:szCs w:val="24"/>
        </w:rPr>
      </w:pPr>
    </w:p>
    <w:p w14:paraId="5519B81B" w14:textId="10E701C7" w:rsidR="0014486A" w:rsidRPr="0014486A" w:rsidRDefault="0014486A" w:rsidP="0014486A">
      <w:pPr>
        <w:spacing w:line="259" w:lineRule="auto"/>
        <w:ind w:left="1276"/>
        <w:jc w:val="both"/>
        <w:rPr>
          <w:ins w:id="359" w:author="Any Authorised User" w:date="2021-06-07T09:08:00Z"/>
          <w:rFonts w:ascii="Times New Roman" w:eastAsia="DengXian" w:hAnsi="Times New Roman" w:cs="Times New Roman"/>
          <w:sz w:val="24"/>
          <w:szCs w:val="24"/>
        </w:rPr>
      </w:pPr>
      <w:ins w:id="360" w:author="Any Authorised User" w:date="2021-06-07T09:08:00Z">
        <w:r w:rsidRPr="0014486A">
          <w:rPr>
            <w:rFonts w:ascii="Times New Roman" w:eastAsia="Calibri" w:hAnsi="Times New Roman" w:cs="Times New Roman"/>
            <w:sz w:val="24"/>
            <w:szCs w:val="24"/>
          </w:rPr>
          <w:t>“</w:t>
        </w:r>
      </w:ins>
      <m:oMath>
        <m:sSup>
          <m:sSupPr>
            <m:ctrlPr>
              <w:ins w:id="361" w:author="Any Authorised User" w:date="2021-06-07T09:07:00Z">
                <w:rPr>
                  <w:rFonts w:ascii="Cambria Math" w:eastAsia="Calibri" w:hAnsi="Cambria Math" w:cs="Times New Roman"/>
                  <w:i/>
                  <w:sz w:val="24"/>
                  <w:szCs w:val="24"/>
                </w:rPr>
              </w:ins>
            </m:ctrlPr>
          </m:sSupPr>
          <m:e>
            <m:r>
              <w:ins w:id="362" w:author="Any Authorised User" w:date="2021-06-07T09:07:00Z">
                <w:rPr>
                  <w:rFonts w:ascii="Cambria Math" w:eastAsia="Calibri" w:hAnsi="Cambria Math" w:cs="Times New Roman"/>
                  <w:sz w:val="24"/>
                  <w:szCs w:val="24"/>
                </w:rPr>
                <m:t>y</m:t>
              </w:ins>
            </m:r>
          </m:e>
          <m:sup>
            <m:r>
              <w:ins w:id="363" w:author="Any Authorised User" w:date="2021-06-07T09:07:00Z">
                <w:rPr>
                  <w:rFonts w:ascii="Cambria Math" w:eastAsia="Calibri" w:hAnsi="Cambria Math" w:cs="Times New Roman"/>
                  <w:sz w:val="24"/>
                  <w:szCs w:val="24"/>
                </w:rPr>
                <m:t>OIS</m:t>
              </w:ins>
            </m:r>
          </m:sup>
        </m:sSup>
      </m:oMath>
      <w:bookmarkStart w:id="364" w:name="_BPDCI_5"/>
      <w:ins w:id="365" w:author="Any Authorised User" w:date="2021-06-07T09:08:00Z">
        <w:r w:rsidRPr="0014486A">
          <w:rPr>
            <w:rFonts w:ascii="Times New Roman" w:eastAsia="Calibri" w:hAnsi="Times New Roman" w:cs="Times New Roman"/>
            <w:sz w:val="24"/>
            <w:szCs w:val="24"/>
          </w:rPr>
          <w:t>”</w:t>
        </w:r>
      </w:ins>
      <w:ins w:id="366" w:author="Any Authorised User" w:date="2021-06-07T09:07:00Z">
        <w:r w:rsidRPr="0014486A">
          <w:rPr>
            <w:rFonts w:ascii="Times New Roman" w:eastAsia="DengXian" w:hAnsi="Times New Roman" w:cs="Times New Roman"/>
            <w:sz w:val="24"/>
            <w:szCs w:val="24"/>
          </w:rPr>
          <w:t xml:space="preserve"> is the USD SOFR ICE Swap Rate with a maturity of the Designated Maturity; </w:t>
        </w:r>
      </w:ins>
      <w:bookmarkEnd w:id="364"/>
      <w:ins w:id="367" w:author="Any Authorised User" w:date="2021-06-07T09:08:00Z">
        <w:r w:rsidRPr="0014486A">
          <w:rPr>
            <w:rFonts w:ascii="Times New Roman" w:eastAsia="DengXian" w:hAnsi="Times New Roman" w:cs="Times New Roman"/>
            <w:sz w:val="24"/>
            <w:szCs w:val="24"/>
          </w:rPr>
          <w:t>and</w:t>
        </w:r>
      </w:ins>
    </w:p>
    <w:p w14:paraId="093BE2FF" w14:textId="77777777" w:rsidR="0014486A" w:rsidRPr="0014486A" w:rsidRDefault="0014486A" w:rsidP="0014486A">
      <w:pPr>
        <w:spacing w:line="259" w:lineRule="auto"/>
        <w:ind w:left="1276"/>
        <w:jc w:val="both"/>
        <w:rPr>
          <w:ins w:id="368" w:author="Any Authorised User" w:date="2021-06-07T09:07:00Z"/>
          <w:rFonts w:ascii="Times New Roman" w:eastAsia="DengXian" w:hAnsi="Times New Roman" w:cs="Times New Roman"/>
          <w:sz w:val="24"/>
          <w:szCs w:val="24"/>
        </w:rPr>
      </w:pPr>
    </w:p>
    <w:p w14:paraId="6D86D6DE" w14:textId="670FFAE6" w:rsidR="008F1E10" w:rsidRPr="0014486A" w:rsidRDefault="0014486A" w:rsidP="0014486A">
      <w:pPr>
        <w:pStyle w:val="Body"/>
        <w:spacing w:after="0"/>
        <w:ind w:left="1276"/>
        <w:rPr>
          <w:ins w:id="369" w:author="Any Authorised User" w:date="2021-06-07T09:08:00Z"/>
          <w:rFonts w:ascii="Times New Roman" w:eastAsia="DengXian" w:hAnsi="Times New Roman"/>
          <w:sz w:val="24"/>
          <w:szCs w:val="24"/>
        </w:rPr>
      </w:pPr>
      <w:ins w:id="370" w:author="Any Authorised User" w:date="2021-06-07T09:08:00Z">
        <w:r w:rsidRPr="0014486A">
          <w:rPr>
            <w:rFonts w:ascii="Times New Roman" w:eastAsia="DengXian" w:hAnsi="Times New Roman"/>
            <w:sz w:val="24"/>
            <w:szCs w:val="24"/>
          </w:rPr>
          <w:t>“</w:t>
        </w:r>
      </w:ins>
      <m:oMath>
        <m:sSup>
          <m:sSupPr>
            <m:ctrlPr>
              <w:ins w:id="371" w:author="Any Authorised User" w:date="2021-06-07T09:07:00Z">
                <w:rPr>
                  <w:rFonts w:ascii="Cambria Math" w:eastAsia="Calibri" w:hAnsi="Cambria Math"/>
                  <w:i/>
                  <w:sz w:val="24"/>
                  <w:szCs w:val="24"/>
                </w:rPr>
              </w:ins>
            </m:ctrlPr>
          </m:sSupPr>
          <m:e>
            <m:r>
              <w:ins w:id="372" w:author="Any Authorised User" w:date="2021-06-07T09:07:00Z">
                <w:rPr>
                  <w:rFonts w:ascii="Cambria Math" w:eastAsia="Calibri" w:hAnsi="Cambria Math"/>
                  <w:sz w:val="24"/>
                  <w:szCs w:val="24"/>
                </w:rPr>
                <m:t>s</m:t>
              </w:ins>
            </m:r>
          </m:e>
          <m:sup>
            <m:r>
              <w:ins w:id="373" w:author="Any Authorised User" w:date="2021-06-07T09:07:00Z">
                <w:rPr>
                  <w:rFonts w:ascii="Cambria Math" w:eastAsia="Calibri" w:hAnsi="Cambria Math"/>
                  <w:sz w:val="24"/>
                  <w:szCs w:val="24"/>
                </w:rPr>
                <m:t>3M</m:t>
              </w:ins>
            </m:r>
          </m:sup>
        </m:sSup>
      </m:oMath>
      <w:bookmarkStart w:id="374" w:name="_BPDCI_6"/>
      <w:ins w:id="375" w:author="Any Authorised User" w:date="2021-06-07T09:08:00Z">
        <w:r w:rsidRPr="0014486A">
          <w:rPr>
            <w:rFonts w:ascii="Times New Roman" w:eastAsia="DengXian" w:hAnsi="Times New Roman"/>
            <w:sz w:val="24"/>
            <w:szCs w:val="24"/>
          </w:rPr>
          <w:t>”</w:t>
        </w:r>
      </w:ins>
      <w:ins w:id="376" w:author="Any Authorised User" w:date="2021-06-07T09:07:00Z">
        <w:r w:rsidRPr="0014486A">
          <w:rPr>
            <w:rFonts w:ascii="Times New Roman" w:eastAsia="DengXian" w:hAnsi="Times New Roman"/>
            <w:sz w:val="24"/>
            <w:szCs w:val="24"/>
          </w:rPr>
          <w:t xml:space="preserve"> is 0.26161%</w:t>
        </w:r>
      </w:ins>
      <w:bookmarkEnd w:id="374"/>
      <w:ins w:id="377" w:author="Any Authorised User" w:date="2021-06-07T09:08:00Z">
        <w:r w:rsidRPr="0014486A">
          <w:rPr>
            <w:rFonts w:ascii="Times New Roman" w:eastAsia="DengXian" w:hAnsi="Times New Roman"/>
            <w:sz w:val="24"/>
            <w:szCs w:val="24"/>
          </w:rPr>
          <w:t>;</w:t>
        </w:r>
      </w:ins>
    </w:p>
    <w:p w14:paraId="6B19475B" w14:textId="77777777" w:rsidR="0014486A" w:rsidRPr="0014486A" w:rsidRDefault="0014486A" w:rsidP="0014486A">
      <w:pPr>
        <w:pStyle w:val="Body"/>
        <w:spacing w:after="0"/>
        <w:ind w:left="1276"/>
        <w:rPr>
          <w:ins w:id="378" w:author="Any Authorised User" w:date="2021-05-13T15:51:00Z"/>
          <w:rFonts w:ascii="Times New Roman" w:hAnsi="Times New Roman"/>
          <w:sz w:val="24"/>
          <w:szCs w:val="24"/>
        </w:rPr>
      </w:pPr>
    </w:p>
    <w:p w14:paraId="562C70D6" w14:textId="6A8550C9" w:rsidR="00380742" w:rsidRDefault="00380742" w:rsidP="00061059">
      <w:pPr>
        <w:pStyle w:val="Body"/>
        <w:ind w:left="1276"/>
        <w:rPr>
          <w:ins w:id="379" w:author="Any Authorised User" w:date="2021-05-13T16:16:00Z"/>
          <w:rFonts w:ascii="Times New Roman" w:hAnsi="Times New Roman"/>
          <w:sz w:val="24"/>
          <w:szCs w:val="28"/>
        </w:rPr>
      </w:pPr>
      <w:ins w:id="380" w:author="Any Authorised User" w:date="2021-03-25T18:11:00Z">
        <w:r>
          <w:rPr>
            <w:rFonts w:ascii="Times New Roman" w:hAnsi="Times New Roman"/>
            <w:sz w:val="24"/>
            <w:szCs w:val="28"/>
          </w:rPr>
          <w:t xml:space="preserve">“GBP LIBOR” means </w:t>
        </w:r>
        <w:r w:rsidRPr="00E15FD9">
          <w:rPr>
            <w:rFonts w:ascii="Times New Roman" w:hAnsi="Times New Roman"/>
            <w:sz w:val="24"/>
            <w:szCs w:val="28"/>
          </w:rPr>
          <w:t>the Sterling wholesale funding rate known as Sterling LIBOR (London Interbank Offered Rate) provided by ICE Benchmark Administration Limited, as the administrator of the benchmark, (or a successor administrator);</w:t>
        </w:r>
      </w:ins>
    </w:p>
    <w:p w14:paraId="0B0DC3AE" w14:textId="34C06A8A" w:rsidR="006D2EFD" w:rsidRDefault="006D2EFD" w:rsidP="00061059">
      <w:pPr>
        <w:pStyle w:val="Body"/>
        <w:ind w:left="1276"/>
        <w:rPr>
          <w:ins w:id="381" w:author="Any Authorised User" w:date="2021-03-25T18:24:00Z"/>
          <w:rFonts w:ascii="Times New Roman" w:hAnsi="Times New Roman"/>
          <w:sz w:val="24"/>
          <w:szCs w:val="28"/>
        </w:rPr>
      </w:pPr>
      <w:ins w:id="382" w:author="Any Authorised User" w:date="2021-05-13T16:16:00Z">
        <w:r>
          <w:rPr>
            <w:rFonts w:ascii="Times New Roman" w:hAnsi="Times New Roman"/>
            <w:sz w:val="24"/>
            <w:szCs w:val="28"/>
          </w:rPr>
          <w:t xml:space="preserve">“GBP LIBOR ICE Swap Rate” </w:t>
        </w:r>
      </w:ins>
      <w:ins w:id="383" w:author="Any Authorised User" w:date="2021-05-13T16:17:00Z">
        <w:r>
          <w:rPr>
            <w:rFonts w:ascii="Times New Roman" w:hAnsi="Times New Roman"/>
            <w:sz w:val="24"/>
            <w:szCs w:val="28"/>
          </w:rPr>
          <w:t xml:space="preserve">means </w:t>
        </w:r>
        <w:r w:rsidRPr="006D2EFD">
          <w:rPr>
            <w:rFonts w:ascii="Times New Roman" w:hAnsi="Times New Roman"/>
            <w:sz w:val="24"/>
            <w:szCs w:val="28"/>
          </w:rPr>
          <w:t xml:space="preserve">the benchmark for the mid-price for the fixed leg of a fixed-for-floating Sterling swap transaction where the floating </w:t>
        </w:r>
        <w:r w:rsidRPr="006D2EFD">
          <w:rPr>
            <w:rFonts w:ascii="Times New Roman" w:hAnsi="Times New Roman"/>
            <w:sz w:val="24"/>
            <w:szCs w:val="28"/>
          </w:rPr>
          <w:lastRenderedPageBreak/>
          <w:t>leg references GBP LIBOR, as provided by ICE Benchmark Administration Limited as the administrator of the benchmark (or a successor administrator);</w:t>
        </w:r>
      </w:ins>
    </w:p>
    <w:p w14:paraId="5A5C33D1" w14:textId="7ED8342C" w:rsidR="00380742" w:rsidRPr="005B7F6C" w:rsidRDefault="00380742" w:rsidP="00061059">
      <w:pPr>
        <w:pStyle w:val="Body"/>
        <w:ind w:left="1276"/>
        <w:rPr>
          <w:ins w:id="384" w:author="Any Authorised User" w:date="2021-03-25T18:24:00Z"/>
          <w:rFonts w:ascii="Times New Roman" w:hAnsi="Times New Roman"/>
          <w:sz w:val="24"/>
          <w:szCs w:val="28"/>
        </w:rPr>
      </w:pPr>
      <w:ins w:id="385" w:author="Any Authorised User" w:date="2021-03-25T18:24:00Z">
        <w:r>
          <w:rPr>
            <w:rFonts w:ascii="Times New Roman" w:hAnsi="Times New Roman"/>
            <w:sz w:val="24"/>
            <w:szCs w:val="28"/>
          </w:rPr>
          <w:t xml:space="preserve">“GBP LIBOR Index Cessation Event” </w:t>
        </w:r>
        <w:r w:rsidRPr="005B7F6C">
          <w:rPr>
            <w:rFonts w:ascii="Times New Roman" w:hAnsi="Times New Roman"/>
            <w:sz w:val="24"/>
            <w:szCs w:val="28"/>
          </w:rPr>
          <w:t xml:space="preserve">means, in respect of GBP LIBOR for the Applicable GBP Tenor: </w:t>
        </w:r>
      </w:ins>
    </w:p>
    <w:p w14:paraId="1E3CB9CF" w14:textId="087B0C3A" w:rsidR="00380742" w:rsidRPr="005B7F6C" w:rsidRDefault="00380742" w:rsidP="00061059">
      <w:pPr>
        <w:pStyle w:val="Body"/>
        <w:ind w:left="1985" w:hanging="709"/>
        <w:rPr>
          <w:ins w:id="386" w:author="Any Authorised User" w:date="2021-03-25T18:24:00Z"/>
          <w:rFonts w:ascii="Times New Roman" w:hAnsi="Times New Roman"/>
          <w:sz w:val="24"/>
          <w:szCs w:val="28"/>
        </w:rPr>
      </w:pPr>
      <w:ins w:id="387" w:author="Any Authorised User" w:date="2021-03-25T18:24:00Z">
        <w:r w:rsidRPr="005B7F6C">
          <w:rPr>
            <w:rFonts w:ascii="Times New Roman" w:hAnsi="Times New Roman"/>
            <w:sz w:val="24"/>
            <w:szCs w:val="28"/>
          </w:rPr>
          <w:t>(</w:t>
        </w:r>
      </w:ins>
      <w:ins w:id="388" w:author="Any Authorised User" w:date="2021-03-25T18:25:00Z">
        <w:r>
          <w:rPr>
            <w:rFonts w:ascii="Times New Roman" w:hAnsi="Times New Roman"/>
            <w:sz w:val="24"/>
            <w:szCs w:val="28"/>
          </w:rPr>
          <w:t>I</w:t>
        </w:r>
      </w:ins>
      <w:ins w:id="389" w:author="Any Authorised User" w:date="2021-03-25T18:24:00Z">
        <w:r w:rsidRPr="005B7F6C">
          <w:rPr>
            <w:rFonts w:ascii="Times New Roman" w:hAnsi="Times New Roman"/>
            <w:sz w:val="24"/>
            <w:szCs w:val="28"/>
          </w:rPr>
          <w:t>)</w:t>
        </w:r>
        <w:r w:rsidRPr="005B7F6C">
          <w:rPr>
            <w:rFonts w:ascii="Times New Roman" w:hAnsi="Times New Roman"/>
            <w:sz w:val="24"/>
            <w:szCs w:val="28"/>
          </w:rPr>
          <w:tab/>
          <w:t xml:space="preserve">the </w:t>
        </w:r>
      </w:ins>
      <w:ins w:id="390" w:author="Any Authorised User" w:date="2021-04-30T19:17:00Z">
        <w:r w:rsidR="003D6264">
          <w:rPr>
            <w:rFonts w:ascii="Times New Roman" w:hAnsi="Times New Roman"/>
            <w:sz w:val="24"/>
            <w:szCs w:val="28"/>
          </w:rPr>
          <w:t>statemen</w:t>
        </w:r>
      </w:ins>
      <w:ins w:id="391" w:author="Any Authorised User" w:date="2021-04-30T19:18:00Z">
        <w:r w:rsidR="003D6264">
          <w:rPr>
            <w:rFonts w:ascii="Times New Roman" w:hAnsi="Times New Roman"/>
            <w:sz w:val="24"/>
            <w:szCs w:val="28"/>
          </w:rPr>
          <w:t>t</w:t>
        </w:r>
      </w:ins>
      <w:ins w:id="392" w:author="Any Authorised User" w:date="2021-03-25T18:24:00Z">
        <w:r w:rsidRPr="005B7F6C">
          <w:rPr>
            <w:rFonts w:ascii="Times New Roman" w:hAnsi="Times New Roman"/>
            <w:sz w:val="24"/>
            <w:szCs w:val="28"/>
          </w:rPr>
          <w:t xml:space="preserve"> by the Financial Conduct Authority on 5 March 2021 that GBP LIBOR for the Applicable GBP Tenor would be Non-Representative after 31 December 2021; or</w:t>
        </w:r>
      </w:ins>
    </w:p>
    <w:p w14:paraId="1AB10EB9" w14:textId="77777777" w:rsidR="00380742" w:rsidRPr="005B7F6C" w:rsidRDefault="00380742" w:rsidP="00061059">
      <w:pPr>
        <w:pStyle w:val="Body"/>
        <w:ind w:left="1985" w:hanging="709"/>
        <w:rPr>
          <w:ins w:id="393" w:author="Any Authorised User" w:date="2021-03-25T18:24:00Z"/>
          <w:rFonts w:ascii="Times New Roman" w:hAnsi="Times New Roman"/>
          <w:sz w:val="24"/>
          <w:szCs w:val="28"/>
        </w:rPr>
      </w:pPr>
      <w:ins w:id="394" w:author="Any Authorised User" w:date="2021-03-25T18:24:00Z">
        <w:r w:rsidRPr="005B7F6C">
          <w:rPr>
            <w:rFonts w:ascii="Times New Roman" w:hAnsi="Times New Roman"/>
            <w:sz w:val="24"/>
            <w:szCs w:val="28"/>
          </w:rPr>
          <w:t>(</w:t>
        </w:r>
      </w:ins>
      <w:ins w:id="395" w:author="Any Authorised User" w:date="2021-03-25T18:25:00Z">
        <w:r>
          <w:rPr>
            <w:rFonts w:ascii="Times New Roman" w:hAnsi="Times New Roman"/>
            <w:sz w:val="24"/>
            <w:szCs w:val="28"/>
          </w:rPr>
          <w:t>II</w:t>
        </w:r>
      </w:ins>
      <w:ins w:id="396" w:author="Any Authorised User" w:date="2021-03-25T18:24:00Z">
        <w:r w:rsidRPr="005B7F6C">
          <w:rPr>
            <w:rFonts w:ascii="Times New Roman" w:hAnsi="Times New Roman"/>
            <w:sz w:val="24"/>
            <w:szCs w:val="28"/>
          </w:rPr>
          <w:t>)</w:t>
        </w:r>
        <w:r w:rsidRPr="005B7F6C">
          <w:rPr>
            <w:rFonts w:ascii="Times New Roman" w:hAnsi="Times New Roman"/>
            <w:sz w:val="24"/>
            <w:szCs w:val="28"/>
          </w:rPr>
          <w:tab/>
          <w:t>the occurrence of any of the following events:</w:t>
        </w:r>
      </w:ins>
    </w:p>
    <w:p w14:paraId="158E7E7D" w14:textId="77777777" w:rsidR="00380742" w:rsidRPr="005B7F6C" w:rsidRDefault="00380742" w:rsidP="00061059">
      <w:pPr>
        <w:pStyle w:val="Body"/>
        <w:ind w:left="2552" w:hanging="567"/>
        <w:rPr>
          <w:ins w:id="397" w:author="Any Authorised User" w:date="2021-03-25T18:24:00Z"/>
          <w:rFonts w:ascii="Times New Roman" w:hAnsi="Times New Roman"/>
          <w:sz w:val="24"/>
          <w:szCs w:val="28"/>
        </w:rPr>
      </w:pPr>
      <w:ins w:id="398" w:author="Any Authorised User" w:date="2021-03-25T18:24:00Z">
        <w:r w:rsidRPr="005B7F6C">
          <w:rPr>
            <w:rFonts w:ascii="Times New Roman" w:hAnsi="Times New Roman"/>
            <w:sz w:val="24"/>
            <w:szCs w:val="28"/>
          </w:rPr>
          <w:t>(</w:t>
        </w:r>
      </w:ins>
      <w:ins w:id="399" w:author="Any Authorised User" w:date="2021-03-25T18:25:00Z">
        <w:r>
          <w:rPr>
            <w:rFonts w:ascii="Times New Roman" w:hAnsi="Times New Roman"/>
            <w:sz w:val="24"/>
            <w:szCs w:val="28"/>
          </w:rPr>
          <w:t>A</w:t>
        </w:r>
      </w:ins>
      <w:ins w:id="400" w:author="Any Authorised User" w:date="2021-03-25T18:24:00Z">
        <w:r w:rsidRPr="005B7F6C">
          <w:rPr>
            <w:rFonts w:ascii="Times New Roman" w:hAnsi="Times New Roman"/>
            <w:sz w:val="24"/>
            <w:szCs w:val="28"/>
          </w:rPr>
          <w:t>)</w:t>
        </w:r>
        <w:r w:rsidRPr="005B7F6C">
          <w:rPr>
            <w:rFonts w:ascii="Times New Roman" w:hAnsi="Times New Roman"/>
            <w:sz w:val="24"/>
            <w:szCs w:val="28"/>
          </w:rPr>
          <w:tab/>
          <w:t>a public statement or publication of information by or on behalf of the administrator of GBP LIBOR announcing that it has ceased or will cease to provide GBP LIBOR for the Applicable GBP Tenor permanently or indefinitely, provided that, at the time of the statement or publication, there is no successor administrator that will continue to provide GBP LIBOR for the Applicable GBP Tenor;</w:t>
        </w:r>
      </w:ins>
    </w:p>
    <w:p w14:paraId="16974C7E" w14:textId="77777777" w:rsidR="00380742" w:rsidRPr="005B7F6C" w:rsidRDefault="00380742" w:rsidP="00061059">
      <w:pPr>
        <w:pStyle w:val="Body"/>
        <w:ind w:left="2552" w:hanging="567"/>
        <w:rPr>
          <w:ins w:id="401" w:author="Any Authorised User" w:date="2021-03-25T18:24:00Z"/>
          <w:rFonts w:ascii="Times New Roman" w:hAnsi="Times New Roman"/>
          <w:sz w:val="24"/>
          <w:szCs w:val="28"/>
        </w:rPr>
      </w:pPr>
      <w:ins w:id="402" w:author="Any Authorised User" w:date="2021-03-25T18:24:00Z">
        <w:r w:rsidRPr="005B7F6C">
          <w:rPr>
            <w:rFonts w:ascii="Times New Roman" w:hAnsi="Times New Roman"/>
            <w:sz w:val="24"/>
            <w:szCs w:val="28"/>
          </w:rPr>
          <w:t>(</w:t>
        </w:r>
      </w:ins>
      <w:ins w:id="403" w:author="Any Authorised User" w:date="2021-03-25T18:25:00Z">
        <w:r>
          <w:rPr>
            <w:rFonts w:ascii="Times New Roman" w:hAnsi="Times New Roman"/>
            <w:sz w:val="24"/>
            <w:szCs w:val="28"/>
          </w:rPr>
          <w:t>B</w:t>
        </w:r>
      </w:ins>
      <w:ins w:id="404" w:author="Any Authorised User" w:date="2021-03-25T18:24:00Z">
        <w:r w:rsidRPr="005B7F6C">
          <w:rPr>
            <w:rFonts w:ascii="Times New Roman" w:hAnsi="Times New Roman"/>
            <w:sz w:val="24"/>
            <w:szCs w:val="28"/>
          </w:rPr>
          <w:t>)</w:t>
        </w:r>
        <w:r w:rsidRPr="005B7F6C">
          <w:rPr>
            <w:rFonts w:ascii="Times New Roman" w:hAnsi="Times New Roman"/>
            <w:sz w:val="24"/>
            <w:szCs w:val="28"/>
          </w:rPr>
          <w:tab/>
          <w:t>a public statement or publication of information by the regulatory supervisor for the administrator of GBP LIBOR, the central bank for the currency of GBP LIBOR, an insolvency official with jurisdiction over the administrator for GBP LIBOR, a resolution authority with jurisdiction over the administrator for GBP LIBOR or a court or an entity with similar insolvency or resolution authority over the administrator for GBP LIBOR, which states that the administrator of GBP LIBOR has ceased or will cease to provide GBP LIBOR for the Applicable GBP Tenor permanently or indefinitely, provided that, at the time of the statement or publication, there is no successor administrator that will continue to provide GBP LIBOR for the Applicable GBP Tenor; or</w:t>
        </w:r>
      </w:ins>
    </w:p>
    <w:p w14:paraId="79700AD3" w14:textId="4AFF979A" w:rsidR="00380742" w:rsidRPr="00380742" w:rsidRDefault="00380742" w:rsidP="00061059">
      <w:pPr>
        <w:pStyle w:val="Body"/>
        <w:ind w:left="2552" w:hanging="567"/>
        <w:rPr>
          <w:ins w:id="405" w:author="Any Authorised User" w:date="2021-03-25T18:28:00Z"/>
          <w:rFonts w:ascii="Times New Roman" w:hAnsi="Times New Roman"/>
          <w:b/>
          <w:bCs/>
          <w:i/>
          <w:iCs/>
          <w:sz w:val="24"/>
          <w:szCs w:val="28"/>
        </w:rPr>
      </w:pPr>
      <w:ins w:id="406" w:author="Any Authorised User" w:date="2021-03-25T18:24:00Z">
        <w:r w:rsidRPr="005B7F6C">
          <w:rPr>
            <w:rFonts w:ascii="Times New Roman" w:hAnsi="Times New Roman"/>
            <w:sz w:val="24"/>
            <w:szCs w:val="28"/>
          </w:rPr>
          <w:t>(</w:t>
        </w:r>
      </w:ins>
      <w:ins w:id="407" w:author="Any Authorised User" w:date="2021-03-25T18:25:00Z">
        <w:r>
          <w:rPr>
            <w:rFonts w:ascii="Times New Roman" w:hAnsi="Times New Roman"/>
            <w:sz w:val="24"/>
            <w:szCs w:val="28"/>
          </w:rPr>
          <w:t>C</w:t>
        </w:r>
      </w:ins>
      <w:ins w:id="408" w:author="Any Authorised User" w:date="2021-03-25T18:24:00Z">
        <w:r w:rsidRPr="005B7F6C">
          <w:rPr>
            <w:rFonts w:ascii="Times New Roman" w:hAnsi="Times New Roman"/>
            <w:sz w:val="24"/>
            <w:szCs w:val="28"/>
          </w:rPr>
          <w:t>)</w:t>
        </w:r>
        <w:r w:rsidRPr="005B7F6C">
          <w:rPr>
            <w:rFonts w:ascii="Times New Roman" w:hAnsi="Times New Roman"/>
            <w:sz w:val="24"/>
            <w:szCs w:val="28"/>
          </w:rPr>
          <w:tab/>
          <w:t xml:space="preserve">a public statement or publication of information by the regulatory supervisor for the administrator of GBP LIBOR announcing that (A) the regulatory supervisor has determined that GBP LIBOR for the Applicable GBP Tenor is no longer, or as of a specified future date will no longer be, representative of the underlying market and economic reality that GBP LIBOR for that Applicable GBP Tenor is intended to measure and that </w:t>
        </w:r>
        <w:r w:rsidRPr="005B7F6C">
          <w:rPr>
            <w:rFonts w:ascii="Times New Roman" w:hAnsi="Times New Roman"/>
            <w:sz w:val="24"/>
            <w:szCs w:val="28"/>
          </w:rPr>
          <w:lastRenderedPageBreak/>
          <w:t>representativeness will not be restored and (B) it is being made in the awareness that the statement or publication will engage certain contractual triggers for fallbacks activated by pre-cessation announcements by such supervisor (howsoever described) in contracts</w:t>
        </w:r>
      </w:ins>
      <w:ins w:id="409" w:author="Any Authorised User" w:date="2021-03-25T19:08:00Z">
        <w:r>
          <w:rPr>
            <w:rFonts w:ascii="Times New Roman" w:hAnsi="Times New Roman"/>
            <w:sz w:val="24"/>
            <w:szCs w:val="28"/>
          </w:rPr>
          <w:t>.</w:t>
        </w:r>
      </w:ins>
      <w:ins w:id="410" w:author="Any Authorised User" w:date="2021-05-07T11:48:00Z">
        <w:r w:rsidR="00B01C3D">
          <w:rPr>
            <w:rFonts w:ascii="Times New Roman" w:hAnsi="Times New Roman"/>
            <w:sz w:val="24"/>
            <w:szCs w:val="28"/>
          </w:rPr>
          <w:t xml:space="preserve"> </w:t>
        </w:r>
        <w:r w:rsidR="00B01C3D" w:rsidRPr="008402A9">
          <w:rPr>
            <w:rFonts w:ascii="Times New Roman" w:hAnsi="Times New Roman"/>
            <w:sz w:val="24"/>
            <w:szCs w:val="28"/>
          </w:rPr>
          <w:t>[</w:t>
        </w:r>
      </w:ins>
      <w:ins w:id="411" w:author="Any Authorised User" w:date="2021-06-09T16:50:00Z">
        <w:r w:rsidR="008402A9">
          <w:rPr>
            <w:rFonts w:ascii="Times New Roman" w:hAnsi="Times New Roman"/>
            <w:b/>
            <w:bCs/>
            <w:i/>
            <w:iCs/>
            <w:sz w:val="24"/>
            <w:szCs w:val="28"/>
            <w:highlight w:val="yellow"/>
          </w:rPr>
          <w:t>Drafting note</w:t>
        </w:r>
      </w:ins>
      <w:ins w:id="412" w:author="Any Authorised User" w:date="2021-05-07T11:48:00Z">
        <w:r w:rsidR="00B01C3D" w:rsidRPr="00B01C3D">
          <w:rPr>
            <w:rFonts w:ascii="Times New Roman" w:hAnsi="Times New Roman"/>
            <w:b/>
            <w:bCs/>
            <w:i/>
            <w:iCs/>
            <w:sz w:val="24"/>
            <w:szCs w:val="28"/>
            <w:highlight w:val="yellow"/>
          </w:rPr>
          <w:t xml:space="preserve">: We have included limb (II) to deal with a scenario where a second announcement is made which </w:t>
        </w:r>
      </w:ins>
      <w:ins w:id="413" w:author="Any Authorised User" w:date="2021-05-07T11:49:00Z">
        <w:r w:rsidR="00B01C3D" w:rsidRPr="00B01C3D">
          <w:rPr>
            <w:rFonts w:ascii="Times New Roman" w:hAnsi="Times New Roman"/>
            <w:b/>
            <w:bCs/>
            <w:i/>
            <w:iCs/>
            <w:sz w:val="24"/>
            <w:szCs w:val="28"/>
            <w:highlight w:val="yellow"/>
          </w:rPr>
          <w:t>constitutes</w:t>
        </w:r>
      </w:ins>
      <w:ins w:id="414" w:author="Any Authorised User" w:date="2021-05-07T11:48:00Z">
        <w:r w:rsidR="00B01C3D" w:rsidRPr="00B01C3D">
          <w:rPr>
            <w:rFonts w:ascii="Times New Roman" w:hAnsi="Times New Roman"/>
            <w:b/>
            <w:bCs/>
            <w:i/>
            <w:iCs/>
            <w:sz w:val="24"/>
            <w:szCs w:val="28"/>
            <w:highlight w:val="yellow"/>
          </w:rPr>
          <w:t xml:space="preserve"> an Index Cessation Eve</w:t>
        </w:r>
      </w:ins>
      <w:ins w:id="415" w:author="Any Authorised User" w:date="2021-05-07T11:49:00Z">
        <w:r w:rsidR="00B01C3D" w:rsidRPr="00B01C3D">
          <w:rPr>
            <w:rFonts w:ascii="Times New Roman" w:hAnsi="Times New Roman"/>
            <w:b/>
            <w:bCs/>
            <w:i/>
            <w:iCs/>
            <w:sz w:val="24"/>
            <w:szCs w:val="28"/>
            <w:highlight w:val="yellow"/>
          </w:rPr>
          <w:t xml:space="preserve">nt and changes the dates for </w:t>
        </w:r>
      </w:ins>
      <w:ins w:id="416" w:author="Any Authorised User" w:date="2021-05-07T13:52:00Z">
        <w:r w:rsidR="00FB0DDC">
          <w:rPr>
            <w:rFonts w:ascii="Times New Roman" w:hAnsi="Times New Roman"/>
            <w:b/>
            <w:bCs/>
            <w:i/>
            <w:iCs/>
            <w:sz w:val="24"/>
            <w:szCs w:val="28"/>
            <w:highlight w:val="yellow"/>
          </w:rPr>
          <w:t xml:space="preserve">GBP </w:t>
        </w:r>
      </w:ins>
      <w:ins w:id="417" w:author="Any Authorised User" w:date="2021-05-07T11:49:00Z">
        <w:r w:rsidR="00B01C3D" w:rsidRPr="00B01C3D">
          <w:rPr>
            <w:rFonts w:ascii="Times New Roman" w:hAnsi="Times New Roman"/>
            <w:b/>
            <w:bCs/>
            <w:i/>
            <w:iCs/>
            <w:sz w:val="24"/>
            <w:szCs w:val="28"/>
            <w:highlight w:val="yellow"/>
          </w:rPr>
          <w:t>LIBOR cessation</w:t>
        </w:r>
      </w:ins>
      <w:ins w:id="418" w:author="Any Authorised User" w:date="2021-05-07T15:33:00Z">
        <w:r w:rsidR="00945827">
          <w:rPr>
            <w:rFonts w:ascii="Times New Roman" w:hAnsi="Times New Roman"/>
            <w:b/>
            <w:bCs/>
            <w:i/>
            <w:iCs/>
            <w:sz w:val="24"/>
            <w:szCs w:val="28"/>
            <w:highlight w:val="yellow"/>
          </w:rPr>
          <w:t>/non-representativeness</w:t>
        </w:r>
      </w:ins>
      <w:ins w:id="419" w:author="Any Authorised User" w:date="2021-05-07T11:49:00Z">
        <w:r w:rsidR="00B01C3D" w:rsidRPr="00B01C3D">
          <w:rPr>
            <w:rFonts w:ascii="Times New Roman" w:hAnsi="Times New Roman"/>
            <w:b/>
            <w:bCs/>
            <w:i/>
            <w:iCs/>
            <w:sz w:val="24"/>
            <w:szCs w:val="28"/>
            <w:highlight w:val="yellow"/>
          </w:rPr>
          <w:t xml:space="preserve"> already announced. This is not expected to occur but we have contemplated this in the drafting just in case.</w:t>
        </w:r>
      </w:ins>
      <w:ins w:id="420" w:author="Any Authorised User" w:date="2021-05-12T14:54:00Z">
        <w:r w:rsidR="004F0BEE">
          <w:rPr>
            <w:rFonts w:ascii="Times New Roman" w:hAnsi="Times New Roman"/>
            <w:b/>
            <w:bCs/>
            <w:i/>
            <w:iCs/>
            <w:sz w:val="24"/>
            <w:szCs w:val="28"/>
            <w:highlight w:val="yellow"/>
          </w:rPr>
          <w:t xml:space="preserve"> In the event that (II) above did apply (i.e. if a seco</w:t>
        </w:r>
      </w:ins>
      <w:ins w:id="421" w:author="Any Authorised User" w:date="2021-05-12T14:55:00Z">
        <w:r w:rsidR="004F0BEE">
          <w:rPr>
            <w:rFonts w:ascii="Times New Roman" w:hAnsi="Times New Roman"/>
            <w:b/>
            <w:bCs/>
            <w:i/>
            <w:iCs/>
            <w:sz w:val="24"/>
            <w:szCs w:val="28"/>
            <w:highlight w:val="yellow"/>
          </w:rPr>
          <w:t xml:space="preserve">nd announcement </w:t>
        </w:r>
      </w:ins>
      <w:ins w:id="422" w:author="Any Authorised User" w:date="2021-05-12T14:57:00Z">
        <w:r w:rsidR="004F0BEE">
          <w:rPr>
            <w:rFonts w:ascii="Times New Roman" w:hAnsi="Times New Roman"/>
            <w:b/>
            <w:bCs/>
            <w:i/>
            <w:iCs/>
            <w:sz w:val="24"/>
            <w:szCs w:val="28"/>
            <w:highlight w:val="yellow"/>
          </w:rPr>
          <w:t>were</w:t>
        </w:r>
      </w:ins>
      <w:ins w:id="423" w:author="Any Authorised User" w:date="2021-05-12T14:55:00Z">
        <w:r w:rsidR="004F0BEE">
          <w:rPr>
            <w:rFonts w:ascii="Times New Roman" w:hAnsi="Times New Roman"/>
            <w:b/>
            <w:bCs/>
            <w:i/>
            <w:iCs/>
            <w:sz w:val="24"/>
            <w:szCs w:val="28"/>
            <w:highlight w:val="yellow"/>
          </w:rPr>
          <w:t xml:space="preserve"> made which constitutes an Index Cessation Event), this </w:t>
        </w:r>
      </w:ins>
      <w:ins w:id="424" w:author="Any Authorised User" w:date="2021-05-12T14:57:00Z">
        <w:r w:rsidR="004F0BEE">
          <w:rPr>
            <w:rFonts w:ascii="Times New Roman" w:hAnsi="Times New Roman"/>
            <w:b/>
            <w:bCs/>
            <w:i/>
            <w:iCs/>
            <w:sz w:val="24"/>
            <w:szCs w:val="28"/>
            <w:highlight w:val="yellow"/>
          </w:rPr>
          <w:t>would</w:t>
        </w:r>
      </w:ins>
      <w:ins w:id="425" w:author="Any Authorised User" w:date="2021-05-12T14:55:00Z">
        <w:r w:rsidR="004F0BEE">
          <w:rPr>
            <w:rFonts w:ascii="Times New Roman" w:hAnsi="Times New Roman"/>
            <w:b/>
            <w:bCs/>
            <w:i/>
            <w:iCs/>
            <w:sz w:val="24"/>
            <w:szCs w:val="28"/>
            <w:highlight w:val="yellow"/>
          </w:rPr>
          <w:t xml:space="preserve"> not have any effect on the fixed Bloomberg spread adjustments announced by Bloomberg. </w:t>
        </w:r>
      </w:ins>
      <w:ins w:id="426" w:author="Any Authorised User" w:date="2021-05-12T14:56:00Z">
        <w:r w:rsidR="004F0BEE">
          <w:rPr>
            <w:rFonts w:ascii="Times New Roman" w:hAnsi="Times New Roman"/>
            <w:b/>
            <w:bCs/>
            <w:i/>
            <w:iCs/>
            <w:sz w:val="24"/>
            <w:szCs w:val="28"/>
            <w:highlight w:val="yellow"/>
          </w:rPr>
          <w:t xml:space="preserve">Therefore, whilst the Applicable LIBOR Index Cessation Effective Date could change if a second announcement </w:t>
        </w:r>
      </w:ins>
      <w:ins w:id="427" w:author="Any Authorised User" w:date="2021-05-12T14:57:00Z">
        <w:r w:rsidR="004F0BEE">
          <w:rPr>
            <w:rFonts w:ascii="Times New Roman" w:hAnsi="Times New Roman"/>
            <w:b/>
            <w:bCs/>
            <w:i/>
            <w:iCs/>
            <w:sz w:val="24"/>
            <w:szCs w:val="28"/>
            <w:highlight w:val="yellow"/>
          </w:rPr>
          <w:t>constituting</w:t>
        </w:r>
      </w:ins>
      <w:ins w:id="428" w:author="Any Authorised User" w:date="2021-05-12T14:56:00Z">
        <w:r w:rsidR="004F0BEE">
          <w:rPr>
            <w:rFonts w:ascii="Times New Roman" w:hAnsi="Times New Roman"/>
            <w:b/>
            <w:bCs/>
            <w:i/>
            <w:iCs/>
            <w:sz w:val="24"/>
            <w:szCs w:val="28"/>
            <w:highlight w:val="yellow"/>
          </w:rPr>
          <w:t xml:space="preserve"> an Index </w:t>
        </w:r>
      </w:ins>
      <w:ins w:id="429" w:author="Any Authorised User" w:date="2021-05-12T14:57:00Z">
        <w:r w:rsidR="004F0BEE">
          <w:rPr>
            <w:rFonts w:ascii="Times New Roman" w:hAnsi="Times New Roman"/>
            <w:b/>
            <w:bCs/>
            <w:i/>
            <w:iCs/>
            <w:sz w:val="24"/>
            <w:szCs w:val="28"/>
            <w:highlight w:val="yellow"/>
          </w:rPr>
          <w:t>Cessation</w:t>
        </w:r>
      </w:ins>
      <w:ins w:id="430" w:author="Any Authorised User" w:date="2021-05-12T14:56:00Z">
        <w:r w:rsidR="004F0BEE">
          <w:rPr>
            <w:rFonts w:ascii="Times New Roman" w:hAnsi="Times New Roman"/>
            <w:b/>
            <w:bCs/>
            <w:i/>
            <w:iCs/>
            <w:sz w:val="24"/>
            <w:szCs w:val="28"/>
            <w:highlight w:val="yellow"/>
          </w:rPr>
          <w:t xml:space="preserve"> Event </w:t>
        </w:r>
      </w:ins>
      <w:ins w:id="431" w:author="Any Authorised User" w:date="2021-05-12T14:57:00Z">
        <w:r w:rsidR="004F0BEE">
          <w:rPr>
            <w:rFonts w:ascii="Times New Roman" w:hAnsi="Times New Roman"/>
            <w:b/>
            <w:bCs/>
            <w:i/>
            <w:iCs/>
            <w:sz w:val="24"/>
            <w:szCs w:val="28"/>
            <w:highlight w:val="yellow"/>
          </w:rPr>
          <w:t xml:space="preserve">were to be </w:t>
        </w:r>
      </w:ins>
      <w:ins w:id="432" w:author="Any Authorised User" w:date="2021-05-12T14:56:00Z">
        <w:r w:rsidR="004F0BEE">
          <w:rPr>
            <w:rFonts w:ascii="Times New Roman" w:hAnsi="Times New Roman"/>
            <w:b/>
            <w:bCs/>
            <w:i/>
            <w:iCs/>
            <w:sz w:val="24"/>
            <w:szCs w:val="28"/>
            <w:highlight w:val="yellow"/>
          </w:rPr>
          <w:t xml:space="preserve">made, the spread </w:t>
        </w:r>
      </w:ins>
      <w:ins w:id="433" w:author="Any Authorised User" w:date="2021-05-12T14:57:00Z">
        <w:r w:rsidR="004F0BEE">
          <w:rPr>
            <w:rFonts w:ascii="Times New Roman" w:hAnsi="Times New Roman"/>
            <w:b/>
            <w:bCs/>
            <w:i/>
            <w:iCs/>
            <w:sz w:val="24"/>
            <w:szCs w:val="28"/>
            <w:highlight w:val="yellow"/>
          </w:rPr>
          <w:t xml:space="preserve">adjustment </w:t>
        </w:r>
      </w:ins>
      <w:ins w:id="434" w:author="Any Authorised User" w:date="2021-05-12T14:56:00Z">
        <w:r w:rsidR="004F0BEE">
          <w:rPr>
            <w:rFonts w:ascii="Times New Roman" w:hAnsi="Times New Roman"/>
            <w:b/>
            <w:bCs/>
            <w:i/>
            <w:iCs/>
            <w:sz w:val="24"/>
            <w:szCs w:val="28"/>
            <w:highlight w:val="yellow"/>
          </w:rPr>
          <w:t>will not change.</w:t>
        </w:r>
      </w:ins>
      <w:ins w:id="435" w:author="Any Authorised User" w:date="2021-05-07T11:49:00Z">
        <w:r w:rsidR="00B01C3D" w:rsidRPr="008402A9">
          <w:rPr>
            <w:rFonts w:ascii="Times New Roman" w:hAnsi="Times New Roman"/>
            <w:sz w:val="24"/>
            <w:szCs w:val="28"/>
          </w:rPr>
          <w:t>]</w:t>
        </w:r>
      </w:ins>
    </w:p>
    <w:p w14:paraId="11879B3D" w14:textId="57C3994D" w:rsidR="005B7F6C" w:rsidRDefault="005B7F6C" w:rsidP="00061059">
      <w:pPr>
        <w:pStyle w:val="Body"/>
        <w:ind w:left="1276"/>
        <w:rPr>
          <w:ins w:id="436" w:author="Any Authorised User" w:date="2021-03-25T18:11:00Z"/>
          <w:rFonts w:ascii="Times New Roman" w:hAnsi="Times New Roman"/>
          <w:sz w:val="24"/>
          <w:szCs w:val="28"/>
        </w:rPr>
      </w:pPr>
      <w:ins w:id="437" w:author="Any Authorised User" w:date="2021-03-25T18:28:00Z">
        <w:r>
          <w:rPr>
            <w:rFonts w:ascii="Times New Roman" w:hAnsi="Times New Roman"/>
            <w:sz w:val="24"/>
            <w:szCs w:val="28"/>
          </w:rPr>
          <w:t xml:space="preserve">“GBP SONIA ICE Swap Rate” </w:t>
        </w:r>
        <w:r w:rsidRPr="005B7F6C">
          <w:rPr>
            <w:rFonts w:ascii="Times New Roman" w:hAnsi="Times New Roman"/>
            <w:sz w:val="24"/>
            <w:szCs w:val="28"/>
          </w:rPr>
          <w:t xml:space="preserve">means the </w:t>
        </w:r>
      </w:ins>
      <w:ins w:id="438" w:author="Any Authorised User" w:date="2021-04-28T10:40:00Z">
        <w:r w:rsidR="006B3783">
          <w:rPr>
            <w:rFonts w:ascii="Times New Roman" w:hAnsi="Times New Roman"/>
            <w:sz w:val="24"/>
            <w:szCs w:val="28"/>
          </w:rPr>
          <w:t>benchmark</w:t>
        </w:r>
      </w:ins>
      <w:ins w:id="439" w:author="Any Authorised User" w:date="2021-03-25T18:28:00Z">
        <w:r w:rsidRPr="005B7F6C">
          <w:rPr>
            <w:rFonts w:ascii="Times New Roman" w:hAnsi="Times New Roman"/>
            <w:sz w:val="24"/>
            <w:szCs w:val="28"/>
          </w:rPr>
          <w:t xml:space="preserve"> for </w:t>
        </w:r>
      </w:ins>
      <w:ins w:id="440" w:author="Any Authorised User" w:date="2021-04-28T10:41:00Z">
        <w:r w:rsidR="006B3783">
          <w:rPr>
            <w:rFonts w:ascii="Times New Roman" w:hAnsi="Times New Roman"/>
            <w:sz w:val="24"/>
            <w:szCs w:val="28"/>
          </w:rPr>
          <w:t xml:space="preserve">the mid-price for the fixed leg of </w:t>
        </w:r>
      </w:ins>
      <w:ins w:id="441" w:author="Any Authorised User" w:date="2021-03-25T18:28:00Z">
        <w:r w:rsidRPr="005B7F6C">
          <w:rPr>
            <w:rFonts w:ascii="Times New Roman" w:hAnsi="Times New Roman"/>
            <w:sz w:val="24"/>
            <w:szCs w:val="28"/>
          </w:rPr>
          <w:t>a fixed-for-floating Sterling swap transaction where the floating leg references the Sterling Overnight Index Average rate administered by the Bank of England (or any successor administrator) (SONIA), as provided by ICE Benchmark Administration Limited as the administrator of the benchmark (or a successor administrator);</w:t>
        </w:r>
      </w:ins>
    </w:p>
    <w:p w14:paraId="5B0885E8" w14:textId="3E334674" w:rsidR="005B7F6C" w:rsidRPr="005B7F6C" w:rsidRDefault="005B7F6C" w:rsidP="00061059">
      <w:pPr>
        <w:pStyle w:val="Body"/>
        <w:ind w:left="1276"/>
        <w:rPr>
          <w:ins w:id="442" w:author="Any Authorised User" w:date="2021-03-25T18:28:00Z"/>
          <w:rFonts w:ascii="Times New Roman" w:hAnsi="Times New Roman"/>
          <w:sz w:val="24"/>
          <w:szCs w:val="28"/>
        </w:rPr>
      </w:pPr>
      <w:ins w:id="443" w:author="Any Authorised User" w:date="2021-03-25T18:28:00Z">
        <w:r>
          <w:rPr>
            <w:rFonts w:ascii="Times New Roman" w:hAnsi="Times New Roman"/>
            <w:sz w:val="24"/>
            <w:szCs w:val="28"/>
          </w:rPr>
          <w:t>“</w:t>
        </w:r>
      </w:ins>
      <w:ins w:id="444" w:author="Any Authorised User" w:date="2021-03-25T18:24:00Z">
        <w:r>
          <w:rPr>
            <w:rFonts w:ascii="Times New Roman" w:hAnsi="Times New Roman"/>
            <w:sz w:val="24"/>
            <w:szCs w:val="28"/>
          </w:rPr>
          <w:t>Non-Representative</w:t>
        </w:r>
      </w:ins>
      <w:ins w:id="445" w:author="Any Authorised User" w:date="2021-03-25T18:28:00Z">
        <w:r>
          <w:rPr>
            <w:rFonts w:ascii="Times New Roman" w:hAnsi="Times New Roman"/>
            <w:sz w:val="24"/>
            <w:szCs w:val="28"/>
          </w:rPr>
          <w:t xml:space="preserve">” means </w:t>
        </w:r>
        <w:r w:rsidRPr="005B7F6C">
          <w:rPr>
            <w:rFonts w:ascii="Times New Roman" w:hAnsi="Times New Roman"/>
            <w:sz w:val="24"/>
            <w:szCs w:val="28"/>
          </w:rPr>
          <w:t xml:space="preserve">the regulatory supervisor for the administrator of </w:t>
        </w:r>
      </w:ins>
      <w:ins w:id="446" w:author="Any Authorised User" w:date="2021-03-25T18:31:00Z">
        <w:r w:rsidR="001F3CA5">
          <w:rPr>
            <w:rFonts w:ascii="Times New Roman" w:hAnsi="Times New Roman"/>
            <w:sz w:val="24"/>
            <w:szCs w:val="28"/>
          </w:rPr>
          <w:t>the Applicable</w:t>
        </w:r>
      </w:ins>
      <w:ins w:id="447" w:author="Any Authorised User" w:date="2021-03-25T18:28:00Z">
        <w:r w:rsidRPr="005B7F6C">
          <w:rPr>
            <w:rFonts w:ascii="Times New Roman" w:hAnsi="Times New Roman"/>
            <w:sz w:val="24"/>
            <w:szCs w:val="28"/>
          </w:rPr>
          <w:t xml:space="preserve"> LIBOR:</w:t>
        </w:r>
      </w:ins>
    </w:p>
    <w:p w14:paraId="7105F63C" w14:textId="717D752D" w:rsidR="005B7F6C" w:rsidRPr="005B7F6C" w:rsidRDefault="005B7F6C" w:rsidP="00061059">
      <w:pPr>
        <w:pStyle w:val="Body"/>
        <w:ind w:left="1843" w:hanging="567"/>
        <w:rPr>
          <w:ins w:id="448" w:author="Any Authorised User" w:date="2021-03-25T18:28:00Z"/>
          <w:rFonts w:ascii="Times New Roman" w:hAnsi="Times New Roman"/>
          <w:sz w:val="24"/>
          <w:szCs w:val="28"/>
        </w:rPr>
      </w:pPr>
      <w:ins w:id="449" w:author="Any Authorised User" w:date="2021-03-25T18:28:00Z">
        <w:r w:rsidRPr="005B7F6C">
          <w:rPr>
            <w:rFonts w:ascii="Times New Roman" w:hAnsi="Times New Roman"/>
            <w:sz w:val="24"/>
            <w:szCs w:val="28"/>
          </w:rPr>
          <w:t>(</w:t>
        </w:r>
      </w:ins>
      <w:ins w:id="450" w:author="Any Authorised User" w:date="2021-03-25T18:30:00Z">
        <w:r w:rsidR="001F3CA5">
          <w:rPr>
            <w:rFonts w:ascii="Times New Roman" w:hAnsi="Times New Roman"/>
            <w:sz w:val="24"/>
            <w:szCs w:val="28"/>
          </w:rPr>
          <w:t>I</w:t>
        </w:r>
      </w:ins>
      <w:ins w:id="451" w:author="Any Authorised User" w:date="2021-03-25T18:28:00Z">
        <w:r w:rsidRPr="005B7F6C">
          <w:rPr>
            <w:rFonts w:ascii="Times New Roman" w:hAnsi="Times New Roman"/>
            <w:sz w:val="24"/>
            <w:szCs w:val="28"/>
          </w:rPr>
          <w:t>)</w:t>
        </w:r>
        <w:r w:rsidRPr="005B7F6C">
          <w:rPr>
            <w:rFonts w:ascii="Times New Roman" w:hAnsi="Times New Roman"/>
            <w:sz w:val="24"/>
            <w:szCs w:val="28"/>
          </w:rPr>
          <w:tab/>
          <w:t xml:space="preserve">has determined and announced that </w:t>
        </w:r>
      </w:ins>
      <w:ins w:id="452" w:author="Any Authorised User" w:date="2021-03-25T18:31:00Z">
        <w:r w:rsidR="001F3CA5">
          <w:rPr>
            <w:rFonts w:ascii="Times New Roman" w:hAnsi="Times New Roman"/>
            <w:sz w:val="24"/>
            <w:szCs w:val="28"/>
          </w:rPr>
          <w:t>the Applicable</w:t>
        </w:r>
      </w:ins>
      <w:ins w:id="453" w:author="Any Authorised User" w:date="2021-03-25T18:28:00Z">
        <w:r w:rsidRPr="005B7F6C">
          <w:rPr>
            <w:rFonts w:ascii="Times New Roman" w:hAnsi="Times New Roman"/>
            <w:sz w:val="24"/>
            <w:szCs w:val="28"/>
          </w:rPr>
          <w:t xml:space="preserve"> LIBOR for the Applicable Tenor is no longer representative of the underlying market and economic reality it is intended to measure and representativeness will not be restored; and</w:t>
        </w:r>
      </w:ins>
    </w:p>
    <w:p w14:paraId="0CC45DA7" w14:textId="7D78D945" w:rsidR="005B7F6C" w:rsidRPr="005B7F6C" w:rsidRDefault="005B7F6C" w:rsidP="00061059">
      <w:pPr>
        <w:pStyle w:val="Body"/>
        <w:ind w:left="1843" w:hanging="567"/>
        <w:rPr>
          <w:ins w:id="454" w:author="Any Authorised User" w:date="2021-03-25T18:28:00Z"/>
          <w:rFonts w:ascii="Times New Roman" w:hAnsi="Times New Roman"/>
          <w:sz w:val="24"/>
          <w:szCs w:val="28"/>
        </w:rPr>
      </w:pPr>
      <w:ins w:id="455" w:author="Any Authorised User" w:date="2021-03-25T18:28:00Z">
        <w:r w:rsidRPr="005B7F6C">
          <w:rPr>
            <w:rFonts w:ascii="Times New Roman" w:hAnsi="Times New Roman"/>
            <w:sz w:val="24"/>
            <w:szCs w:val="28"/>
          </w:rPr>
          <w:t>(</w:t>
        </w:r>
      </w:ins>
      <w:ins w:id="456" w:author="Any Authorised User" w:date="2021-03-25T18:30:00Z">
        <w:r w:rsidR="001F3CA5">
          <w:rPr>
            <w:rFonts w:ascii="Times New Roman" w:hAnsi="Times New Roman"/>
            <w:sz w:val="24"/>
            <w:szCs w:val="28"/>
          </w:rPr>
          <w:t>II</w:t>
        </w:r>
      </w:ins>
      <w:ins w:id="457" w:author="Any Authorised User" w:date="2021-03-25T18:28:00Z">
        <w:r w:rsidRPr="005B7F6C">
          <w:rPr>
            <w:rFonts w:ascii="Times New Roman" w:hAnsi="Times New Roman"/>
            <w:sz w:val="24"/>
            <w:szCs w:val="28"/>
          </w:rPr>
          <w:t>)</w:t>
        </w:r>
        <w:r w:rsidRPr="005B7F6C">
          <w:rPr>
            <w:rFonts w:ascii="Times New Roman" w:hAnsi="Times New Roman"/>
            <w:sz w:val="24"/>
            <w:szCs w:val="28"/>
          </w:rPr>
          <w:tab/>
          <w:t xml:space="preserve">is aware that certain contractual triggers for fallbacks activated by pre-cessation announcements by such supervisor (howsoever described) in contracts have been or are engaged, </w:t>
        </w:r>
      </w:ins>
    </w:p>
    <w:p w14:paraId="53462F94" w14:textId="027C26DB" w:rsidR="005B7F6C" w:rsidRDefault="005B7F6C" w:rsidP="00061059">
      <w:pPr>
        <w:pStyle w:val="Body"/>
        <w:ind w:left="1276"/>
        <w:rPr>
          <w:ins w:id="458" w:author="Any Authorised User" w:date="2021-03-25T18:31:00Z"/>
          <w:rFonts w:ascii="Times New Roman" w:hAnsi="Times New Roman"/>
          <w:sz w:val="24"/>
          <w:szCs w:val="28"/>
        </w:rPr>
      </w:pPr>
      <w:ins w:id="459" w:author="Any Authorised User" w:date="2021-03-25T18:28:00Z">
        <w:r w:rsidRPr="005B7F6C">
          <w:rPr>
            <w:rFonts w:ascii="Times New Roman" w:hAnsi="Times New Roman"/>
            <w:sz w:val="24"/>
            <w:szCs w:val="28"/>
          </w:rPr>
          <w:t xml:space="preserve">provided that </w:t>
        </w:r>
      </w:ins>
      <w:ins w:id="460" w:author="Any Authorised User" w:date="2021-03-25T18:32:00Z">
        <w:r w:rsidR="001F3CA5">
          <w:rPr>
            <w:rFonts w:ascii="Times New Roman" w:hAnsi="Times New Roman"/>
            <w:sz w:val="24"/>
            <w:szCs w:val="28"/>
          </w:rPr>
          <w:t>the Applicable</w:t>
        </w:r>
      </w:ins>
      <w:ins w:id="461" w:author="Any Authorised User" w:date="2021-03-25T18:28:00Z">
        <w:r w:rsidRPr="005B7F6C">
          <w:rPr>
            <w:rFonts w:ascii="Times New Roman" w:hAnsi="Times New Roman"/>
            <w:sz w:val="24"/>
            <w:szCs w:val="28"/>
          </w:rPr>
          <w:t xml:space="preserve"> LIBOR for the Applicable Tenor will be ‘Non-Representative’ by reference to the date indicated in the most recent statement or publication contemplated in subparagraph (</w:t>
        </w:r>
      </w:ins>
      <w:ins w:id="462" w:author="Any Authorised User" w:date="2021-03-25T18:30:00Z">
        <w:r w:rsidR="001F3CA5">
          <w:rPr>
            <w:rFonts w:ascii="Times New Roman" w:hAnsi="Times New Roman"/>
            <w:sz w:val="24"/>
            <w:szCs w:val="28"/>
          </w:rPr>
          <w:t>I</w:t>
        </w:r>
      </w:ins>
      <w:ins w:id="463" w:author="Any Authorised User" w:date="2021-03-25T18:28:00Z">
        <w:r w:rsidRPr="005B7F6C">
          <w:rPr>
            <w:rFonts w:ascii="Times New Roman" w:hAnsi="Times New Roman"/>
            <w:sz w:val="24"/>
            <w:szCs w:val="28"/>
          </w:rPr>
          <w:t>) or (</w:t>
        </w:r>
      </w:ins>
      <w:ins w:id="464" w:author="Any Authorised User" w:date="2021-03-25T18:30:00Z">
        <w:r w:rsidR="001F3CA5">
          <w:rPr>
            <w:rFonts w:ascii="Times New Roman" w:hAnsi="Times New Roman"/>
            <w:sz w:val="24"/>
            <w:szCs w:val="28"/>
          </w:rPr>
          <w:t>II</w:t>
        </w:r>
      </w:ins>
      <w:ins w:id="465" w:author="Any Authorised User" w:date="2021-03-25T18:28:00Z">
        <w:r w:rsidRPr="005B7F6C">
          <w:rPr>
            <w:rFonts w:ascii="Times New Roman" w:hAnsi="Times New Roman"/>
            <w:sz w:val="24"/>
            <w:szCs w:val="28"/>
          </w:rPr>
          <w:t>)(</w:t>
        </w:r>
      </w:ins>
      <w:ins w:id="466" w:author="Any Authorised User" w:date="2021-03-25T18:30:00Z">
        <w:r w:rsidR="001F3CA5">
          <w:rPr>
            <w:rFonts w:ascii="Times New Roman" w:hAnsi="Times New Roman"/>
            <w:sz w:val="24"/>
            <w:szCs w:val="28"/>
          </w:rPr>
          <w:t>C</w:t>
        </w:r>
      </w:ins>
      <w:ins w:id="467" w:author="Any Authorised User" w:date="2021-03-25T18:28:00Z">
        <w:r w:rsidRPr="005B7F6C">
          <w:rPr>
            <w:rFonts w:ascii="Times New Roman" w:hAnsi="Times New Roman"/>
            <w:sz w:val="24"/>
            <w:szCs w:val="28"/>
          </w:rPr>
          <w:t xml:space="preserve">) (as applicable) of </w:t>
        </w:r>
        <w:r w:rsidRPr="005B7F6C">
          <w:rPr>
            <w:rFonts w:ascii="Times New Roman" w:hAnsi="Times New Roman"/>
            <w:sz w:val="24"/>
            <w:szCs w:val="28"/>
          </w:rPr>
          <w:lastRenderedPageBreak/>
          <w:t>the definition of GBP LIBOR Index Cessation Event</w:t>
        </w:r>
      </w:ins>
      <w:ins w:id="468" w:author="Any Authorised User" w:date="2021-05-13T15:43:00Z">
        <w:r w:rsidR="00B92B5B">
          <w:rPr>
            <w:rFonts w:ascii="Times New Roman" w:hAnsi="Times New Roman"/>
            <w:sz w:val="24"/>
            <w:szCs w:val="28"/>
          </w:rPr>
          <w:t xml:space="preserve"> or USD LIBOR Index Cessation Event (as applicable)</w:t>
        </w:r>
      </w:ins>
      <w:ins w:id="469" w:author="Any Authorised User" w:date="2021-05-13T16:11:00Z">
        <w:r w:rsidR="006D2EFD">
          <w:rPr>
            <w:rFonts w:ascii="Times New Roman" w:hAnsi="Times New Roman"/>
            <w:sz w:val="24"/>
            <w:szCs w:val="28"/>
          </w:rPr>
          <w:t>;</w:t>
        </w:r>
      </w:ins>
    </w:p>
    <w:p w14:paraId="207DC746" w14:textId="172422CC" w:rsidR="00380742" w:rsidRDefault="00380742" w:rsidP="00061059">
      <w:pPr>
        <w:pStyle w:val="Body"/>
        <w:ind w:left="1276"/>
        <w:rPr>
          <w:ins w:id="470" w:author="Any Authorised User" w:date="2021-05-13T15:53:00Z"/>
          <w:rFonts w:ascii="Times New Roman" w:hAnsi="Times New Roman"/>
          <w:b/>
          <w:bCs/>
          <w:i/>
          <w:iCs/>
          <w:sz w:val="24"/>
          <w:szCs w:val="28"/>
        </w:rPr>
      </w:pPr>
      <w:ins w:id="471" w:author="Any Authorised User" w:date="2021-03-25T18:38:00Z">
        <w:r>
          <w:rPr>
            <w:rFonts w:ascii="Times New Roman" w:hAnsi="Times New Roman"/>
            <w:sz w:val="24"/>
            <w:szCs w:val="28"/>
          </w:rPr>
          <w:t>“Published GBP ISR Fallback Rate” means the</w:t>
        </w:r>
      </w:ins>
      <w:ins w:id="472" w:author="Any Authorised User" w:date="2021-05-28T18:10:00Z">
        <w:r w:rsidR="007522B8">
          <w:rPr>
            <w:rFonts w:ascii="Times New Roman" w:hAnsi="Times New Roman"/>
            <w:sz w:val="24"/>
            <w:szCs w:val="28"/>
          </w:rPr>
          <w:t xml:space="preserve"> rate</w:t>
        </w:r>
      </w:ins>
      <w:ins w:id="473" w:author="Any Authorised User" w:date="2021-03-25T18:38:00Z">
        <w:r>
          <w:rPr>
            <w:rFonts w:ascii="Times New Roman" w:hAnsi="Times New Roman"/>
            <w:sz w:val="24"/>
            <w:szCs w:val="28"/>
          </w:rPr>
          <w:t xml:space="preserve"> </w:t>
        </w:r>
      </w:ins>
      <w:ins w:id="474" w:author="Any Authorised User" w:date="2021-03-25T18:35:00Z">
        <w:r w:rsidRPr="001F3CA5">
          <w:rPr>
            <w:rFonts w:ascii="Times New Roman" w:hAnsi="Times New Roman"/>
            <w:sz w:val="24"/>
            <w:szCs w:val="28"/>
          </w:rPr>
          <w:t>calculated in accordance with the formula set forth in the definition of Calculated GBP ISR Fallback Rate</w:t>
        </w:r>
      </w:ins>
      <w:ins w:id="475" w:author="Any Authorised User" w:date="2021-04-30T19:20:00Z">
        <w:r w:rsidR="003D6264">
          <w:rPr>
            <w:rFonts w:ascii="Times New Roman" w:hAnsi="Times New Roman"/>
            <w:sz w:val="24"/>
            <w:szCs w:val="28"/>
          </w:rPr>
          <w:t>,</w:t>
        </w:r>
      </w:ins>
      <w:ins w:id="476" w:author="Any Authorised User" w:date="2021-03-25T18:35:00Z">
        <w:r w:rsidRPr="001F3CA5">
          <w:rPr>
            <w:rFonts w:ascii="Times New Roman" w:hAnsi="Times New Roman"/>
            <w:sz w:val="24"/>
            <w:szCs w:val="28"/>
          </w:rPr>
          <w:t xml:space="preserve"> as provided by the administrator thereof (or any successor administrator)</w:t>
        </w:r>
      </w:ins>
      <w:ins w:id="477" w:author="Any Authorised User" w:date="2021-05-13T16:11:00Z">
        <w:r w:rsidR="006D2EFD">
          <w:rPr>
            <w:rFonts w:ascii="Times New Roman" w:hAnsi="Times New Roman"/>
            <w:sz w:val="24"/>
            <w:szCs w:val="28"/>
          </w:rPr>
          <w:t>;</w:t>
        </w:r>
      </w:ins>
    </w:p>
    <w:p w14:paraId="3DCF532D" w14:textId="77777777" w:rsidR="007522B8" w:rsidRDefault="008F1E10" w:rsidP="006D2EFD">
      <w:pPr>
        <w:pStyle w:val="Body"/>
        <w:ind w:left="1276"/>
        <w:rPr>
          <w:ins w:id="478" w:author="Any Authorised User" w:date="2021-05-28T18:13:00Z"/>
          <w:rFonts w:ascii="Times New Roman" w:hAnsi="Times New Roman"/>
          <w:sz w:val="24"/>
          <w:szCs w:val="28"/>
        </w:rPr>
      </w:pPr>
      <w:ins w:id="479" w:author="Any Authorised User" w:date="2021-05-13T15:53:00Z">
        <w:r>
          <w:rPr>
            <w:rFonts w:ascii="Times New Roman" w:hAnsi="Times New Roman"/>
            <w:sz w:val="24"/>
            <w:szCs w:val="28"/>
          </w:rPr>
          <w:t xml:space="preserve">“Published USD ISR Fallback Rate” means </w:t>
        </w:r>
      </w:ins>
      <w:ins w:id="480" w:author="Any Authorised User" w:date="2021-05-13T16:07:00Z">
        <w:r w:rsidR="006D2EFD">
          <w:rPr>
            <w:rFonts w:ascii="Times New Roman" w:hAnsi="Times New Roman"/>
            <w:sz w:val="24"/>
            <w:szCs w:val="28"/>
          </w:rPr>
          <w:t>the</w:t>
        </w:r>
      </w:ins>
      <w:ins w:id="481" w:author="Any Authorised User" w:date="2021-05-13T16:08:00Z">
        <w:r w:rsidR="006D2EFD" w:rsidRPr="006D2EFD">
          <w:rPr>
            <w:rFonts w:ascii="Times New Roman" w:hAnsi="Times New Roman"/>
            <w:sz w:val="24"/>
            <w:szCs w:val="28"/>
          </w:rPr>
          <w:t xml:space="preserve"> </w:t>
        </w:r>
      </w:ins>
      <w:ins w:id="482" w:author="Any Authorised User" w:date="2021-05-28T18:12:00Z">
        <w:r w:rsidR="007522B8">
          <w:rPr>
            <w:rFonts w:ascii="Times New Roman" w:hAnsi="Times New Roman"/>
            <w:sz w:val="24"/>
            <w:szCs w:val="28"/>
          </w:rPr>
          <w:t>rate</w:t>
        </w:r>
      </w:ins>
      <w:ins w:id="483" w:author="Any Authorised User" w:date="2021-05-13T16:08:00Z">
        <w:r w:rsidR="006D2EFD" w:rsidRPr="006D2EFD">
          <w:rPr>
            <w:rFonts w:ascii="Times New Roman" w:hAnsi="Times New Roman"/>
            <w:sz w:val="24"/>
            <w:szCs w:val="28"/>
          </w:rPr>
          <w:t xml:space="preserve"> calculated in accordance with the formula set forth in the definition of Calculated USD ISR Fallback Rate, as provided by the administrator thereof (or any successor administrator)</w:t>
        </w:r>
      </w:ins>
      <w:ins w:id="484" w:author="Any Authorised User" w:date="2021-05-13T16:12:00Z">
        <w:r w:rsidR="006D2EFD">
          <w:rPr>
            <w:rFonts w:ascii="Times New Roman" w:hAnsi="Times New Roman"/>
            <w:sz w:val="24"/>
            <w:szCs w:val="28"/>
          </w:rPr>
          <w:t>;</w:t>
        </w:r>
      </w:ins>
      <w:ins w:id="485" w:author="Any Authorised User" w:date="2021-05-28T18:13:00Z">
        <w:r w:rsidR="007522B8">
          <w:rPr>
            <w:rFonts w:ascii="Times New Roman" w:hAnsi="Times New Roman"/>
            <w:sz w:val="24"/>
            <w:szCs w:val="28"/>
          </w:rPr>
          <w:t xml:space="preserve"> </w:t>
        </w:r>
      </w:ins>
    </w:p>
    <w:p w14:paraId="1F642787" w14:textId="2F4D54C1" w:rsidR="006D2EFD" w:rsidRDefault="006D2EFD" w:rsidP="006D2EFD">
      <w:pPr>
        <w:pStyle w:val="Body"/>
        <w:ind w:left="1276"/>
        <w:rPr>
          <w:ins w:id="486" w:author="Any Authorised User" w:date="2021-05-13T16:12:00Z"/>
          <w:rFonts w:ascii="Times New Roman" w:hAnsi="Times New Roman"/>
          <w:sz w:val="24"/>
          <w:szCs w:val="28"/>
        </w:rPr>
      </w:pPr>
      <w:ins w:id="487" w:author="Any Authorised User" w:date="2021-05-13T16:11:00Z">
        <w:r>
          <w:rPr>
            <w:rFonts w:ascii="Times New Roman" w:hAnsi="Times New Roman"/>
            <w:sz w:val="24"/>
            <w:szCs w:val="28"/>
          </w:rPr>
          <w:t xml:space="preserve">“USD LIBOR” means </w:t>
        </w:r>
        <w:r w:rsidRPr="006D2EFD">
          <w:rPr>
            <w:rFonts w:ascii="Times New Roman" w:hAnsi="Times New Roman"/>
            <w:sz w:val="24"/>
            <w:szCs w:val="28"/>
          </w:rPr>
          <w:t>the U.S. Dollar wholesale funding rate known as U.S. Dollar LIBOR (London Interbank Offered Rate) provided by ICE Benchmark Administration Limited, as the administrator of the benchmark, (or a successor administrator);</w:t>
        </w:r>
      </w:ins>
    </w:p>
    <w:p w14:paraId="7FCB0AFA" w14:textId="4C79E885" w:rsidR="00735BA2" w:rsidRPr="007522B8" w:rsidRDefault="006D2EFD" w:rsidP="006D2EFD">
      <w:pPr>
        <w:pStyle w:val="Body"/>
        <w:ind w:left="1276"/>
        <w:rPr>
          <w:ins w:id="488" w:author="Any Authorised User" w:date="2021-05-13T16:47:00Z"/>
          <w:rFonts w:ascii="Times New Roman" w:hAnsi="Times New Roman"/>
          <w:sz w:val="24"/>
          <w:szCs w:val="28"/>
          <w:highlight w:val="green"/>
        </w:rPr>
      </w:pPr>
      <w:ins w:id="489" w:author="Any Authorised User" w:date="2021-05-13T16:12:00Z">
        <w:r>
          <w:rPr>
            <w:rFonts w:ascii="Times New Roman" w:hAnsi="Times New Roman"/>
            <w:sz w:val="24"/>
            <w:szCs w:val="28"/>
          </w:rPr>
          <w:t xml:space="preserve">“USD LIBOR ICE Swap Rate” </w:t>
        </w:r>
        <w:r w:rsidRPr="006D2EFD">
          <w:rPr>
            <w:rFonts w:ascii="Times New Roman" w:hAnsi="Times New Roman"/>
            <w:sz w:val="24"/>
            <w:szCs w:val="28"/>
          </w:rPr>
          <w:t xml:space="preserve">means the 11:00 a.m., New York City time, benchmark for the mid-price for the fixed leg of a fixed-for-floating U.S. Dollar swap transaction where the floating leg references USD LIBOR, as provided by ICE Benchmark Administration Limited as the administrator of the benchmark (or a successor administrator); </w:t>
        </w:r>
      </w:ins>
    </w:p>
    <w:p w14:paraId="27531BFF" w14:textId="2833D6DB" w:rsidR="006B41F6" w:rsidRPr="005B7F6C" w:rsidRDefault="006D2EFD" w:rsidP="006B41F6">
      <w:pPr>
        <w:pStyle w:val="Body"/>
        <w:ind w:left="1276"/>
        <w:rPr>
          <w:ins w:id="490" w:author="Any Authorised User" w:date="2021-05-13T16:19:00Z"/>
          <w:rFonts w:ascii="Times New Roman" w:hAnsi="Times New Roman"/>
          <w:sz w:val="24"/>
          <w:szCs w:val="28"/>
        </w:rPr>
      </w:pPr>
      <w:ins w:id="491" w:author="Any Authorised User" w:date="2021-05-13T16:19:00Z">
        <w:r>
          <w:rPr>
            <w:rFonts w:ascii="Times New Roman" w:hAnsi="Times New Roman"/>
            <w:sz w:val="24"/>
            <w:szCs w:val="28"/>
          </w:rPr>
          <w:t>“USD LIBOR Index Cessation Event” means</w:t>
        </w:r>
        <w:r w:rsidR="006B41F6" w:rsidRPr="005B7F6C">
          <w:rPr>
            <w:rFonts w:ascii="Times New Roman" w:hAnsi="Times New Roman"/>
            <w:sz w:val="24"/>
            <w:szCs w:val="28"/>
          </w:rPr>
          <w:t xml:space="preserve">, in respect of </w:t>
        </w:r>
      </w:ins>
      <w:ins w:id="492" w:author="Any Authorised User" w:date="2021-05-13T16:20:00Z">
        <w:r w:rsidR="006B41F6">
          <w:rPr>
            <w:rFonts w:ascii="Times New Roman" w:hAnsi="Times New Roman"/>
            <w:sz w:val="24"/>
            <w:szCs w:val="28"/>
          </w:rPr>
          <w:t>USD</w:t>
        </w:r>
      </w:ins>
      <w:ins w:id="493" w:author="Any Authorised User" w:date="2021-05-13T16:19:00Z">
        <w:r w:rsidR="006B41F6" w:rsidRPr="005B7F6C">
          <w:rPr>
            <w:rFonts w:ascii="Times New Roman" w:hAnsi="Times New Roman"/>
            <w:sz w:val="24"/>
            <w:szCs w:val="28"/>
          </w:rPr>
          <w:t xml:space="preserve"> LIBOR for the Applicable </w:t>
        </w:r>
      </w:ins>
      <w:ins w:id="494" w:author="Any Authorised User" w:date="2021-05-13T16:20:00Z">
        <w:r w:rsidR="006B41F6">
          <w:rPr>
            <w:rFonts w:ascii="Times New Roman" w:hAnsi="Times New Roman"/>
            <w:sz w:val="24"/>
            <w:szCs w:val="28"/>
          </w:rPr>
          <w:t>USD</w:t>
        </w:r>
      </w:ins>
      <w:ins w:id="495" w:author="Any Authorised User" w:date="2021-05-13T16:19:00Z">
        <w:r w:rsidR="006B41F6" w:rsidRPr="005B7F6C">
          <w:rPr>
            <w:rFonts w:ascii="Times New Roman" w:hAnsi="Times New Roman"/>
            <w:sz w:val="24"/>
            <w:szCs w:val="28"/>
          </w:rPr>
          <w:t xml:space="preserve"> Tenor: </w:t>
        </w:r>
      </w:ins>
    </w:p>
    <w:p w14:paraId="3A65D762" w14:textId="7DD29A16" w:rsidR="006B41F6" w:rsidRPr="005B7F6C" w:rsidRDefault="006B41F6" w:rsidP="006B41F6">
      <w:pPr>
        <w:pStyle w:val="Body"/>
        <w:ind w:left="1985" w:hanging="709"/>
        <w:rPr>
          <w:ins w:id="496" w:author="Any Authorised User" w:date="2021-05-13T16:19:00Z"/>
          <w:rFonts w:ascii="Times New Roman" w:hAnsi="Times New Roman"/>
          <w:sz w:val="24"/>
          <w:szCs w:val="28"/>
        </w:rPr>
      </w:pPr>
      <w:ins w:id="497" w:author="Any Authorised User" w:date="2021-05-13T16:19:00Z">
        <w:r w:rsidRPr="005B7F6C">
          <w:rPr>
            <w:rFonts w:ascii="Times New Roman" w:hAnsi="Times New Roman"/>
            <w:sz w:val="24"/>
            <w:szCs w:val="28"/>
          </w:rPr>
          <w:t>(</w:t>
        </w:r>
        <w:r>
          <w:rPr>
            <w:rFonts w:ascii="Times New Roman" w:hAnsi="Times New Roman"/>
            <w:sz w:val="24"/>
            <w:szCs w:val="28"/>
          </w:rPr>
          <w:t>I</w:t>
        </w:r>
        <w:r w:rsidRPr="005B7F6C">
          <w:rPr>
            <w:rFonts w:ascii="Times New Roman" w:hAnsi="Times New Roman"/>
            <w:sz w:val="24"/>
            <w:szCs w:val="28"/>
          </w:rPr>
          <w:t>)</w:t>
        </w:r>
        <w:r w:rsidRPr="005B7F6C">
          <w:rPr>
            <w:rFonts w:ascii="Times New Roman" w:hAnsi="Times New Roman"/>
            <w:sz w:val="24"/>
            <w:szCs w:val="28"/>
          </w:rPr>
          <w:tab/>
          <w:t xml:space="preserve">the </w:t>
        </w:r>
        <w:r>
          <w:rPr>
            <w:rFonts w:ascii="Times New Roman" w:hAnsi="Times New Roman"/>
            <w:sz w:val="24"/>
            <w:szCs w:val="28"/>
          </w:rPr>
          <w:t>statement</w:t>
        </w:r>
        <w:r w:rsidRPr="005B7F6C">
          <w:rPr>
            <w:rFonts w:ascii="Times New Roman" w:hAnsi="Times New Roman"/>
            <w:sz w:val="24"/>
            <w:szCs w:val="28"/>
          </w:rPr>
          <w:t xml:space="preserve"> by the Financial Conduct Authority on 5 March 2021 that </w:t>
        </w:r>
      </w:ins>
      <w:ins w:id="498" w:author="Any Authorised User" w:date="2021-05-13T16:20:00Z">
        <w:r>
          <w:rPr>
            <w:rFonts w:ascii="Times New Roman" w:hAnsi="Times New Roman"/>
            <w:sz w:val="24"/>
            <w:szCs w:val="28"/>
          </w:rPr>
          <w:t>USD</w:t>
        </w:r>
      </w:ins>
      <w:ins w:id="499" w:author="Any Authorised User" w:date="2021-05-13T16:19:00Z">
        <w:r w:rsidRPr="005B7F6C">
          <w:rPr>
            <w:rFonts w:ascii="Times New Roman" w:hAnsi="Times New Roman"/>
            <w:sz w:val="24"/>
            <w:szCs w:val="28"/>
          </w:rPr>
          <w:t xml:space="preserve"> LIBOR for the Applicable </w:t>
        </w:r>
      </w:ins>
      <w:ins w:id="500" w:author="Any Authorised User" w:date="2021-05-13T16:20:00Z">
        <w:r>
          <w:rPr>
            <w:rFonts w:ascii="Times New Roman" w:hAnsi="Times New Roman"/>
            <w:sz w:val="24"/>
            <w:szCs w:val="28"/>
          </w:rPr>
          <w:t>USD</w:t>
        </w:r>
      </w:ins>
      <w:ins w:id="501" w:author="Any Authorised User" w:date="2021-05-13T16:19:00Z">
        <w:r w:rsidRPr="005B7F6C">
          <w:rPr>
            <w:rFonts w:ascii="Times New Roman" w:hAnsi="Times New Roman"/>
            <w:sz w:val="24"/>
            <w:szCs w:val="28"/>
          </w:rPr>
          <w:t xml:space="preserve"> Tenor would be Non-Representative after 3</w:t>
        </w:r>
      </w:ins>
      <w:ins w:id="502" w:author="Any Authorised User" w:date="2021-05-13T16:20:00Z">
        <w:r>
          <w:rPr>
            <w:rFonts w:ascii="Times New Roman" w:hAnsi="Times New Roman"/>
            <w:sz w:val="24"/>
            <w:szCs w:val="28"/>
          </w:rPr>
          <w:t>0 June 2023</w:t>
        </w:r>
      </w:ins>
      <w:ins w:id="503" w:author="Any Authorised User" w:date="2021-05-13T16:19:00Z">
        <w:r w:rsidRPr="005B7F6C">
          <w:rPr>
            <w:rFonts w:ascii="Times New Roman" w:hAnsi="Times New Roman"/>
            <w:sz w:val="24"/>
            <w:szCs w:val="28"/>
          </w:rPr>
          <w:t>; or</w:t>
        </w:r>
      </w:ins>
    </w:p>
    <w:p w14:paraId="7004AAF5" w14:textId="77777777" w:rsidR="006B41F6" w:rsidRPr="005B7F6C" w:rsidRDefault="006B41F6" w:rsidP="006B41F6">
      <w:pPr>
        <w:pStyle w:val="Body"/>
        <w:ind w:left="1985" w:hanging="709"/>
        <w:rPr>
          <w:ins w:id="504" w:author="Any Authorised User" w:date="2021-05-13T16:19:00Z"/>
          <w:rFonts w:ascii="Times New Roman" w:hAnsi="Times New Roman"/>
          <w:sz w:val="24"/>
          <w:szCs w:val="28"/>
        </w:rPr>
      </w:pPr>
      <w:ins w:id="505" w:author="Any Authorised User" w:date="2021-05-13T16:19:00Z">
        <w:r w:rsidRPr="005B7F6C">
          <w:rPr>
            <w:rFonts w:ascii="Times New Roman" w:hAnsi="Times New Roman"/>
            <w:sz w:val="24"/>
            <w:szCs w:val="28"/>
          </w:rPr>
          <w:t>(</w:t>
        </w:r>
        <w:r>
          <w:rPr>
            <w:rFonts w:ascii="Times New Roman" w:hAnsi="Times New Roman"/>
            <w:sz w:val="24"/>
            <w:szCs w:val="28"/>
          </w:rPr>
          <w:t>II</w:t>
        </w:r>
        <w:r w:rsidRPr="005B7F6C">
          <w:rPr>
            <w:rFonts w:ascii="Times New Roman" w:hAnsi="Times New Roman"/>
            <w:sz w:val="24"/>
            <w:szCs w:val="28"/>
          </w:rPr>
          <w:t>)</w:t>
        </w:r>
        <w:r w:rsidRPr="005B7F6C">
          <w:rPr>
            <w:rFonts w:ascii="Times New Roman" w:hAnsi="Times New Roman"/>
            <w:sz w:val="24"/>
            <w:szCs w:val="28"/>
          </w:rPr>
          <w:tab/>
          <w:t>the occurrence of any of the following events:</w:t>
        </w:r>
      </w:ins>
    </w:p>
    <w:p w14:paraId="7E1F6978" w14:textId="6B48A99F" w:rsidR="006B41F6" w:rsidRPr="005B7F6C" w:rsidRDefault="006B41F6" w:rsidP="006B41F6">
      <w:pPr>
        <w:pStyle w:val="Body"/>
        <w:ind w:left="2552" w:hanging="567"/>
        <w:rPr>
          <w:ins w:id="506" w:author="Any Authorised User" w:date="2021-05-13T16:19:00Z"/>
          <w:rFonts w:ascii="Times New Roman" w:hAnsi="Times New Roman"/>
          <w:sz w:val="24"/>
          <w:szCs w:val="28"/>
        </w:rPr>
      </w:pPr>
      <w:ins w:id="507" w:author="Any Authorised User" w:date="2021-05-13T16:19:00Z">
        <w:r w:rsidRPr="005B7F6C">
          <w:rPr>
            <w:rFonts w:ascii="Times New Roman" w:hAnsi="Times New Roman"/>
            <w:sz w:val="24"/>
            <w:szCs w:val="28"/>
          </w:rPr>
          <w:t>(</w:t>
        </w:r>
        <w:r>
          <w:rPr>
            <w:rFonts w:ascii="Times New Roman" w:hAnsi="Times New Roman"/>
            <w:sz w:val="24"/>
            <w:szCs w:val="28"/>
          </w:rPr>
          <w:t>A</w:t>
        </w:r>
        <w:r w:rsidRPr="005B7F6C">
          <w:rPr>
            <w:rFonts w:ascii="Times New Roman" w:hAnsi="Times New Roman"/>
            <w:sz w:val="24"/>
            <w:szCs w:val="28"/>
          </w:rPr>
          <w:t>)</w:t>
        </w:r>
        <w:r w:rsidRPr="005B7F6C">
          <w:rPr>
            <w:rFonts w:ascii="Times New Roman" w:hAnsi="Times New Roman"/>
            <w:sz w:val="24"/>
            <w:szCs w:val="28"/>
          </w:rPr>
          <w:tab/>
          <w:t xml:space="preserve">a public statement or publication of information by or on behalf of the administrator of </w:t>
        </w:r>
      </w:ins>
      <w:ins w:id="508" w:author="Any Authorised User" w:date="2021-05-13T16:21:00Z">
        <w:r>
          <w:rPr>
            <w:rFonts w:ascii="Times New Roman" w:hAnsi="Times New Roman"/>
            <w:sz w:val="24"/>
            <w:szCs w:val="28"/>
          </w:rPr>
          <w:t>USD</w:t>
        </w:r>
      </w:ins>
      <w:ins w:id="509" w:author="Any Authorised User" w:date="2021-05-13T16:19:00Z">
        <w:r w:rsidRPr="005B7F6C">
          <w:rPr>
            <w:rFonts w:ascii="Times New Roman" w:hAnsi="Times New Roman"/>
            <w:sz w:val="24"/>
            <w:szCs w:val="28"/>
          </w:rPr>
          <w:t xml:space="preserve"> LIBOR announcing that it has ceased or will cease to provide </w:t>
        </w:r>
      </w:ins>
      <w:ins w:id="510" w:author="Any Authorised User" w:date="2021-05-13T16:21:00Z">
        <w:r>
          <w:rPr>
            <w:rFonts w:ascii="Times New Roman" w:hAnsi="Times New Roman"/>
            <w:sz w:val="24"/>
            <w:szCs w:val="28"/>
          </w:rPr>
          <w:t>USD</w:t>
        </w:r>
        <w:r w:rsidRPr="005B7F6C">
          <w:rPr>
            <w:rFonts w:ascii="Times New Roman" w:hAnsi="Times New Roman"/>
            <w:sz w:val="24"/>
            <w:szCs w:val="28"/>
          </w:rPr>
          <w:t xml:space="preserve"> </w:t>
        </w:r>
      </w:ins>
      <w:ins w:id="511" w:author="Any Authorised User" w:date="2021-05-13T16:19:00Z">
        <w:r w:rsidRPr="005B7F6C">
          <w:rPr>
            <w:rFonts w:ascii="Times New Roman" w:hAnsi="Times New Roman"/>
            <w:sz w:val="24"/>
            <w:szCs w:val="28"/>
          </w:rPr>
          <w:t xml:space="preserve">LIBOR for the Applicable </w:t>
        </w:r>
      </w:ins>
      <w:ins w:id="512" w:author="Any Authorised User" w:date="2021-05-13T16:21:00Z">
        <w:r>
          <w:rPr>
            <w:rFonts w:ascii="Times New Roman" w:hAnsi="Times New Roman"/>
            <w:sz w:val="24"/>
            <w:szCs w:val="28"/>
          </w:rPr>
          <w:t>USD</w:t>
        </w:r>
        <w:r w:rsidRPr="005B7F6C">
          <w:rPr>
            <w:rFonts w:ascii="Times New Roman" w:hAnsi="Times New Roman"/>
            <w:sz w:val="24"/>
            <w:szCs w:val="28"/>
          </w:rPr>
          <w:t xml:space="preserve"> </w:t>
        </w:r>
      </w:ins>
      <w:ins w:id="513" w:author="Any Authorised User" w:date="2021-05-13T16:19:00Z">
        <w:r w:rsidRPr="005B7F6C">
          <w:rPr>
            <w:rFonts w:ascii="Times New Roman" w:hAnsi="Times New Roman"/>
            <w:sz w:val="24"/>
            <w:szCs w:val="28"/>
          </w:rPr>
          <w:t xml:space="preserve">Tenor permanently or indefinitely, provided that, at the time of the statement or publication, there is no successor administrator that will continue to provide </w:t>
        </w:r>
      </w:ins>
      <w:ins w:id="514" w:author="Any Authorised User" w:date="2021-05-13T16:21:00Z">
        <w:r>
          <w:rPr>
            <w:rFonts w:ascii="Times New Roman" w:hAnsi="Times New Roman"/>
            <w:sz w:val="24"/>
            <w:szCs w:val="28"/>
          </w:rPr>
          <w:t>USD</w:t>
        </w:r>
        <w:r w:rsidRPr="005B7F6C">
          <w:rPr>
            <w:rFonts w:ascii="Times New Roman" w:hAnsi="Times New Roman"/>
            <w:sz w:val="24"/>
            <w:szCs w:val="28"/>
          </w:rPr>
          <w:t xml:space="preserve"> </w:t>
        </w:r>
      </w:ins>
      <w:ins w:id="515" w:author="Any Authorised User" w:date="2021-05-13T16:19:00Z">
        <w:r w:rsidRPr="005B7F6C">
          <w:rPr>
            <w:rFonts w:ascii="Times New Roman" w:hAnsi="Times New Roman"/>
            <w:sz w:val="24"/>
            <w:szCs w:val="28"/>
          </w:rPr>
          <w:t xml:space="preserve">LIBOR for the Applicable </w:t>
        </w:r>
      </w:ins>
      <w:ins w:id="516" w:author="Any Authorised User" w:date="2021-05-13T16:21:00Z">
        <w:r>
          <w:rPr>
            <w:rFonts w:ascii="Times New Roman" w:hAnsi="Times New Roman"/>
            <w:sz w:val="24"/>
            <w:szCs w:val="28"/>
          </w:rPr>
          <w:t>USD</w:t>
        </w:r>
        <w:r w:rsidRPr="005B7F6C">
          <w:rPr>
            <w:rFonts w:ascii="Times New Roman" w:hAnsi="Times New Roman"/>
            <w:sz w:val="24"/>
            <w:szCs w:val="28"/>
          </w:rPr>
          <w:t xml:space="preserve"> </w:t>
        </w:r>
      </w:ins>
      <w:ins w:id="517" w:author="Any Authorised User" w:date="2021-05-13T16:19:00Z">
        <w:r w:rsidRPr="005B7F6C">
          <w:rPr>
            <w:rFonts w:ascii="Times New Roman" w:hAnsi="Times New Roman"/>
            <w:sz w:val="24"/>
            <w:szCs w:val="28"/>
          </w:rPr>
          <w:t>Tenor;</w:t>
        </w:r>
      </w:ins>
    </w:p>
    <w:p w14:paraId="161E1329" w14:textId="38429E68" w:rsidR="006B41F6" w:rsidRPr="005B7F6C" w:rsidRDefault="006B41F6" w:rsidP="006B41F6">
      <w:pPr>
        <w:pStyle w:val="Body"/>
        <w:ind w:left="2552" w:hanging="567"/>
        <w:rPr>
          <w:ins w:id="518" w:author="Any Authorised User" w:date="2021-05-13T16:19:00Z"/>
          <w:rFonts w:ascii="Times New Roman" w:hAnsi="Times New Roman"/>
          <w:sz w:val="24"/>
          <w:szCs w:val="28"/>
        </w:rPr>
      </w:pPr>
      <w:ins w:id="519" w:author="Any Authorised User" w:date="2021-05-13T16:19:00Z">
        <w:r w:rsidRPr="005B7F6C">
          <w:rPr>
            <w:rFonts w:ascii="Times New Roman" w:hAnsi="Times New Roman"/>
            <w:sz w:val="24"/>
            <w:szCs w:val="28"/>
          </w:rPr>
          <w:t>(</w:t>
        </w:r>
        <w:r>
          <w:rPr>
            <w:rFonts w:ascii="Times New Roman" w:hAnsi="Times New Roman"/>
            <w:sz w:val="24"/>
            <w:szCs w:val="28"/>
          </w:rPr>
          <w:t>B</w:t>
        </w:r>
        <w:r w:rsidRPr="005B7F6C">
          <w:rPr>
            <w:rFonts w:ascii="Times New Roman" w:hAnsi="Times New Roman"/>
            <w:sz w:val="24"/>
            <w:szCs w:val="28"/>
          </w:rPr>
          <w:t>)</w:t>
        </w:r>
        <w:r w:rsidRPr="005B7F6C">
          <w:rPr>
            <w:rFonts w:ascii="Times New Roman" w:hAnsi="Times New Roman"/>
            <w:sz w:val="24"/>
            <w:szCs w:val="28"/>
          </w:rPr>
          <w:tab/>
          <w:t xml:space="preserve">a public statement or publication of information by the regulatory supervisor for the administrator of </w:t>
        </w:r>
      </w:ins>
      <w:ins w:id="520" w:author="Any Authorised User" w:date="2021-05-13T16:21:00Z">
        <w:r>
          <w:rPr>
            <w:rFonts w:ascii="Times New Roman" w:hAnsi="Times New Roman"/>
            <w:sz w:val="24"/>
            <w:szCs w:val="28"/>
          </w:rPr>
          <w:t>USD</w:t>
        </w:r>
        <w:r w:rsidRPr="005B7F6C">
          <w:rPr>
            <w:rFonts w:ascii="Times New Roman" w:hAnsi="Times New Roman"/>
            <w:sz w:val="24"/>
            <w:szCs w:val="28"/>
          </w:rPr>
          <w:t xml:space="preserve"> </w:t>
        </w:r>
      </w:ins>
      <w:ins w:id="521" w:author="Any Authorised User" w:date="2021-05-13T16:19:00Z">
        <w:r w:rsidRPr="005B7F6C">
          <w:rPr>
            <w:rFonts w:ascii="Times New Roman" w:hAnsi="Times New Roman"/>
            <w:sz w:val="24"/>
            <w:szCs w:val="28"/>
          </w:rPr>
          <w:t xml:space="preserve">LIBOR, the central bank </w:t>
        </w:r>
        <w:r w:rsidRPr="005B7F6C">
          <w:rPr>
            <w:rFonts w:ascii="Times New Roman" w:hAnsi="Times New Roman"/>
            <w:sz w:val="24"/>
            <w:szCs w:val="28"/>
          </w:rPr>
          <w:lastRenderedPageBreak/>
          <w:t xml:space="preserve">for the currency of </w:t>
        </w:r>
      </w:ins>
      <w:ins w:id="522" w:author="Any Authorised User" w:date="2021-05-13T16:21:00Z">
        <w:r>
          <w:rPr>
            <w:rFonts w:ascii="Times New Roman" w:hAnsi="Times New Roman"/>
            <w:sz w:val="24"/>
            <w:szCs w:val="28"/>
          </w:rPr>
          <w:t>USD</w:t>
        </w:r>
        <w:r w:rsidRPr="005B7F6C">
          <w:rPr>
            <w:rFonts w:ascii="Times New Roman" w:hAnsi="Times New Roman"/>
            <w:sz w:val="24"/>
            <w:szCs w:val="28"/>
          </w:rPr>
          <w:t xml:space="preserve"> </w:t>
        </w:r>
      </w:ins>
      <w:ins w:id="523" w:author="Any Authorised User" w:date="2021-05-13T16:19:00Z">
        <w:r w:rsidRPr="005B7F6C">
          <w:rPr>
            <w:rFonts w:ascii="Times New Roman" w:hAnsi="Times New Roman"/>
            <w:sz w:val="24"/>
            <w:szCs w:val="28"/>
          </w:rPr>
          <w:t xml:space="preserve">LIBOR, an insolvency official with jurisdiction over the administrator for </w:t>
        </w:r>
      </w:ins>
      <w:ins w:id="524" w:author="Any Authorised User" w:date="2021-05-13T16:21:00Z">
        <w:r>
          <w:rPr>
            <w:rFonts w:ascii="Times New Roman" w:hAnsi="Times New Roman"/>
            <w:sz w:val="24"/>
            <w:szCs w:val="28"/>
          </w:rPr>
          <w:t>USD</w:t>
        </w:r>
        <w:r w:rsidRPr="005B7F6C">
          <w:rPr>
            <w:rFonts w:ascii="Times New Roman" w:hAnsi="Times New Roman"/>
            <w:sz w:val="24"/>
            <w:szCs w:val="28"/>
          </w:rPr>
          <w:t xml:space="preserve"> </w:t>
        </w:r>
      </w:ins>
      <w:ins w:id="525" w:author="Any Authorised User" w:date="2021-05-13T16:19:00Z">
        <w:r w:rsidRPr="005B7F6C">
          <w:rPr>
            <w:rFonts w:ascii="Times New Roman" w:hAnsi="Times New Roman"/>
            <w:sz w:val="24"/>
            <w:szCs w:val="28"/>
          </w:rPr>
          <w:t xml:space="preserve">LIBOR, a resolution authority with jurisdiction over the administrator for </w:t>
        </w:r>
      </w:ins>
      <w:ins w:id="526" w:author="Any Authorised User" w:date="2021-05-13T16:22:00Z">
        <w:r>
          <w:rPr>
            <w:rFonts w:ascii="Times New Roman" w:hAnsi="Times New Roman"/>
            <w:sz w:val="24"/>
            <w:szCs w:val="28"/>
          </w:rPr>
          <w:t>USD</w:t>
        </w:r>
        <w:r w:rsidRPr="005B7F6C">
          <w:rPr>
            <w:rFonts w:ascii="Times New Roman" w:hAnsi="Times New Roman"/>
            <w:sz w:val="24"/>
            <w:szCs w:val="28"/>
          </w:rPr>
          <w:t xml:space="preserve"> </w:t>
        </w:r>
      </w:ins>
      <w:ins w:id="527" w:author="Any Authorised User" w:date="2021-05-13T16:19:00Z">
        <w:r w:rsidRPr="005B7F6C">
          <w:rPr>
            <w:rFonts w:ascii="Times New Roman" w:hAnsi="Times New Roman"/>
            <w:sz w:val="24"/>
            <w:szCs w:val="28"/>
          </w:rPr>
          <w:t xml:space="preserve">LIBOR or a court or an entity with similar insolvency or resolution authority over the administrator for </w:t>
        </w:r>
      </w:ins>
      <w:ins w:id="528" w:author="Any Authorised User" w:date="2021-05-13T16:22:00Z">
        <w:r>
          <w:rPr>
            <w:rFonts w:ascii="Times New Roman" w:hAnsi="Times New Roman"/>
            <w:sz w:val="24"/>
            <w:szCs w:val="28"/>
          </w:rPr>
          <w:t>USD</w:t>
        </w:r>
        <w:r w:rsidRPr="005B7F6C">
          <w:rPr>
            <w:rFonts w:ascii="Times New Roman" w:hAnsi="Times New Roman"/>
            <w:sz w:val="24"/>
            <w:szCs w:val="28"/>
          </w:rPr>
          <w:t xml:space="preserve"> </w:t>
        </w:r>
      </w:ins>
      <w:ins w:id="529" w:author="Any Authorised User" w:date="2021-05-13T16:19:00Z">
        <w:r w:rsidRPr="005B7F6C">
          <w:rPr>
            <w:rFonts w:ascii="Times New Roman" w:hAnsi="Times New Roman"/>
            <w:sz w:val="24"/>
            <w:szCs w:val="28"/>
          </w:rPr>
          <w:t xml:space="preserve">LIBOR, which states that the administrator of </w:t>
        </w:r>
      </w:ins>
      <w:ins w:id="530" w:author="Any Authorised User" w:date="2021-05-13T16:22:00Z">
        <w:r>
          <w:rPr>
            <w:rFonts w:ascii="Times New Roman" w:hAnsi="Times New Roman"/>
            <w:sz w:val="24"/>
            <w:szCs w:val="28"/>
          </w:rPr>
          <w:t>USD</w:t>
        </w:r>
        <w:r w:rsidRPr="005B7F6C">
          <w:rPr>
            <w:rFonts w:ascii="Times New Roman" w:hAnsi="Times New Roman"/>
            <w:sz w:val="24"/>
            <w:szCs w:val="28"/>
          </w:rPr>
          <w:t xml:space="preserve"> </w:t>
        </w:r>
      </w:ins>
      <w:ins w:id="531" w:author="Any Authorised User" w:date="2021-05-13T16:19:00Z">
        <w:r w:rsidRPr="005B7F6C">
          <w:rPr>
            <w:rFonts w:ascii="Times New Roman" w:hAnsi="Times New Roman"/>
            <w:sz w:val="24"/>
            <w:szCs w:val="28"/>
          </w:rPr>
          <w:t xml:space="preserve">LIBOR has ceased or will cease to provide </w:t>
        </w:r>
      </w:ins>
      <w:ins w:id="532" w:author="Any Authorised User" w:date="2021-05-13T16:22:00Z">
        <w:r>
          <w:rPr>
            <w:rFonts w:ascii="Times New Roman" w:hAnsi="Times New Roman"/>
            <w:sz w:val="24"/>
            <w:szCs w:val="28"/>
          </w:rPr>
          <w:t>USD</w:t>
        </w:r>
        <w:r w:rsidRPr="005B7F6C">
          <w:rPr>
            <w:rFonts w:ascii="Times New Roman" w:hAnsi="Times New Roman"/>
            <w:sz w:val="24"/>
            <w:szCs w:val="28"/>
          </w:rPr>
          <w:t xml:space="preserve"> </w:t>
        </w:r>
      </w:ins>
      <w:ins w:id="533" w:author="Any Authorised User" w:date="2021-05-13T16:19:00Z">
        <w:r w:rsidRPr="005B7F6C">
          <w:rPr>
            <w:rFonts w:ascii="Times New Roman" w:hAnsi="Times New Roman"/>
            <w:sz w:val="24"/>
            <w:szCs w:val="28"/>
          </w:rPr>
          <w:t xml:space="preserve">LIBOR for the Applicable </w:t>
        </w:r>
      </w:ins>
      <w:ins w:id="534" w:author="Any Authorised User" w:date="2021-05-13T16:22:00Z">
        <w:r>
          <w:rPr>
            <w:rFonts w:ascii="Times New Roman" w:hAnsi="Times New Roman"/>
            <w:sz w:val="24"/>
            <w:szCs w:val="28"/>
          </w:rPr>
          <w:t>USD</w:t>
        </w:r>
        <w:r w:rsidRPr="005B7F6C">
          <w:rPr>
            <w:rFonts w:ascii="Times New Roman" w:hAnsi="Times New Roman"/>
            <w:sz w:val="24"/>
            <w:szCs w:val="28"/>
          </w:rPr>
          <w:t xml:space="preserve"> </w:t>
        </w:r>
      </w:ins>
      <w:ins w:id="535" w:author="Any Authorised User" w:date="2021-05-13T16:19:00Z">
        <w:r w:rsidRPr="005B7F6C">
          <w:rPr>
            <w:rFonts w:ascii="Times New Roman" w:hAnsi="Times New Roman"/>
            <w:sz w:val="24"/>
            <w:szCs w:val="28"/>
          </w:rPr>
          <w:t xml:space="preserve">Tenor permanently or indefinitely, provided that, at the time of the statement or publication, there is no successor administrator that will continue to provide </w:t>
        </w:r>
      </w:ins>
      <w:ins w:id="536" w:author="Any Authorised User" w:date="2021-05-13T16:22:00Z">
        <w:r>
          <w:rPr>
            <w:rFonts w:ascii="Times New Roman" w:hAnsi="Times New Roman"/>
            <w:sz w:val="24"/>
            <w:szCs w:val="28"/>
          </w:rPr>
          <w:t>USD</w:t>
        </w:r>
        <w:r w:rsidRPr="005B7F6C">
          <w:rPr>
            <w:rFonts w:ascii="Times New Roman" w:hAnsi="Times New Roman"/>
            <w:sz w:val="24"/>
            <w:szCs w:val="28"/>
          </w:rPr>
          <w:t xml:space="preserve"> </w:t>
        </w:r>
      </w:ins>
      <w:ins w:id="537" w:author="Any Authorised User" w:date="2021-05-13T16:19:00Z">
        <w:r w:rsidRPr="005B7F6C">
          <w:rPr>
            <w:rFonts w:ascii="Times New Roman" w:hAnsi="Times New Roman"/>
            <w:sz w:val="24"/>
            <w:szCs w:val="28"/>
          </w:rPr>
          <w:t xml:space="preserve">LIBOR for the Applicable </w:t>
        </w:r>
      </w:ins>
      <w:ins w:id="538" w:author="Any Authorised User" w:date="2021-05-13T16:22:00Z">
        <w:r>
          <w:rPr>
            <w:rFonts w:ascii="Times New Roman" w:hAnsi="Times New Roman"/>
            <w:sz w:val="24"/>
            <w:szCs w:val="28"/>
          </w:rPr>
          <w:t>USD</w:t>
        </w:r>
        <w:r w:rsidRPr="005B7F6C">
          <w:rPr>
            <w:rFonts w:ascii="Times New Roman" w:hAnsi="Times New Roman"/>
            <w:sz w:val="24"/>
            <w:szCs w:val="28"/>
          </w:rPr>
          <w:t xml:space="preserve"> </w:t>
        </w:r>
      </w:ins>
      <w:ins w:id="539" w:author="Any Authorised User" w:date="2021-05-13T16:19:00Z">
        <w:r w:rsidRPr="005B7F6C">
          <w:rPr>
            <w:rFonts w:ascii="Times New Roman" w:hAnsi="Times New Roman"/>
            <w:sz w:val="24"/>
            <w:szCs w:val="28"/>
          </w:rPr>
          <w:t>Tenor; or</w:t>
        </w:r>
      </w:ins>
    </w:p>
    <w:p w14:paraId="1AD1DB65" w14:textId="56B6FC53" w:rsidR="006B41F6" w:rsidRDefault="006B41F6" w:rsidP="006B41F6">
      <w:pPr>
        <w:pStyle w:val="Body"/>
        <w:ind w:left="2552" w:hanging="567"/>
        <w:rPr>
          <w:ins w:id="540" w:author="Any Authorised User" w:date="2021-05-13T16:23:00Z"/>
          <w:rFonts w:ascii="Times New Roman" w:hAnsi="Times New Roman"/>
          <w:b/>
          <w:bCs/>
          <w:i/>
          <w:iCs/>
          <w:sz w:val="24"/>
          <w:szCs w:val="28"/>
        </w:rPr>
      </w:pPr>
      <w:ins w:id="541" w:author="Any Authorised User" w:date="2021-05-13T16:19:00Z">
        <w:r w:rsidRPr="005B7F6C">
          <w:rPr>
            <w:rFonts w:ascii="Times New Roman" w:hAnsi="Times New Roman"/>
            <w:sz w:val="24"/>
            <w:szCs w:val="28"/>
          </w:rPr>
          <w:t>(</w:t>
        </w:r>
        <w:r>
          <w:rPr>
            <w:rFonts w:ascii="Times New Roman" w:hAnsi="Times New Roman"/>
            <w:sz w:val="24"/>
            <w:szCs w:val="28"/>
          </w:rPr>
          <w:t>C</w:t>
        </w:r>
        <w:r w:rsidRPr="005B7F6C">
          <w:rPr>
            <w:rFonts w:ascii="Times New Roman" w:hAnsi="Times New Roman"/>
            <w:sz w:val="24"/>
            <w:szCs w:val="28"/>
          </w:rPr>
          <w:t>)</w:t>
        </w:r>
        <w:r w:rsidRPr="005B7F6C">
          <w:rPr>
            <w:rFonts w:ascii="Times New Roman" w:hAnsi="Times New Roman"/>
            <w:sz w:val="24"/>
            <w:szCs w:val="28"/>
          </w:rPr>
          <w:tab/>
          <w:t xml:space="preserve">a public statement or publication of information by the regulatory supervisor for the administrator of </w:t>
        </w:r>
      </w:ins>
      <w:ins w:id="542" w:author="Any Authorised User" w:date="2021-05-13T16:22:00Z">
        <w:r>
          <w:rPr>
            <w:rFonts w:ascii="Times New Roman" w:hAnsi="Times New Roman"/>
            <w:sz w:val="24"/>
            <w:szCs w:val="28"/>
          </w:rPr>
          <w:t>USD</w:t>
        </w:r>
        <w:r w:rsidRPr="005B7F6C">
          <w:rPr>
            <w:rFonts w:ascii="Times New Roman" w:hAnsi="Times New Roman"/>
            <w:sz w:val="24"/>
            <w:szCs w:val="28"/>
          </w:rPr>
          <w:t xml:space="preserve"> </w:t>
        </w:r>
      </w:ins>
      <w:ins w:id="543" w:author="Any Authorised User" w:date="2021-05-13T16:19:00Z">
        <w:r w:rsidRPr="005B7F6C">
          <w:rPr>
            <w:rFonts w:ascii="Times New Roman" w:hAnsi="Times New Roman"/>
            <w:sz w:val="24"/>
            <w:szCs w:val="28"/>
          </w:rPr>
          <w:t xml:space="preserve">LIBOR announcing that (A) the regulatory supervisor has determined that </w:t>
        </w:r>
      </w:ins>
      <w:ins w:id="544" w:author="Any Authorised User" w:date="2021-05-13T16:22:00Z">
        <w:r>
          <w:rPr>
            <w:rFonts w:ascii="Times New Roman" w:hAnsi="Times New Roman"/>
            <w:sz w:val="24"/>
            <w:szCs w:val="28"/>
          </w:rPr>
          <w:t>USD</w:t>
        </w:r>
        <w:r w:rsidRPr="005B7F6C">
          <w:rPr>
            <w:rFonts w:ascii="Times New Roman" w:hAnsi="Times New Roman"/>
            <w:sz w:val="24"/>
            <w:szCs w:val="28"/>
          </w:rPr>
          <w:t xml:space="preserve"> </w:t>
        </w:r>
      </w:ins>
      <w:ins w:id="545" w:author="Any Authorised User" w:date="2021-05-13T16:19:00Z">
        <w:r w:rsidRPr="005B7F6C">
          <w:rPr>
            <w:rFonts w:ascii="Times New Roman" w:hAnsi="Times New Roman"/>
            <w:sz w:val="24"/>
            <w:szCs w:val="28"/>
          </w:rPr>
          <w:t xml:space="preserve">LIBOR for the Applicable </w:t>
        </w:r>
      </w:ins>
      <w:ins w:id="546" w:author="Any Authorised User" w:date="2021-05-13T16:22:00Z">
        <w:r>
          <w:rPr>
            <w:rFonts w:ascii="Times New Roman" w:hAnsi="Times New Roman"/>
            <w:sz w:val="24"/>
            <w:szCs w:val="28"/>
          </w:rPr>
          <w:t>USD</w:t>
        </w:r>
        <w:r w:rsidRPr="005B7F6C">
          <w:rPr>
            <w:rFonts w:ascii="Times New Roman" w:hAnsi="Times New Roman"/>
            <w:sz w:val="24"/>
            <w:szCs w:val="28"/>
          </w:rPr>
          <w:t xml:space="preserve"> </w:t>
        </w:r>
      </w:ins>
      <w:ins w:id="547" w:author="Any Authorised User" w:date="2021-05-13T16:19:00Z">
        <w:r w:rsidRPr="005B7F6C">
          <w:rPr>
            <w:rFonts w:ascii="Times New Roman" w:hAnsi="Times New Roman"/>
            <w:sz w:val="24"/>
            <w:szCs w:val="28"/>
          </w:rPr>
          <w:t xml:space="preserve">Tenor is no longer, or as of a specified future date will no longer be, representative of the underlying market and economic reality that </w:t>
        </w:r>
      </w:ins>
      <w:ins w:id="548" w:author="Any Authorised User" w:date="2021-05-13T16:22:00Z">
        <w:r>
          <w:rPr>
            <w:rFonts w:ascii="Times New Roman" w:hAnsi="Times New Roman"/>
            <w:sz w:val="24"/>
            <w:szCs w:val="28"/>
          </w:rPr>
          <w:t>USD</w:t>
        </w:r>
        <w:r w:rsidRPr="005B7F6C">
          <w:rPr>
            <w:rFonts w:ascii="Times New Roman" w:hAnsi="Times New Roman"/>
            <w:sz w:val="24"/>
            <w:szCs w:val="28"/>
          </w:rPr>
          <w:t xml:space="preserve"> </w:t>
        </w:r>
      </w:ins>
      <w:ins w:id="549" w:author="Any Authorised User" w:date="2021-05-13T16:19:00Z">
        <w:r w:rsidRPr="005B7F6C">
          <w:rPr>
            <w:rFonts w:ascii="Times New Roman" w:hAnsi="Times New Roman"/>
            <w:sz w:val="24"/>
            <w:szCs w:val="28"/>
          </w:rPr>
          <w:t xml:space="preserve">LIBOR for that Applicable </w:t>
        </w:r>
      </w:ins>
      <w:ins w:id="550" w:author="Any Authorised User" w:date="2021-05-13T16:22:00Z">
        <w:r>
          <w:rPr>
            <w:rFonts w:ascii="Times New Roman" w:hAnsi="Times New Roman"/>
            <w:sz w:val="24"/>
            <w:szCs w:val="28"/>
          </w:rPr>
          <w:t>USD</w:t>
        </w:r>
        <w:r w:rsidRPr="005B7F6C">
          <w:rPr>
            <w:rFonts w:ascii="Times New Roman" w:hAnsi="Times New Roman"/>
            <w:sz w:val="24"/>
            <w:szCs w:val="28"/>
          </w:rPr>
          <w:t xml:space="preserve"> </w:t>
        </w:r>
      </w:ins>
      <w:ins w:id="551" w:author="Any Authorised User" w:date="2021-05-13T16:19:00Z">
        <w:r w:rsidRPr="005B7F6C">
          <w:rPr>
            <w:rFonts w:ascii="Times New Roman" w:hAnsi="Times New Roman"/>
            <w:sz w:val="24"/>
            <w:szCs w:val="28"/>
          </w:rPr>
          <w:t>Tenor is intended to measure and that representativeness will not be restored and (B) it is being made in the awareness that the statement or publication will engage certain contractual triggers for fallbacks activated by pre-cessation announcements by such supervisor (howsoever described) in contracts</w:t>
        </w:r>
      </w:ins>
      <w:ins w:id="552" w:author="Any Authorised User" w:date="2021-05-13T16:23:00Z">
        <w:r>
          <w:rPr>
            <w:rFonts w:ascii="Times New Roman" w:hAnsi="Times New Roman"/>
            <w:sz w:val="24"/>
            <w:szCs w:val="28"/>
          </w:rPr>
          <w:t>; and</w:t>
        </w:r>
      </w:ins>
      <w:ins w:id="553" w:author="Any Authorised User" w:date="2021-05-13T16:19:00Z">
        <w:r>
          <w:rPr>
            <w:rFonts w:ascii="Times New Roman" w:hAnsi="Times New Roman"/>
            <w:sz w:val="24"/>
            <w:szCs w:val="28"/>
          </w:rPr>
          <w:t xml:space="preserve"> </w:t>
        </w:r>
        <w:r w:rsidRPr="008402A9">
          <w:rPr>
            <w:rFonts w:ascii="Times New Roman" w:hAnsi="Times New Roman"/>
            <w:sz w:val="24"/>
            <w:szCs w:val="28"/>
          </w:rPr>
          <w:t>[</w:t>
        </w:r>
      </w:ins>
      <w:ins w:id="554" w:author="Any Authorised User" w:date="2021-06-09T16:51:00Z">
        <w:r w:rsidR="008402A9">
          <w:rPr>
            <w:rFonts w:ascii="Times New Roman" w:hAnsi="Times New Roman"/>
            <w:b/>
            <w:bCs/>
            <w:i/>
            <w:iCs/>
            <w:sz w:val="24"/>
            <w:szCs w:val="28"/>
            <w:highlight w:val="yellow"/>
          </w:rPr>
          <w:t>Drafting note</w:t>
        </w:r>
      </w:ins>
      <w:ins w:id="555" w:author="Any Authorised User" w:date="2021-05-13T16:19:00Z">
        <w:r w:rsidRPr="006B41F6">
          <w:rPr>
            <w:rFonts w:ascii="Times New Roman" w:hAnsi="Times New Roman"/>
            <w:b/>
            <w:bCs/>
            <w:i/>
            <w:iCs/>
            <w:sz w:val="24"/>
            <w:szCs w:val="28"/>
            <w:highlight w:val="yellow"/>
          </w:rPr>
          <w:t xml:space="preserve">: We have included limb (II) to deal with a scenario where a second announcement is made which constitutes an Index Cessation Event and changes the dates for </w:t>
        </w:r>
      </w:ins>
      <w:ins w:id="556" w:author="Any Authorised User" w:date="2021-05-13T16:22:00Z">
        <w:r w:rsidRPr="006B41F6">
          <w:rPr>
            <w:rFonts w:ascii="Times New Roman" w:hAnsi="Times New Roman"/>
            <w:b/>
            <w:bCs/>
            <w:i/>
            <w:iCs/>
            <w:sz w:val="24"/>
            <w:szCs w:val="28"/>
            <w:highlight w:val="yellow"/>
          </w:rPr>
          <w:t xml:space="preserve">USD </w:t>
        </w:r>
      </w:ins>
      <w:ins w:id="557" w:author="Any Authorised User" w:date="2021-05-13T16:19:00Z">
        <w:r w:rsidRPr="006B41F6">
          <w:rPr>
            <w:rFonts w:ascii="Times New Roman" w:hAnsi="Times New Roman"/>
            <w:b/>
            <w:bCs/>
            <w:i/>
            <w:iCs/>
            <w:sz w:val="24"/>
            <w:szCs w:val="28"/>
            <w:highlight w:val="yellow"/>
          </w:rPr>
          <w:t>LIBOR cessation/non-representativeness already announced. This is not expected to occur but we have contemplated this in the drafting just in case. In the event that (II) above did apply (i.e. if a second announcement were made which constitutes an Index Cessation Event), this would not have any effect on the fixed Bloomberg spread adjustments announced by Bloomberg. Therefore, whilst the Applicable LIBOR Index Cessation Effective Date could change if a second announcement constituting an Index Cessation Event were to be made, the spread adjustment will not change.</w:t>
        </w:r>
        <w:r w:rsidRPr="008402A9">
          <w:rPr>
            <w:rFonts w:ascii="Times New Roman" w:hAnsi="Times New Roman"/>
            <w:sz w:val="24"/>
            <w:szCs w:val="28"/>
          </w:rPr>
          <w:t>]</w:t>
        </w:r>
      </w:ins>
    </w:p>
    <w:p w14:paraId="63133526" w14:textId="166C3479" w:rsidR="00387F78" w:rsidRDefault="006B41F6" w:rsidP="008402A9">
      <w:pPr>
        <w:pStyle w:val="Body"/>
        <w:ind w:left="1276"/>
        <w:rPr>
          <w:ins w:id="558" w:author="Any Authorised User" w:date="2021-03-25T18:54:00Z"/>
          <w:rFonts w:ascii="Times New Roman" w:hAnsi="Times New Roman"/>
          <w:sz w:val="24"/>
          <w:szCs w:val="28"/>
        </w:rPr>
      </w:pPr>
      <w:ins w:id="559" w:author="Any Authorised User" w:date="2021-05-13T16:24:00Z">
        <w:r>
          <w:rPr>
            <w:rFonts w:ascii="Times New Roman" w:hAnsi="Times New Roman"/>
            <w:sz w:val="24"/>
            <w:szCs w:val="28"/>
          </w:rPr>
          <w:lastRenderedPageBreak/>
          <w:t xml:space="preserve">“USD SOFR ICE Swap Rate” means </w:t>
        </w:r>
      </w:ins>
      <w:ins w:id="560" w:author="Any Authorised User" w:date="2021-05-13T16:25:00Z">
        <w:r w:rsidRPr="006B41F6">
          <w:rPr>
            <w:rFonts w:ascii="Times New Roman" w:hAnsi="Times New Roman"/>
            <w:sz w:val="24"/>
            <w:szCs w:val="28"/>
          </w:rPr>
          <w:t>the benchmark for the mid-price for the fixed leg of a fixed-for-floating U.S. Dollar swap transaction where the floating leg references the Secured Overnight Financing Rate administered by the Federal Reserve Bank of New York (or any successor administrator) (SOFR) and both the fixed leg and floating leg are paid annually, as provided by ICE Benchmark Administration Limited as the administrator of the benchmark (or a successor administrator).</w:t>
        </w:r>
      </w:ins>
      <w:ins w:id="561" w:author="Any Authorised User" w:date="2021-05-13T16:26:00Z">
        <w:r>
          <w:rPr>
            <w:rFonts w:ascii="Times New Roman" w:hAnsi="Times New Roman"/>
            <w:sz w:val="24"/>
            <w:szCs w:val="28"/>
          </w:rPr>
          <w:t>”.</w:t>
        </w:r>
      </w:ins>
      <w:ins w:id="562" w:author="Any Authorised User" w:date="2021-05-13T16:25:00Z">
        <w:r w:rsidRPr="006B41F6">
          <w:rPr>
            <w:rFonts w:ascii="Times New Roman" w:hAnsi="Times New Roman"/>
            <w:sz w:val="24"/>
            <w:szCs w:val="28"/>
          </w:rPr>
          <w:t xml:space="preserve"> </w:t>
        </w:r>
      </w:ins>
      <w:ins w:id="563" w:author="Any Authorised User" w:date="2021-03-25T18:54:00Z">
        <w:r w:rsidR="00387F78">
          <w:rPr>
            <w:rFonts w:ascii="Times New Roman" w:hAnsi="Times New Roman"/>
            <w:sz w:val="24"/>
            <w:szCs w:val="28"/>
          </w:rPr>
          <w:br w:type="page"/>
        </w:r>
      </w:ins>
    </w:p>
    <w:p w14:paraId="29479F38" w14:textId="58F9D03E" w:rsidR="00CF77AA" w:rsidRDefault="00CF77AA" w:rsidP="00F14AB2">
      <w:pPr>
        <w:pStyle w:val="Body"/>
        <w:numPr>
          <w:ilvl w:val="0"/>
          <w:numId w:val="62"/>
        </w:numPr>
        <w:ind w:hanging="720"/>
        <w:rPr>
          <w:rFonts w:ascii="Times New Roman" w:hAnsi="Times New Roman"/>
          <w:sz w:val="24"/>
          <w:szCs w:val="28"/>
        </w:rPr>
      </w:pPr>
      <w:r w:rsidRPr="00192F2D">
        <w:rPr>
          <w:rFonts w:ascii="Times New Roman" w:hAnsi="Times New Roman"/>
          <w:sz w:val="24"/>
          <w:szCs w:val="28"/>
        </w:rPr>
        <w:lastRenderedPageBreak/>
        <w:t xml:space="preserve">Section </w:t>
      </w:r>
      <w:r>
        <w:rPr>
          <w:rFonts w:ascii="Times New Roman" w:hAnsi="Times New Roman"/>
          <w:sz w:val="24"/>
          <w:szCs w:val="28"/>
        </w:rPr>
        <w:t xml:space="preserve">18.2(f) </w:t>
      </w:r>
      <w:r w:rsidRPr="00192F2D">
        <w:rPr>
          <w:rFonts w:ascii="Times New Roman" w:hAnsi="Times New Roman"/>
          <w:sz w:val="24"/>
          <w:szCs w:val="28"/>
        </w:rPr>
        <w:t>is amended by deleting it in its entirety and restating as follows:</w:t>
      </w:r>
    </w:p>
    <w:p w14:paraId="5E7C1272" w14:textId="77777777" w:rsidR="00213165" w:rsidRDefault="00213165" w:rsidP="00213165">
      <w:pPr>
        <w:pStyle w:val="Body"/>
        <w:ind w:left="709" w:hanging="709"/>
        <w:rPr>
          <w:rFonts w:ascii="Times New Roman" w:hAnsi="Times New Roman"/>
          <w:sz w:val="24"/>
          <w:szCs w:val="24"/>
        </w:rPr>
      </w:pPr>
      <w:r w:rsidRPr="00213165">
        <w:rPr>
          <w:rFonts w:ascii="Times New Roman" w:hAnsi="Times New Roman"/>
          <w:sz w:val="24"/>
          <w:szCs w:val="24"/>
        </w:rPr>
        <w:t xml:space="preserve">“(f) </w:t>
      </w:r>
      <w:r w:rsidRPr="00213165">
        <w:rPr>
          <w:rFonts w:ascii="Times New Roman" w:hAnsi="Times New Roman"/>
          <w:sz w:val="24"/>
          <w:szCs w:val="24"/>
        </w:rPr>
        <w:tab/>
      </w:r>
      <w:r w:rsidRPr="00213165">
        <w:rPr>
          <w:rFonts w:ascii="Times New Roman" w:hAnsi="Times New Roman"/>
          <w:b/>
          <w:bCs/>
          <w:sz w:val="24"/>
          <w:szCs w:val="24"/>
        </w:rPr>
        <w:t>Settlement Rate.</w:t>
      </w:r>
      <w:r w:rsidRPr="00213165">
        <w:rPr>
          <w:rFonts w:ascii="Times New Roman" w:hAnsi="Times New Roman"/>
          <w:sz w:val="24"/>
          <w:szCs w:val="24"/>
        </w:rPr>
        <w:t xml:space="preserve"> “Settlement Rate” means, in respect of a Swap Transaction and subject to the provisions of Section 13.9 (Settlement Rate on Automatic Exercise or Fallback Exercise) and Section 18.6 (Corrections to Published and Displayed Rates for Settlement Rate):</w:t>
      </w:r>
    </w:p>
    <w:p w14:paraId="10B099C8" w14:textId="2B5B71FE" w:rsidR="00213165" w:rsidRDefault="00213165" w:rsidP="00061059">
      <w:pPr>
        <w:pStyle w:val="Body"/>
        <w:numPr>
          <w:ilvl w:val="0"/>
          <w:numId w:val="63"/>
        </w:numPr>
        <w:rPr>
          <w:rFonts w:ascii="Times New Roman" w:hAnsi="Times New Roman"/>
          <w:sz w:val="24"/>
          <w:szCs w:val="24"/>
        </w:rPr>
      </w:pPr>
      <w:r w:rsidRPr="00213165">
        <w:rPr>
          <w:rFonts w:ascii="Times New Roman" w:hAnsi="Times New Roman"/>
          <w:sz w:val="24"/>
          <w:szCs w:val="24"/>
        </w:rPr>
        <w:t>if “</w:t>
      </w:r>
      <w:r w:rsidRPr="00213165">
        <w:rPr>
          <w:rFonts w:ascii="Times New Roman" w:hAnsi="Times New Roman"/>
          <w:b/>
          <w:bCs/>
          <w:sz w:val="24"/>
          <w:szCs w:val="24"/>
        </w:rPr>
        <w:t>ICESWAP Rate</w:t>
      </w:r>
      <w:r w:rsidRPr="00213165">
        <w:rPr>
          <w:rFonts w:ascii="Times New Roman" w:hAnsi="Times New Roman"/>
          <w:sz w:val="24"/>
          <w:szCs w:val="24"/>
        </w:rPr>
        <w:t xml:space="preserve">” is specified, or deemed to have been specified, in the related Confirmation, the par swap rate for swaps in the currency in which the Relevant Swap Transaction is denominated and, if there is more than one par swap rate for the relevant currency, with a floating leg referencing the same benchmark as the benchmark that applies pursuant to the Floating Rate Option for the Relevant Swap Transaction, for a period equivalent to the remaining Term of the Relevant Swap Transaction, as </w:t>
      </w:r>
      <w:del w:id="564" w:author="Any Authorised User" w:date="2021-05-07T11:53:00Z">
        <w:r w:rsidRPr="00213165" w:rsidDel="00AD37D2">
          <w:rPr>
            <w:rFonts w:ascii="Times New Roman" w:hAnsi="Times New Roman"/>
            <w:sz w:val="24"/>
            <w:szCs w:val="24"/>
          </w:rPr>
          <w:delText>published by the ICESWAP Rate Administrator</w:delText>
        </w:r>
      </w:del>
      <w:ins w:id="565" w:author="Any Authorised User" w:date="2021-04-30T19:29:00Z">
        <w:r w:rsidR="00F55400">
          <w:rPr>
            <w:rFonts w:ascii="Times New Roman" w:hAnsi="Times New Roman"/>
            <w:sz w:val="24"/>
            <w:szCs w:val="24"/>
          </w:rPr>
          <w:t>provided by the ICESWAP Rate Administrator to, and published by, authorized distributors of that rate</w:t>
        </w:r>
      </w:ins>
      <w:r w:rsidRPr="00213165">
        <w:rPr>
          <w:rFonts w:ascii="Times New Roman" w:hAnsi="Times New Roman"/>
          <w:sz w:val="24"/>
          <w:szCs w:val="24"/>
        </w:rPr>
        <w:t>, as of the Cash Settlement Valuation Time on the Cash Settlement Valuation Date, where “</w:t>
      </w:r>
      <w:r w:rsidRPr="00213165">
        <w:rPr>
          <w:rFonts w:ascii="Times New Roman" w:hAnsi="Times New Roman"/>
          <w:b/>
          <w:bCs/>
          <w:sz w:val="24"/>
          <w:szCs w:val="24"/>
        </w:rPr>
        <w:t>ICESWAP Rate Administrator</w:t>
      </w:r>
      <w:r w:rsidRPr="00213165">
        <w:rPr>
          <w:rFonts w:ascii="Times New Roman" w:hAnsi="Times New Roman"/>
          <w:sz w:val="24"/>
          <w:szCs w:val="24"/>
        </w:rPr>
        <w:t xml:space="preserve">” means ICE Benchmark Administration, or any successor thereto as administrator of the ICE Swap Rate; </w:t>
      </w:r>
    </w:p>
    <w:p w14:paraId="4E30AD5A" w14:textId="09FF1A7E" w:rsidR="00213165" w:rsidRPr="00153C79" w:rsidRDefault="00213165" w:rsidP="00061059">
      <w:pPr>
        <w:pStyle w:val="Body"/>
        <w:numPr>
          <w:ilvl w:val="0"/>
          <w:numId w:val="63"/>
        </w:numPr>
        <w:rPr>
          <w:rFonts w:ascii="Times New Roman" w:hAnsi="Times New Roman"/>
          <w:sz w:val="24"/>
          <w:szCs w:val="24"/>
        </w:rPr>
      </w:pPr>
      <w:r w:rsidRPr="00213165">
        <w:rPr>
          <w:rFonts w:ascii="Times New Roman" w:hAnsi="Times New Roman"/>
          <w:sz w:val="24"/>
          <w:szCs w:val="24"/>
        </w:rPr>
        <w:t xml:space="preserve">if “Other Price Source” is specified in the related Confirmation, or a price source or swap rate (other than “ICESWAP Rate”) is specified or deemed specified in the Confirmation, the par swap rate for swaps in the currency in which the Relevant Swap Transaction is denominated, and, if there is more than one par swap rate for the relevant currency, with a floating leg referencing the same benchmark as the benchmark that applies pursuant to the Floating Rate Option for the Relevant Swap Transaction, for a period equivalent to the remaining Term of the Relevant Swap Transaction, which appears in the price source specified for that purpose or which is </w:t>
      </w:r>
      <w:del w:id="566" w:author="Any Authorised User" w:date="2021-05-07T11:53:00Z">
        <w:r w:rsidRPr="00213165" w:rsidDel="00AD37D2">
          <w:rPr>
            <w:rFonts w:ascii="Times New Roman" w:hAnsi="Times New Roman"/>
            <w:sz w:val="24"/>
            <w:szCs w:val="24"/>
          </w:rPr>
          <w:delText>published by the relevant administrator for the swap rate specified</w:delText>
        </w:r>
      </w:del>
      <w:ins w:id="567" w:author="Any Authorised User" w:date="2021-04-30T19:32:00Z">
        <w:r w:rsidR="00F55400">
          <w:rPr>
            <w:rFonts w:ascii="Times New Roman" w:hAnsi="Times New Roman"/>
            <w:sz w:val="24"/>
            <w:szCs w:val="24"/>
          </w:rPr>
          <w:t>provided by the relevant administrator for the swap rate specified to, and published by, authorized distributors of that rate</w:t>
        </w:r>
      </w:ins>
      <w:r w:rsidRPr="00213165">
        <w:rPr>
          <w:rFonts w:ascii="Times New Roman" w:hAnsi="Times New Roman"/>
          <w:sz w:val="24"/>
          <w:szCs w:val="24"/>
        </w:rPr>
        <w:t xml:space="preserve">, as of the Cash Settlement Valuation Time on the </w:t>
      </w:r>
      <w:r w:rsidRPr="00153C79">
        <w:rPr>
          <w:rFonts w:ascii="Times New Roman" w:hAnsi="Times New Roman"/>
          <w:sz w:val="24"/>
          <w:szCs w:val="24"/>
        </w:rPr>
        <w:t xml:space="preserve">Cash Settlement Valuation Date and, if appropriate, for the relevant Quotation Rate; </w:t>
      </w:r>
      <w:del w:id="568" w:author="Any Authorised User" w:date="2021-03-26T15:15:00Z">
        <w:r w:rsidRPr="00153C79" w:rsidDel="00AC0666">
          <w:rPr>
            <w:rFonts w:ascii="Times New Roman" w:hAnsi="Times New Roman"/>
            <w:sz w:val="24"/>
            <w:szCs w:val="24"/>
          </w:rPr>
          <w:delText xml:space="preserve">or </w:delText>
        </w:r>
      </w:del>
    </w:p>
    <w:p w14:paraId="43D42392" w14:textId="2A797E78" w:rsidR="00D712F0" w:rsidRPr="00153C79" w:rsidRDefault="00213165" w:rsidP="00061059">
      <w:pPr>
        <w:pStyle w:val="Body"/>
        <w:numPr>
          <w:ilvl w:val="0"/>
          <w:numId w:val="63"/>
        </w:numPr>
        <w:rPr>
          <w:rFonts w:ascii="Times New Roman" w:hAnsi="Times New Roman"/>
          <w:sz w:val="24"/>
          <w:szCs w:val="24"/>
        </w:rPr>
      </w:pPr>
      <w:r w:rsidRPr="00153C79">
        <w:rPr>
          <w:rFonts w:ascii="Times New Roman" w:hAnsi="Times New Roman"/>
          <w:sz w:val="24"/>
          <w:szCs w:val="24"/>
        </w:rPr>
        <w:t>if</w:t>
      </w:r>
      <w:ins w:id="569" w:author="Any Authorised User" w:date="2021-03-26T15:41:00Z">
        <w:r w:rsidR="00D712F0" w:rsidRPr="00153C79">
          <w:rPr>
            <w:rFonts w:ascii="Times New Roman" w:hAnsi="Times New Roman"/>
            <w:sz w:val="24"/>
            <w:szCs w:val="24"/>
          </w:rPr>
          <w:t>:</w:t>
        </w:r>
      </w:ins>
      <w:r w:rsidRPr="00153C79">
        <w:rPr>
          <w:rFonts w:ascii="Times New Roman" w:hAnsi="Times New Roman"/>
          <w:sz w:val="24"/>
          <w:szCs w:val="24"/>
        </w:rPr>
        <w:t xml:space="preserve"> </w:t>
      </w:r>
    </w:p>
    <w:p w14:paraId="22CBF151" w14:textId="3EB45420" w:rsidR="00AC0666" w:rsidRDefault="00F23656" w:rsidP="00061059">
      <w:pPr>
        <w:pStyle w:val="Body"/>
        <w:numPr>
          <w:ilvl w:val="0"/>
          <w:numId w:val="64"/>
        </w:numPr>
        <w:rPr>
          <w:ins w:id="570" w:author="Any Authorised User" w:date="2021-03-26T15:11:00Z"/>
          <w:rFonts w:ascii="Times New Roman" w:hAnsi="Times New Roman"/>
          <w:sz w:val="24"/>
          <w:szCs w:val="24"/>
        </w:rPr>
      </w:pPr>
      <w:ins w:id="571" w:author="Any Authorised User" w:date="2021-04-28T10:51:00Z">
        <w:r>
          <w:rPr>
            <w:rFonts w:ascii="Times New Roman" w:hAnsi="Times New Roman"/>
            <w:sz w:val="24"/>
            <w:szCs w:val="24"/>
          </w:rPr>
          <w:t>subject to sub-para</w:t>
        </w:r>
      </w:ins>
      <w:ins w:id="572" w:author="Any Authorised User" w:date="2021-04-28T10:52:00Z">
        <w:r>
          <w:rPr>
            <w:rFonts w:ascii="Times New Roman" w:hAnsi="Times New Roman"/>
            <w:sz w:val="24"/>
            <w:szCs w:val="24"/>
          </w:rPr>
          <w:t>graph (iv) below,</w:t>
        </w:r>
      </w:ins>
      <w:ins w:id="573" w:author="Any Authorised User" w:date="2021-05-07T13:54:00Z">
        <w:r w:rsidR="00153C79">
          <w:rPr>
            <w:rFonts w:ascii="Times New Roman" w:hAnsi="Times New Roman"/>
            <w:sz w:val="24"/>
            <w:szCs w:val="24"/>
          </w:rPr>
          <w:t xml:space="preserve"> </w:t>
        </w:r>
      </w:ins>
      <w:r w:rsidR="00213165" w:rsidRPr="00213165">
        <w:rPr>
          <w:rFonts w:ascii="Times New Roman" w:hAnsi="Times New Roman"/>
          <w:sz w:val="24"/>
          <w:szCs w:val="24"/>
        </w:rPr>
        <w:t xml:space="preserve">a par swap rate for swaps in the currency in which the Relevant Swap Transaction is denominated, with a floating leg referencing the same benchmark as the benchmark that </w:t>
      </w:r>
      <w:r w:rsidR="00213165" w:rsidRPr="00213165">
        <w:rPr>
          <w:rFonts w:ascii="Times New Roman" w:hAnsi="Times New Roman"/>
          <w:sz w:val="24"/>
          <w:szCs w:val="24"/>
        </w:rPr>
        <w:lastRenderedPageBreak/>
        <w:t>applies pursuant to the Floating Rate Option for the Relevant Swap Transaction, for a period equivalent to the remaining Term of the Relevant Swap Transaction is not published</w:t>
      </w:r>
      <w:ins w:id="574" w:author="Any Authorised User" w:date="2021-03-26T15:11:00Z">
        <w:r w:rsidR="00AC0666">
          <w:rPr>
            <w:rFonts w:ascii="Times New Roman" w:hAnsi="Times New Roman"/>
            <w:sz w:val="24"/>
            <w:szCs w:val="24"/>
          </w:rPr>
          <w:t>:</w:t>
        </w:r>
      </w:ins>
    </w:p>
    <w:p w14:paraId="7CFAFF79" w14:textId="2DB7AD1A" w:rsidR="00AC0666" w:rsidRDefault="00213165" w:rsidP="00061059">
      <w:pPr>
        <w:pStyle w:val="Body"/>
        <w:numPr>
          <w:ilvl w:val="0"/>
          <w:numId w:val="67"/>
        </w:numPr>
        <w:rPr>
          <w:ins w:id="575" w:author="Any Authorised User" w:date="2021-03-26T15:11:00Z"/>
          <w:rFonts w:ascii="Times New Roman" w:hAnsi="Times New Roman"/>
          <w:sz w:val="24"/>
          <w:szCs w:val="24"/>
        </w:rPr>
      </w:pPr>
      <w:del w:id="576" w:author="Any Authorised User" w:date="2021-03-26T15:41:00Z">
        <w:r w:rsidRPr="00213165" w:rsidDel="00D712F0">
          <w:rPr>
            <w:rFonts w:ascii="Times New Roman" w:hAnsi="Times New Roman"/>
            <w:sz w:val="24"/>
            <w:szCs w:val="24"/>
          </w:rPr>
          <w:delText xml:space="preserve"> </w:delText>
        </w:r>
      </w:del>
      <w:r w:rsidRPr="00213165">
        <w:rPr>
          <w:rFonts w:ascii="Times New Roman" w:hAnsi="Times New Roman"/>
          <w:sz w:val="24"/>
          <w:szCs w:val="24"/>
        </w:rPr>
        <w:t xml:space="preserve">by the ICESWAP Rate Administrator </w:t>
      </w:r>
      <w:ins w:id="577" w:author="Any Authorised User" w:date="2021-04-28T10:54:00Z">
        <w:r w:rsidR="00F23656" w:rsidRPr="00F23656">
          <w:rPr>
            <w:rFonts w:ascii="Times New Roman" w:hAnsi="Times New Roman"/>
            <w:sz w:val="24"/>
            <w:szCs w:val="24"/>
          </w:rPr>
          <w:t>or an authorized distributor and is not otherwise provided by the ICESWAP Rate Administrator</w:t>
        </w:r>
      </w:ins>
      <w:ins w:id="578" w:author="Any Authorised User" w:date="2021-04-30T19:35:00Z">
        <w:r w:rsidR="006D6124" w:rsidRPr="006D6124">
          <w:rPr>
            <w:rFonts w:ascii="Times New Roman" w:hAnsi="Times New Roman"/>
            <w:sz w:val="24"/>
            <w:szCs w:val="28"/>
          </w:rPr>
          <w:t xml:space="preserve"> </w:t>
        </w:r>
        <w:r w:rsidR="006D6124">
          <w:rPr>
            <w:rFonts w:ascii="Times New Roman" w:hAnsi="Times New Roman"/>
            <w:sz w:val="24"/>
            <w:szCs w:val="28"/>
          </w:rPr>
          <w:t>(including in circumstances where the words “No Publication” (or similar) are published in accordance with the ICESWAP Rate Administrator’s insufficient data policy)</w:t>
        </w:r>
        <w:r w:rsidR="006D6124" w:rsidRPr="00F23656">
          <w:rPr>
            <w:rFonts w:ascii="Times New Roman" w:hAnsi="Times New Roman"/>
            <w:sz w:val="24"/>
            <w:szCs w:val="24"/>
          </w:rPr>
          <w:t xml:space="preserve"> </w:t>
        </w:r>
      </w:ins>
      <w:ins w:id="579" w:author="Any Authorised User" w:date="2021-04-28T10:54:00Z">
        <w:r w:rsidR="00F23656" w:rsidRPr="00F23656">
          <w:rPr>
            <w:rFonts w:ascii="Times New Roman" w:hAnsi="Times New Roman"/>
            <w:sz w:val="24"/>
            <w:szCs w:val="24"/>
          </w:rPr>
          <w:t xml:space="preserve">by </w:t>
        </w:r>
      </w:ins>
      <w:ins w:id="580" w:author="Any Authorised User" w:date="2021-05-07T13:58:00Z">
        <w:r w:rsidR="00153C79">
          <w:rPr>
            <w:rFonts w:ascii="Times New Roman" w:hAnsi="Times New Roman"/>
            <w:sz w:val="24"/>
            <w:szCs w:val="24"/>
          </w:rPr>
          <w:t xml:space="preserve">when </w:t>
        </w:r>
      </w:ins>
      <w:ins w:id="581" w:author="Any Authorised User" w:date="2021-04-28T10:54:00Z">
        <w:r w:rsidR="00F23656" w:rsidRPr="00F23656">
          <w:rPr>
            <w:rFonts w:ascii="Times New Roman" w:hAnsi="Times New Roman"/>
            <w:sz w:val="24"/>
            <w:szCs w:val="24"/>
          </w:rPr>
          <w:t>the ICESWAP Rate is required</w:t>
        </w:r>
      </w:ins>
      <w:ins w:id="582" w:author="Any Authorised User" w:date="2021-05-07T13:58:00Z">
        <w:r w:rsidR="00153C79">
          <w:rPr>
            <w:rFonts w:ascii="Times New Roman" w:hAnsi="Times New Roman"/>
            <w:sz w:val="24"/>
            <w:szCs w:val="24"/>
          </w:rPr>
          <w:t xml:space="preserve"> </w:t>
        </w:r>
      </w:ins>
      <w:r w:rsidRPr="00213165">
        <w:rPr>
          <w:rFonts w:ascii="Times New Roman" w:hAnsi="Times New Roman"/>
          <w:sz w:val="24"/>
          <w:szCs w:val="24"/>
        </w:rPr>
        <w:t>(or an ICESWAP Rate is not available for such currency) (if “ICESWAP Rate” is specified or deemed to be specified)</w:t>
      </w:r>
      <w:ins w:id="583" w:author="Any Authorised User" w:date="2021-03-26T15:11:00Z">
        <w:r w:rsidR="00AC0666">
          <w:rPr>
            <w:rFonts w:ascii="Times New Roman" w:hAnsi="Times New Roman"/>
            <w:sz w:val="24"/>
            <w:szCs w:val="24"/>
          </w:rPr>
          <w:t>;</w:t>
        </w:r>
      </w:ins>
      <w:r w:rsidR="00D712F0">
        <w:rPr>
          <w:rFonts w:ascii="Times New Roman" w:hAnsi="Times New Roman"/>
          <w:sz w:val="24"/>
          <w:szCs w:val="24"/>
        </w:rPr>
        <w:t xml:space="preserve"> or</w:t>
      </w:r>
      <w:ins w:id="584" w:author="Any Authorised User" w:date="2021-04-15T14:44:00Z">
        <w:r w:rsidR="00C36726">
          <w:rPr>
            <w:rFonts w:ascii="Times New Roman" w:hAnsi="Times New Roman"/>
            <w:sz w:val="24"/>
            <w:szCs w:val="24"/>
          </w:rPr>
          <w:t xml:space="preserve"> </w:t>
        </w:r>
      </w:ins>
    </w:p>
    <w:p w14:paraId="40722E21" w14:textId="7F36667C" w:rsidR="00AC0666" w:rsidRDefault="00213165" w:rsidP="00061059">
      <w:pPr>
        <w:pStyle w:val="Body"/>
        <w:numPr>
          <w:ilvl w:val="0"/>
          <w:numId w:val="67"/>
        </w:numPr>
        <w:rPr>
          <w:ins w:id="585" w:author="Any Authorised User" w:date="2021-03-26T15:12:00Z"/>
          <w:rFonts w:ascii="Times New Roman" w:hAnsi="Times New Roman"/>
          <w:sz w:val="24"/>
          <w:szCs w:val="24"/>
        </w:rPr>
      </w:pPr>
      <w:del w:id="586" w:author="Any Authorised User" w:date="2021-03-26T15:12:00Z">
        <w:r w:rsidRPr="00213165" w:rsidDel="00AC0666">
          <w:rPr>
            <w:rFonts w:ascii="Times New Roman" w:hAnsi="Times New Roman"/>
            <w:sz w:val="24"/>
            <w:szCs w:val="24"/>
          </w:rPr>
          <w:delText xml:space="preserve"> or </w:delText>
        </w:r>
      </w:del>
      <w:r w:rsidRPr="00213165">
        <w:rPr>
          <w:rFonts w:ascii="Times New Roman" w:hAnsi="Times New Roman"/>
          <w:sz w:val="24"/>
          <w:szCs w:val="24"/>
        </w:rPr>
        <w:t xml:space="preserve">in the relevant price source or </w:t>
      </w:r>
      <w:del w:id="587" w:author="Any Authorised User" w:date="2021-05-07T14:01:00Z">
        <w:r w:rsidRPr="00213165" w:rsidDel="00153C79">
          <w:rPr>
            <w:rFonts w:ascii="Times New Roman" w:hAnsi="Times New Roman"/>
            <w:sz w:val="24"/>
            <w:szCs w:val="24"/>
          </w:rPr>
          <w:delText>by the relevant administrator</w:delText>
        </w:r>
      </w:del>
      <w:ins w:id="588" w:author="Any Authorised User" w:date="2021-04-30T19:38:00Z">
        <w:r w:rsidR="006D6124" w:rsidRPr="006D6124">
          <w:rPr>
            <w:rFonts w:ascii="Times New Roman" w:hAnsi="Times New Roman"/>
            <w:sz w:val="24"/>
            <w:szCs w:val="24"/>
          </w:rPr>
          <w:t>provided by the relevant administrator for the swap rate specified to, and published by, authorized distributors of that rate</w:t>
        </w:r>
      </w:ins>
      <w:r w:rsidRPr="00213165">
        <w:rPr>
          <w:rFonts w:ascii="Times New Roman" w:hAnsi="Times New Roman"/>
          <w:sz w:val="24"/>
          <w:szCs w:val="24"/>
        </w:rPr>
        <w:t xml:space="preserve"> (if “Other Price Source” is specified)</w:t>
      </w:r>
      <w:ins w:id="589" w:author="Any Authorised User" w:date="2021-05-07T14:01:00Z">
        <w:r w:rsidR="00153C79">
          <w:rPr>
            <w:rFonts w:ascii="Times New Roman" w:hAnsi="Times New Roman"/>
            <w:sz w:val="24"/>
            <w:szCs w:val="24"/>
          </w:rPr>
          <w:t>;</w:t>
        </w:r>
      </w:ins>
      <w:del w:id="590" w:author="Any Authorised User" w:date="2021-05-07T14:01:00Z">
        <w:r w:rsidR="00D712F0" w:rsidDel="00153C79">
          <w:rPr>
            <w:rFonts w:ascii="Times New Roman" w:hAnsi="Times New Roman"/>
            <w:sz w:val="24"/>
            <w:szCs w:val="24"/>
          </w:rPr>
          <w:delText>,</w:delText>
        </w:r>
      </w:del>
      <w:r w:rsidRPr="00213165">
        <w:rPr>
          <w:rFonts w:ascii="Times New Roman" w:hAnsi="Times New Roman"/>
          <w:sz w:val="24"/>
          <w:szCs w:val="24"/>
        </w:rPr>
        <w:t xml:space="preserve"> or </w:t>
      </w:r>
    </w:p>
    <w:p w14:paraId="5D1AC33A" w14:textId="65068C65" w:rsidR="00AC0666" w:rsidRDefault="00213165" w:rsidP="00061059">
      <w:pPr>
        <w:pStyle w:val="Body"/>
        <w:numPr>
          <w:ilvl w:val="0"/>
          <w:numId w:val="64"/>
        </w:numPr>
        <w:rPr>
          <w:ins w:id="591" w:author="Any Authorised User" w:date="2021-03-26T15:13:00Z"/>
          <w:rFonts w:ascii="Times New Roman" w:hAnsi="Times New Roman"/>
          <w:sz w:val="24"/>
          <w:szCs w:val="24"/>
        </w:rPr>
      </w:pPr>
      <w:del w:id="592" w:author="Any Authorised User" w:date="2021-03-26T15:42:00Z">
        <w:r w:rsidRPr="00213165" w:rsidDel="00D712F0">
          <w:rPr>
            <w:rFonts w:ascii="Times New Roman" w:hAnsi="Times New Roman"/>
            <w:sz w:val="24"/>
            <w:szCs w:val="24"/>
          </w:rPr>
          <w:delText xml:space="preserve">if </w:delText>
        </w:r>
      </w:del>
      <w:r w:rsidRPr="00213165">
        <w:rPr>
          <w:rFonts w:ascii="Times New Roman" w:hAnsi="Times New Roman"/>
          <w:sz w:val="24"/>
          <w:szCs w:val="24"/>
        </w:rPr>
        <w:t>“Reference Banks” is specified in the related Confirmation</w:t>
      </w:r>
      <w:ins w:id="593" w:author="Any Authorised User" w:date="2021-05-07T14:02:00Z">
        <w:r w:rsidR="00153C79">
          <w:rPr>
            <w:rFonts w:ascii="Times New Roman" w:hAnsi="Times New Roman"/>
            <w:sz w:val="24"/>
            <w:szCs w:val="24"/>
          </w:rPr>
          <w:t>:</w:t>
        </w:r>
      </w:ins>
      <w:del w:id="594" w:author="Any Authorised User" w:date="2021-05-07T14:02:00Z">
        <w:r w:rsidRPr="00213165" w:rsidDel="00153C79">
          <w:rPr>
            <w:rFonts w:ascii="Times New Roman" w:hAnsi="Times New Roman"/>
            <w:sz w:val="24"/>
            <w:szCs w:val="24"/>
          </w:rPr>
          <w:delText>,</w:delText>
        </w:r>
      </w:del>
      <w:r w:rsidRPr="00213165">
        <w:rPr>
          <w:rFonts w:ascii="Times New Roman" w:hAnsi="Times New Roman"/>
          <w:sz w:val="24"/>
          <w:szCs w:val="24"/>
        </w:rPr>
        <w:t xml:space="preserve"> </w:t>
      </w:r>
    </w:p>
    <w:p w14:paraId="20074430" w14:textId="2DFE580B" w:rsidR="00CF77AA" w:rsidRDefault="00213165" w:rsidP="00AC0666">
      <w:pPr>
        <w:pStyle w:val="Body"/>
        <w:ind w:left="1400"/>
        <w:rPr>
          <w:ins w:id="595" w:author="Any Authorised User" w:date="2021-03-26T15:15:00Z"/>
          <w:rFonts w:ascii="Times New Roman" w:hAnsi="Times New Roman"/>
          <w:sz w:val="24"/>
          <w:szCs w:val="24"/>
        </w:rPr>
      </w:pPr>
      <w:r w:rsidRPr="00213165">
        <w:rPr>
          <w:rFonts w:ascii="Times New Roman" w:hAnsi="Times New Roman"/>
          <w:sz w:val="24"/>
          <w:szCs w:val="24"/>
        </w:rPr>
        <w:t>the rate will be determined on the basis of the par swap rates quoted by the Cash Settlement Reference Banks using the relevant Quotation Rate (or if a Quotation Rate is not specified in the related Confirmation, using “mid” as the relevant Quotation Rate), as of the Cash Settlement Valuation Time on the Cash Settlement Valuation Date, for swaps in the currency in which the Relevant Swap Transaction is denominated, with a floating leg referencing the same benchmark as the benchmark that applies pursuant to the Floating Rate Option for the Relevant Swap Transaction, for a period equivalent to the remaining Term of the Relevant Swap Transaction and with dealers in the relevant market of the highest credit standing which satisfy all the credit criteria which such Cash Settlement Reference Banks apply generally at the time in deciding whether to offer or make an extension of credit. If five quotations are provided as requested, the Settlement Rate will be calculated by eliminating the highest (or, in the event of equality, one of the highest) and lowest (or, in the event of equality, one of the lowest) rates and taking the arithmetic mean of the remaining rates. If at least three, but fewer than five, quotations are provided, the Settlement Rate will be the arithmetic mean of the quotations. If fewer than three quotations are provided as requested, the Settlement Rate will be determined by the Calculation Agent</w:t>
      </w:r>
      <w:ins w:id="596" w:author="Any Authorised User" w:date="2021-03-26T15:15:00Z">
        <w:r w:rsidR="00AC0666">
          <w:rPr>
            <w:rFonts w:ascii="Times New Roman" w:hAnsi="Times New Roman"/>
            <w:sz w:val="24"/>
            <w:szCs w:val="24"/>
          </w:rPr>
          <w:t>; or</w:t>
        </w:r>
      </w:ins>
      <w:del w:id="597" w:author="Any Authorised User" w:date="2021-03-26T15:15:00Z">
        <w:r w:rsidRPr="00213165" w:rsidDel="00AC0666">
          <w:rPr>
            <w:rFonts w:ascii="Times New Roman" w:hAnsi="Times New Roman"/>
            <w:sz w:val="24"/>
            <w:szCs w:val="24"/>
          </w:rPr>
          <w:delText>.”</w:delText>
        </w:r>
        <w:r w:rsidDel="00AC0666">
          <w:rPr>
            <w:rFonts w:ascii="Times New Roman" w:hAnsi="Times New Roman"/>
            <w:sz w:val="24"/>
            <w:szCs w:val="24"/>
          </w:rPr>
          <w:delText>.</w:delText>
        </w:r>
      </w:del>
      <w:ins w:id="598" w:author="Any Authorised User" w:date="2021-04-15T15:45:00Z">
        <w:r w:rsidR="00AA4B76">
          <w:rPr>
            <w:rFonts w:ascii="Times New Roman" w:hAnsi="Times New Roman"/>
            <w:sz w:val="24"/>
            <w:szCs w:val="24"/>
          </w:rPr>
          <w:t xml:space="preserve"> </w:t>
        </w:r>
      </w:ins>
    </w:p>
    <w:p w14:paraId="18055EF7" w14:textId="199D486A" w:rsidR="00AC0666" w:rsidRPr="00AA4B76" w:rsidRDefault="00AC0666" w:rsidP="00061059">
      <w:pPr>
        <w:pStyle w:val="Body"/>
        <w:numPr>
          <w:ilvl w:val="0"/>
          <w:numId w:val="63"/>
        </w:numPr>
        <w:rPr>
          <w:ins w:id="599" w:author="Any Authorised User" w:date="2021-03-26T15:15:00Z"/>
          <w:rFonts w:ascii="Times New Roman" w:hAnsi="Times New Roman"/>
          <w:sz w:val="24"/>
          <w:szCs w:val="24"/>
        </w:rPr>
      </w:pPr>
      <w:ins w:id="600" w:author="Any Authorised User" w:date="2021-03-26T15:15:00Z">
        <w:r w:rsidRPr="00AA4B76">
          <w:rPr>
            <w:rFonts w:ascii="Times New Roman" w:hAnsi="Times New Roman"/>
            <w:sz w:val="24"/>
            <w:szCs w:val="24"/>
          </w:rPr>
          <w:lastRenderedPageBreak/>
          <w:t>if:</w:t>
        </w:r>
      </w:ins>
    </w:p>
    <w:p w14:paraId="10196B50" w14:textId="1E7FA9AE" w:rsidR="006D6124" w:rsidRPr="004F0BEE" w:rsidRDefault="00AC0666" w:rsidP="006D6124">
      <w:pPr>
        <w:pStyle w:val="Body"/>
        <w:numPr>
          <w:ilvl w:val="0"/>
          <w:numId w:val="65"/>
        </w:numPr>
        <w:ind w:left="1843" w:hanging="425"/>
        <w:rPr>
          <w:ins w:id="601" w:author="Any Authorised User" w:date="2021-04-30T19:42:00Z"/>
          <w:rFonts w:ascii="Times New Roman" w:hAnsi="Times New Roman"/>
          <w:sz w:val="24"/>
          <w:szCs w:val="28"/>
        </w:rPr>
      </w:pPr>
      <w:ins w:id="602" w:author="Any Authorised User" w:date="2021-03-26T15:16:00Z">
        <w:r w:rsidRPr="004F0BEE">
          <w:rPr>
            <w:rFonts w:ascii="Times New Roman" w:hAnsi="Times New Roman"/>
            <w:sz w:val="24"/>
            <w:szCs w:val="28"/>
          </w:rPr>
          <w:t>the currency in which the Relevant Swap Transaction is denominated is an Applicable Currency</w:t>
        </w:r>
      </w:ins>
      <w:ins w:id="603" w:author="Any Authorised User" w:date="2021-05-12T15:08:00Z">
        <w:r w:rsidR="006F02F8">
          <w:rPr>
            <w:rFonts w:ascii="Times New Roman" w:hAnsi="Times New Roman"/>
            <w:sz w:val="24"/>
            <w:szCs w:val="28"/>
          </w:rPr>
          <w:t>,</w:t>
        </w:r>
      </w:ins>
      <w:ins w:id="604" w:author="Any Authorised User" w:date="2021-05-12T14:59:00Z">
        <w:r w:rsidR="004F0BEE" w:rsidRPr="004F0BEE">
          <w:rPr>
            <w:rFonts w:ascii="Times New Roman" w:hAnsi="Times New Roman"/>
            <w:sz w:val="24"/>
            <w:szCs w:val="28"/>
          </w:rPr>
          <w:t xml:space="preserve"> the Floating Rate Option for the Relevant Swap Transaction is based on the London Interbank Offered Rate</w:t>
        </w:r>
      </w:ins>
      <w:ins w:id="605" w:author="Any Authorised User" w:date="2021-05-13T11:14:00Z">
        <w:r w:rsidR="002E672C">
          <w:rPr>
            <w:rFonts w:ascii="Times New Roman" w:hAnsi="Times New Roman"/>
            <w:sz w:val="24"/>
            <w:szCs w:val="28"/>
          </w:rPr>
          <w:t xml:space="preserve"> (LIBOR) for that Applicable Currency</w:t>
        </w:r>
      </w:ins>
      <w:ins w:id="606" w:author="Any Authorised User" w:date="2021-05-13T11:15:00Z">
        <w:r w:rsidR="002E672C">
          <w:rPr>
            <w:rFonts w:ascii="Times New Roman" w:hAnsi="Times New Roman"/>
            <w:sz w:val="24"/>
            <w:szCs w:val="28"/>
          </w:rPr>
          <w:t xml:space="preserve"> and </w:t>
        </w:r>
      </w:ins>
      <w:ins w:id="607" w:author="Any Authorised User" w:date="2021-05-12T15:08:00Z">
        <w:r w:rsidR="006F02F8" w:rsidRPr="006B124F">
          <w:rPr>
            <w:rFonts w:ascii="Times New Roman" w:hAnsi="Times New Roman"/>
            <w:sz w:val="24"/>
          </w:rPr>
          <w:t>“ICESWAP Rate” is specified or deemed to be specified</w:t>
        </w:r>
      </w:ins>
      <w:ins w:id="608" w:author="Any Authorised User" w:date="2021-05-12T14:59:00Z">
        <w:r w:rsidR="004F0BEE" w:rsidRPr="004F0BEE">
          <w:rPr>
            <w:rFonts w:ascii="Times New Roman" w:hAnsi="Times New Roman"/>
            <w:sz w:val="24"/>
            <w:szCs w:val="28"/>
          </w:rPr>
          <w:t xml:space="preserve">; </w:t>
        </w:r>
      </w:ins>
      <w:ins w:id="609" w:author="Any Authorised User" w:date="2021-05-12T15:08:00Z">
        <w:r w:rsidR="006F02F8">
          <w:rPr>
            <w:rFonts w:ascii="Times New Roman" w:hAnsi="Times New Roman"/>
            <w:sz w:val="24"/>
            <w:szCs w:val="28"/>
          </w:rPr>
          <w:t>and</w:t>
        </w:r>
      </w:ins>
    </w:p>
    <w:p w14:paraId="21B9DF16" w14:textId="2B4CD486" w:rsidR="00AC0666" w:rsidRPr="00AC0666" w:rsidRDefault="00AC0666" w:rsidP="00061059">
      <w:pPr>
        <w:pStyle w:val="Body"/>
        <w:numPr>
          <w:ilvl w:val="0"/>
          <w:numId w:val="65"/>
        </w:numPr>
        <w:ind w:left="1843" w:hanging="425"/>
        <w:rPr>
          <w:ins w:id="610" w:author="Any Authorised User" w:date="2021-03-26T15:17:00Z"/>
          <w:rFonts w:ascii="Times New Roman" w:hAnsi="Times New Roman"/>
          <w:sz w:val="24"/>
          <w:szCs w:val="28"/>
        </w:rPr>
      </w:pPr>
      <w:ins w:id="611" w:author="Any Authorised User" w:date="2021-03-26T15:17:00Z">
        <w:r w:rsidRPr="00AC0666">
          <w:rPr>
            <w:rFonts w:ascii="Times New Roman" w:hAnsi="Times New Roman"/>
            <w:sz w:val="24"/>
            <w:szCs w:val="28"/>
          </w:rPr>
          <w:t>an Applicable LIBOR Index Cessation Effective Date with respect to the Applicable Tenor has occurred:</w:t>
        </w:r>
      </w:ins>
    </w:p>
    <w:p w14:paraId="72B015A6" w14:textId="015BBA4F" w:rsidR="00AC0666" w:rsidRPr="00AC0666" w:rsidRDefault="00AC0666" w:rsidP="00061059">
      <w:pPr>
        <w:pStyle w:val="Body"/>
        <w:numPr>
          <w:ilvl w:val="0"/>
          <w:numId w:val="66"/>
        </w:numPr>
        <w:ind w:left="2552" w:hanging="709"/>
        <w:rPr>
          <w:ins w:id="612" w:author="Any Authorised User" w:date="2021-03-26T15:17:00Z"/>
          <w:rFonts w:ascii="Times New Roman" w:hAnsi="Times New Roman"/>
          <w:sz w:val="24"/>
          <w:szCs w:val="28"/>
        </w:rPr>
      </w:pPr>
      <w:ins w:id="613" w:author="Any Authorised User" w:date="2021-03-26T15:17:00Z">
        <w:r w:rsidRPr="00AC0666">
          <w:rPr>
            <w:rFonts w:ascii="Times New Roman" w:hAnsi="Times New Roman"/>
            <w:sz w:val="24"/>
            <w:szCs w:val="28"/>
          </w:rPr>
          <w:t>the Applicable Published ISR Fallback Rate (if any); or</w:t>
        </w:r>
      </w:ins>
    </w:p>
    <w:p w14:paraId="683B6628" w14:textId="77777777" w:rsidR="00AC0666" w:rsidRPr="00AC0666" w:rsidRDefault="00AC0666" w:rsidP="00061059">
      <w:pPr>
        <w:pStyle w:val="Body"/>
        <w:numPr>
          <w:ilvl w:val="0"/>
          <w:numId w:val="66"/>
        </w:numPr>
        <w:ind w:left="2552" w:hanging="709"/>
        <w:rPr>
          <w:ins w:id="614" w:author="Any Authorised User" w:date="2021-03-26T15:17:00Z"/>
          <w:rFonts w:ascii="Times New Roman" w:hAnsi="Times New Roman"/>
          <w:sz w:val="24"/>
          <w:szCs w:val="28"/>
        </w:rPr>
      </w:pPr>
      <w:ins w:id="615" w:author="Any Authorised User" w:date="2021-03-26T15:17:00Z">
        <w:r w:rsidRPr="00AC0666">
          <w:rPr>
            <w:rFonts w:ascii="Times New Roman" w:hAnsi="Times New Roman"/>
            <w:sz w:val="24"/>
            <w:szCs w:val="28"/>
          </w:rPr>
          <w:t>if there is no Applicable Published ISR Fallback Rate, the Applicable Calculated ISR Fallback Rate,</w:t>
        </w:r>
      </w:ins>
    </w:p>
    <w:p w14:paraId="49CAF940" w14:textId="59E89995" w:rsidR="00AC0666" w:rsidRPr="00B6584D" w:rsidRDefault="00AC0666" w:rsidP="00D712F0">
      <w:pPr>
        <w:pStyle w:val="Body"/>
        <w:ind w:left="1418"/>
        <w:rPr>
          <w:ins w:id="616" w:author="Any Authorised User" w:date="2021-03-26T15:17:00Z"/>
          <w:rFonts w:ascii="Times New Roman" w:hAnsi="Times New Roman"/>
          <w:b/>
          <w:bCs/>
          <w:i/>
          <w:iCs/>
          <w:sz w:val="24"/>
          <w:szCs w:val="28"/>
        </w:rPr>
      </w:pPr>
      <w:ins w:id="617" w:author="Any Authorised User" w:date="2021-03-26T15:17:00Z">
        <w:r w:rsidRPr="00AC0666">
          <w:rPr>
            <w:rFonts w:ascii="Times New Roman" w:hAnsi="Times New Roman"/>
            <w:sz w:val="24"/>
            <w:szCs w:val="28"/>
          </w:rPr>
          <w:t xml:space="preserve">in each case for a period equivalent to the remaining Term of the Relevant Swap Transaction, provided or calculated (as applicable) as of the </w:t>
        </w:r>
      </w:ins>
      <w:ins w:id="618" w:author="Any Authorised User" w:date="2021-03-26T15:20:00Z">
        <w:r w:rsidR="00B6584D">
          <w:rPr>
            <w:rFonts w:ascii="Times New Roman" w:hAnsi="Times New Roman"/>
            <w:sz w:val="24"/>
            <w:szCs w:val="28"/>
          </w:rPr>
          <w:t>Cash Settlement Valuation Time on the Cash Settlement Valuation Date</w:t>
        </w:r>
      </w:ins>
      <w:ins w:id="619" w:author="Any Authorised User" w:date="2021-05-07T14:06:00Z">
        <w:r w:rsidR="006B124F">
          <w:rPr>
            <w:rFonts w:ascii="Times New Roman" w:hAnsi="Times New Roman"/>
            <w:sz w:val="24"/>
            <w:szCs w:val="28"/>
          </w:rPr>
          <w:t>.</w:t>
        </w:r>
      </w:ins>
      <w:ins w:id="620" w:author="Any Authorised User" w:date="2021-05-13T16:45:00Z">
        <w:r w:rsidR="00BE2E3B" w:rsidRPr="00BE2E3B">
          <w:rPr>
            <w:rFonts w:ascii="Times New Roman" w:hAnsi="Times New Roman"/>
            <w:b/>
            <w:bCs/>
            <w:i/>
            <w:iCs/>
            <w:sz w:val="24"/>
            <w:szCs w:val="28"/>
          </w:rPr>
          <w:t xml:space="preserve"> </w:t>
        </w:r>
      </w:ins>
      <w:ins w:id="621" w:author="Any Authorised User" w:date="2021-05-07T14:06:00Z">
        <w:r w:rsidR="006B124F">
          <w:rPr>
            <w:rFonts w:ascii="Times New Roman" w:hAnsi="Times New Roman"/>
            <w:sz w:val="24"/>
            <w:szCs w:val="28"/>
          </w:rPr>
          <w:t xml:space="preserve">However, </w:t>
        </w:r>
      </w:ins>
      <w:ins w:id="622" w:author="Any Authorised User" w:date="2021-03-26T15:17:00Z">
        <w:r w:rsidRPr="00AC0666">
          <w:rPr>
            <w:rFonts w:ascii="Times New Roman" w:hAnsi="Times New Roman"/>
            <w:sz w:val="24"/>
            <w:szCs w:val="28"/>
          </w:rPr>
          <w:t xml:space="preserve">if the </w:t>
        </w:r>
      </w:ins>
      <w:ins w:id="623" w:author="Any Authorised User" w:date="2021-04-30T19:44:00Z">
        <w:r w:rsidR="0050306E">
          <w:rPr>
            <w:rFonts w:ascii="Times New Roman" w:hAnsi="Times New Roman"/>
            <w:sz w:val="24"/>
            <w:szCs w:val="28"/>
          </w:rPr>
          <w:t>Applicable RFR ICE Swap Rate is not published by the administrator of that rate or an authorized distributor and is not otherwise provided by the administrator of that rate</w:t>
        </w:r>
      </w:ins>
      <w:ins w:id="624" w:author="Any Authorised User" w:date="2021-03-26T15:17:00Z">
        <w:r w:rsidRPr="00AC0666">
          <w:rPr>
            <w:rFonts w:ascii="Times New Roman" w:hAnsi="Times New Roman"/>
            <w:sz w:val="24"/>
            <w:szCs w:val="28"/>
          </w:rPr>
          <w:t xml:space="preserve"> </w:t>
        </w:r>
      </w:ins>
      <w:ins w:id="625" w:author="Any Authorised User" w:date="2021-04-01T16:26:00Z">
        <w:r w:rsidR="00695B82">
          <w:rPr>
            <w:rFonts w:ascii="Times New Roman" w:hAnsi="Times New Roman"/>
            <w:sz w:val="24"/>
            <w:szCs w:val="28"/>
          </w:rPr>
          <w:t xml:space="preserve">by </w:t>
        </w:r>
      </w:ins>
      <w:ins w:id="626" w:author="Any Authorised User" w:date="2021-05-07T14:07:00Z">
        <w:r w:rsidR="006B124F">
          <w:rPr>
            <w:rFonts w:ascii="Times New Roman" w:hAnsi="Times New Roman"/>
            <w:sz w:val="24"/>
            <w:szCs w:val="28"/>
          </w:rPr>
          <w:t>when</w:t>
        </w:r>
      </w:ins>
      <w:ins w:id="627" w:author="Any Authorised User" w:date="2021-04-01T16:26:00Z">
        <w:r w:rsidR="00695B82">
          <w:rPr>
            <w:rFonts w:ascii="Times New Roman" w:hAnsi="Times New Roman"/>
            <w:sz w:val="24"/>
            <w:szCs w:val="28"/>
          </w:rPr>
          <w:t xml:space="preserve"> such rate is required</w:t>
        </w:r>
      </w:ins>
      <w:ins w:id="628" w:author="Any Authorised User" w:date="2021-03-26T15:17:00Z">
        <w:r w:rsidRPr="00AC0666">
          <w:rPr>
            <w:rFonts w:ascii="Times New Roman" w:hAnsi="Times New Roman"/>
            <w:sz w:val="24"/>
            <w:szCs w:val="28"/>
          </w:rPr>
          <w:t xml:space="preserve"> then, in respect of any day for which that rate is required, references to that rate will be deemed to be referenced to the rate determined by the Calculation Agent</w:t>
        </w:r>
      </w:ins>
      <w:ins w:id="629" w:author="Any Authorised User" w:date="2021-03-26T15:27:00Z">
        <w:r w:rsidR="00B6584D">
          <w:rPr>
            <w:rFonts w:ascii="Times New Roman" w:hAnsi="Times New Roman"/>
            <w:sz w:val="24"/>
            <w:szCs w:val="28"/>
          </w:rPr>
          <w:t>,</w:t>
        </w:r>
      </w:ins>
      <w:ins w:id="630" w:author="Any Authorised User" w:date="2021-03-26T15:17:00Z">
        <w:r w:rsidRPr="00AC0666">
          <w:rPr>
            <w:rFonts w:ascii="Times New Roman" w:hAnsi="Times New Roman"/>
            <w:sz w:val="24"/>
            <w:szCs w:val="28"/>
          </w:rPr>
          <w:t xml:space="preserve"> </w:t>
        </w:r>
      </w:ins>
    </w:p>
    <w:p w14:paraId="074910E0" w14:textId="31630408" w:rsidR="00AC0666" w:rsidRDefault="00B6584D" w:rsidP="00B6584D">
      <w:pPr>
        <w:pStyle w:val="Body"/>
        <w:rPr>
          <w:ins w:id="631" w:author="Any Authorised User" w:date="2021-03-26T15:27:00Z"/>
          <w:rFonts w:ascii="Times New Roman" w:hAnsi="Times New Roman"/>
          <w:sz w:val="24"/>
          <w:szCs w:val="28"/>
        </w:rPr>
      </w:pPr>
      <w:r>
        <w:rPr>
          <w:rFonts w:ascii="Times New Roman" w:hAnsi="Times New Roman"/>
          <w:sz w:val="24"/>
          <w:szCs w:val="28"/>
        </w:rPr>
        <w:tab/>
      </w:r>
      <w:ins w:id="632" w:author="Any Authorised User" w:date="2021-03-26T15:27:00Z">
        <w:r>
          <w:rPr>
            <w:rFonts w:ascii="Times New Roman" w:hAnsi="Times New Roman"/>
            <w:sz w:val="24"/>
            <w:szCs w:val="28"/>
          </w:rPr>
          <w:t>where</w:t>
        </w:r>
      </w:ins>
      <w:ins w:id="633" w:author="Any Authorised User" w:date="2021-05-13T11:34:00Z">
        <w:r w:rsidR="003A3514">
          <w:rPr>
            <w:rFonts w:ascii="Times New Roman" w:hAnsi="Times New Roman"/>
            <w:sz w:val="24"/>
            <w:szCs w:val="28"/>
          </w:rPr>
          <w:t>, for these purposes</w:t>
        </w:r>
      </w:ins>
      <w:ins w:id="634" w:author="Any Authorised User" w:date="2021-03-26T15:27:00Z">
        <w:r>
          <w:rPr>
            <w:rFonts w:ascii="Times New Roman" w:hAnsi="Times New Roman"/>
            <w:sz w:val="24"/>
            <w:szCs w:val="28"/>
          </w:rPr>
          <w:t>:</w:t>
        </w:r>
      </w:ins>
    </w:p>
    <w:p w14:paraId="277FD1A3" w14:textId="3D9C28AC" w:rsidR="00061059" w:rsidRDefault="00696C59" w:rsidP="006B124F">
      <w:pPr>
        <w:pStyle w:val="Body"/>
        <w:ind w:left="680"/>
        <w:rPr>
          <w:ins w:id="635" w:author="Any Authorised User" w:date="2021-05-13T16:54:00Z"/>
          <w:rFonts w:ascii="Times New Roman" w:hAnsi="Times New Roman"/>
          <w:sz w:val="24"/>
          <w:szCs w:val="28"/>
        </w:rPr>
      </w:pPr>
      <w:ins w:id="636" w:author="Any Authorised User" w:date="2021-03-26T15:50:00Z">
        <w:r>
          <w:rPr>
            <w:rFonts w:ascii="Times New Roman" w:hAnsi="Times New Roman"/>
            <w:sz w:val="24"/>
            <w:szCs w:val="28"/>
          </w:rPr>
          <w:t xml:space="preserve">“Applicable Calculated ISR Fallback Rate”, </w:t>
        </w:r>
      </w:ins>
      <w:ins w:id="637" w:author="Any Authorised User" w:date="2021-03-26T15:51:00Z">
        <w:r>
          <w:rPr>
            <w:rFonts w:ascii="Times New Roman" w:hAnsi="Times New Roman"/>
            <w:sz w:val="24"/>
            <w:szCs w:val="28"/>
          </w:rPr>
          <w:t xml:space="preserve">“Applicable Currency”, “Applicable GBP Tenor”, “Applicable LIBOR”, </w:t>
        </w:r>
      </w:ins>
      <w:ins w:id="638" w:author="Any Authorised User" w:date="2021-04-01T16:34:00Z">
        <w:r w:rsidR="00C355A1">
          <w:rPr>
            <w:rFonts w:ascii="Times New Roman" w:hAnsi="Times New Roman"/>
            <w:sz w:val="24"/>
            <w:szCs w:val="28"/>
          </w:rPr>
          <w:t xml:space="preserve">“Applicable LIBOR Index Cessation Effective Date”, </w:t>
        </w:r>
      </w:ins>
      <w:ins w:id="639" w:author="Any Authorised User" w:date="2021-03-26T15:51:00Z">
        <w:r>
          <w:rPr>
            <w:rFonts w:ascii="Times New Roman" w:hAnsi="Times New Roman"/>
            <w:sz w:val="24"/>
            <w:szCs w:val="28"/>
          </w:rPr>
          <w:t xml:space="preserve">“Applicable Published ISR Fallback Rate”, “Applicable RFR ICE Swap Rate”, “Applicable Tenor”, </w:t>
        </w:r>
      </w:ins>
      <w:ins w:id="640" w:author="Any Authorised User" w:date="2021-05-13T16:31:00Z">
        <w:r w:rsidR="00D92049">
          <w:rPr>
            <w:rFonts w:ascii="Times New Roman" w:hAnsi="Times New Roman"/>
            <w:sz w:val="24"/>
            <w:szCs w:val="28"/>
          </w:rPr>
          <w:t xml:space="preserve">“Applicable USD Tenor”, </w:t>
        </w:r>
      </w:ins>
      <w:ins w:id="641" w:author="Any Authorised User" w:date="2021-03-26T15:51:00Z">
        <w:r>
          <w:rPr>
            <w:rFonts w:ascii="Times New Roman" w:hAnsi="Times New Roman"/>
            <w:sz w:val="24"/>
            <w:szCs w:val="28"/>
          </w:rPr>
          <w:t>“Calcu</w:t>
        </w:r>
      </w:ins>
      <w:ins w:id="642" w:author="Any Authorised User" w:date="2021-03-26T15:52:00Z">
        <w:r>
          <w:rPr>
            <w:rFonts w:ascii="Times New Roman" w:hAnsi="Times New Roman"/>
            <w:sz w:val="24"/>
            <w:szCs w:val="28"/>
          </w:rPr>
          <w:t xml:space="preserve">lated GBP ISR Fallback Rate”, </w:t>
        </w:r>
      </w:ins>
      <w:ins w:id="643" w:author="Any Authorised User" w:date="2021-05-13T16:30:00Z">
        <w:r w:rsidR="00D92049">
          <w:rPr>
            <w:rFonts w:ascii="Times New Roman" w:hAnsi="Times New Roman"/>
            <w:sz w:val="24"/>
            <w:szCs w:val="28"/>
          </w:rPr>
          <w:t xml:space="preserve">“Calculated USD ISR Fallback Rate”, </w:t>
        </w:r>
      </w:ins>
      <w:ins w:id="644" w:author="Any Authorised User" w:date="2021-03-26T15:52:00Z">
        <w:r>
          <w:rPr>
            <w:rFonts w:ascii="Times New Roman" w:hAnsi="Times New Roman"/>
            <w:sz w:val="24"/>
            <w:szCs w:val="28"/>
          </w:rPr>
          <w:t xml:space="preserve">“GBP LIBOR”, </w:t>
        </w:r>
      </w:ins>
      <w:ins w:id="645" w:author="Any Authorised User" w:date="2021-05-13T16:29:00Z">
        <w:r w:rsidR="00D92049">
          <w:rPr>
            <w:rFonts w:ascii="Times New Roman" w:hAnsi="Times New Roman"/>
            <w:sz w:val="24"/>
            <w:szCs w:val="28"/>
          </w:rPr>
          <w:t xml:space="preserve">“GBP LIBOR ICE Swap Rate”, </w:t>
        </w:r>
      </w:ins>
      <w:ins w:id="646" w:author="Any Authorised User" w:date="2021-03-26T15:52:00Z">
        <w:r>
          <w:rPr>
            <w:rFonts w:ascii="Times New Roman" w:hAnsi="Times New Roman"/>
            <w:sz w:val="24"/>
            <w:szCs w:val="28"/>
          </w:rPr>
          <w:t>“GBP LIBOR Index Cessation Event”, “GBP SONIA ICE Swap Rate”, “Non-Representative”</w:t>
        </w:r>
      </w:ins>
      <w:ins w:id="647" w:author="Any Authorised User" w:date="2021-05-13T16:30:00Z">
        <w:r w:rsidR="00D92049">
          <w:rPr>
            <w:rFonts w:ascii="Times New Roman" w:hAnsi="Times New Roman"/>
            <w:sz w:val="24"/>
            <w:szCs w:val="28"/>
          </w:rPr>
          <w:t xml:space="preserve">, </w:t>
        </w:r>
      </w:ins>
      <w:ins w:id="648" w:author="Any Authorised User" w:date="2021-03-26T15:52:00Z">
        <w:r>
          <w:rPr>
            <w:rFonts w:ascii="Times New Roman" w:hAnsi="Times New Roman"/>
            <w:sz w:val="24"/>
            <w:szCs w:val="28"/>
          </w:rPr>
          <w:t>“Published GBP ISR Fallback Rate”</w:t>
        </w:r>
      </w:ins>
      <w:ins w:id="649" w:author="Any Authorised User" w:date="2021-05-13T16:30:00Z">
        <w:r w:rsidR="00D92049">
          <w:rPr>
            <w:rFonts w:ascii="Times New Roman" w:hAnsi="Times New Roman"/>
            <w:sz w:val="24"/>
            <w:szCs w:val="28"/>
          </w:rPr>
          <w:t>,</w:t>
        </w:r>
      </w:ins>
      <w:ins w:id="650" w:author="Any Authorised User" w:date="2021-05-13T16:31:00Z">
        <w:r w:rsidR="00D92049">
          <w:rPr>
            <w:rFonts w:ascii="Times New Roman" w:hAnsi="Times New Roman"/>
            <w:sz w:val="24"/>
            <w:szCs w:val="28"/>
          </w:rPr>
          <w:t xml:space="preserve"> “Published USD ISR Fallback Rate”,</w:t>
        </w:r>
      </w:ins>
      <w:ins w:id="651" w:author="Any Authorised User" w:date="2021-05-13T16:30:00Z">
        <w:r w:rsidR="00D92049">
          <w:rPr>
            <w:rFonts w:ascii="Times New Roman" w:hAnsi="Times New Roman"/>
            <w:sz w:val="24"/>
            <w:szCs w:val="28"/>
          </w:rPr>
          <w:t xml:space="preserve"> “USD LIBOR”,</w:t>
        </w:r>
      </w:ins>
      <w:ins w:id="652" w:author="Any Authorised User" w:date="2021-05-13T16:32:00Z">
        <w:r w:rsidR="00D92049">
          <w:rPr>
            <w:rFonts w:ascii="Times New Roman" w:hAnsi="Times New Roman"/>
            <w:sz w:val="24"/>
            <w:szCs w:val="28"/>
          </w:rPr>
          <w:t xml:space="preserve"> “USD LIBOR ICE Swap Rate”,</w:t>
        </w:r>
      </w:ins>
      <w:ins w:id="653" w:author="Any Authorised User" w:date="2021-05-13T16:30:00Z">
        <w:r w:rsidR="00D92049">
          <w:rPr>
            <w:rFonts w:ascii="Times New Roman" w:hAnsi="Times New Roman"/>
            <w:sz w:val="24"/>
            <w:szCs w:val="28"/>
          </w:rPr>
          <w:t xml:space="preserve"> “USD LIBOR Index Cessation Event”</w:t>
        </w:r>
      </w:ins>
      <w:ins w:id="654" w:author="Any Authorised User" w:date="2021-05-13T16:32:00Z">
        <w:r w:rsidR="00D92049">
          <w:rPr>
            <w:rFonts w:ascii="Times New Roman" w:hAnsi="Times New Roman"/>
            <w:sz w:val="24"/>
            <w:szCs w:val="28"/>
          </w:rPr>
          <w:t xml:space="preserve"> and</w:t>
        </w:r>
      </w:ins>
      <w:ins w:id="655" w:author="Any Authorised User" w:date="2021-05-13T16:31:00Z">
        <w:r w:rsidR="00D92049">
          <w:rPr>
            <w:rFonts w:ascii="Times New Roman" w:hAnsi="Times New Roman"/>
            <w:sz w:val="24"/>
            <w:szCs w:val="28"/>
          </w:rPr>
          <w:t xml:space="preserve"> “USD SOFR ICE Swap Rate” </w:t>
        </w:r>
      </w:ins>
      <w:ins w:id="656" w:author="Any Authorised User" w:date="2021-03-26T15:52:00Z">
        <w:r>
          <w:rPr>
            <w:rFonts w:ascii="Times New Roman" w:hAnsi="Times New Roman"/>
            <w:sz w:val="24"/>
            <w:szCs w:val="28"/>
          </w:rPr>
          <w:t>each have the meaning given to them in Section 13.9</w:t>
        </w:r>
      </w:ins>
      <w:ins w:id="657" w:author="Any Authorised User" w:date="2021-03-26T15:53:00Z">
        <w:r>
          <w:rPr>
            <w:rFonts w:ascii="Times New Roman" w:hAnsi="Times New Roman"/>
            <w:sz w:val="24"/>
            <w:szCs w:val="28"/>
          </w:rPr>
          <w:t xml:space="preserve"> (Settlement Rate on Automatic Exercise or Fallback Exercise).</w:t>
        </w:r>
      </w:ins>
      <w:r w:rsidR="00162AF2">
        <w:rPr>
          <w:rFonts w:ascii="Times New Roman" w:hAnsi="Times New Roman"/>
          <w:sz w:val="24"/>
          <w:szCs w:val="28"/>
        </w:rPr>
        <w:t>”.</w:t>
      </w:r>
      <w:ins w:id="658" w:author="Any Authorised User" w:date="2021-04-01T16:30:00Z">
        <w:r w:rsidR="00C355A1">
          <w:rPr>
            <w:rFonts w:ascii="Times New Roman" w:hAnsi="Times New Roman"/>
            <w:sz w:val="24"/>
            <w:szCs w:val="28"/>
          </w:rPr>
          <w:t xml:space="preserve"> </w:t>
        </w:r>
      </w:ins>
    </w:p>
    <w:p w14:paraId="2AD11B5D" w14:textId="67B82622" w:rsidR="005B57EC" w:rsidRPr="005B57EC" w:rsidRDefault="005B57EC" w:rsidP="006B124F">
      <w:pPr>
        <w:pStyle w:val="Body"/>
        <w:ind w:left="680"/>
        <w:rPr>
          <w:rFonts w:ascii="Times New Roman" w:hAnsi="Times New Roman"/>
          <w:b/>
          <w:bCs/>
          <w:i/>
          <w:iCs/>
          <w:sz w:val="24"/>
          <w:szCs w:val="28"/>
        </w:rPr>
      </w:pPr>
      <w:ins w:id="659" w:author="Any Authorised User" w:date="2021-05-13T16:54:00Z">
        <w:r w:rsidRPr="008402A9">
          <w:rPr>
            <w:rFonts w:ascii="Times New Roman" w:hAnsi="Times New Roman"/>
            <w:sz w:val="24"/>
            <w:szCs w:val="28"/>
          </w:rPr>
          <w:t>[</w:t>
        </w:r>
      </w:ins>
      <w:ins w:id="660" w:author="Any Authorised User" w:date="2021-06-09T16:53:00Z">
        <w:r w:rsidR="008402A9">
          <w:rPr>
            <w:rFonts w:ascii="Times New Roman" w:hAnsi="Times New Roman"/>
            <w:b/>
            <w:bCs/>
            <w:i/>
            <w:iCs/>
            <w:sz w:val="24"/>
            <w:szCs w:val="28"/>
            <w:highlight w:val="yellow"/>
          </w:rPr>
          <w:t>Drafting note</w:t>
        </w:r>
      </w:ins>
      <w:ins w:id="661" w:author="Any Authorised User" w:date="2021-05-13T16:54:00Z">
        <w:r w:rsidRPr="005B57EC">
          <w:rPr>
            <w:rFonts w:ascii="Times New Roman" w:hAnsi="Times New Roman"/>
            <w:b/>
            <w:bCs/>
            <w:i/>
            <w:iCs/>
            <w:sz w:val="24"/>
            <w:szCs w:val="28"/>
            <w:highlight w:val="yellow"/>
          </w:rPr>
          <w:t xml:space="preserve">: If the amendments to the Settlement Rate provisions for USD are made after the amendments to the Settlement Rate provisions for </w:t>
        </w:r>
      </w:ins>
      <w:ins w:id="662" w:author="Any Authorised User" w:date="2021-05-13T16:55:00Z">
        <w:r w:rsidRPr="005B57EC">
          <w:rPr>
            <w:rFonts w:ascii="Times New Roman" w:hAnsi="Times New Roman"/>
            <w:b/>
            <w:bCs/>
            <w:i/>
            <w:iCs/>
            <w:sz w:val="24"/>
            <w:szCs w:val="28"/>
            <w:highlight w:val="yellow"/>
          </w:rPr>
          <w:t>GBP</w:t>
        </w:r>
      </w:ins>
      <w:ins w:id="663" w:author="Any Authorised User" w:date="2021-05-13T16:57:00Z">
        <w:r>
          <w:rPr>
            <w:rFonts w:ascii="Times New Roman" w:hAnsi="Times New Roman"/>
            <w:b/>
            <w:bCs/>
            <w:i/>
            <w:iCs/>
            <w:sz w:val="24"/>
            <w:szCs w:val="28"/>
            <w:highlight w:val="yellow"/>
          </w:rPr>
          <w:t xml:space="preserve"> (as is expected to be the case given that the SOFR ICE Swap Rate does not yet exist)</w:t>
        </w:r>
      </w:ins>
      <w:ins w:id="664" w:author="Any Authorised User" w:date="2021-05-13T16:55:00Z">
        <w:r w:rsidRPr="005B57EC">
          <w:rPr>
            <w:rFonts w:ascii="Times New Roman" w:hAnsi="Times New Roman"/>
            <w:b/>
            <w:bCs/>
            <w:i/>
            <w:iCs/>
            <w:sz w:val="24"/>
            <w:szCs w:val="28"/>
            <w:highlight w:val="yellow"/>
          </w:rPr>
          <w:t xml:space="preserve"> and </w:t>
        </w:r>
        <w:r w:rsidRPr="005B57EC">
          <w:rPr>
            <w:rFonts w:ascii="Times New Roman" w:hAnsi="Times New Roman"/>
            <w:b/>
            <w:bCs/>
            <w:i/>
            <w:iCs/>
            <w:sz w:val="24"/>
            <w:szCs w:val="28"/>
            <w:highlight w:val="yellow"/>
          </w:rPr>
          <w:lastRenderedPageBreak/>
          <w:t xml:space="preserve">those amendments for GBP are in the form of a Supplement to the 2006 ISDA Definitions then paragraphs (c) to (h) below will be deleted </w:t>
        </w:r>
      </w:ins>
      <w:ins w:id="665" w:author="Any Authorised User" w:date="2021-05-13T16:57:00Z">
        <w:r>
          <w:rPr>
            <w:rFonts w:ascii="Times New Roman" w:hAnsi="Times New Roman"/>
            <w:b/>
            <w:bCs/>
            <w:i/>
            <w:iCs/>
            <w:sz w:val="24"/>
            <w:szCs w:val="28"/>
            <w:highlight w:val="yellow"/>
          </w:rPr>
          <w:t xml:space="preserve">in this document </w:t>
        </w:r>
      </w:ins>
      <w:ins w:id="666" w:author="Any Authorised User" w:date="2021-05-13T16:55:00Z">
        <w:r w:rsidRPr="005B57EC">
          <w:rPr>
            <w:rFonts w:ascii="Times New Roman" w:hAnsi="Times New Roman"/>
            <w:b/>
            <w:bCs/>
            <w:i/>
            <w:iCs/>
            <w:sz w:val="24"/>
            <w:szCs w:val="28"/>
            <w:highlight w:val="yellow"/>
          </w:rPr>
          <w:t xml:space="preserve">because the amendments in </w:t>
        </w:r>
      </w:ins>
      <w:ins w:id="667" w:author="Any Authorised User" w:date="2021-05-13T16:57:00Z">
        <w:r>
          <w:rPr>
            <w:rFonts w:ascii="Times New Roman" w:hAnsi="Times New Roman"/>
            <w:b/>
            <w:bCs/>
            <w:i/>
            <w:iCs/>
            <w:sz w:val="24"/>
            <w:szCs w:val="28"/>
            <w:highlight w:val="yellow"/>
          </w:rPr>
          <w:t xml:space="preserve">paragraphs </w:t>
        </w:r>
      </w:ins>
      <w:ins w:id="668" w:author="Any Authorised User" w:date="2021-05-13T16:55:00Z">
        <w:r w:rsidRPr="005B57EC">
          <w:rPr>
            <w:rFonts w:ascii="Times New Roman" w:hAnsi="Times New Roman"/>
            <w:b/>
            <w:bCs/>
            <w:i/>
            <w:iCs/>
            <w:sz w:val="24"/>
            <w:szCs w:val="28"/>
            <w:highlight w:val="yellow"/>
          </w:rPr>
          <w:t xml:space="preserve">(c) to (h) below will already have been made in the </w:t>
        </w:r>
      </w:ins>
      <w:ins w:id="669" w:author="Any Authorised User" w:date="2021-05-13T16:56:00Z">
        <w:r w:rsidRPr="005B57EC">
          <w:rPr>
            <w:rFonts w:ascii="Times New Roman" w:hAnsi="Times New Roman"/>
            <w:b/>
            <w:bCs/>
            <w:i/>
            <w:iCs/>
            <w:sz w:val="24"/>
            <w:szCs w:val="28"/>
            <w:highlight w:val="yellow"/>
          </w:rPr>
          <w:t>Supplement</w:t>
        </w:r>
      </w:ins>
      <w:ins w:id="670" w:author="Any Authorised User" w:date="2021-05-13T16:57:00Z">
        <w:r>
          <w:rPr>
            <w:rFonts w:ascii="Times New Roman" w:hAnsi="Times New Roman"/>
            <w:b/>
            <w:bCs/>
            <w:i/>
            <w:iCs/>
            <w:sz w:val="24"/>
            <w:szCs w:val="28"/>
            <w:highlight w:val="yellow"/>
          </w:rPr>
          <w:t xml:space="preserve"> to the 2006 Definitions</w:t>
        </w:r>
      </w:ins>
      <w:ins w:id="671" w:author="Any Authorised User" w:date="2021-05-13T16:56:00Z">
        <w:r w:rsidRPr="005B57EC">
          <w:rPr>
            <w:rFonts w:ascii="Times New Roman" w:hAnsi="Times New Roman"/>
            <w:b/>
            <w:bCs/>
            <w:i/>
            <w:iCs/>
            <w:sz w:val="24"/>
            <w:szCs w:val="28"/>
            <w:highlight w:val="yellow"/>
          </w:rPr>
          <w:t xml:space="preserve"> which makes the amend</w:t>
        </w:r>
      </w:ins>
      <w:ins w:id="672" w:author="Any Authorised User" w:date="2021-05-13T16:57:00Z">
        <w:r>
          <w:rPr>
            <w:rFonts w:ascii="Times New Roman" w:hAnsi="Times New Roman"/>
            <w:b/>
            <w:bCs/>
            <w:i/>
            <w:iCs/>
            <w:sz w:val="24"/>
            <w:szCs w:val="28"/>
            <w:highlight w:val="yellow"/>
          </w:rPr>
          <w:t>ments</w:t>
        </w:r>
      </w:ins>
      <w:ins w:id="673" w:author="Any Authorised User" w:date="2021-05-13T16:56:00Z">
        <w:r w:rsidRPr="005B57EC">
          <w:rPr>
            <w:rFonts w:ascii="Times New Roman" w:hAnsi="Times New Roman"/>
            <w:b/>
            <w:bCs/>
            <w:i/>
            <w:iCs/>
            <w:sz w:val="24"/>
            <w:szCs w:val="28"/>
            <w:highlight w:val="yellow"/>
          </w:rPr>
          <w:t xml:space="preserve"> for the GBP Settlement Rate provisions </w:t>
        </w:r>
      </w:ins>
      <w:ins w:id="674" w:author="Any Authorised User" w:date="2021-05-13T16:57:00Z">
        <w:r>
          <w:rPr>
            <w:rFonts w:ascii="Times New Roman" w:hAnsi="Times New Roman"/>
            <w:b/>
            <w:bCs/>
            <w:i/>
            <w:iCs/>
            <w:sz w:val="24"/>
            <w:szCs w:val="28"/>
            <w:highlight w:val="yellow"/>
          </w:rPr>
          <w:t xml:space="preserve">(see separate document entitled </w:t>
        </w:r>
      </w:ins>
      <w:ins w:id="675" w:author="Any Authorised User" w:date="2021-05-13T16:58:00Z">
        <w:r>
          <w:rPr>
            <w:rFonts w:ascii="Times New Roman" w:hAnsi="Times New Roman"/>
            <w:b/>
            <w:bCs/>
            <w:i/>
            <w:iCs/>
            <w:sz w:val="24"/>
            <w:szCs w:val="28"/>
            <w:highlight w:val="yellow"/>
          </w:rPr>
          <w:t xml:space="preserve">“Draft amendments for ICE Swap Rate Fallbacks - Settlement Rate - GBP”) </w:t>
        </w:r>
      </w:ins>
      <w:ins w:id="676" w:author="Any Authorised User" w:date="2021-05-13T16:56:00Z">
        <w:r w:rsidRPr="005B57EC">
          <w:rPr>
            <w:rFonts w:ascii="Times New Roman" w:hAnsi="Times New Roman"/>
            <w:b/>
            <w:bCs/>
            <w:i/>
            <w:iCs/>
            <w:sz w:val="24"/>
            <w:szCs w:val="28"/>
            <w:highlight w:val="yellow"/>
          </w:rPr>
          <w:t xml:space="preserve">and so it will not be necessary to </w:t>
        </w:r>
      </w:ins>
      <w:ins w:id="677" w:author="Any Authorised User" w:date="2021-05-13T16:58:00Z">
        <w:r>
          <w:rPr>
            <w:rFonts w:ascii="Times New Roman" w:hAnsi="Times New Roman"/>
            <w:b/>
            <w:bCs/>
            <w:i/>
            <w:iCs/>
            <w:sz w:val="24"/>
            <w:szCs w:val="28"/>
            <w:highlight w:val="yellow"/>
          </w:rPr>
          <w:t>repeat</w:t>
        </w:r>
      </w:ins>
      <w:ins w:id="678" w:author="Any Authorised User" w:date="2021-05-13T16:56:00Z">
        <w:r w:rsidRPr="005B57EC">
          <w:rPr>
            <w:rFonts w:ascii="Times New Roman" w:hAnsi="Times New Roman"/>
            <w:b/>
            <w:bCs/>
            <w:i/>
            <w:iCs/>
            <w:sz w:val="24"/>
            <w:szCs w:val="28"/>
            <w:highlight w:val="yellow"/>
          </w:rPr>
          <w:t xml:space="preserve"> these amendments again when the amendments for the USD Settlement Rate provisions are made.</w:t>
        </w:r>
        <w:r w:rsidRPr="008402A9">
          <w:rPr>
            <w:rFonts w:ascii="Times New Roman" w:hAnsi="Times New Roman"/>
            <w:sz w:val="24"/>
            <w:szCs w:val="28"/>
          </w:rPr>
          <w:t>]</w:t>
        </w:r>
      </w:ins>
    </w:p>
    <w:p w14:paraId="30524BAE" w14:textId="6DDAD514" w:rsidR="00CF77AA" w:rsidRDefault="00F14AB2" w:rsidP="00F14AB2">
      <w:pPr>
        <w:pStyle w:val="Body"/>
        <w:numPr>
          <w:ilvl w:val="0"/>
          <w:numId w:val="62"/>
        </w:numPr>
        <w:ind w:left="567" w:hanging="567"/>
        <w:rPr>
          <w:rFonts w:ascii="Times New Roman" w:hAnsi="Times New Roman"/>
          <w:sz w:val="24"/>
          <w:szCs w:val="28"/>
        </w:rPr>
      </w:pPr>
      <w:r>
        <w:rPr>
          <w:rFonts w:ascii="Times New Roman" w:hAnsi="Times New Roman"/>
          <w:sz w:val="24"/>
          <w:szCs w:val="28"/>
        </w:rPr>
        <w:t xml:space="preserve"> </w:t>
      </w:r>
      <w:r>
        <w:rPr>
          <w:rFonts w:ascii="Times New Roman" w:hAnsi="Times New Roman"/>
          <w:sz w:val="24"/>
          <w:szCs w:val="28"/>
        </w:rPr>
        <w:tab/>
      </w:r>
      <w:r w:rsidR="00CF77AA" w:rsidRPr="00192F2D">
        <w:rPr>
          <w:rFonts w:ascii="Times New Roman" w:hAnsi="Times New Roman"/>
          <w:sz w:val="24"/>
          <w:szCs w:val="28"/>
        </w:rPr>
        <w:t xml:space="preserve">Section </w:t>
      </w:r>
      <w:r w:rsidR="00CF77AA">
        <w:rPr>
          <w:rFonts w:ascii="Times New Roman" w:hAnsi="Times New Roman"/>
          <w:sz w:val="24"/>
          <w:szCs w:val="28"/>
        </w:rPr>
        <w:t xml:space="preserve">18.2(n) </w:t>
      </w:r>
      <w:r w:rsidR="00CF77AA" w:rsidRPr="00192F2D">
        <w:rPr>
          <w:rFonts w:ascii="Times New Roman" w:hAnsi="Times New Roman"/>
          <w:sz w:val="24"/>
          <w:szCs w:val="28"/>
        </w:rPr>
        <w:t>is amended by deleting it in its entirety and restating as follows:</w:t>
      </w:r>
    </w:p>
    <w:p w14:paraId="55E6E4B8" w14:textId="458DD96C" w:rsidR="00162AF2" w:rsidRDefault="00162AF2" w:rsidP="00F14AB2">
      <w:pPr>
        <w:pStyle w:val="Body"/>
        <w:ind w:left="709" w:hanging="567"/>
        <w:rPr>
          <w:rFonts w:ascii="Times New Roman" w:hAnsi="Times New Roman"/>
          <w:sz w:val="24"/>
          <w:szCs w:val="28"/>
        </w:rPr>
      </w:pPr>
      <w:r>
        <w:rPr>
          <w:rFonts w:ascii="Times New Roman" w:hAnsi="Times New Roman"/>
          <w:sz w:val="24"/>
          <w:szCs w:val="28"/>
        </w:rPr>
        <w:t>“</w:t>
      </w:r>
      <w:r w:rsidRPr="00162AF2">
        <w:rPr>
          <w:rFonts w:ascii="Times New Roman" w:hAnsi="Times New Roman"/>
          <w:sz w:val="24"/>
          <w:szCs w:val="28"/>
        </w:rPr>
        <w:t>(n)</w:t>
      </w:r>
      <w:r w:rsidRPr="00162AF2">
        <w:rPr>
          <w:rFonts w:ascii="Times New Roman" w:hAnsi="Times New Roman"/>
          <w:sz w:val="24"/>
          <w:szCs w:val="28"/>
        </w:rPr>
        <w:tab/>
      </w:r>
      <w:ins w:id="679" w:author="Any Authorised User" w:date="2021-03-26T16:34:00Z">
        <w:r w:rsidR="003178AC">
          <w:rPr>
            <w:rFonts w:ascii="Times New Roman" w:hAnsi="Times New Roman"/>
            <w:b/>
            <w:bCs/>
            <w:sz w:val="24"/>
            <w:szCs w:val="28"/>
          </w:rPr>
          <w:t>ICESWAP Rate</w:t>
        </w:r>
      </w:ins>
      <w:del w:id="680" w:author="Any Authorised User" w:date="2021-03-26T16:34:00Z">
        <w:r w:rsidRPr="00162AF2" w:rsidDel="003178AC">
          <w:rPr>
            <w:rFonts w:ascii="Times New Roman" w:hAnsi="Times New Roman"/>
            <w:b/>
            <w:bCs/>
            <w:sz w:val="24"/>
            <w:szCs w:val="28"/>
          </w:rPr>
          <w:delText>ISDAFIX</w:delText>
        </w:r>
      </w:del>
      <w:r w:rsidRPr="00162AF2">
        <w:rPr>
          <w:rFonts w:ascii="Times New Roman" w:hAnsi="Times New Roman"/>
          <w:b/>
          <w:bCs/>
          <w:sz w:val="24"/>
          <w:szCs w:val="28"/>
        </w:rPr>
        <w:t xml:space="preserve"> Page.</w:t>
      </w:r>
      <w:r w:rsidRPr="00162AF2">
        <w:rPr>
          <w:rFonts w:ascii="Times New Roman" w:hAnsi="Times New Roman"/>
          <w:sz w:val="24"/>
          <w:szCs w:val="28"/>
        </w:rPr>
        <w:t xml:space="preserve"> “</w:t>
      </w:r>
      <w:del w:id="681" w:author="Any Authorised User" w:date="2021-03-26T16:34:00Z">
        <w:r w:rsidRPr="00162AF2" w:rsidDel="003178AC">
          <w:rPr>
            <w:rFonts w:ascii="Times New Roman" w:hAnsi="Times New Roman"/>
            <w:sz w:val="24"/>
            <w:szCs w:val="28"/>
          </w:rPr>
          <w:delText xml:space="preserve">ISDAFIX </w:delText>
        </w:r>
      </w:del>
      <w:ins w:id="682" w:author="Any Authorised User" w:date="2021-03-26T16:34:00Z">
        <w:r w:rsidR="003178AC">
          <w:rPr>
            <w:rFonts w:ascii="Times New Roman" w:hAnsi="Times New Roman"/>
            <w:sz w:val="24"/>
            <w:szCs w:val="28"/>
          </w:rPr>
          <w:t>ICESWAP Rate</w:t>
        </w:r>
        <w:r w:rsidR="003178AC" w:rsidRPr="00162AF2">
          <w:rPr>
            <w:rFonts w:ascii="Times New Roman" w:hAnsi="Times New Roman"/>
            <w:sz w:val="24"/>
            <w:szCs w:val="28"/>
          </w:rPr>
          <w:t xml:space="preserve"> </w:t>
        </w:r>
      </w:ins>
      <w:r w:rsidRPr="00162AF2">
        <w:rPr>
          <w:rFonts w:ascii="Times New Roman" w:hAnsi="Times New Roman"/>
          <w:sz w:val="24"/>
          <w:szCs w:val="28"/>
        </w:rPr>
        <w:t xml:space="preserve">Page” means, in respect of a Swap Transaction and in respect of a Cash Settlement Valuation Date or an Exercise Date, whichever of the Reuters Screen </w:t>
      </w:r>
      <w:ins w:id="683" w:author="Any Authorised User" w:date="2021-03-26T16:34:00Z">
        <w:r w:rsidR="003178AC">
          <w:rPr>
            <w:rFonts w:ascii="Times New Roman" w:hAnsi="Times New Roman"/>
            <w:sz w:val="24"/>
            <w:szCs w:val="28"/>
          </w:rPr>
          <w:t>ICESWAP</w:t>
        </w:r>
      </w:ins>
      <w:del w:id="684" w:author="Any Authorised User" w:date="2021-03-26T16:34:00Z">
        <w:r w:rsidRPr="00162AF2" w:rsidDel="003178AC">
          <w:rPr>
            <w:rFonts w:ascii="Times New Roman" w:hAnsi="Times New Roman"/>
            <w:sz w:val="24"/>
            <w:szCs w:val="28"/>
          </w:rPr>
          <w:delText>ISDAFIX</w:delText>
        </w:r>
      </w:del>
      <w:r w:rsidRPr="00162AF2">
        <w:rPr>
          <w:rFonts w:ascii="Times New Roman" w:hAnsi="Times New Roman"/>
          <w:sz w:val="24"/>
          <w:szCs w:val="28"/>
        </w:rPr>
        <w:t xml:space="preserve"> pages is designated for purposes of displaying par swap rates for swaps in the currency of denomination of the Relevant Swap Transaction on that Cash Settlement Valuation Date or that Exercise Date.</w:t>
      </w:r>
      <w:r w:rsidR="00F14AB2">
        <w:rPr>
          <w:rFonts w:ascii="Times New Roman" w:hAnsi="Times New Roman"/>
          <w:sz w:val="24"/>
          <w:szCs w:val="28"/>
        </w:rPr>
        <w:t>”.</w:t>
      </w:r>
    </w:p>
    <w:p w14:paraId="08835D57" w14:textId="7F2D6017" w:rsidR="003178AC" w:rsidRDefault="003178AC" w:rsidP="00F14AB2">
      <w:pPr>
        <w:pStyle w:val="Body"/>
        <w:numPr>
          <w:ilvl w:val="0"/>
          <w:numId w:val="62"/>
        </w:numPr>
        <w:ind w:hanging="720"/>
        <w:rPr>
          <w:rFonts w:ascii="Times New Roman" w:hAnsi="Times New Roman"/>
          <w:sz w:val="24"/>
          <w:szCs w:val="28"/>
        </w:rPr>
      </w:pPr>
      <w:r>
        <w:rPr>
          <w:rFonts w:ascii="Times New Roman" w:hAnsi="Times New Roman"/>
          <w:sz w:val="24"/>
          <w:szCs w:val="28"/>
        </w:rPr>
        <w:t>Section</w:t>
      </w:r>
      <w:r w:rsidR="00F14AB2">
        <w:rPr>
          <w:rFonts w:ascii="Times New Roman" w:hAnsi="Times New Roman"/>
          <w:sz w:val="24"/>
          <w:szCs w:val="28"/>
        </w:rPr>
        <w:t>s</w:t>
      </w:r>
      <w:r>
        <w:rPr>
          <w:rFonts w:ascii="Times New Roman" w:hAnsi="Times New Roman"/>
          <w:sz w:val="24"/>
          <w:szCs w:val="28"/>
        </w:rPr>
        <w:t xml:space="preserve"> 18.2(g)(iv) and (v) are amended by </w:t>
      </w:r>
      <w:r w:rsidR="00F14AB2">
        <w:rPr>
          <w:rFonts w:ascii="Times New Roman" w:hAnsi="Times New Roman"/>
          <w:sz w:val="24"/>
          <w:szCs w:val="28"/>
        </w:rPr>
        <w:t>deleting the references to “ISDAFIX Page” and replacing them with a reference to “ICESWAP Rate Page”.</w:t>
      </w:r>
    </w:p>
    <w:p w14:paraId="25A71089" w14:textId="5F0C8A6D" w:rsidR="007D58E9" w:rsidRDefault="00CF77AA" w:rsidP="00F14AB2">
      <w:pPr>
        <w:pStyle w:val="Body"/>
        <w:numPr>
          <w:ilvl w:val="0"/>
          <w:numId w:val="62"/>
        </w:numPr>
        <w:ind w:left="709" w:hanging="709"/>
        <w:rPr>
          <w:rFonts w:ascii="Times New Roman" w:hAnsi="Times New Roman"/>
          <w:sz w:val="24"/>
          <w:szCs w:val="28"/>
        </w:rPr>
      </w:pPr>
      <w:r w:rsidRPr="00192F2D">
        <w:rPr>
          <w:rFonts w:ascii="Times New Roman" w:hAnsi="Times New Roman"/>
          <w:sz w:val="24"/>
          <w:szCs w:val="28"/>
        </w:rPr>
        <w:t xml:space="preserve">Section </w:t>
      </w:r>
      <w:r>
        <w:rPr>
          <w:rFonts w:ascii="Times New Roman" w:hAnsi="Times New Roman"/>
          <w:sz w:val="24"/>
          <w:szCs w:val="28"/>
        </w:rPr>
        <w:t>18.3(g</w:t>
      </w:r>
      <w:r w:rsidR="006C6A1A">
        <w:rPr>
          <w:rFonts w:ascii="Times New Roman" w:hAnsi="Times New Roman"/>
          <w:sz w:val="24"/>
          <w:szCs w:val="28"/>
        </w:rPr>
        <w:t>)</w:t>
      </w:r>
      <w:r w:rsidR="007D58E9">
        <w:rPr>
          <w:rFonts w:ascii="Times New Roman" w:hAnsi="Times New Roman"/>
          <w:sz w:val="24"/>
          <w:szCs w:val="28"/>
        </w:rPr>
        <w:t>(iii)(B)</w:t>
      </w:r>
      <w:r w:rsidR="006C6A1A">
        <w:rPr>
          <w:rFonts w:ascii="Times New Roman" w:hAnsi="Times New Roman"/>
          <w:sz w:val="24"/>
          <w:szCs w:val="28"/>
        </w:rPr>
        <w:t xml:space="preserve"> is</w:t>
      </w:r>
      <w:r w:rsidRPr="00192F2D">
        <w:rPr>
          <w:rFonts w:ascii="Times New Roman" w:hAnsi="Times New Roman"/>
          <w:sz w:val="24"/>
          <w:szCs w:val="28"/>
        </w:rPr>
        <w:t xml:space="preserve"> amended by deleting it in its entirety and restating as follows:</w:t>
      </w:r>
    </w:p>
    <w:p w14:paraId="3CB56AB0" w14:textId="2443CA8B" w:rsidR="00CF77AA" w:rsidRPr="00795703" w:rsidRDefault="007D58E9" w:rsidP="00795703">
      <w:pPr>
        <w:pStyle w:val="Body"/>
        <w:ind w:left="709"/>
        <w:rPr>
          <w:rFonts w:ascii="Times New Roman" w:hAnsi="Times New Roman"/>
          <w:sz w:val="24"/>
          <w:szCs w:val="28"/>
        </w:rPr>
      </w:pPr>
      <w:r>
        <w:rPr>
          <w:rFonts w:ascii="Times New Roman" w:hAnsi="Times New Roman"/>
          <w:sz w:val="24"/>
          <w:szCs w:val="28"/>
        </w:rPr>
        <w:t>“</w:t>
      </w:r>
      <w:r w:rsidRPr="007D58E9">
        <w:rPr>
          <w:rFonts w:ascii="Times New Roman" w:hAnsi="Times New Roman"/>
          <w:sz w:val="24"/>
          <w:szCs w:val="28"/>
        </w:rPr>
        <w:t>(B)</w:t>
      </w:r>
      <w:r w:rsidRPr="007D58E9">
        <w:rPr>
          <w:rFonts w:ascii="Times New Roman" w:hAnsi="Times New Roman"/>
          <w:sz w:val="24"/>
          <w:szCs w:val="28"/>
        </w:rPr>
        <w:tab/>
        <w:t xml:space="preserve">if </w:t>
      </w:r>
      <w:del w:id="685" w:author="Any Authorised User" w:date="2021-03-29T10:44:00Z">
        <w:r w:rsidRPr="007D58E9" w:rsidDel="007D58E9">
          <w:rPr>
            <w:rFonts w:ascii="Times New Roman" w:hAnsi="Times New Roman"/>
            <w:sz w:val="24"/>
            <w:szCs w:val="28"/>
          </w:rPr>
          <w:delText xml:space="preserve">there is </w:delText>
        </w:r>
      </w:del>
      <w:r w:rsidRPr="007D58E9">
        <w:rPr>
          <w:rFonts w:ascii="Times New Roman" w:hAnsi="Times New Roman"/>
          <w:sz w:val="24"/>
          <w:szCs w:val="28"/>
        </w:rPr>
        <w:t>no such Settlement Rate</w:t>
      </w:r>
      <w:ins w:id="686" w:author="Any Authorised User" w:date="2021-03-29T10:44:00Z">
        <w:r>
          <w:rPr>
            <w:rFonts w:ascii="Times New Roman" w:hAnsi="Times New Roman"/>
            <w:sz w:val="24"/>
            <w:szCs w:val="28"/>
          </w:rPr>
          <w:t xml:space="preserve"> is specified</w:t>
        </w:r>
      </w:ins>
      <w:r w:rsidRPr="007D58E9">
        <w:rPr>
          <w:rFonts w:ascii="Times New Roman" w:hAnsi="Times New Roman"/>
          <w:sz w:val="24"/>
          <w:szCs w:val="28"/>
        </w:rPr>
        <w:t>, determined by the Calculation Agent in good faith and using commercially reasonable procedures</w:t>
      </w:r>
      <w:ins w:id="687" w:author="Any Authorised User" w:date="2021-03-29T10:44:00Z">
        <w:r>
          <w:rPr>
            <w:rFonts w:ascii="Times New Roman" w:hAnsi="Times New Roman"/>
            <w:sz w:val="24"/>
            <w:szCs w:val="28"/>
          </w:rPr>
          <w:t>, or if subparagraph (v) below applies, by the Cash S</w:t>
        </w:r>
      </w:ins>
      <w:ins w:id="688" w:author="Any Authorised User" w:date="2021-03-29T10:45:00Z">
        <w:r>
          <w:rPr>
            <w:rFonts w:ascii="Times New Roman" w:hAnsi="Times New Roman"/>
            <w:sz w:val="24"/>
            <w:szCs w:val="28"/>
          </w:rPr>
          <w:t>ettlement Reference Banks</w:t>
        </w:r>
      </w:ins>
      <w:r>
        <w:rPr>
          <w:rFonts w:ascii="Times New Roman" w:hAnsi="Times New Roman"/>
          <w:sz w:val="24"/>
          <w:szCs w:val="28"/>
        </w:rPr>
        <w:t>,”.</w:t>
      </w:r>
    </w:p>
    <w:p w14:paraId="787ABD97" w14:textId="1E7EBE99" w:rsidR="00CF77AA" w:rsidRDefault="00CF77AA" w:rsidP="00F14AB2">
      <w:pPr>
        <w:pStyle w:val="Body"/>
        <w:numPr>
          <w:ilvl w:val="0"/>
          <w:numId w:val="62"/>
        </w:numPr>
        <w:ind w:hanging="720"/>
        <w:rPr>
          <w:rFonts w:ascii="Times New Roman" w:hAnsi="Times New Roman"/>
          <w:sz w:val="24"/>
          <w:szCs w:val="28"/>
        </w:rPr>
      </w:pPr>
      <w:r w:rsidRPr="00192F2D">
        <w:rPr>
          <w:rFonts w:ascii="Times New Roman" w:hAnsi="Times New Roman"/>
          <w:sz w:val="24"/>
          <w:szCs w:val="28"/>
        </w:rPr>
        <w:t>Section</w:t>
      </w:r>
      <w:r w:rsidR="001C3888">
        <w:rPr>
          <w:rFonts w:ascii="Times New Roman" w:hAnsi="Times New Roman"/>
          <w:sz w:val="24"/>
          <w:szCs w:val="28"/>
        </w:rPr>
        <w:t>s</w:t>
      </w:r>
      <w:r w:rsidRPr="00192F2D">
        <w:rPr>
          <w:rFonts w:ascii="Times New Roman" w:hAnsi="Times New Roman"/>
          <w:sz w:val="24"/>
          <w:szCs w:val="28"/>
        </w:rPr>
        <w:t xml:space="preserve"> </w:t>
      </w:r>
      <w:r>
        <w:rPr>
          <w:rFonts w:ascii="Times New Roman" w:hAnsi="Times New Roman"/>
          <w:sz w:val="24"/>
          <w:szCs w:val="28"/>
        </w:rPr>
        <w:t xml:space="preserve">18.4 </w:t>
      </w:r>
      <w:r w:rsidR="001C3888">
        <w:rPr>
          <w:rFonts w:ascii="Times New Roman" w:hAnsi="Times New Roman"/>
          <w:sz w:val="24"/>
          <w:szCs w:val="28"/>
        </w:rPr>
        <w:t xml:space="preserve">and 18.5 are </w:t>
      </w:r>
      <w:r w:rsidRPr="00192F2D">
        <w:rPr>
          <w:rFonts w:ascii="Times New Roman" w:hAnsi="Times New Roman"/>
          <w:sz w:val="24"/>
          <w:szCs w:val="28"/>
        </w:rPr>
        <w:t xml:space="preserve">amended by deleting </w:t>
      </w:r>
      <w:r w:rsidR="001C3888">
        <w:rPr>
          <w:rFonts w:ascii="Times New Roman" w:hAnsi="Times New Roman"/>
          <w:sz w:val="24"/>
          <w:szCs w:val="28"/>
        </w:rPr>
        <w:t xml:space="preserve">the references to “ISDA Source” and replacing them with a reference to “ICESWAP Rate”. </w:t>
      </w:r>
    </w:p>
    <w:p w14:paraId="7F62A542" w14:textId="53B8FA71" w:rsidR="00E76C07" w:rsidRDefault="00E76C07" w:rsidP="00F14AB2">
      <w:pPr>
        <w:pStyle w:val="Body"/>
        <w:numPr>
          <w:ilvl w:val="0"/>
          <w:numId w:val="62"/>
        </w:numPr>
        <w:ind w:hanging="720"/>
        <w:rPr>
          <w:rFonts w:ascii="Times New Roman" w:hAnsi="Times New Roman"/>
          <w:sz w:val="24"/>
          <w:szCs w:val="28"/>
        </w:rPr>
      </w:pPr>
      <w:r>
        <w:rPr>
          <w:rFonts w:ascii="Times New Roman" w:hAnsi="Times New Roman"/>
          <w:sz w:val="24"/>
          <w:szCs w:val="28"/>
        </w:rPr>
        <w:t xml:space="preserve">Section 18.6 is amended by inserting the words “ICESWAP Rate Administrator (or authorized distributors of the ICESWAP Rate),” after the words “is based on information obtained from the”. </w:t>
      </w:r>
    </w:p>
    <w:p w14:paraId="683B2F45" w14:textId="01C6A367" w:rsidR="00864E4D" w:rsidRPr="00864E4D" w:rsidRDefault="00864E4D" w:rsidP="00864E4D">
      <w:pPr>
        <w:pStyle w:val="Body"/>
        <w:numPr>
          <w:ilvl w:val="0"/>
          <w:numId w:val="62"/>
        </w:numPr>
        <w:ind w:hanging="720"/>
        <w:rPr>
          <w:rFonts w:ascii="Times New Roman" w:hAnsi="Times New Roman"/>
          <w:sz w:val="24"/>
          <w:szCs w:val="28"/>
        </w:rPr>
      </w:pPr>
      <w:r>
        <w:rPr>
          <w:rFonts w:ascii="Times New Roman" w:hAnsi="Times New Roman"/>
          <w:sz w:val="24"/>
          <w:szCs w:val="28"/>
        </w:rPr>
        <w:t xml:space="preserve">Exhibit II-F to the 2006 ISDA Definitions (Additional Provisions for a Confirmation of a Swap Transaction to which Optional Early Termination applies) and Exhibit II-G to the 2006 ISDA Definitions (Additional Provisions for a Confirmation of a Swap Transaction to which Mandatory Early Termination applies) are amended </w:t>
      </w:r>
      <w:r w:rsidRPr="00192F2D">
        <w:rPr>
          <w:rFonts w:ascii="Times New Roman" w:hAnsi="Times New Roman"/>
          <w:sz w:val="24"/>
          <w:szCs w:val="28"/>
        </w:rPr>
        <w:t xml:space="preserve">by deleting </w:t>
      </w:r>
      <w:r>
        <w:rPr>
          <w:rFonts w:ascii="Times New Roman" w:hAnsi="Times New Roman"/>
          <w:sz w:val="24"/>
          <w:szCs w:val="28"/>
        </w:rPr>
        <w:t xml:space="preserve">the references to “[ISDA Source]” and replacing them with a reference to “[ICESWAP Rate]”. </w:t>
      </w:r>
    </w:p>
    <w:p w14:paraId="6E392C0F" w14:textId="710E1467" w:rsidR="00CF77AA" w:rsidRPr="001D6F53" w:rsidRDefault="00F60816" w:rsidP="001D6F53">
      <w:pPr>
        <w:pStyle w:val="Body"/>
        <w:rPr>
          <w:rFonts w:ascii="Times New Roman" w:hAnsi="Times New Roman"/>
          <w:b/>
          <w:bCs/>
          <w:i/>
          <w:iCs/>
          <w:sz w:val="24"/>
          <w:szCs w:val="28"/>
        </w:rPr>
      </w:pPr>
      <w:r w:rsidRPr="008402A9">
        <w:rPr>
          <w:rFonts w:ascii="Times New Roman" w:hAnsi="Times New Roman"/>
          <w:sz w:val="24"/>
          <w:szCs w:val="28"/>
        </w:rPr>
        <w:lastRenderedPageBreak/>
        <w:t>[</w:t>
      </w:r>
      <w:r w:rsidR="008402A9">
        <w:rPr>
          <w:rFonts w:ascii="Times New Roman" w:hAnsi="Times New Roman"/>
          <w:b/>
          <w:bCs/>
          <w:i/>
          <w:iCs/>
          <w:sz w:val="24"/>
          <w:szCs w:val="28"/>
          <w:highlight w:val="yellow"/>
        </w:rPr>
        <w:t>Drafting note</w:t>
      </w:r>
      <w:r>
        <w:rPr>
          <w:rFonts w:ascii="Times New Roman" w:hAnsi="Times New Roman"/>
          <w:b/>
          <w:bCs/>
          <w:i/>
          <w:iCs/>
          <w:sz w:val="24"/>
          <w:szCs w:val="28"/>
          <w:highlight w:val="yellow"/>
        </w:rPr>
        <w:t xml:space="preserve">: </w:t>
      </w:r>
      <w:r w:rsidR="00490455">
        <w:rPr>
          <w:rFonts w:ascii="Times New Roman" w:hAnsi="Times New Roman"/>
          <w:b/>
          <w:bCs/>
          <w:i/>
          <w:iCs/>
          <w:sz w:val="24"/>
          <w:szCs w:val="28"/>
          <w:highlight w:val="yellow"/>
        </w:rPr>
        <w:t>If the amendments to include the new fallbacks for the ICESWAP Rate are made via a Supplement to the 2006 ISDA Definitions, the ISDA Collateral Cash Price Matrix will be restated on the same date that the Supplement is published so as to ensure the references to ICESWAP Rate in the matrix are as defined in the updated definitions (i.e. including the new fallbacks). Alternatively, if a bilateral template approach is adopted, we will add wording into the bilateral template clarifying that the references to the ICESWAP Rate in the matrix are as defined in the amendment agreement.</w:t>
      </w:r>
      <w:r w:rsidR="00EC3843" w:rsidRPr="008402A9">
        <w:rPr>
          <w:rFonts w:ascii="Times New Roman" w:hAnsi="Times New Roman"/>
          <w:sz w:val="24"/>
          <w:szCs w:val="28"/>
        </w:rPr>
        <w:t>]</w:t>
      </w:r>
    </w:p>
    <w:p w14:paraId="30278893" w14:textId="47E9559C" w:rsidR="0074544A" w:rsidRPr="005B57EC" w:rsidRDefault="0074544A" w:rsidP="005B57EC">
      <w:pPr>
        <w:spacing w:after="160" w:line="259" w:lineRule="auto"/>
        <w:jc w:val="both"/>
        <w:rPr>
          <w:rFonts w:ascii="Times New Roman" w:hAnsi="Times New Roman" w:cs="Times New Roman"/>
          <w:b/>
          <w:bCs/>
          <w:i/>
          <w:iCs/>
          <w:kern w:val="20"/>
          <w:sz w:val="24"/>
          <w:szCs w:val="28"/>
        </w:rPr>
      </w:pPr>
      <w:bookmarkStart w:id="689" w:name="_GoBack"/>
      <w:bookmarkEnd w:id="689"/>
    </w:p>
    <w:sectPr w:rsidR="0074544A" w:rsidRPr="005B57EC" w:rsidSect="0074544A">
      <w:headerReference w:type="even" r:id="rId8"/>
      <w:headerReference w:type="default" r:id="rId9"/>
      <w:footerReference w:type="even" r:id="rId10"/>
      <w:footerReference w:type="default" r:id="rId11"/>
      <w:headerReference w:type="first" r:id="rId12"/>
      <w:footerReference w:type="first" r:id="rId13"/>
      <w:pgSz w:w="11907" w:h="16839" w:code="9"/>
      <w:pgMar w:top="1701" w:right="1588" w:bottom="1304" w:left="1588" w:header="765" w:footer="48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065D6D" w14:textId="77777777" w:rsidR="00317CB1" w:rsidRDefault="00317CB1" w:rsidP="00C82590">
      <w:r>
        <w:separator/>
      </w:r>
    </w:p>
  </w:endnote>
  <w:endnote w:type="continuationSeparator" w:id="0">
    <w:p w14:paraId="20963B28" w14:textId="77777777" w:rsidR="00317CB1" w:rsidRDefault="00317CB1" w:rsidP="00C82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C422B" w14:textId="77777777" w:rsidR="00CF0A04" w:rsidRDefault="00CF0A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002" w:rsidP="007D1E0B" w:rsidRDefault="00CF0A04" w14:paraId="4C1D7BD0" w14:textId="70BBC638">
    <w:pPr>
      <w:pStyle w:val="DocExCode"/>
    </w:pPr>
    <w:r>
      <w:fldChar w:fldCharType="begin"/>
    </w:r>
    <w:r>
      <w:instrText xml:space="preserve"> DOCPROPERTY "Document number"  \* MERGEFORMAT </w:instrText>
    </w:r>
    <w:r>
      <w:fldChar w:fldCharType="separate"/>
    </w:r>
    <w:r>
      <w:t>A44639157</w:t>
    </w:r>
    <w:r>
      <w:fldChar w:fldCharType="end"/>
    </w:r>
    <w:r w:rsidR="00EF5002">
      <w:t>/</w:t>
    </w:r>
    <w:r>
      <w:fldChar w:fldCharType="begin"/>
    </w:r>
    <w:r>
      <w:instrText xml:space="preserve"> DOCPROPERTY "Version"  \* MERGEFORMAT </w:instrText>
    </w:r>
    <w:r>
      <w:fldChar w:fldCharType="separate"/>
    </w:r>
    <w:r>
      <w:t>3.0</w:t>
    </w:r>
    <w:r>
      <w:fldChar w:fldCharType="end"/>
    </w:r>
    <w:r w:rsidR="00EF5002">
      <w:t>/</w:t>
    </w:r>
    <w:r>
      <w:fldChar w:fldCharType="begin"/>
    </w:r>
    <w:r>
      <w:instrText xml:space="preserve"> DOCPROPERTY "Last Modified"  \* MERGEFORMAT </w:instrText>
    </w:r>
    <w:r>
      <w:fldChar w:fldCharType="separate"/>
    </w:r>
    <w:r>
      <w:t>11 Jun 2021</w:t>
    </w:r>
    <w:r>
      <w:fldChar w:fldCharType="end"/>
    </w:r>
  </w:p>
  <w:p w:rsidR="00EF5002" w:rsidP="007D1E0B" w:rsidRDefault="00EF5002" w14:paraId="2223B634" w14:textId="5D18BD85">
    <w:pPr>
      <w:pStyle w:val="DocExCode"/>
      <w:jc w:val="center"/>
      <w:rPr>
        <w:rStyle w:val="PageNumber"/>
        <w:kern w:val="17"/>
      </w:rPr>
    </w:pPr>
    <w:r>
      <w:rPr>
        <w:rStyle w:val="PageNumber"/>
        <w:kern w:val="17"/>
      </w:rPr>
      <w:fldChar w:fldCharType="begin"/>
    </w:r>
    <w:r>
      <w:rPr>
        <w:rStyle w:val="PageNumber"/>
        <w:kern w:val="17"/>
      </w:rPr>
      <w:instrText xml:space="preserve"> PAGE </w:instrText>
    </w:r>
    <w:r>
      <w:rPr>
        <w:rStyle w:val="PageNumber"/>
        <w:kern w:val="17"/>
      </w:rPr>
      <w:fldChar w:fldCharType="separate"/>
    </w:r>
    <w:r>
      <w:rPr>
        <w:rStyle w:val="PageNumber"/>
        <w:kern w:val="17"/>
      </w:rPr>
      <w:t>1</w:t>
    </w:r>
    <w:r>
      <w:rPr>
        <w:rStyle w:val="PageNumber"/>
        <w:kern w:val="17"/>
      </w:rPr>
      <w:fldChar w:fldCharType="end"/>
    </w:r>
  </w:p>
  <w:p w:rsidR="00EF5002" w:rsidP="007D1E0B" w:rsidRDefault="00EF5002" w14:paraId="192B7F2B" w14:textId="34BA6505">
    <w:pPr>
      <w:pStyle w:val="DocExCode"/>
      <w:jc w:val="center"/>
      <w:rPr>
        <w:rStyle w:val="PageNumber"/>
        <w:kern w:val="17"/>
      </w:rPr>
    </w:pPr>
  </w:p>
  <w:p w:rsidR="00EF5002" w:rsidP="0074544A" w:rsidRDefault="00EF5002" w14:paraId="6DC246D5" w14:textId="6D385C13">
    <w:pPr>
      <w:pStyle w:val="DocExCode"/>
      <w:jc w:val="center"/>
    </w:pPr>
    <w:r w:rsidRPr="008A78EB">
      <w:rPr>
        <w:rStyle w:val="PageNumber"/>
        <w:rFonts w:ascii="Times New Roman" w:hAnsi="Times New Roman"/>
        <w:kern w:val="17"/>
      </w:rPr>
      <w:t>Copyright © 20</w:t>
    </w:r>
    <w:r>
      <w:rPr>
        <w:rStyle w:val="PageNumber"/>
        <w:rFonts w:ascii="Times New Roman" w:hAnsi="Times New Roman"/>
        <w:kern w:val="17"/>
      </w:rPr>
      <w:t>21</w:t>
    </w:r>
    <w:r w:rsidRPr="008A78EB">
      <w:rPr>
        <w:rStyle w:val="PageNumber"/>
        <w:rFonts w:ascii="Times New Roman" w:hAnsi="Times New Roman"/>
        <w:kern w:val="17"/>
      </w:rPr>
      <w:t xml:space="preserve"> by International Swaps and Derivatives Association, Inc.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75582" w14:textId="77777777" w:rsidR="00CF0A04" w:rsidRDefault="00CF0A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A6EDA7" w14:textId="77777777" w:rsidR="00317CB1" w:rsidRDefault="00317CB1" w:rsidP="00C82590">
      <w:r>
        <w:separator/>
      </w:r>
    </w:p>
  </w:footnote>
  <w:footnote w:type="continuationSeparator" w:id="0">
    <w:p w14:paraId="1DF4A1D4" w14:textId="77777777" w:rsidR="00317CB1" w:rsidRDefault="00317CB1" w:rsidP="00C82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7A659" w14:textId="77777777" w:rsidR="00CF0A04" w:rsidRDefault="00CF0A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6D8D3" w14:textId="63426370" w:rsidR="00EF5002" w:rsidRPr="0074544A" w:rsidRDefault="00EF5002" w:rsidP="0074544A">
    <w:pPr>
      <w:pStyle w:val="Header"/>
      <w:jc w:val="right"/>
      <w:rPr>
        <w:rFonts w:ascii="Times New Roman" w:hAnsi="Times New Roman"/>
        <w:szCs w:val="20"/>
      </w:rPr>
    </w:pPr>
    <w:r w:rsidRPr="0074544A">
      <w:rPr>
        <w:rFonts w:ascii="Times New Roman" w:hAnsi="Times New Roman"/>
        <w:szCs w:val="20"/>
      </w:rPr>
      <w:t>Draft/Linklaters LLP/</w:t>
    </w:r>
    <w:r w:rsidR="005C483B">
      <w:rPr>
        <w:rFonts w:ascii="Times New Roman" w:hAnsi="Times New Roman"/>
        <w:szCs w:val="20"/>
      </w:rPr>
      <w:t>11</w:t>
    </w:r>
    <w:r w:rsidR="00531DD4">
      <w:rPr>
        <w:rFonts w:ascii="Times New Roman" w:hAnsi="Times New Roman"/>
        <w:szCs w:val="20"/>
      </w:rPr>
      <w:t>.06</w:t>
    </w:r>
    <w:r w:rsidRPr="0074544A">
      <w:rPr>
        <w:rFonts w:ascii="Times New Roman" w:hAnsi="Times New Roman"/>
        <w:szCs w:val="20"/>
      </w:rPr>
      <w:t>.2021</w:t>
    </w:r>
  </w:p>
  <w:p w14:paraId="75B13C88" w14:textId="77777777" w:rsidR="00EF5002" w:rsidRPr="00192F2D" w:rsidRDefault="00EF5002" w:rsidP="0074544A">
    <w:pPr>
      <w:pStyle w:val="Header"/>
      <w:jc w:val="both"/>
      <w:rPr>
        <w:rFonts w:ascii="Times New Roman" w:hAnsi="Times New Roman"/>
        <w:b/>
        <w:bCs/>
        <w:color w:val="FF0000"/>
        <w:szCs w:val="20"/>
      </w:rPr>
    </w:pPr>
  </w:p>
  <w:p w14:paraId="61D9CF61" w14:textId="2E0BFAF7" w:rsidR="00EF5002" w:rsidRPr="00192F2D" w:rsidRDefault="00EF5002" w:rsidP="0074544A">
    <w:pPr>
      <w:pStyle w:val="Header"/>
      <w:jc w:val="both"/>
      <w:rPr>
        <w:rFonts w:ascii="Times New Roman" w:hAnsi="Times New Roman"/>
        <w:b/>
        <w:bCs/>
        <w:color w:val="FF0000"/>
        <w:szCs w:val="20"/>
      </w:rPr>
    </w:pPr>
    <w:r w:rsidRPr="00192F2D">
      <w:rPr>
        <w:rFonts w:ascii="Times New Roman" w:hAnsi="Times New Roman"/>
        <w:b/>
        <w:bCs/>
        <w:color w:val="FF0000"/>
        <w:szCs w:val="20"/>
      </w:rPr>
      <w:t>Attorney Work Product – Privileged and Confidential: this draft is prepared for discussion purposes only among the participants of the ISDA</w:t>
    </w:r>
    <w:r w:rsidRPr="00192F2D">
      <w:rPr>
        <w:rFonts w:ascii="Times New Roman" w:hAnsi="Times New Roman"/>
        <w:szCs w:val="20"/>
      </w:rPr>
      <w:t xml:space="preserve"> </w:t>
    </w:r>
    <w:r w:rsidRPr="00192F2D">
      <w:rPr>
        <w:rFonts w:ascii="Times New Roman" w:hAnsi="Times New Roman"/>
        <w:b/>
        <w:bCs/>
        <w:color w:val="FF0000"/>
        <w:szCs w:val="20"/>
      </w:rPr>
      <w:t>APAC Benchmark Working Group, the ISDA GBP/EUR/CHF Benchmark Working Group, the ISDA JPY Benchmark Working Group</w:t>
    </w:r>
    <w:r w:rsidR="00AB5103">
      <w:rPr>
        <w:rFonts w:ascii="Times New Roman" w:hAnsi="Times New Roman"/>
        <w:b/>
        <w:bCs/>
        <w:color w:val="FF0000"/>
        <w:szCs w:val="20"/>
      </w:rPr>
      <w:t xml:space="preserve">, </w:t>
    </w:r>
    <w:r w:rsidRPr="00192F2D">
      <w:rPr>
        <w:rFonts w:ascii="Times New Roman" w:hAnsi="Times New Roman"/>
        <w:b/>
        <w:bCs/>
        <w:color w:val="FF0000"/>
        <w:szCs w:val="20"/>
      </w:rPr>
      <w:t>the ISDA USD Benchmark Working Group</w:t>
    </w:r>
    <w:r w:rsidR="00AB5103">
      <w:rPr>
        <w:rFonts w:ascii="Times New Roman" w:hAnsi="Times New Roman"/>
        <w:b/>
        <w:bCs/>
        <w:color w:val="FF0000"/>
        <w:szCs w:val="20"/>
      </w:rPr>
      <w:t xml:space="preserve"> and the ISDA IBOR Fallback Implementation Subgroup</w:t>
    </w:r>
    <w:r w:rsidRPr="00192F2D">
      <w:rPr>
        <w:rFonts w:ascii="Times New Roman" w:hAnsi="Times New Roman"/>
        <w:b/>
        <w:bCs/>
        <w:color w:val="FF0000"/>
        <w:szCs w:val="20"/>
      </w:rPr>
      <w:t>. The content of this draft is not to be relied upon as legal advice and this draft is not to be circulated externally outside of those working groups.</w:t>
    </w:r>
  </w:p>
  <w:p w14:paraId="02A60568" w14:textId="77777777" w:rsidR="00EF5002" w:rsidRPr="003A2737" w:rsidRDefault="00EF5002" w:rsidP="003A27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F3117" w14:textId="77777777" w:rsidR="00CF0A04" w:rsidRDefault="00CF0A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BC8135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ACCF21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1F019D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3C26E2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466D69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7FAA86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6692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AEE1F6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DC34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8A813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2F0E3F"/>
    <w:multiLevelType w:val="hybridMultilevel"/>
    <w:tmpl w:val="21E49300"/>
    <w:lvl w:ilvl="0" w:tplc="5B08ACD6">
      <w:start w:val="1"/>
      <w:numFmt w:val="upperRoman"/>
      <w:lvlText w:val="(%1)"/>
      <w:lvlJc w:val="left"/>
      <w:pPr>
        <w:ind w:left="2480" w:hanging="720"/>
      </w:pPr>
      <w:rPr>
        <w:rFonts w:hint="default"/>
      </w:rPr>
    </w:lvl>
    <w:lvl w:ilvl="1" w:tplc="08090019" w:tentative="1">
      <w:start w:val="1"/>
      <w:numFmt w:val="lowerLetter"/>
      <w:lvlText w:val="%2."/>
      <w:lvlJc w:val="left"/>
      <w:pPr>
        <w:ind w:left="2840" w:hanging="360"/>
      </w:pPr>
    </w:lvl>
    <w:lvl w:ilvl="2" w:tplc="0809001B" w:tentative="1">
      <w:start w:val="1"/>
      <w:numFmt w:val="lowerRoman"/>
      <w:lvlText w:val="%3."/>
      <w:lvlJc w:val="right"/>
      <w:pPr>
        <w:ind w:left="3560" w:hanging="180"/>
      </w:pPr>
    </w:lvl>
    <w:lvl w:ilvl="3" w:tplc="0809000F" w:tentative="1">
      <w:start w:val="1"/>
      <w:numFmt w:val="decimal"/>
      <w:lvlText w:val="%4."/>
      <w:lvlJc w:val="left"/>
      <w:pPr>
        <w:ind w:left="4280" w:hanging="360"/>
      </w:pPr>
    </w:lvl>
    <w:lvl w:ilvl="4" w:tplc="08090019" w:tentative="1">
      <w:start w:val="1"/>
      <w:numFmt w:val="lowerLetter"/>
      <w:lvlText w:val="%5."/>
      <w:lvlJc w:val="left"/>
      <w:pPr>
        <w:ind w:left="5000" w:hanging="360"/>
      </w:pPr>
    </w:lvl>
    <w:lvl w:ilvl="5" w:tplc="0809001B" w:tentative="1">
      <w:start w:val="1"/>
      <w:numFmt w:val="lowerRoman"/>
      <w:lvlText w:val="%6."/>
      <w:lvlJc w:val="right"/>
      <w:pPr>
        <w:ind w:left="5720" w:hanging="180"/>
      </w:pPr>
    </w:lvl>
    <w:lvl w:ilvl="6" w:tplc="0809000F" w:tentative="1">
      <w:start w:val="1"/>
      <w:numFmt w:val="decimal"/>
      <w:lvlText w:val="%7."/>
      <w:lvlJc w:val="left"/>
      <w:pPr>
        <w:ind w:left="6440" w:hanging="360"/>
      </w:pPr>
    </w:lvl>
    <w:lvl w:ilvl="7" w:tplc="08090019" w:tentative="1">
      <w:start w:val="1"/>
      <w:numFmt w:val="lowerLetter"/>
      <w:lvlText w:val="%8."/>
      <w:lvlJc w:val="left"/>
      <w:pPr>
        <w:ind w:left="7160" w:hanging="360"/>
      </w:pPr>
    </w:lvl>
    <w:lvl w:ilvl="8" w:tplc="0809001B" w:tentative="1">
      <w:start w:val="1"/>
      <w:numFmt w:val="lowerRoman"/>
      <w:lvlText w:val="%9."/>
      <w:lvlJc w:val="right"/>
      <w:pPr>
        <w:ind w:left="7880" w:hanging="180"/>
      </w:pPr>
    </w:lvl>
  </w:abstractNum>
  <w:abstractNum w:abstractNumId="11" w15:restartNumberingAfterBreak="0">
    <w:nsid w:val="034B0A69"/>
    <w:multiLevelType w:val="hybridMultilevel"/>
    <w:tmpl w:val="162C1300"/>
    <w:lvl w:ilvl="0" w:tplc="F92CC668">
      <w:start w:val="1"/>
      <w:numFmt w:val="upperRoman"/>
      <w:lvlText w:val="(%1)"/>
      <w:lvlJc w:val="left"/>
      <w:pPr>
        <w:ind w:left="1429" w:hanging="360"/>
      </w:pPr>
      <w:rPr>
        <w:rFonts w:hint="default"/>
        <w:b w:val="0"/>
        <w:i w:val="0"/>
        <w:sz w:val="22"/>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2" w15:restartNumberingAfterBreak="0">
    <w:nsid w:val="03B903C3"/>
    <w:multiLevelType w:val="multilevel"/>
    <w:tmpl w:val="BB16DBE8"/>
    <w:numStyleLink w:val="LLRecitals"/>
  </w:abstractNum>
  <w:abstractNum w:abstractNumId="13" w15:restartNumberingAfterBreak="0">
    <w:nsid w:val="03BC7754"/>
    <w:multiLevelType w:val="multilevel"/>
    <w:tmpl w:val="C054F7D8"/>
    <w:styleLink w:val="LLTablebullet"/>
    <w:lvl w:ilvl="0">
      <w:start w:val="1"/>
      <w:numFmt w:val="bullet"/>
      <w:pStyle w:val="Tablebullet"/>
      <w:lvlText w:val=""/>
      <w:lvlJc w:val="left"/>
      <w:pPr>
        <w:tabs>
          <w:tab w:val="num" w:pos="680"/>
        </w:tabs>
        <w:ind w:left="680" w:hanging="680"/>
      </w:pPr>
      <w:rPr>
        <w:rFonts w:ascii="Symbol" w:hAnsi="Symbol" w:cs="Times New Roman" w:hint="default"/>
        <w:color w:val="auto"/>
      </w:rPr>
    </w:lvl>
    <w:lvl w:ilvl="1">
      <w:start w:val="1"/>
      <w:numFmt w:val="none"/>
      <w:lvlText w:val=""/>
      <w:lvlJc w:val="left"/>
      <w:pPr>
        <w:ind w:left="680" w:hanging="680"/>
      </w:pPr>
      <w:rPr>
        <w:rFonts w:hint="default"/>
      </w:rPr>
    </w:lvl>
    <w:lvl w:ilvl="2">
      <w:start w:val="1"/>
      <w:numFmt w:val="none"/>
      <w:lvlText w:val=""/>
      <w:lvlJc w:val="left"/>
      <w:pPr>
        <w:ind w:left="680" w:hanging="680"/>
      </w:pPr>
      <w:rPr>
        <w:rFonts w:hint="default"/>
      </w:rPr>
    </w:lvl>
    <w:lvl w:ilvl="3">
      <w:start w:val="1"/>
      <w:numFmt w:val="none"/>
      <w:lvlText w:val=""/>
      <w:lvlJc w:val="left"/>
      <w:pPr>
        <w:ind w:left="680" w:hanging="680"/>
      </w:pPr>
      <w:rPr>
        <w:rFonts w:hint="default"/>
      </w:rPr>
    </w:lvl>
    <w:lvl w:ilvl="4">
      <w:start w:val="1"/>
      <w:numFmt w:val="none"/>
      <w:lvlText w:val=""/>
      <w:lvlJc w:val="left"/>
      <w:pPr>
        <w:ind w:left="680" w:hanging="680"/>
      </w:pPr>
      <w:rPr>
        <w:rFonts w:hint="default"/>
      </w:rPr>
    </w:lvl>
    <w:lvl w:ilvl="5">
      <w:start w:val="1"/>
      <w:numFmt w:val="none"/>
      <w:lvlText w:val=""/>
      <w:lvlJc w:val="left"/>
      <w:pPr>
        <w:ind w:left="680" w:hanging="680"/>
      </w:pPr>
      <w:rPr>
        <w:rFonts w:hint="default"/>
      </w:rPr>
    </w:lvl>
    <w:lvl w:ilvl="6">
      <w:start w:val="1"/>
      <w:numFmt w:val="none"/>
      <w:lvlText w:val=""/>
      <w:lvlJc w:val="left"/>
      <w:pPr>
        <w:ind w:left="680" w:hanging="680"/>
      </w:pPr>
      <w:rPr>
        <w:rFonts w:hint="default"/>
      </w:rPr>
    </w:lvl>
    <w:lvl w:ilvl="7">
      <w:start w:val="1"/>
      <w:numFmt w:val="none"/>
      <w:lvlText w:val=""/>
      <w:lvlJc w:val="left"/>
      <w:pPr>
        <w:ind w:left="680" w:hanging="680"/>
      </w:pPr>
      <w:rPr>
        <w:rFonts w:hint="default"/>
      </w:rPr>
    </w:lvl>
    <w:lvl w:ilvl="8">
      <w:start w:val="1"/>
      <w:numFmt w:val="none"/>
      <w:lvlText w:val=""/>
      <w:lvlJc w:val="left"/>
      <w:pPr>
        <w:ind w:left="680" w:hanging="680"/>
      </w:pPr>
      <w:rPr>
        <w:rFonts w:hint="default"/>
      </w:rPr>
    </w:lvl>
  </w:abstractNum>
  <w:abstractNum w:abstractNumId="14" w15:restartNumberingAfterBreak="0">
    <w:nsid w:val="04585653"/>
    <w:multiLevelType w:val="multilevel"/>
    <w:tmpl w:val="70248C04"/>
    <w:numStyleLink w:val="LLSchedule"/>
  </w:abstractNum>
  <w:abstractNum w:abstractNumId="15" w15:restartNumberingAfterBreak="0">
    <w:nsid w:val="059E2F2A"/>
    <w:multiLevelType w:val="multilevel"/>
    <w:tmpl w:val="DF1CD8FE"/>
    <w:styleLink w:val="LLLevel"/>
    <w:lvl w:ilvl="0">
      <w:start w:val="1"/>
      <w:numFmt w:val="decimal"/>
      <w:pStyle w:val="Level1"/>
      <w:lvlText w:val="%1"/>
      <w:lvlJc w:val="left"/>
      <w:pPr>
        <w:tabs>
          <w:tab w:val="num" w:pos="680"/>
        </w:tabs>
        <w:ind w:left="680" w:hanging="680"/>
      </w:pPr>
      <w:rPr>
        <w:rFonts w:hAnsi="Arial" w:cs="Times New Roman" w:hint="default"/>
        <w:b/>
        <w:i w:val="0"/>
        <w:sz w:val="22"/>
      </w:rPr>
    </w:lvl>
    <w:lvl w:ilvl="1">
      <w:start w:val="1"/>
      <w:numFmt w:val="decimal"/>
      <w:pStyle w:val="Level2"/>
      <w:lvlText w:val="%1.%2"/>
      <w:lvlJc w:val="left"/>
      <w:pPr>
        <w:tabs>
          <w:tab w:val="num" w:pos="680"/>
        </w:tabs>
        <w:ind w:left="680" w:hanging="680"/>
      </w:pPr>
      <w:rPr>
        <w:rFonts w:hint="default"/>
        <w:b/>
        <w:i w:val="0"/>
        <w:sz w:val="21"/>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hint="default"/>
        <w:sz w:val="20"/>
      </w:rPr>
    </w:lvl>
    <w:lvl w:ilvl="4">
      <w:start w:val="1"/>
      <w:numFmt w:val="lowerLetter"/>
      <w:pStyle w:val="Level5"/>
      <w:lvlText w:val="(%5)"/>
      <w:lvlJc w:val="left"/>
      <w:pPr>
        <w:tabs>
          <w:tab w:val="num" w:pos="2722"/>
        </w:tabs>
        <w:ind w:left="2722" w:hanging="681"/>
      </w:pPr>
      <w:rPr>
        <w:rFonts w:hint="default"/>
        <w:sz w:val="20"/>
      </w:rPr>
    </w:lvl>
    <w:lvl w:ilvl="5">
      <w:start w:val="1"/>
      <w:numFmt w:val="upperRoman"/>
      <w:pStyle w:val="Level6"/>
      <w:lvlText w:val="(%6)"/>
      <w:lvlJc w:val="left"/>
      <w:pPr>
        <w:tabs>
          <w:tab w:val="num" w:pos="3402"/>
        </w:tabs>
        <w:ind w:left="3402" w:hanging="680"/>
      </w:pPr>
      <w:rPr>
        <w:rFonts w:hint="default"/>
        <w:sz w:val="20"/>
      </w:rPr>
    </w:lvl>
    <w:lvl w:ilvl="6">
      <w:start w:val="1"/>
      <w:numFmt w:val="none"/>
      <w:pStyle w:val="Level7"/>
      <w:lvlText w:val=""/>
      <w:lvlJc w:val="left"/>
      <w:pPr>
        <w:tabs>
          <w:tab w:val="num" w:pos="3402"/>
        </w:tabs>
        <w:ind w:left="3402" w:hanging="680"/>
      </w:pPr>
      <w:rPr>
        <w:rFonts w:hint="default"/>
      </w:rPr>
    </w:lvl>
    <w:lvl w:ilvl="7">
      <w:start w:val="1"/>
      <w:numFmt w:val="none"/>
      <w:pStyle w:val="Level8"/>
      <w:lvlText w:val=""/>
      <w:lvlJc w:val="left"/>
      <w:pPr>
        <w:tabs>
          <w:tab w:val="num" w:pos="3402"/>
        </w:tabs>
        <w:ind w:left="3402" w:hanging="680"/>
      </w:pPr>
      <w:rPr>
        <w:rFonts w:hint="default"/>
      </w:rPr>
    </w:lvl>
    <w:lvl w:ilvl="8">
      <w:start w:val="1"/>
      <w:numFmt w:val="none"/>
      <w:pStyle w:val="Level9"/>
      <w:lvlText w:val=""/>
      <w:lvlJc w:val="left"/>
      <w:pPr>
        <w:tabs>
          <w:tab w:val="num" w:pos="3402"/>
        </w:tabs>
        <w:ind w:left="3402" w:hanging="680"/>
      </w:pPr>
      <w:rPr>
        <w:rFonts w:hint="default"/>
      </w:rPr>
    </w:lvl>
  </w:abstractNum>
  <w:abstractNum w:abstractNumId="16" w15:restartNumberingAfterBreak="0">
    <w:nsid w:val="066213DF"/>
    <w:multiLevelType w:val="hybridMultilevel"/>
    <w:tmpl w:val="F5C63EBC"/>
    <w:lvl w:ilvl="0" w:tplc="10DAC39E">
      <w:start w:val="1"/>
      <w:numFmt w:val="upperRoman"/>
      <w:lvlText w:val="(%1)"/>
      <w:lvlJc w:val="left"/>
      <w:pPr>
        <w:ind w:left="1996" w:hanging="72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17" w15:restartNumberingAfterBreak="0">
    <w:nsid w:val="08D03504"/>
    <w:multiLevelType w:val="multilevel"/>
    <w:tmpl w:val="45E60E26"/>
    <w:numStyleLink w:val="LLListNumbers"/>
  </w:abstractNum>
  <w:abstractNum w:abstractNumId="18" w15:restartNumberingAfterBreak="0">
    <w:nsid w:val="0B2668E4"/>
    <w:multiLevelType w:val="multilevel"/>
    <w:tmpl w:val="DF1CD8FE"/>
    <w:numStyleLink w:val="LLLevel"/>
  </w:abstractNum>
  <w:abstractNum w:abstractNumId="19" w15:restartNumberingAfterBreak="0">
    <w:nsid w:val="0BDB1481"/>
    <w:multiLevelType w:val="multilevel"/>
    <w:tmpl w:val="75BC11A0"/>
    <w:styleLink w:val="LLUCAlpha"/>
    <w:lvl w:ilvl="0">
      <w:start w:val="1"/>
      <w:numFmt w:val="upperLetter"/>
      <w:pStyle w:val="UCAlpha1"/>
      <w:lvlText w:val="(%1)"/>
      <w:lvlJc w:val="left"/>
      <w:pPr>
        <w:tabs>
          <w:tab w:val="num" w:pos="680"/>
        </w:tabs>
        <w:ind w:left="680" w:hanging="680"/>
      </w:pPr>
      <w:rPr>
        <w:rFonts w:hint="default"/>
        <w:b w:val="0"/>
        <w:i w:val="0"/>
      </w:rPr>
    </w:lvl>
    <w:lvl w:ilvl="1">
      <w:start w:val="1"/>
      <w:numFmt w:val="upperLetter"/>
      <w:pStyle w:val="UCAlpha2"/>
      <w:lvlText w:val="(%2)"/>
      <w:lvlJc w:val="left"/>
      <w:pPr>
        <w:tabs>
          <w:tab w:val="num" w:pos="1360"/>
        </w:tabs>
        <w:ind w:left="1360" w:hanging="680"/>
      </w:pPr>
      <w:rPr>
        <w:rFonts w:hint="default"/>
        <w:b w:val="0"/>
        <w:i w:val="0"/>
      </w:rPr>
    </w:lvl>
    <w:lvl w:ilvl="2">
      <w:start w:val="1"/>
      <w:numFmt w:val="upperLetter"/>
      <w:pStyle w:val="UCAlpha3"/>
      <w:lvlText w:val="(%3)"/>
      <w:lvlJc w:val="left"/>
      <w:pPr>
        <w:tabs>
          <w:tab w:val="num" w:pos="2040"/>
        </w:tabs>
        <w:ind w:left="2040" w:hanging="680"/>
      </w:pPr>
      <w:rPr>
        <w:rFonts w:hint="default"/>
        <w:b w:val="0"/>
        <w:i w:val="0"/>
      </w:rPr>
    </w:lvl>
    <w:lvl w:ilvl="3">
      <w:start w:val="1"/>
      <w:numFmt w:val="upperLetter"/>
      <w:pStyle w:val="UCAlpha4"/>
      <w:lvlText w:val="(%4)"/>
      <w:lvlJc w:val="left"/>
      <w:pPr>
        <w:tabs>
          <w:tab w:val="num" w:pos="2722"/>
        </w:tabs>
        <w:ind w:left="2722" w:hanging="682"/>
      </w:pPr>
      <w:rPr>
        <w:rFonts w:hint="default"/>
        <w:b w:val="0"/>
        <w:i w:val="0"/>
      </w:rPr>
    </w:lvl>
    <w:lvl w:ilvl="4">
      <w:start w:val="1"/>
      <w:numFmt w:val="upperLetter"/>
      <w:pStyle w:val="UCAlpha5"/>
      <w:lvlText w:val="(%5)"/>
      <w:lvlJc w:val="left"/>
      <w:pPr>
        <w:tabs>
          <w:tab w:val="num" w:pos="3402"/>
        </w:tabs>
        <w:ind w:left="3402" w:hanging="680"/>
      </w:pPr>
      <w:rPr>
        <w:rFonts w:hint="default"/>
        <w:b w:val="0"/>
        <w:i w:val="0"/>
      </w:rPr>
    </w:lvl>
    <w:lvl w:ilvl="5">
      <w:start w:val="1"/>
      <w:numFmt w:val="upperLetter"/>
      <w:pStyle w:val="UCAlpha6"/>
      <w:lvlText w:val="(%6)"/>
      <w:lvlJc w:val="left"/>
      <w:pPr>
        <w:tabs>
          <w:tab w:val="num" w:pos="4082"/>
        </w:tabs>
        <w:ind w:left="4082" w:hanging="680"/>
      </w:pPr>
      <w:rPr>
        <w:rFonts w:hint="default"/>
        <w:b w:val="0"/>
        <w:i w:val="0"/>
      </w:rPr>
    </w:lvl>
    <w:lvl w:ilvl="6">
      <w:start w:val="1"/>
      <w:numFmt w:val="none"/>
      <w:lvlText w:val=""/>
      <w:lvlJc w:val="left"/>
      <w:pPr>
        <w:ind w:left="4082" w:hanging="680"/>
      </w:pPr>
      <w:rPr>
        <w:rFonts w:hint="default"/>
      </w:rPr>
    </w:lvl>
    <w:lvl w:ilvl="7">
      <w:start w:val="1"/>
      <w:numFmt w:val="none"/>
      <w:lvlText w:val=""/>
      <w:lvlJc w:val="left"/>
      <w:pPr>
        <w:ind w:left="4082" w:hanging="680"/>
      </w:pPr>
      <w:rPr>
        <w:rFonts w:hint="default"/>
      </w:rPr>
    </w:lvl>
    <w:lvl w:ilvl="8">
      <w:start w:val="1"/>
      <w:numFmt w:val="none"/>
      <w:lvlText w:val=""/>
      <w:lvlJc w:val="left"/>
      <w:pPr>
        <w:ind w:left="4082" w:hanging="680"/>
      </w:pPr>
      <w:rPr>
        <w:rFonts w:hint="default"/>
      </w:rPr>
    </w:lvl>
  </w:abstractNum>
  <w:abstractNum w:abstractNumId="20" w15:restartNumberingAfterBreak="0">
    <w:nsid w:val="0C2776A1"/>
    <w:multiLevelType w:val="multilevel"/>
    <w:tmpl w:val="6B8A2852"/>
    <w:numStyleLink w:val="LLalpha"/>
  </w:abstractNum>
  <w:abstractNum w:abstractNumId="21" w15:restartNumberingAfterBreak="0">
    <w:nsid w:val="0CBB1AC4"/>
    <w:multiLevelType w:val="multilevel"/>
    <w:tmpl w:val="C3541724"/>
    <w:numStyleLink w:val="LLTC"/>
  </w:abstractNum>
  <w:abstractNum w:abstractNumId="22" w15:restartNumberingAfterBreak="0">
    <w:nsid w:val="0E260C0E"/>
    <w:multiLevelType w:val="multilevel"/>
    <w:tmpl w:val="C3541724"/>
    <w:styleLink w:val="LLTC"/>
    <w:lvl w:ilvl="0">
      <w:start w:val="1"/>
      <w:numFmt w:val="decimal"/>
      <w:pStyle w:val="TCLevel1"/>
      <w:lvlText w:val="%1"/>
      <w:lvlJc w:val="left"/>
      <w:pPr>
        <w:tabs>
          <w:tab w:val="num" w:pos="680"/>
        </w:tabs>
        <w:ind w:left="680" w:hanging="680"/>
      </w:pPr>
      <w:rPr>
        <w:rFonts w:hAnsi="Arial" w:cs="Times New Roman" w:hint="default"/>
        <w:b/>
        <w:i w:val="0"/>
      </w:rPr>
    </w:lvl>
    <w:lvl w:ilvl="1">
      <w:start w:val="1"/>
      <w:numFmt w:val="lowerLetter"/>
      <w:pStyle w:val="TCLevel2"/>
      <w:lvlText w:val="(%2)"/>
      <w:lvlJc w:val="left"/>
      <w:pPr>
        <w:tabs>
          <w:tab w:val="num" w:pos="1360"/>
        </w:tabs>
        <w:ind w:left="1360" w:hanging="680"/>
      </w:pPr>
      <w:rPr>
        <w:rFonts w:hint="default"/>
        <w:b/>
        <w:i w:val="0"/>
      </w:rPr>
    </w:lvl>
    <w:lvl w:ilvl="2">
      <w:start w:val="1"/>
      <w:numFmt w:val="lowerRoman"/>
      <w:pStyle w:val="TCLevel3"/>
      <w:lvlText w:val="(%3)"/>
      <w:lvlJc w:val="left"/>
      <w:pPr>
        <w:tabs>
          <w:tab w:val="num" w:pos="2040"/>
        </w:tabs>
        <w:ind w:left="2040" w:hanging="680"/>
      </w:pPr>
      <w:rPr>
        <w:rFonts w:hint="default"/>
      </w:rPr>
    </w:lvl>
    <w:lvl w:ilvl="3">
      <w:start w:val="1"/>
      <w:numFmt w:val="upperLetter"/>
      <w:pStyle w:val="TCLevel4"/>
      <w:lvlText w:val="(%4)"/>
      <w:lvlJc w:val="left"/>
      <w:pPr>
        <w:tabs>
          <w:tab w:val="num" w:pos="2720"/>
        </w:tabs>
        <w:ind w:left="2720" w:hanging="680"/>
      </w:pPr>
      <w:rPr>
        <w:rFonts w:hint="default"/>
        <w:b w:val="0"/>
        <w:i w:val="0"/>
      </w:rPr>
    </w:lvl>
    <w:lvl w:ilvl="4">
      <w:start w:val="1"/>
      <w:numFmt w:val="none"/>
      <w:lvlRestart w:val="0"/>
      <w:lvlText w:val=""/>
      <w:lvlJc w:val="left"/>
      <w:pPr>
        <w:ind w:left="2722" w:hanging="681"/>
      </w:pPr>
      <w:rPr>
        <w:rFonts w:hint="default"/>
      </w:rPr>
    </w:lvl>
    <w:lvl w:ilvl="5">
      <w:start w:val="1"/>
      <w:numFmt w:val="none"/>
      <w:lvlRestart w:val="0"/>
      <w:lvlText w:val=""/>
      <w:lvlJc w:val="left"/>
      <w:pPr>
        <w:ind w:left="2722" w:hanging="681"/>
      </w:pPr>
      <w:rPr>
        <w:rFonts w:hint="default"/>
      </w:rPr>
    </w:lvl>
    <w:lvl w:ilvl="6">
      <w:start w:val="1"/>
      <w:numFmt w:val="none"/>
      <w:lvlRestart w:val="0"/>
      <w:lvlText w:val=""/>
      <w:lvlJc w:val="left"/>
      <w:pPr>
        <w:ind w:left="2722" w:hanging="681"/>
      </w:pPr>
      <w:rPr>
        <w:rFonts w:hint="default"/>
      </w:rPr>
    </w:lvl>
    <w:lvl w:ilvl="7">
      <w:start w:val="1"/>
      <w:numFmt w:val="none"/>
      <w:lvlRestart w:val="0"/>
      <w:lvlText w:val=""/>
      <w:lvlJc w:val="left"/>
      <w:pPr>
        <w:ind w:left="2722" w:hanging="681"/>
      </w:pPr>
      <w:rPr>
        <w:rFonts w:hint="default"/>
      </w:rPr>
    </w:lvl>
    <w:lvl w:ilvl="8">
      <w:start w:val="1"/>
      <w:numFmt w:val="none"/>
      <w:lvlRestart w:val="0"/>
      <w:lvlText w:val=""/>
      <w:lvlJc w:val="left"/>
      <w:pPr>
        <w:ind w:left="2722" w:hanging="681"/>
      </w:pPr>
      <w:rPr>
        <w:rFonts w:hint="default"/>
      </w:rPr>
    </w:lvl>
  </w:abstractNum>
  <w:abstractNum w:abstractNumId="23" w15:restartNumberingAfterBreak="0">
    <w:nsid w:val="10095054"/>
    <w:multiLevelType w:val="multilevel"/>
    <w:tmpl w:val="9F565188"/>
    <w:numStyleLink w:val="LLTable"/>
  </w:abstractNum>
  <w:abstractNum w:abstractNumId="24" w15:restartNumberingAfterBreak="0">
    <w:nsid w:val="108730AE"/>
    <w:multiLevelType w:val="multilevel"/>
    <w:tmpl w:val="579ECC4A"/>
    <w:styleLink w:val="LLroman"/>
    <w:lvl w:ilvl="0">
      <w:start w:val="1"/>
      <w:numFmt w:val="lowerRoman"/>
      <w:pStyle w:val="roman1"/>
      <w:lvlText w:val="(%1)"/>
      <w:lvlJc w:val="left"/>
      <w:pPr>
        <w:tabs>
          <w:tab w:val="num" w:pos="680"/>
        </w:tabs>
        <w:ind w:left="680" w:hanging="680"/>
      </w:pPr>
      <w:rPr>
        <w:rFonts w:hAnsi="Arial" w:cs="Times New Roman" w:hint="default"/>
      </w:rPr>
    </w:lvl>
    <w:lvl w:ilvl="1">
      <w:start w:val="1"/>
      <w:numFmt w:val="lowerRoman"/>
      <w:pStyle w:val="roman2"/>
      <w:lvlText w:val="(%2)"/>
      <w:lvlJc w:val="left"/>
      <w:pPr>
        <w:tabs>
          <w:tab w:val="num" w:pos="1360"/>
        </w:tabs>
        <w:ind w:left="1360" w:hanging="680"/>
      </w:pPr>
      <w:rPr>
        <w:rFonts w:hint="default"/>
      </w:rPr>
    </w:lvl>
    <w:lvl w:ilvl="2">
      <w:start w:val="1"/>
      <w:numFmt w:val="lowerRoman"/>
      <w:pStyle w:val="roman3"/>
      <w:lvlText w:val="(%3)"/>
      <w:lvlJc w:val="left"/>
      <w:pPr>
        <w:tabs>
          <w:tab w:val="num" w:pos="2040"/>
        </w:tabs>
        <w:ind w:left="2040" w:hanging="680"/>
      </w:pPr>
      <w:rPr>
        <w:rFonts w:hint="default"/>
      </w:rPr>
    </w:lvl>
    <w:lvl w:ilvl="3">
      <w:start w:val="1"/>
      <w:numFmt w:val="lowerRoman"/>
      <w:pStyle w:val="roman4"/>
      <w:lvlText w:val="(%4)"/>
      <w:lvlJc w:val="left"/>
      <w:pPr>
        <w:tabs>
          <w:tab w:val="num" w:pos="2722"/>
        </w:tabs>
        <w:ind w:left="2722" w:hanging="682"/>
      </w:pPr>
      <w:rPr>
        <w:rFonts w:hint="default"/>
      </w:rPr>
    </w:lvl>
    <w:lvl w:ilvl="4">
      <w:start w:val="1"/>
      <w:numFmt w:val="lowerRoman"/>
      <w:pStyle w:val="roman5"/>
      <w:lvlText w:val="(%5)"/>
      <w:lvlJc w:val="left"/>
      <w:pPr>
        <w:tabs>
          <w:tab w:val="num" w:pos="3402"/>
        </w:tabs>
        <w:ind w:left="3402" w:hanging="680"/>
      </w:pPr>
      <w:rPr>
        <w:rFonts w:hint="default"/>
      </w:rPr>
    </w:lvl>
    <w:lvl w:ilvl="5">
      <w:start w:val="1"/>
      <w:numFmt w:val="lowerRoman"/>
      <w:pStyle w:val="roman6"/>
      <w:lvlText w:val="(%6)"/>
      <w:lvlJc w:val="left"/>
      <w:pPr>
        <w:tabs>
          <w:tab w:val="num" w:pos="4082"/>
        </w:tabs>
        <w:ind w:left="4082" w:hanging="680"/>
      </w:pPr>
      <w:rPr>
        <w:rFonts w:hint="default"/>
      </w:rPr>
    </w:lvl>
    <w:lvl w:ilvl="6">
      <w:start w:val="1"/>
      <w:numFmt w:val="none"/>
      <w:lvlRestart w:val="0"/>
      <w:lvlText w:val=""/>
      <w:lvlJc w:val="left"/>
      <w:pPr>
        <w:ind w:left="4082" w:hanging="680"/>
      </w:pPr>
      <w:rPr>
        <w:rFonts w:hint="default"/>
      </w:rPr>
    </w:lvl>
    <w:lvl w:ilvl="7">
      <w:start w:val="1"/>
      <w:numFmt w:val="none"/>
      <w:lvlRestart w:val="0"/>
      <w:lvlText w:val=""/>
      <w:lvlJc w:val="left"/>
      <w:pPr>
        <w:ind w:left="4082" w:hanging="680"/>
      </w:pPr>
      <w:rPr>
        <w:rFonts w:hint="default"/>
      </w:rPr>
    </w:lvl>
    <w:lvl w:ilvl="8">
      <w:start w:val="1"/>
      <w:numFmt w:val="none"/>
      <w:lvlRestart w:val="0"/>
      <w:lvlText w:val=""/>
      <w:lvlJc w:val="left"/>
      <w:pPr>
        <w:ind w:left="4082" w:hanging="680"/>
      </w:pPr>
      <w:rPr>
        <w:rFonts w:hint="default"/>
      </w:rPr>
    </w:lvl>
  </w:abstractNum>
  <w:abstractNum w:abstractNumId="25" w15:restartNumberingAfterBreak="0">
    <w:nsid w:val="113711E7"/>
    <w:multiLevelType w:val="multilevel"/>
    <w:tmpl w:val="7D1E5C80"/>
    <w:numStyleLink w:val="LLScheduleHeading"/>
  </w:abstractNum>
  <w:abstractNum w:abstractNumId="26" w15:restartNumberingAfterBreak="0">
    <w:nsid w:val="11BD37F9"/>
    <w:multiLevelType w:val="hybridMultilevel"/>
    <w:tmpl w:val="05D07808"/>
    <w:lvl w:ilvl="0" w:tplc="E1B8148C">
      <w:start w:val="1"/>
      <w:numFmt w:val="upperLetter"/>
      <w:lvlText w:val="(%1)"/>
      <w:lvlJc w:val="left"/>
      <w:pPr>
        <w:ind w:left="2120" w:hanging="360"/>
      </w:pPr>
      <w:rPr>
        <w:rFonts w:hint="default"/>
      </w:rPr>
    </w:lvl>
    <w:lvl w:ilvl="1" w:tplc="08090019" w:tentative="1">
      <w:start w:val="1"/>
      <w:numFmt w:val="lowerLetter"/>
      <w:lvlText w:val="%2."/>
      <w:lvlJc w:val="left"/>
      <w:pPr>
        <w:ind w:left="2840" w:hanging="360"/>
      </w:pPr>
    </w:lvl>
    <w:lvl w:ilvl="2" w:tplc="0809001B" w:tentative="1">
      <w:start w:val="1"/>
      <w:numFmt w:val="lowerRoman"/>
      <w:lvlText w:val="%3."/>
      <w:lvlJc w:val="right"/>
      <w:pPr>
        <w:ind w:left="3560" w:hanging="180"/>
      </w:pPr>
    </w:lvl>
    <w:lvl w:ilvl="3" w:tplc="0809000F" w:tentative="1">
      <w:start w:val="1"/>
      <w:numFmt w:val="decimal"/>
      <w:lvlText w:val="%4."/>
      <w:lvlJc w:val="left"/>
      <w:pPr>
        <w:ind w:left="4280" w:hanging="360"/>
      </w:pPr>
    </w:lvl>
    <w:lvl w:ilvl="4" w:tplc="08090019" w:tentative="1">
      <w:start w:val="1"/>
      <w:numFmt w:val="lowerLetter"/>
      <w:lvlText w:val="%5."/>
      <w:lvlJc w:val="left"/>
      <w:pPr>
        <w:ind w:left="5000" w:hanging="360"/>
      </w:pPr>
    </w:lvl>
    <w:lvl w:ilvl="5" w:tplc="0809001B" w:tentative="1">
      <w:start w:val="1"/>
      <w:numFmt w:val="lowerRoman"/>
      <w:lvlText w:val="%6."/>
      <w:lvlJc w:val="right"/>
      <w:pPr>
        <w:ind w:left="5720" w:hanging="180"/>
      </w:pPr>
    </w:lvl>
    <w:lvl w:ilvl="6" w:tplc="0809000F" w:tentative="1">
      <w:start w:val="1"/>
      <w:numFmt w:val="decimal"/>
      <w:lvlText w:val="%7."/>
      <w:lvlJc w:val="left"/>
      <w:pPr>
        <w:ind w:left="6440" w:hanging="360"/>
      </w:pPr>
    </w:lvl>
    <w:lvl w:ilvl="7" w:tplc="08090019" w:tentative="1">
      <w:start w:val="1"/>
      <w:numFmt w:val="lowerLetter"/>
      <w:lvlText w:val="%8."/>
      <w:lvlJc w:val="left"/>
      <w:pPr>
        <w:ind w:left="7160" w:hanging="360"/>
      </w:pPr>
    </w:lvl>
    <w:lvl w:ilvl="8" w:tplc="0809001B" w:tentative="1">
      <w:start w:val="1"/>
      <w:numFmt w:val="lowerRoman"/>
      <w:lvlText w:val="%9."/>
      <w:lvlJc w:val="right"/>
      <w:pPr>
        <w:ind w:left="7880" w:hanging="180"/>
      </w:pPr>
    </w:lvl>
  </w:abstractNum>
  <w:abstractNum w:abstractNumId="27" w15:restartNumberingAfterBreak="0">
    <w:nsid w:val="11F33A25"/>
    <w:multiLevelType w:val="multilevel"/>
    <w:tmpl w:val="E5326E0C"/>
    <w:styleLink w:val="LLHead"/>
    <w:lvl w:ilvl="0">
      <w:start w:val="1"/>
      <w:numFmt w:val="none"/>
      <w:pStyle w:val="Head"/>
      <w:lvlText w:val=""/>
      <w:lvlJc w:val="left"/>
      <w:pPr>
        <w:ind w:left="0" w:firstLine="0"/>
      </w:pPr>
      <w:rPr>
        <w:rFonts w:hAnsi="Arial" w:cs="Times New Roman" w:hint="default"/>
      </w:rPr>
    </w:lvl>
    <w:lvl w:ilvl="1">
      <w:start w:val="1"/>
      <w:numFmt w:val="none"/>
      <w:pStyle w:val="Head1"/>
      <w:lvlText w:val=""/>
      <w:lvlJc w:val="left"/>
      <w:pPr>
        <w:ind w:left="680" w:firstLine="0"/>
      </w:pPr>
      <w:rPr>
        <w:rFonts w:hint="default"/>
      </w:rPr>
    </w:lvl>
    <w:lvl w:ilvl="2">
      <w:start w:val="1"/>
      <w:numFmt w:val="none"/>
      <w:pStyle w:val="Head2"/>
      <w:lvlText w:val="%3"/>
      <w:lvlJc w:val="left"/>
      <w:pPr>
        <w:tabs>
          <w:tab w:val="num" w:pos="1361"/>
        </w:tabs>
        <w:ind w:left="1361" w:firstLine="0"/>
      </w:pPr>
      <w:rPr>
        <w:rFonts w:hint="default"/>
      </w:rPr>
    </w:lvl>
    <w:lvl w:ilvl="3">
      <w:start w:val="1"/>
      <w:numFmt w:val="none"/>
      <w:pStyle w:val="Head3"/>
      <w:lvlText w:val=""/>
      <w:lvlJc w:val="left"/>
      <w:pPr>
        <w:ind w:left="2041" w:firstLine="0"/>
      </w:pPr>
      <w:rPr>
        <w:rFonts w:hint="default"/>
      </w:rPr>
    </w:lvl>
    <w:lvl w:ilvl="4">
      <w:start w:val="1"/>
      <w:numFmt w:val="none"/>
      <w:lvlRestart w:val="0"/>
      <w:lvlText w:val=""/>
      <w:lvlJc w:val="left"/>
      <w:pPr>
        <w:ind w:left="2041" w:firstLine="0"/>
      </w:pPr>
      <w:rPr>
        <w:rFonts w:hint="default"/>
      </w:rPr>
    </w:lvl>
    <w:lvl w:ilvl="5">
      <w:start w:val="1"/>
      <w:numFmt w:val="none"/>
      <w:lvlRestart w:val="0"/>
      <w:lvlText w:val=""/>
      <w:lvlJc w:val="left"/>
      <w:pPr>
        <w:ind w:left="2041" w:firstLine="0"/>
      </w:pPr>
      <w:rPr>
        <w:rFonts w:hint="default"/>
      </w:rPr>
    </w:lvl>
    <w:lvl w:ilvl="6">
      <w:start w:val="1"/>
      <w:numFmt w:val="none"/>
      <w:lvlRestart w:val="0"/>
      <w:lvlText w:val=""/>
      <w:lvlJc w:val="left"/>
      <w:pPr>
        <w:ind w:left="2041" w:firstLine="0"/>
      </w:pPr>
      <w:rPr>
        <w:rFonts w:hint="default"/>
      </w:rPr>
    </w:lvl>
    <w:lvl w:ilvl="7">
      <w:start w:val="1"/>
      <w:numFmt w:val="none"/>
      <w:lvlRestart w:val="0"/>
      <w:lvlText w:val=""/>
      <w:lvlJc w:val="left"/>
      <w:pPr>
        <w:ind w:left="2041" w:firstLine="0"/>
      </w:pPr>
      <w:rPr>
        <w:rFonts w:hint="default"/>
      </w:rPr>
    </w:lvl>
    <w:lvl w:ilvl="8">
      <w:start w:val="1"/>
      <w:numFmt w:val="none"/>
      <w:lvlRestart w:val="0"/>
      <w:lvlText w:val=""/>
      <w:lvlJc w:val="left"/>
      <w:pPr>
        <w:ind w:left="2041" w:firstLine="0"/>
      </w:pPr>
      <w:rPr>
        <w:rFonts w:hint="default"/>
      </w:rPr>
    </w:lvl>
  </w:abstractNum>
  <w:abstractNum w:abstractNumId="28" w15:restartNumberingAfterBreak="0">
    <w:nsid w:val="15D25DCF"/>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163A6B58"/>
    <w:multiLevelType w:val="multilevel"/>
    <w:tmpl w:val="09BA6932"/>
    <w:numStyleLink w:val="LLbullet"/>
  </w:abstractNum>
  <w:abstractNum w:abstractNumId="30" w15:restartNumberingAfterBreak="0">
    <w:nsid w:val="169A4F72"/>
    <w:multiLevelType w:val="hybridMultilevel"/>
    <w:tmpl w:val="796463B8"/>
    <w:lvl w:ilvl="0" w:tplc="74880ECE">
      <w:start w:val="1"/>
      <w:numFmt w:val="upperRoman"/>
      <w:lvlText w:val="(%1)"/>
      <w:lvlJc w:val="left"/>
      <w:pPr>
        <w:ind w:left="1996" w:hanging="72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31" w15:restartNumberingAfterBreak="0">
    <w:nsid w:val="178D3195"/>
    <w:multiLevelType w:val="multilevel"/>
    <w:tmpl w:val="052824E8"/>
    <w:styleLink w:val="LLParties"/>
    <w:lvl w:ilvl="0">
      <w:start w:val="1"/>
      <w:numFmt w:val="decimal"/>
      <w:pStyle w:val="Parties"/>
      <w:lvlText w:val="(%1)"/>
      <w:lvlJc w:val="left"/>
      <w:pPr>
        <w:tabs>
          <w:tab w:val="num" w:pos="680"/>
        </w:tabs>
        <w:ind w:left="680" w:hanging="680"/>
      </w:pPr>
      <w:rPr>
        <w:rFonts w:hAnsi="Arial" w:cs="Times New Roman" w:hint="default"/>
        <w:b/>
        <w:i w:val="0"/>
      </w:rPr>
    </w:lvl>
    <w:lvl w:ilvl="1">
      <w:start w:val="1"/>
      <w:numFmt w:val="none"/>
      <w:lvlRestart w:val="0"/>
      <w:lvlText w:val=""/>
      <w:lvlJc w:val="left"/>
      <w:pPr>
        <w:ind w:left="680" w:hanging="680"/>
      </w:pPr>
      <w:rPr>
        <w:rFonts w:hint="default"/>
      </w:rPr>
    </w:lvl>
    <w:lvl w:ilvl="2">
      <w:start w:val="1"/>
      <w:numFmt w:val="none"/>
      <w:lvlRestart w:val="0"/>
      <w:lvlText w:val=""/>
      <w:lvlJc w:val="left"/>
      <w:pPr>
        <w:ind w:left="680" w:hanging="680"/>
      </w:pPr>
      <w:rPr>
        <w:rFonts w:hint="default"/>
      </w:rPr>
    </w:lvl>
    <w:lvl w:ilvl="3">
      <w:start w:val="1"/>
      <w:numFmt w:val="none"/>
      <w:lvlRestart w:val="0"/>
      <w:lvlText w:val=""/>
      <w:lvlJc w:val="left"/>
      <w:pPr>
        <w:ind w:left="680" w:hanging="680"/>
      </w:pPr>
      <w:rPr>
        <w:rFonts w:hint="default"/>
      </w:rPr>
    </w:lvl>
    <w:lvl w:ilvl="4">
      <w:start w:val="1"/>
      <w:numFmt w:val="none"/>
      <w:lvlRestart w:val="0"/>
      <w:lvlText w:val=""/>
      <w:lvlJc w:val="left"/>
      <w:pPr>
        <w:ind w:left="680" w:hanging="680"/>
      </w:pPr>
      <w:rPr>
        <w:rFonts w:hint="default"/>
      </w:rPr>
    </w:lvl>
    <w:lvl w:ilvl="5">
      <w:start w:val="1"/>
      <w:numFmt w:val="none"/>
      <w:lvlRestart w:val="0"/>
      <w:lvlText w:val=""/>
      <w:lvlJc w:val="left"/>
      <w:pPr>
        <w:ind w:left="680" w:hanging="680"/>
      </w:pPr>
      <w:rPr>
        <w:rFonts w:hint="default"/>
      </w:rPr>
    </w:lvl>
    <w:lvl w:ilvl="6">
      <w:start w:val="1"/>
      <w:numFmt w:val="none"/>
      <w:lvlRestart w:val="0"/>
      <w:lvlText w:val=""/>
      <w:lvlJc w:val="left"/>
      <w:pPr>
        <w:ind w:left="680" w:hanging="680"/>
      </w:pPr>
      <w:rPr>
        <w:rFonts w:hint="default"/>
      </w:rPr>
    </w:lvl>
    <w:lvl w:ilvl="7">
      <w:start w:val="1"/>
      <w:numFmt w:val="none"/>
      <w:lvlRestart w:val="0"/>
      <w:lvlText w:val=""/>
      <w:lvlJc w:val="left"/>
      <w:pPr>
        <w:ind w:left="680" w:hanging="680"/>
      </w:pPr>
      <w:rPr>
        <w:rFonts w:hint="default"/>
      </w:rPr>
    </w:lvl>
    <w:lvl w:ilvl="8">
      <w:start w:val="1"/>
      <w:numFmt w:val="none"/>
      <w:lvlText w:val=""/>
      <w:lvlJc w:val="left"/>
      <w:pPr>
        <w:ind w:left="680" w:hanging="680"/>
      </w:pPr>
      <w:rPr>
        <w:rFonts w:hint="default"/>
      </w:rPr>
    </w:lvl>
  </w:abstractNum>
  <w:abstractNum w:abstractNumId="32" w15:restartNumberingAfterBreak="0">
    <w:nsid w:val="17D56EA2"/>
    <w:multiLevelType w:val="multilevel"/>
    <w:tmpl w:val="7D1E5C80"/>
    <w:styleLink w:val="LLScheduleHeading"/>
    <w:lvl w:ilvl="0">
      <w:start w:val="1"/>
      <w:numFmt w:val="decimal"/>
      <w:pStyle w:val="ScheduleHeading"/>
      <w:suff w:val="nothing"/>
      <w:lvlText w:val="Schedule %1"/>
      <w:lvlJc w:val="left"/>
      <w:pPr>
        <w:ind w:left="0" w:firstLine="0"/>
      </w:pPr>
      <w:rPr>
        <w:rFonts w:ascii="Arial" w:hAnsi="Arial"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3" w15:restartNumberingAfterBreak="0">
    <w:nsid w:val="188900A6"/>
    <w:multiLevelType w:val="hybridMultilevel"/>
    <w:tmpl w:val="05AA8982"/>
    <w:lvl w:ilvl="0" w:tplc="F92CC668">
      <w:start w:val="1"/>
      <w:numFmt w:val="upperRoman"/>
      <w:lvlText w:val="(%1)"/>
      <w:lvlJc w:val="left"/>
      <w:pPr>
        <w:ind w:left="2055" w:hanging="360"/>
      </w:pPr>
      <w:rPr>
        <w:rFonts w:hint="default"/>
        <w:b w:val="0"/>
        <w:i w:val="0"/>
        <w:sz w:val="22"/>
      </w:rPr>
    </w:lvl>
    <w:lvl w:ilvl="1" w:tplc="E1B8148C">
      <w:start w:val="1"/>
      <w:numFmt w:val="upperLetter"/>
      <w:lvlText w:val="(%2)"/>
      <w:lvlJc w:val="left"/>
      <w:pPr>
        <w:ind w:left="2775" w:hanging="360"/>
      </w:pPr>
      <w:rPr>
        <w:rFonts w:hint="default"/>
      </w:r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34" w15:restartNumberingAfterBreak="0">
    <w:nsid w:val="19C26059"/>
    <w:multiLevelType w:val="multilevel"/>
    <w:tmpl w:val="F49C9BD6"/>
    <w:styleLink w:val="LLUCRoman"/>
    <w:lvl w:ilvl="0">
      <w:start w:val="1"/>
      <w:numFmt w:val="upperRoman"/>
      <w:pStyle w:val="UCRoman1"/>
      <w:lvlText w:val="%1."/>
      <w:lvlJc w:val="left"/>
      <w:pPr>
        <w:tabs>
          <w:tab w:val="num" w:pos="680"/>
        </w:tabs>
        <w:ind w:left="680" w:hanging="680"/>
      </w:pPr>
      <w:rPr>
        <w:rFonts w:hAnsi="Arial" w:cs="Times New Roman" w:hint="default"/>
        <w:b/>
        <w:i w:val="0"/>
      </w:rPr>
    </w:lvl>
    <w:lvl w:ilvl="1">
      <w:start w:val="1"/>
      <w:numFmt w:val="upperRoman"/>
      <w:pStyle w:val="UCRoman2"/>
      <w:lvlText w:val="%2."/>
      <w:lvlJc w:val="left"/>
      <w:pPr>
        <w:tabs>
          <w:tab w:val="num" w:pos="1360"/>
        </w:tabs>
        <w:ind w:left="1360" w:hanging="680"/>
      </w:pPr>
      <w:rPr>
        <w:rFonts w:hint="default"/>
        <w:b/>
        <w:i w:val="0"/>
      </w:rPr>
    </w:lvl>
    <w:lvl w:ilvl="2">
      <w:start w:val="1"/>
      <w:numFmt w:val="upperRoman"/>
      <w:pStyle w:val="UCRoman3"/>
      <w:lvlText w:val="%3."/>
      <w:lvlJc w:val="left"/>
      <w:pPr>
        <w:tabs>
          <w:tab w:val="num" w:pos="2040"/>
        </w:tabs>
        <w:ind w:left="2040" w:hanging="680"/>
      </w:pPr>
      <w:rPr>
        <w:rFonts w:hint="default"/>
        <w:b/>
        <w:i w:val="0"/>
      </w:rPr>
    </w:lvl>
    <w:lvl w:ilvl="3">
      <w:start w:val="1"/>
      <w:numFmt w:val="upperRoman"/>
      <w:pStyle w:val="UCRoman4"/>
      <w:lvlText w:val="%4."/>
      <w:lvlJc w:val="left"/>
      <w:pPr>
        <w:tabs>
          <w:tab w:val="num" w:pos="2722"/>
        </w:tabs>
        <w:ind w:left="2722" w:hanging="682"/>
      </w:pPr>
      <w:rPr>
        <w:rFonts w:hint="default"/>
        <w:b/>
        <w:i w:val="0"/>
      </w:rPr>
    </w:lvl>
    <w:lvl w:ilvl="4">
      <w:start w:val="1"/>
      <w:numFmt w:val="upperRoman"/>
      <w:pStyle w:val="UCRoman5"/>
      <w:lvlText w:val="%5"/>
      <w:lvlJc w:val="left"/>
      <w:pPr>
        <w:tabs>
          <w:tab w:val="num" w:pos="3402"/>
        </w:tabs>
        <w:ind w:left="3402" w:hanging="680"/>
      </w:pPr>
      <w:rPr>
        <w:rFonts w:hint="default"/>
        <w:b/>
        <w:i w:val="0"/>
      </w:rPr>
    </w:lvl>
    <w:lvl w:ilvl="5">
      <w:start w:val="1"/>
      <w:numFmt w:val="upperRoman"/>
      <w:pStyle w:val="UCRoman6"/>
      <w:lvlText w:val="%6."/>
      <w:lvlJc w:val="left"/>
      <w:pPr>
        <w:tabs>
          <w:tab w:val="num" w:pos="4082"/>
        </w:tabs>
        <w:ind w:left="4082" w:hanging="680"/>
      </w:pPr>
      <w:rPr>
        <w:rFonts w:hint="default"/>
        <w:b/>
        <w:i w:val="0"/>
      </w:rPr>
    </w:lvl>
    <w:lvl w:ilvl="6">
      <w:start w:val="1"/>
      <w:numFmt w:val="none"/>
      <w:lvlText w:val=""/>
      <w:lvlJc w:val="left"/>
      <w:pPr>
        <w:ind w:left="4082" w:hanging="680"/>
      </w:pPr>
      <w:rPr>
        <w:rFonts w:hint="default"/>
      </w:rPr>
    </w:lvl>
    <w:lvl w:ilvl="7">
      <w:start w:val="1"/>
      <w:numFmt w:val="none"/>
      <w:lvlText w:val=""/>
      <w:lvlJc w:val="left"/>
      <w:pPr>
        <w:ind w:left="4082" w:hanging="680"/>
      </w:pPr>
      <w:rPr>
        <w:rFonts w:hint="default"/>
      </w:rPr>
    </w:lvl>
    <w:lvl w:ilvl="8">
      <w:start w:val="1"/>
      <w:numFmt w:val="none"/>
      <w:lvlText w:val=""/>
      <w:lvlJc w:val="left"/>
      <w:pPr>
        <w:ind w:left="4082" w:hanging="680"/>
      </w:pPr>
      <w:rPr>
        <w:rFonts w:hint="default"/>
      </w:rPr>
    </w:lvl>
  </w:abstractNum>
  <w:abstractNum w:abstractNumId="35" w15:restartNumberingAfterBreak="0">
    <w:nsid w:val="1A4C0119"/>
    <w:multiLevelType w:val="multilevel"/>
    <w:tmpl w:val="FF669768"/>
    <w:styleLink w:val="LLTablealpha"/>
    <w:lvl w:ilvl="0">
      <w:start w:val="1"/>
      <w:numFmt w:val="lowerLetter"/>
      <w:pStyle w:val="Tablealpha"/>
      <w:lvlText w:val="(%1)"/>
      <w:lvlJc w:val="left"/>
      <w:pPr>
        <w:tabs>
          <w:tab w:val="num" w:pos="680"/>
        </w:tabs>
        <w:ind w:left="680" w:hanging="680"/>
      </w:pPr>
      <w:rPr>
        <w:rFonts w:hAnsi="Arial" w:cs="Times New Roman" w:hint="default"/>
      </w:rPr>
    </w:lvl>
    <w:lvl w:ilvl="1">
      <w:start w:val="1"/>
      <w:numFmt w:val="none"/>
      <w:lvlText w:val="%2"/>
      <w:lvlJc w:val="left"/>
      <w:pPr>
        <w:ind w:left="680" w:hanging="680"/>
      </w:pPr>
      <w:rPr>
        <w:rFonts w:hint="default"/>
      </w:rPr>
    </w:lvl>
    <w:lvl w:ilvl="2">
      <w:start w:val="1"/>
      <w:numFmt w:val="none"/>
      <w:lvlText w:val=""/>
      <w:lvlJc w:val="left"/>
      <w:pPr>
        <w:ind w:left="680" w:hanging="680"/>
      </w:pPr>
      <w:rPr>
        <w:rFonts w:hint="default"/>
      </w:rPr>
    </w:lvl>
    <w:lvl w:ilvl="3">
      <w:start w:val="1"/>
      <w:numFmt w:val="none"/>
      <w:lvlText w:val=""/>
      <w:lvlJc w:val="left"/>
      <w:pPr>
        <w:ind w:left="680" w:hanging="680"/>
      </w:pPr>
      <w:rPr>
        <w:rFonts w:hint="default"/>
      </w:rPr>
    </w:lvl>
    <w:lvl w:ilvl="4">
      <w:start w:val="1"/>
      <w:numFmt w:val="none"/>
      <w:lvlText w:val=""/>
      <w:lvlJc w:val="left"/>
      <w:pPr>
        <w:ind w:left="680" w:hanging="680"/>
      </w:pPr>
      <w:rPr>
        <w:rFonts w:hint="default"/>
      </w:rPr>
    </w:lvl>
    <w:lvl w:ilvl="5">
      <w:start w:val="1"/>
      <w:numFmt w:val="none"/>
      <w:lvlText w:val=""/>
      <w:lvlJc w:val="left"/>
      <w:pPr>
        <w:ind w:left="680" w:hanging="680"/>
      </w:pPr>
      <w:rPr>
        <w:rFonts w:hint="default"/>
      </w:rPr>
    </w:lvl>
    <w:lvl w:ilvl="6">
      <w:start w:val="1"/>
      <w:numFmt w:val="none"/>
      <w:lvlText w:val=""/>
      <w:lvlJc w:val="left"/>
      <w:pPr>
        <w:ind w:left="680" w:hanging="680"/>
      </w:pPr>
      <w:rPr>
        <w:rFonts w:hint="default"/>
      </w:rPr>
    </w:lvl>
    <w:lvl w:ilvl="7">
      <w:start w:val="1"/>
      <w:numFmt w:val="none"/>
      <w:lvlText w:val=""/>
      <w:lvlJc w:val="left"/>
      <w:pPr>
        <w:ind w:left="680" w:hanging="680"/>
      </w:pPr>
      <w:rPr>
        <w:rFonts w:hint="default"/>
      </w:rPr>
    </w:lvl>
    <w:lvl w:ilvl="8">
      <w:start w:val="1"/>
      <w:numFmt w:val="none"/>
      <w:lvlText w:val=""/>
      <w:lvlJc w:val="left"/>
      <w:pPr>
        <w:ind w:left="680" w:hanging="680"/>
      </w:pPr>
      <w:rPr>
        <w:rFonts w:hint="default"/>
      </w:rPr>
    </w:lvl>
  </w:abstractNum>
  <w:abstractNum w:abstractNumId="36" w15:restartNumberingAfterBreak="0">
    <w:nsid w:val="1D3A60E8"/>
    <w:multiLevelType w:val="hybridMultilevel"/>
    <w:tmpl w:val="D2324B96"/>
    <w:lvl w:ilvl="0" w:tplc="BC56B99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1DE0546B"/>
    <w:multiLevelType w:val="multilevel"/>
    <w:tmpl w:val="052824E8"/>
    <w:numStyleLink w:val="LLParties"/>
  </w:abstractNum>
  <w:abstractNum w:abstractNumId="38" w15:restartNumberingAfterBreak="0">
    <w:nsid w:val="1E316AF0"/>
    <w:multiLevelType w:val="multilevel"/>
    <w:tmpl w:val="5770BC38"/>
    <w:styleLink w:val="LLdoublealpha"/>
    <w:lvl w:ilvl="0">
      <w:start w:val="27"/>
      <w:numFmt w:val="lowerLetter"/>
      <w:pStyle w:val="doublealpha"/>
      <w:lvlText w:val="(%1)"/>
      <w:lvlJc w:val="left"/>
      <w:pPr>
        <w:tabs>
          <w:tab w:val="num" w:pos="680"/>
        </w:tabs>
        <w:ind w:left="680" w:hanging="680"/>
      </w:pPr>
      <w:rPr>
        <w:rFonts w:hAnsi="Arial" w:cs="Times New Roman" w:hint="default"/>
      </w:rPr>
    </w:lvl>
    <w:lvl w:ilvl="1">
      <w:start w:val="1"/>
      <w:numFmt w:val="none"/>
      <w:lvlRestart w:val="0"/>
      <w:lvlText w:val=""/>
      <w:lvlJc w:val="left"/>
      <w:pPr>
        <w:ind w:left="680" w:hanging="680"/>
      </w:pPr>
      <w:rPr>
        <w:rFonts w:hint="default"/>
      </w:rPr>
    </w:lvl>
    <w:lvl w:ilvl="2">
      <w:start w:val="1"/>
      <w:numFmt w:val="none"/>
      <w:lvlRestart w:val="0"/>
      <w:lvlText w:val=""/>
      <w:lvlJc w:val="left"/>
      <w:pPr>
        <w:ind w:left="680" w:hanging="680"/>
      </w:pPr>
      <w:rPr>
        <w:rFonts w:hint="default"/>
      </w:rPr>
    </w:lvl>
    <w:lvl w:ilvl="3">
      <w:start w:val="1"/>
      <w:numFmt w:val="none"/>
      <w:lvlRestart w:val="0"/>
      <w:lvlText w:val=""/>
      <w:lvlJc w:val="left"/>
      <w:pPr>
        <w:ind w:left="680" w:hanging="680"/>
      </w:pPr>
      <w:rPr>
        <w:rFonts w:hint="default"/>
      </w:rPr>
    </w:lvl>
    <w:lvl w:ilvl="4">
      <w:start w:val="1"/>
      <w:numFmt w:val="none"/>
      <w:lvlRestart w:val="0"/>
      <w:lvlText w:val=""/>
      <w:lvlJc w:val="left"/>
      <w:pPr>
        <w:ind w:left="680" w:hanging="680"/>
      </w:pPr>
      <w:rPr>
        <w:rFonts w:hint="default"/>
      </w:rPr>
    </w:lvl>
    <w:lvl w:ilvl="5">
      <w:start w:val="1"/>
      <w:numFmt w:val="none"/>
      <w:lvlRestart w:val="0"/>
      <w:lvlText w:val=""/>
      <w:lvlJc w:val="left"/>
      <w:pPr>
        <w:ind w:left="680" w:hanging="680"/>
      </w:pPr>
      <w:rPr>
        <w:rFonts w:hint="default"/>
      </w:rPr>
    </w:lvl>
    <w:lvl w:ilvl="6">
      <w:start w:val="1"/>
      <w:numFmt w:val="none"/>
      <w:lvlRestart w:val="0"/>
      <w:lvlText w:val=""/>
      <w:lvlJc w:val="left"/>
      <w:pPr>
        <w:ind w:left="680" w:hanging="680"/>
      </w:pPr>
      <w:rPr>
        <w:rFonts w:hint="default"/>
      </w:rPr>
    </w:lvl>
    <w:lvl w:ilvl="7">
      <w:start w:val="1"/>
      <w:numFmt w:val="none"/>
      <w:lvlRestart w:val="0"/>
      <w:lvlText w:val=""/>
      <w:lvlJc w:val="left"/>
      <w:pPr>
        <w:ind w:left="680" w:hanging="680"/>
      </w:pPr>
      <w:rPr>
        <w:rFonts w:hint="default"/>
      </w:rPr>
    </w:lvl>
    <w:lvl w:ilvl="8">
      <w:start w:val="1"/>
      <w:numFmt w:val="none"/>
      <w:lvlRestart w:val="0"/>
      <w:lvlText w:val=""/>
      <w:lvlJc w:val="left"/>
      <w:pPr>
        <w:ind w:left="680" w:hanging="680"/>
      </w:pPr>
      <w:rPr>
        <w:rFonts w:hint="default"/>
      </w:rPr>
    </w:lvl>
  </w:abstractNum>
  <w:abstractNum w:abstractNumId="39" w15:restartNumberingAfterBreak="0">
    <w:nsid w:val="21DF2964"/>
    <w:multiLevelType w:val="multilevel"/>
    <w:tmpl w:val="3F4E1D08"/>
    <w:numStyleLink w:val="LLTableroman"/>
  </w:abstractNum>
  <w:abstractNum w:abstractNumId="40" w15:restartNumberingAfterBreak="0">
    <w:nsid w:val="26AC44F1"/>
    <w:multiLevelType w:val="multilevel"/>
    <w:tmpl w:val="08090023"/>
    <w:styleLink w:val="ArticleSection"/>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41" w15:restartNumberingAfterBreak="0">
    <w:nsid w:val="27D30D05"/>
    <w:multiLevelType w:val="multilevel"/>
    <w:tmpl w:val="E5326E0C"/>
    <w:numStyleLink w:val="LLHead"/>
  </w:abstractNum>
  <w:abstractNum w:abstractNumId="42" w15:restartNumberingAfterBreak="0">
    <w:nsid w:val="29846E32"/>
    <w:multiLevelType w:val="multilevel"/>
    <w:tmpl w:val="CD34D7B6"/>
    <w:styleLink w:val="FormCOBody"/>
    <w:lvl w:ilvl="0">
      <w:start w:val="1"/>
      <w:numFmt w:val="decimal"/>
      <w:pStyle w:val="CObodynumbering"/>
      <w:lvlText w:val="(%1)"/>
      <w:lvlJc w:val="left"/>
      <w:pPr>
        <w:tabs>
          <w:tab w:val="num" w:pos="680"/>
        </w:tabs>
        <w:ind w:left="680" w:hanging="680"/>
      </w:pPr>
      <w:rPr>
        <w:rFonts w:ascii="Arial" w:hAnsi="Arial" w:hint="default"/>
        <w:sz w:val="20"/>
      </w:rPr>
    </w:lvl>
    <w:lvl w:ilvl="1">
      <w:start w:val="1"/>
      <w:numFmt w:val="none"/>
      <w:lvlText w:val=""/>
      <w:lvlJc w:val="left"/>
      <w:pPr>
        <w:tabs>
          <w:tab w:val="num" w:pos="680"/>
        </w:tabs>
        <w:ind w:left="680" w:hanging="680"/>
      </w:pPr>
      <w:rPr>
        <w:rFonts w:hint="default"/>
      </w:rPr>
    </w:lvl>
    <w:lvl w:ilvl="2">
      <w:start w:val="1"/>
      <w:numFmt w:val="none"/>
      <w:lvlText w:val=""/>
      <w:lvlJc w:val="left"/>
      <w:pPr>
        <w:tabs>
          <w:tab w:val="num" w:pos="680"/>
        </w:tabs>
        <w:ind w:left="680" w:hanging="680"/>
      </w:pPr>
      <w:rPr>
        <w:rFonts w:hint="default"/>
      </w:rPr>
    </w:lvl>
    <w:lvl w:ilvl="3">
      <w:start w:val="1"/>
      <w:numFmt w:val="none"/>
      <w:lvlText w:val=""/>
      <w:lvlJc w:val="left"/>
      <w:pPr>
        <w:tabs>
          <w:tab w:val="num" w:pos="680"/>
        </w:tabs>
        <w:ind w:left="680" w:hanging="680"/>
      </w:pPr>
      <w:rPr>
        <w:rFonts w:hint="default"/>
      </w:rPr>
    </w:lvl>
    <w:lvl w:ilvl="4">
      <w:start w:val="1"/>
      <w:numFmt w:val="none"/>
      <w:lvlText w:val=""/>
      <w:lvlJc w:val="left"/>
      <w:pPr>
        <w:tabs>
          <w:tab w:val="num" w:pos="680"/>
        </w:tabs>
        <w:ind w:left="680" w:hanging="680"/>
      </w:pPr>
      <w:rPr>
        <w:rFonts w:hint="default"/>
      </w:rPr>
    </w:lvl>
    <w:lvl w:ilvl="5">
      <w:start w:val="1"/>
      <w:numFmt w:val="none"/>
      <w:lvlText w:val=""/>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680"/>
        </w:tabs>
        <w:ind w:left="680" w:hanging="680"/>
      </w:pPr>
      <w:rPr>
        <w:rFonts w:hint="default"/>
      </w:rPr>
    </w:lvl>
    <w:lvl w:ilvl="8">
      <w:start w:val="1"/>
      <w:numFmt w:val="none"/>
      <w:lvlText w:val=""/>
      <w:lvlJc w:val="left"/>
      <w:pPr>
        <w:tabs>
          <w:tab w:val="num" w:pos="680"/>
        </w:tabs>
        <w:ind w:left="680" w:hanging="680"/>
      </w:pPr>
      <w:rPr>
        <w:rFonts w:hint="default"/>
      </w:rPr>
    </w:lvl>
  </w:abstractNum>
  <w:abstractNum w:abstractNumId="43" w15:restartNumberingAfterBreak="0">
    <w:nsid w:val="2B7D119F"/>
    <w:multiLevelType w:val="multilevel"/>
    <w:tmpl w:val="45E60E26"/>
    <w:styleLink w:val="LLListNumbers"/>
    <w:lvl w:ilvl="0">
      <w:start w:val="1"/>
      <w:numFmt w:val="decimal"/>
      <w:pStyle w:val="ListNumbers"/>
      <w:lvlText w:val="%1."/>
      <w:lvlJc w:val="left"/>
      <w:pPr>
        <w:tabs>
          <w:tab w:val="num" w:pos="680"/>
        </w:tabs>
        <w:ind w:left="680" w:hanging="680"/>
      </w:pPr>
      <w:rPr>
        <w:rFonts w:hAnsi="Arial" w:cs="Times New Roman" w:hint="default"/>
        <w:b/>
        <w:i w:val="0"/>
      </w:rPr>
    </w:lvl>
    <w:lvl w:ilvl="1">
      <w:start w:val="1"/>
      <w:numFmt w:val="none"/>
      <w:lvlRestart w:val="0"/>
      <w:lvlText w:val=""/>
      <w:lvlJc w:val="left"/>
      <w:pPr>
        <w:ind w:left="680" w:hanging="680"/>
      </w:pPr>
      <w:rPr>
        <w:rFonts w:hint="default"/>
      </w:rPr>
    </w:lvl>
    <w:lvl w:ilvl="2">
      <w:start w:val="1"/>
      <w:numFmt w:val="none"/>
      <w:lvlRestart w:val="0"/>
      <w:lvlText w:val=""/>
      <w:lvlJc w:val="left"/>
      <w:pPr>
        <w:ind w:left="680" w:hanging="680"/>
      </w:pPr>
      <w:rPr>
        <w:rFonts w:hint="default"/>
      </w:rPr>
    </w:lvl>
    <w:lvl w:ilvl="3">
      <w:start w:val="1"/>
      <w:numFmt w:val="none"/>
      <w:lvlRestart w:val="0"/>
      <w:lvlText w:val=""/>
      <w:lvlJc w:val="left"/>
      <w:pPr>
        <w:ind w:left="680" w:hanging="680"/>
      </w:pPr>
      <w:rPr>
        <w:rFonts w:hint="default"/>
      </w:rPr>
    </w:lvl>
    <w:lvl w:ilvl="4">
      <w:start w:val="1"/>
      <w:numFmt w:val="none"/>
      <w:lvlRestart w:val="0"/>
      <w:lvlText w:val=""/>
      <w:lvlJc w:val="left"/>
      <w:pPr>
        <w:ind w:left="680" w:hanging="680"/>
      </w:pPr>
      <w:rPr>
        <w:rFonts w:hint="default"/>
      </w:rPr>
    </w:lvl>
    <w:lvl w:ilvl="5">
      <w:start w:val="1"/>
      <w:numFmt w:val="none"/>
      <w:lvlRestart w:val="0"/>
      <w:lvlText w:val=""/>
      <w:lvlJc w:val="left"/>
      <w:pPr>
        <w:ind w:left="680" w:hanging="680"/>
      </w:pPr>
      <w:rPr>
        <w:rFonts w:hint="default"/>
      </w:rPr>
    </w:lvl>
    <w:lvl w:ilvl="6">
      <w:start w:val="1"/>
      <w:numFmt w:val="none"/>
      <w:lvlRestart w:val="0"/>
      <w:lvlText w:val=""/>
      <w:lvlJc w:val="left"/>
      <w:pPr>
        <w:ind w:left="680" w:hanging="680"/>
      </w:pPr>
      <w:rPr>
        <w:rFonts w:hint="default"/>
      </w:rPr>
    </w:lvl>
    <w:lvl w:ilvl="7">
      <w:start w:val="1"/>
      <w:numFmt w:val="none"/>
      <w:lvlRestart w:val="0"/>
      <w:lvlText w:val=""/>
      <w:lvlJc w:val="left"/>
      <w:pPr>
        <w:ind w:left="680" w:hanging="680"/>
      </w:pPr>
      <w:rPr>
        <w:rFonts w:hint="default"/>
      </w:rPr>
    </w:lvl>
    <w:lvl w:ilvl="8">
      <w:start w:val="1"/>
      <w:numFmt w:val="none"/>
      <w:lvlRestart w:val="0"/>
      <w:lvlText w:val=""/>
      <w:lvlJc w:val="left"/>
      <w:pPr>
        <w:ind w:left="680" w:hanging="680"/>
      </w:pPr>
      <w:rPr>
        <w:rFonts w:hint="default"/>
      </w:rPr>
    </w:lvl>
  </w:abstractNum>
  <w:abstractNum w:abstractNumId="44" w15:restartNumberingAfterBreak="0">
    <w:nsid w:val="325637B4"/>
    <w:multiLevelType w:val="multilevel"/>
    <w:tmpl w:val="5770BC38"/>
    <w:numStyleLink w:val="LLdoublealpha"/>
  </w:abstractNum>
  <w:abstractNum w:abstractNumId="45" w15:restartNumberingAfterBreak="0">
    <w:nsid w:val="337A093D"/>
    <w:multiLevelType w:val="multilevel"/>
    <w:tmpl w:val="75BC11A0"/>
    <w:numStyleLink w:val="LLUCAlpha"/>
  </w:abstractNum>
  <w:abstractNum w:abstractNumId="46" w15:restartNumberingAfterBreak="0">
    <w:nsid w:val="354129BB"/>
    <w:multiLevelType w:val="multilevel"/>
    <w:tmpl w:val="383CCEC4"/>
    <w:styleLink w:val="LLdashbullet"/>
    <w:lvl w:ilvl="0">
      <w:start w:val="1"/>
      <w:numFmt w:val="bullet"/>
      <w:pStyle w:val="dashbullet1"/>
      <w:lvlText w:val=""/>
      <w:lvlJc w:val="left"/>
      <w:pPr>
        <w:tabs>
          <w:tab w:val="num" w:pos="680"/>
        </w:tabs>
        <w:ind w:left="680" w:hanging="680"/>
      </w:pPr>
      <w:rPr>
        <w:rFonts w:ascii="Symbol" w:hAnsi="Symbol" w:cs="Times New Roman" w:hint="default"/>
        <w:color w:val="auto"/>
      </w:rPr>
    </w:lvl>
    <w:lvl w:ilvl="1">
      <w:start w:val="1"/>
      <w:numFmt w:val="bullet"/>
      <w:lvlRestart w:val="0"/>
      <w:pStyle w:val="dashbullet2"/>
      <w:lvlText w:val=""/>
      <w:lvlJc w:val="left"/>
      <w:pPr>
        <w:tabs>
          <w:tab w:val="num" w:pos="1361"/>
        </w:tabs>
        <w:ind w:left="1361" w:hanging="681"/>
      </w:pPr>
      <w:rPr>
        <w:rFonts w:ascii="Symbol" w:hAnsi="Symbol" w:cs="Times New Roman" w:hint="default"/>
        <w:color w:val="auto"/>
      </w:rPr>
    </w:lvl>
    <w:lvl w:ilvl="2">
      <w:start w:val="1"/>
      <w:numFmt w:val="bullet"/>
      <w:lvlRestart w:val="0"/>
      <w:pStyle w:val="dashbullet3"/>
      <w:lvlText w:val=""/>
      <w:lvlJc w:val="left"/>
      <w:pPr>
        <w:tabs>
          <w:tab w:val="num" w:pos="2041"/>
        </w:tabs>
        <w:ind w:left="2041" w:hanging="680"/>
      </w:pPr>
      <w:rPr>
        <w:rFonts w:ascii="Symbol" w:hAnsi="Symbol" w:cs="Times New Roman" w:hint="default"/>
        <w:color w:val="auto"/>
      </w:rPr>
    </w:lvl>
    <w:lvl w:ilvl="3">
      <w:start w:val="1"/>
      <w:numFmt w:val="bullet"/>
      <w:lvlRestart w:val="0"/>
      <w:pStyle w:val="dashbullet4"/>
      <w:lvlText w:val=""/>
      <w:lvlJc w:val="left"/>
      <w:pPr>
        <w:tabs>
          <w:tab w:val="num" w:pos="2722"/>
        </w:tabs>
        <w:ind w:left="2722" w:hanging="681"/>
      </w:pPr>
      <w:rPr>
        <w:rFonts w:ascii="Symbol" w:hAnsi="Symbol" w:cs="Times New Roman" w:hint="default"/>
        <w:color w:val="auto"/>
      </w:rPr>
    </w:lvl>
    <w:lvl w:ilvl="4">
      <w:start w:val="1"/>
      <w:numFmt w:val="bullet"/>
      <w:lvlRestart w:val="0"/>
      <w:pStyle w:val="dashbullet5"/>
      <w:lvlText w:val=""/>
      <w:lvlJc w:val="left"/>
      <w:pPr>
        <w:tabs>
          <w:tab w:val="num" w:pos="3402"/>
        </w:tabs>
        <w:ind w:left="3402" w:hanging="680"/>
      </w:pPr>
      <w:rPr>
        <w:rFonts w:ascii="Symbol" w:hAnsi="Symbol" w:cs="Times New Roman" w:hint="default"/>
        <w:color w:val="auto"/>
      </w:rPr>
    </w:lvl>
    <w:lvl w:ilvl="5">
      <w:start w:val="1"/>
      <w:numFmt w:val="bullet"/>
      <w:lvlRestart w:val="0"/>
      <w:pStyle w:val="dashbullet6"/>
      <w:lvlText w:val=""/>
      <w:lvlJc w:val="left"/>
      <w:pPr>
        <w:tabs>
          <w:tab w:val="num" w:pos="4082"/>
        </w:tabs>
        <w:ind w:left="4082" w:hanging="680"/>
      </w:pPr>
      <w:rPr>
        <w:rFonts w:ascii="Symbol" w:hAnsi="Symbol" w:cs="Times New Roman" w:hint="default"/>
        <w:color w:val="auto"/>
      </w:rPr>
    </w:lvl>
    <w:lvl w:ilvl="6">
      <w:start w:val="1"/>
      <w:numFmt w:val="none"/>
      <w:lvlRestart w:val="0"/>
      <w:lvlText w:val=""/>
      <w:lvlJc w:val="left"/>
      <w:pPr>
        <w:ind w:left="4082" w:hanging="680"/>
      </w:pPr>
      <w:rPr>
        <w:rFonts w:hint="default"/>
      </w:rPr>
    </w:lvl>
    <w:lvl w:ilvl="7">
      <w:start w:val="1"/>
      <w:numFmt w:val="none"/>
      <w:lvlRestart w:val="0"/>
      <w:lvlText w:val=""/>
      <w:lvlJc w:val="left"/>
      <w:pPr>
        <w:ind w:left="4082" w:hanging="680"/>
      </w:pPr>
      <w:rPr>
        <w:rFonts w:hint="default"/>
      </w:rPr>
    </w:lvl>
    <w:lvl w:ilvl="8">
      <w:start w:val="1"/>
      <w:numFmt w:val="none"/>
      <w:lvlRestart w:val="0"/>
      <w:lvlText w:val=""/>
      <w:lvlJc w:val="left"/>
      <w:pPr>
        <w:ind w:left="4082" w:hanging="680"/>
      </w:pPr>
      <w:rPr>
        <w:rFonts w:hint="default"/>
      </w:rPr>
    </w:lvl>
  </w:abstractNum>
  <w:abstractNum w:abstractNumId="47" w15:restartNumberingAfterBreak="0">
    <w:nsid w:val="3706281D"/>
    <w:multiLevelType w:val="hybridMultilevel"/>
    <w:tmpl w:val="1AA445DE"/>
    <w:lvl w:ilvl="0" w:tplc="4D1CC452">
      <w:start w:val="1"/>
      <w:numFmt w:val="upperRoman"/>
      <w:lvlText w:val="(%1)"/>
      <w:lvlJc w:val="left"/>
      <w:pPr>
        <w:ind w:left="2840" w:hanging="720"/>
      </w:pPr>
      <w:rPr>
        <w:rFonts w:hint="default"/>
      </w:rPr>
    </w:lvl>
    <w:lvl w:ilvl="1" w:tplc="08090019" w:tentative="1">
      <w:start w:val="1"/>
      <w:numFmt w:val="lowerLetter"/>
      <w:lvlText w:val="%2."/>
      <w:lvlJc w:val="left"/>
      <w:pPr>
        <w:ind w:left="3200" w:hanging="360"/>
      </w:pPr>
    </w:lvl>
    <w:lvl w:ilvl="2" w:tplc="0809001B" w:tentative="1">
      <w:start w:val="1"/>
      <w:numFmt w:val="lowerRoman"/>
      <w:lvlText w:val="%3."/>
      <w:lvlJc w:val="right"/>
      <w:pPr>
        <w:ind w:left="3920" w:hanging="180"/>
      </w:pPr>
    </w:lvl>
    <w:lvl w:ilvl="3" w:tplc="0809000F" w:tentative="1">
      <w:start w:val="1"/>
      <w:numFmt w:val="decimal"/>
      <w:lvlText w:val="%4."/>
      <w:lvlJc w:val="left"/>
      <w:pPr>
        <w:ind w:left="4640" w:hanging="360"/>
      </w:pPr>
    </w:lvl>
    <w:lvl w:ilvl="4" w:tplc="08090019" w:tentative="1">
      <w:start w:val="1"/>
      <w:numFmt w:val="lowerLetter"/>
      <w:lvlText w:val="%5."/>
      <w:lvlJc w:val="left"/>
      <w:pPr>
        <w:ind w:left="5360" w:hanging="360"/>
      </w:pPr>
    </w:lvl>
    <w:lvl w:ilvl="5" w:tplc="0809001B" w:tentative="1">
      <w:start w:val="1"/>
      <w:numFmt w:val="lowerRoman"/>
      <w:lvlText w:val="%6."/>
      <w:lvlJc w:val="right"/>
      <w:pPr>
        <w:ind w:left="6080" w:hanging="180"/>
      </w:pPr>
    </w:lvl>
    <w:lvl w:ilvl="6" w:tplc="0809000F" w:tentative="1">
      <w:start w:val="1"/>
      <w:numFmt w:val="decimal"/>
      <w:lvlText w:val="%7."/>
      <w:lvlJc w:val="left"/>
      <w:pPr>
        <w:ind w:left="6800" w:hanging="360"/>
      </w:pPr>
    </w:lvl>
    <w:lvl w:ilvl="7" w:tplc="08090019" w:tentative="1">
      <w:start w:val="1"/>
      <w:numFmt w:val="lowerLetter"/>
      <w:lvlText w:val="%8."/>
      <w:lvlJc w:val="left"/>
      <w:pPr>
        <w:ind w:left="7520" w:hanging="360"/>
      </w:pPr>
    </w:lvl>
    <w:lvl w:ilvl="8" w:tplc="0809001B" w:tentative="1">
      <w:start w:val="1"/>
      <w:numFmt w:val="lowerRoman"/>
      <w:lvlText w:val="%9."/>
      <w:lvlJc w:val="right"/>
      <w:pPr>
        <w:ind w:left="8240" w:hanging="180"/>
      </w:pPr>
    </w:lvl>
  </w:abstractNum>
  <w:abstractNum w:abstractNumId="48" w15:restartNumberingAfterBreak="0">
    <w:nsid w:val="392D3085"/>
    <w:multiLevelType w:val="hybridMultilevel"/>
    <w:tmpl w:val="161232E0"/>
    <w:lvl w:ilvl="0" w:tplc="05A03C78">
      <w:start w:val="1"/>
      <w:numFmt w:val="upperRoman"/>
      <w:lvlText w:val="(%1)"/>
      <w:lvlJc w:val="left"/>
      <w:pPr>
        <w:ind w:left="1996" w:hanging="720"/>
      </w:pPr>
      <w:rPr>
        <w:rFonts w:hint="default"/>
        <w:b w:val="0"/>
        <w:bCs w:val="0"/>
        <w:i w:val="0"/>
        <w:iCs w:val="0"/>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49" w15:restartNumberingAfterBreak="0">
    <w:nsid w:val="3B0F7CF7"/>
    <w:multiLevelType w:val="hybridMultilevel"/>
    <w:tmpl w:val="D376CF68"/>
    <w:lvl w:ilvl="0" w:tplc="A106014A">
      <w:start w:val="1"/>
      <w:numFmt w:val="upperRoman"/>
      <w:lvlText w:val="(%1)"/>
      <w:lvlJc w:val="left"/>
      <w:pPr>
        <w:ind w:left="1996" w:hanging="72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0" w15:restartNumberingAfterBreak="0">
    <w:nsid w:val="3CC34357"/>
    <w:multiLevelType w:val="multilevel"/>
    <w:tmpl w:val="E49E12C0"/>
    <w:styleLink w:val="LLBody"/>
    <w:lvl w:ilvl="0">
      <w:start w:val="1"/>
      <w:numFmt w:val="none"/>
      <w:lvlText w:val="%1"/>
      <w:lvlJc w:val="left"/>
      <w:pPr>
        <w:ind w:left="0" w:firstLine="0"/>
      </w:pPr>
      <w:rPr>
        <w:rFonts w:hAnsi="Arial" w:cs="Times New Roman" w:hint="default"/>
      </w:rPr>
    </w:lvl>
    <w:lvl w:ilvl="1">
      <w:start w:val="1"/>
      <w:numFmt w:val="none"/>
      <w:lvlRestart w:val="0"/>
      <w:lvlText w:val=""/>
      <w:lvlJc w:val="left"/>
      <w:pPr>
        <w:ind w:left="680" w:firstLine="0"/>
      </w:pPr>
      <w:rPr>
        <w:rFonts w:hint="default"/>
      </w:rPr>
    </w:lvl>
    <w:lvl w:ilvl="2">
      <w:start w:val="1"/>
      <w:numFmt w:val="none"/>
      <w:lvlRestart w:val="0"/>
      <w:lvlText w:val=""/>
      <w:lvlJc w:val="left"/>
      <w:pPr>
        <w:ind w:left="680" w:firstLine="0"/>
      </w:pPr>
      <w:rPr>
        <w:rFonts w:hint="default"/>
      </w:rPr>
    </w:lvl>
    <w:lvl w:ilvl="3">
      <w:start w:val="1"/>
      <w:numFmt w:val="none"/>
      <w:lvlRestart w:val="0"/>
      <w:lvlText w:val=""/>
      <w:lvlJc w:val="left"/>
      <w:pPr>
        <w:ind w:left="1361" w:firstLine="0"/>
      </w:pPr>
      <w:rPr>
        <w:rFonts w:hint="default"/>
      </w:rPr>
    </w:lvl>
    <w:lvl w:ilvl="4">
      <w:start w:val="1"/>
      <w:numFmt w:val="none"/>
      <w:lvlRestart w:val="0"/>
      <w:lvlText w:val=""/>
      <w:lvlJc w:val="left"/>
      <w:pPr>
        <w:ind w:left="2041" w:firstLine="0"/>
      </w:pPr>
      <w:rPr>
        <w:rFonts w:hint="default"/>
      </w:rPr>
    </w:lvl>
    <w:lvl w:ilvl="5">
      <w:start w:val="1"/>
      <w:numFmt w:val="none"/>
      <w:lvlRestart w:val="0"/>
      <w:lvlText w:val=""/>
      <w:lvlJc w:val="left"/>
      <w:pPr>
        <w:ind w:left="2722" w:firstLine="0"/>
      </w:pPr>
      <w:rPr>
        <w:rFonts w:hint="default"/>
      </w:rPr>
    </w:lvl>
    <w:lvl w:ilvl="6">
      <w:start w:val="1"/>
      <w:numFmt w:val="none"/>
      <w:lvlRestart w:val="0"/>
      <w:lvlText w:val=""/>
      <w:lvlJc w:val="left"/>
      <w:pPr>
        <w:ind w:left="3402" w:firstLine="0"/>
      </w:pPr>
      <w:rPr>
        <w:rFonts w:hint="default"/>
      </w:rPr>
    </w:lvl>
    <w:lvl w:ilvl="7">
      <w:start w:val="1"/>
      <w:numFmt w:val="none"/>
      <w:lvlRestart w:val="0"/>
      <w:lvlText w:val=""/>
      <w:lvlJc w:val="left"/>
      <w:pPr>
        <w:ind w:left="3402" w:firstLine="0"/>
      </w:pPr>
      <w:rPr>
        <w:rFonts w:hint="default"/>
      </w:rPr>
    </w:lvl>
    <w:lvl w:ilvl="8">
      <w:start w:val="1"/>
      <w:numFmt w:val="none"/>
      <w:lvlRestart w:val="0"/>
      <w:lvlText w:val=""/>
      <w:lvlJc w:val="left"/>
      <w:pPr>
        <w:ind w:left="3402" w:firstLine="0"/>
      </w:pPr>
      <w:rPr>
        <w:rFonts w:hint="default"/>
      </w:rPr>
    </w:lvl>
  </w:abstractNum>
  <w:abstractNum w:abstractNumId="51" w15:restartNumberingAfterBreak="0">
    <w:nsid w:val="3D9D7C00"/>
    <w:multiLevelType w:val="multilevel"/>
    <w:tmpl w:val="F5AA3B4C"/>
    <w:styleLink w:val="LLTOC"/>
    <w:lvl w:ilvl="0">
      <w:start w:val="1"/>
      <w:numFmt w:val="none"/>
      <w:lvlText w:val=""/>
      <w:lvlJc w:val="left"/>
      <w:pPr>
        <w:ind w:left="0" w:firstLine="0"/>
      </w:pPr>
      <w:rPr>
        <w:rFonts w:hAnsi="Arial" w:cs="Times New Roman" w:hint="default"/>
      </w:rPr>
    </w:lvl>
    <w:lvl w:ilvl="1">
      <w:start w:val="1"/>
      <w:numFmt w:val="none"/>
      <w:lvlText w:val=""/>
      <w:lvlJc w:val="left"/>
      <w:pPr>
        <w:ind w:left="0" w:firstLine="0"/>
      </w:pPr>
      <w:rPr>
        <w:rFonts w:hint="default"/>
      </w:rPr>
    </w:lvl>
    <w:lvl w:ilvl="2">
      <w:start w:val="1"/>
      <w:numFmt w:val="none"/>
      <w:lvlText w:val=""/>
      <w:lvlJc w:val="left"/>
      <w:pPr>
        <w:ind w:left="680" w:firstLine="0"/>
      </w:pPr>
      <w:rPr>
        <w:rFonts w:hint="default"/>
      </w:rPr>
    </w:lvl>
    <w:lvl w:ilvl="3">
      <w:start w:val="1"/>
      <w:numFmt w:val="none"/>
      <w:lvlText w:val=""/>
      <w:lvlJc w:val="left"/>
      <w:pPr>
        <w:ind w:left="68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2" w15:restartNumberingAfterBreak="0">
    <w:nsid w:val="3F6369D8"/>
    <w:multiLevelType w:val="multilevel"/>
    <w:tmpl w:val="D4A44AA8"/>
    <w:numStyleLink w:val="LLengage"/>
  </w:abstractNum>
  <w:abstractNum w:abstractNumId="53" w15:restartNumberingAfterBreak="0">
    <w:nsid w:val="414C5001"/>
    <w:multiLevelType w:val="multilevel"/>
    <w:tmpl w:val="3F4E1D08"/>
    <w:styleLink w:val="LLTableroman"/>
    <w:lvl w:ilvl="0">
      <w:start w:val="1"/>
      <w:numFmt w:val="lowerRoman"/>
      <w:pStyle w:val="Tableroman"/>
      <w:lvlText w:val="(%1)"/>
      <w:lvlJc w:val="left"/>
      <w:pPr>
        <w:tabs>
          <w:tab w:val="num" w:pos="680"/>
        </w:tabs>
        <w:ind w:left="680" w:hanging="680"/>
      </w:pPr>
      <w:rPr>
        <w:rFonts w:hAnsi="Arial" w:cs="Times New Roman" w:hint="default"/>
      </w:rPr>
    </w:lvl>
    <w:lvl w:ilvl="1">
      <w:start w:val="1"/>
      <w:numFmt w:val="none"/>
      <w:lvlText w:val=""/>
      <w:lvlJc w:val="left"/>
      <w:pPr>
        <w:ind w:left="680" w:hanging="680"/>
      </w:pPr>
      <w:rPr>
        <w:rFonts w:hint="default"/>
      </w:rPr>
    </w:lvl>
    <w:lvl w:ilvl="2">
      <w:start w:val="1"/>
      <w:numFmt w:val="none"/>
      <w:lvlText w:val=""/>
      <w:lvlJc w:val="left"/>
      <w:pPr>
        <w:ind w:left="680" w:hanging="680"/>
      </w:pPr>
      <w:rPr>
        <w:rFonts w:hint="default"/>
      </w:rPr>
    </w:lvl>
    <w:lvl w:ilvl="3">
      <w:start w:val="1"/>
      <w:numFmt w:val="none"/>
      <w:lvlText w:val=""/>
      <w:lvlJc w:val="left"/>
      <w:pPr>
        <w:ind w:left="680" w:hanging="680"/>
      </w:pPr>
      <w:rPr>
        <w:rFonts w:hint="default"/>
      </w:rPr>
    </w:lvl>
    <w:lvl w:ilvl="4">
      <w:start w:val="1"/>
      <w:numFmt w:val="none"/>
      <w:lvlText w:val=""/>
      <w:lvlJc w:val="left"/>
      <w:pPr>
        <w:ind w:left="680" w:hanging="680"/>
      </w:pPr>
      <w:rPr>
        <w:rFonts w:hint="default"/>
      </w:rPr>
    </w:lvl>
    <w:lvl w:ilvl="5">
      <w:start w:val="1"/>
      <w:numFmt w:val="none"/>
      <w:lvlText w:val=""/>
      <w:lvlJc w:val="left"/>
      <w:pPr>
        <w:ind w:left="680" w:hanging="680"/>
      </w:pPr>
      <w:rPr>
        <w:rFonts w:hint="default"/>
      </w:rPr>
    </w:lvl>
    <w:lvl w:ilvl="6">
      <w:start w:val="1"/>
      <w:numFmt w:val="none"/>
      <w:lvlText w:val=""/>
      <w:lvlJc w:val="left"/>
      <w:pPr>
        <w:ind w:left="680" w:hanging="680"/>
      </w:pPr>
      <w:rPr>
        <w:rFonts w:hint="default"/>
      </w:rPr>
    </w:lvl>
    <w:lvl w:ilvl="7">
      <w:start w:val="1"/>
      <w:numFmt w:val="none"/>
      <w:lvlText w:val=""/>
      <w:lvlJc w:val="left"/>
      <w:pPr>
        <w:ind w:left="680" w:hanging="680"/>
      </w:pPr>
      <w:rPr>
        <w:rFonts w:hint="default"/>
      </w:rPr>
    </w:lvl>
    <w:lvl w:ilvl="8">
      <w:start w:val="1"/>
      <w:numFmt w:val="none"/>
      <w:lvlText w:val=""/>
      <w:lvlJc w:val="left"/>
      <w:pPr>
        <w:ind w:left="680" w:hanging="680"/>
      </w:pPr>
      <w:rPr>
        <w:rFonts w:hint="default"/>
      </w:rPr>
    </w:lvl>
  </w:abstractNum>
  <w:abstractNum w:abstractNumId="54" w15:restartNumberingAfterBreak="0">
    <w:nsid w:val="44D60C64"/>
    <w:multiLevelType w:val="multilevel"/>
    <w:tmpl w:val="D4A44AA8"/>
    <w:styleLink w:val="LLengage"/>
    <w:lvl w:ilvl="0">
      <w:start w:val="1"/>
      <w:numFmt w:val="decimal"/>
      <w:pStyle w:val="engageL1"/>
      <w:lvlText w:val="%1"/>
      <w:lvlJc w:val="left"/>
      <w:pPr>
        <w:tabs>
          <w:tab w:val="num" w:pos="567"/>
        </w:tabs>
        <w:ind w:left="567" w:hanging="567"/>
      </w:pPr>
      <w:rPr>
        <w:rFonts w:ascii="Arial" w:hAnsi="Arial" w:cs="Arial" w:hint="default"/>
        <w:b/>
        <w:i w:val="0"/>
        <w:sz w:val="13"/>
      </w:rPr>
    </w:lvl>
    <w:lvl w:ilvl="1">
      <w:start w:val="1"/>
      <w:numFmt w:val="decimal"/>
      <w:pStyle w:val="engageL2"/>
      <w:lvlText w:val="%1.%2"/>
      <w:lvlJc w:val="left"/>
      <w:pPr>
        <w:tabs>
          <w:tab w:val="num" w:pos="567"/>
        </w:tabs>
        <w:ind w:left="567" w:hanging="567"/>
      </w:pPr>
      <w:rPr>
        <w:rFonts w:hint="default"/>
        <w:b/>
        <w:i w:val="0"/>
        <w:sz w:val="13"/>
      </w:rPr>
    </w:lvl>
    <w:lvl w:ilvl="2">
      <w:start w:val="1"/>
      <w:numFmt w:val="none"/>
      <w:lvlRestart w:val="0"/>
      <w:lvlText w:val=""/>
      <w:lvlJc w:val="left"/>
      <w:pPr>
        <w:ind w:left="567" w:hanging="567"/>
      </w:pPr>
      <w:rPr>
        <w:rFonts w:hint="default"/>
      </w:rPr>
    </w:lvl>
    <w:lvl w:ilvl="3">
      <w:start w:val="1"/>
      <w:numFmt w:val="none"/>
      <w:lvlRestart w:val="0"/>
      <w:lvlText w:val=""/>
      <w:lvlJc w:val="left"/>
      <w:pPr>
        <w:ind w:left="567" w:hanging="567"/>
      </w:pPr>
      <w:rPr>
        <w:rFonts w:hint="default"/>
      </w:rPr>
    </w:lvl>
    <w:lvl w:ilvl="4">
      <w:start w:val="1"/>
      <w:numFmt w:val="none"/>
      <w:lvlRestart w:val="0"/>
      <w:lvlText w:val=""/>
      <w:lvlJc w:val="left"/>
      <w:pPr>
        <w:ind w:left="567" w:hanging="567"/>
      </w:pPr>
      <w:rPr>
        <w:rFonts w:hint="default"/>
      </w:rPr>
    </w:lvl>
    <w:lvl w:ilvl="5">
      <w:start w:val="1"/>
      <w:numFmt w:val="none"/>
      <w:lvlRestart w:val="0"/>
      <w:lvlText w:val=""/>
      <w:lvlJc w:val="left"/>
      <w:pPr>
        <w:ind w:left="567" w:hanging="567"/>
      </w:pPr>
      <w:rPr>
        <w:rFonts w:hint="default"/>
      </w:rPr>
    </w:lvl>
    <w:lvl w:ilvl="6">
      <w:start w:val="1"/>
      <w:numFmt w:val="none"/>
      <w:lvlRestart w:val="0"/>
      <w:lvlText w:val=""/>
      <w:lvlJc w:val="left"/>
      <w:pPr>
        <w:ind w:left="567" w:hanging="567"/>
      </w:pPr>
      <w:rPr>
        <w:rFonts w:hint="default"/>
      </w:rPr>
    </w:lvl>
    <w:lvl w:ilvl="7">
      <w:start w:val="1"/>
      <w:numFmt w:val="none"/>
      <w:lvlRestart w:val="0"/>
      <w:lvlText w:val=""/>
      <w:lvlJc w:val="left"/>
      <w:pPr>
        <w:ind w:left="567" w:hanging="567"/>
      </w:pPr>
      <w:rPr>
        <w:rFonts w:hint="default"/>
      </w:rPr>
    </w:lvl>
    <w:lvl w:ilvl="8">
      <w:start w:val="1"/>
      <w:numFmt w:val="none"/>
      <w:lvlRestart w:val="0"/>
      <w:lvlText w:val=""/>
      <w:lvlJc w:val="left"/>
      <w:pPr>
        <w:ind w:left="567" w:hanging="567"/>
      </w:pPr>
      <w:rPr>
        <w:rFonts w:hint="default"/>
      </w:rPr>
    </w:lvl>
  </w:abstractNum>
  <w:abstractNum w:abstractNumId="55" w15:restartNumberingAfterBreak="0">
    <w:nsid w:val="46DB7166"/>
    <w:multiLevelType w:val="hybridMultilevel"/>
    <w:tmpl w:val="18B6881E"/>
    <w:lvl w:ilvl="0" w:tplc="607AC78E">
      <w:start w:val="1"/>
      <w:numFmt w:val="upperRoman"/>
      <w:lvlText w:val="(%1)"/>
      <w:lvlJc w:val="left"/>
      <w:pPr>
        <w:ind w:left="1996" w:hanging="72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56" w15:restartNumberingAfterBreak="0">
    <w:nsid w:val="4C2A2ED0"/>
    <w:multiLevelType w:val="multilevel"/>
    <w:tmpl w:val="70248C04"/>
    <w:styleLink w:val="LLSchedule"/>
    <w:lvl w:ilvl="0">
      <w:start w:val="1"/>
      <w:numFmt w:val="decimal"/>
      <w:pStyle w:val="Schedule1"/>
      <w:lvlText w:val="%1"/>
      <w:lvlJc w:val="left"/>
      <w:pPr>
        <w:tabs>
          <w:tab w:val="num" w:pos="680"/>
        </w:tabs>
        <w:ind w:left="680" w:hanging="680"/>
      </w:pPr>
      <w:rPr>
        <w:rFonts w:hAnsi="Arial" w:cs="Times New Roman"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1361"/>
        </w:tabs>
        <w:ind w:left="1361"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722"/>
        </w:tabs>
        <w:ind w:left="2722" w:hanging="681"/>
      </w:pPr>
      <w:rPr>
        <w:rFonts w:hint="default"/>
      </w:rPr>
    </w:lvl>
    <w:lvl w:ilvl="5">
      <w:start w:val="1"/>
      <w:numFmt w:val="upperRoman"/>
      <w:pStyle w:val="Schedule6"/>
      <w:lvlText w:val="(%6)"/>
      <w:lvlJc w:val="left"/>
      <w:pPr>
        <w:tabs>
          <w:tab w:val="num" w:pos="3402"/>
        </w:tabs>
        <w:ind w:left="3402" w:hanging="680"/>
      </w:pPr>
      <w:rPr>
        <w:rFonts w:hint="default"/>
      </w:rPr>
    </w:lvl>
    <w:lvl w:ilvl="6">
      <w:start w:val="1"/>
      <w:numFmt w:val="none"/>
      <w:lvlRestart w:val="0"/>
      <w:lvlText w:val=""/>
      <w:lvlJc w:val="left"/>
      <w:pPr>
        <w:ind w:left="3402" w:hanging="680"/>
      </w:pPr>
      <w:rPr>
        <w:rFonts w:hint="default"/>
      </w:rPr>
    </w:lvl>
    <w:lvl w:ilvl="7">
      <w:start w:val="1"/>
      <w:numFmt w:val="none"/>
      <w:lvlRestart w:val="0"/>
      <w:lvlText w:val=""/>
      <w:lvlJc w:val="left"/>
      <w:pPr>
        <w:ind w:left="3402" w:hanging="680"/>
      </w:pPr>
      <w:rPr>
        <w:rFonts w:hint="default"/>
      </w:rPr>
    </w:lvl>
    <w:lvl w:ilvl="8">
      <w:start w:val="1"/>
      <w:numFmt w:val="none"/>
      <w:lvlRestart w:val="0"/>
      <w:lvlText w:val=""/>
      <w:lvlJc w:val="left"/>
      <w:pPr>
        <w:ind w:left="3402" w:hanging="680"/>
      </w:pPr>
      <w:rPr>
        <w:rFonts w:hint="default"/>
      </w:rPr>
    </w:lvl>
  </w:abstractNum>
  <w:abstractNum w:abstractNumId="57" w15:restartNumberingAfterBreak="0">
    <w:nsid w:val="4CFE68D7"/>
    <w:multiLevelType w:val="multilevel"/>
    <w:tmpl w:val="6B8A2852"/>
    <w:styleLink w:val="LLalpha"/>
    <w:lvl w:ilvl="0">
      <w:start w:val="1"/>
      <w:numFmt w:val="lowerLetter"/>
      <w:pStyle w:val="alpha1"/>
      <w:lvlText w:val="(%1)"/>
      <w:lvlJc w:val="left"/>
      <w:pPr>
        <w:tabs>
          <w:tab w:val="num" w:pos="680"/>
        </w:tabs>
        <w:ind w:left="680" w:hanging="680"/>
      </w:pPr>
      <w:rPr>
        <w:rFonts w:hAnsi="Arial" w:cs="Times New Roman" w:hint="default"/>
      </w:rPr>
    </w:lvl>
    <w:lvl w:ilvl="1">
      <w:start w:val="1"/>
      <w:numFmt w:val="lowerLetter"/>
      <w:pStyle w:val="alpha2"/>
      <w:lvlText w:val="(%2)"/>
      <w:lvlJc w:val="left"/>
      <w:pPr>
        <w:tabs>
          <w:tab w:val="num" w:pos="1360"/>
        </w:tabs>
        <w:ind w:left="1360" w:hanging="680"/>
      </w:pPr>
      <w:rPr>
        <w:rFonts w:hint="default"/>
      </w:rPr>
    </w:lvl>
    <w:lvl w:ilvl="2">
      <w:start w:val="1"/>
      <w:numFmt w:val="lowerLetter"/>
      <w:pStyle w:val="alpha3"/>
      <w:lvlText w:val="(%3)"/>
      <w:lvlJc w:val="left"/>
      <w:pPr>
        <w:tabs>
          <w:tab w:val="num" w:pos="2040"/>
        </w:tabs>
        <w:ind w:left="2040" w:hanging="680"/>
      </w:pPr>
      <w:rPr>
        <w:rFonts w:hint="default"/>
      </w:rPr>
    </w:lvl>
    <w:lvl w:ilvl="3">
      <w:start w:val="1"/>
      <w:numFmt w:val="lowerLetter"/>
      <w:pStyle w:val="alpha4"/>
      <w:lvlText w:val="(%4)"/>
      <w:lvlJc w:val="left"/>
      <w:pPr>
        <w:tabs>
          <w:tab w:val="num" w:pos="2722"/>
        </w:tabs>
        <w:ind w:left="2722" w:hanging="682"/>
      </w:pPr>
      <w:rPr>
        <w:rFonts w:hint="default"/>
      </w:rPr>
    </w:lvl>
    <w:lvl w:ilvl="4">
      <w:start w:val="1"/>
      <w:numFmt w:val="lowerLetter"/>
      <w:pStyle w:val="alpha5"/>
      <w:lvlText w:val="(%5)"/>
      <w:lvlJc w:val="left"/>
      <w:pPr>
        <w:tabs>
          <w:tab w:val="num" w:pos="3402"/>
        </w:tabs>
        <w:ind w:left="3402" w:hanging="680"/>
      </w:pPr>
      <w:rPr>
        <w:rFonts w:hint="default"/>
      </w:rPr>
    </w:lvl>
    <w:lvl w:ilvl="5">
      <w:start w:val="1"/>
      <w:numFmt w:val="lowerLetter"/>
      <w:pStyle w:val="alpha6"/>
      <w:lvlText w:val="(%6)"/>
      <w:lvlJc w:val="left"/>
      <w:pPr>
        <w:tabs>
          <w:tab w:val="num" w:pos="4082"/>
        </w:tabs>
        <w:ind w:left="4082" w:hanging="680"/>
      </w:pPr>
      <w:rPr>
        <w:rFonts w:hint="default"/>
      </w:rPr>
    </w:lvl>
    <w:lvl w:ilvl="6">
      <w:start w:val="1"/>
      <w:numFmt w:val="none"/>
      <w:lvlRestart w:val="0"/>
      <w:lvlText w:val=""/>
      <w:lvlJc w:val="left"/>
      <w:pPr>
        <w:ind w:left="4082" w:hanging="680"/>
      </w:pPr>
      <w:rPr>
        <w:rFonts w:hint="default"/>
      </w:rPr>
    </w:lvl>
    <w:lvl w:ilvl="7">
      <w:start w:val="1"/>
      <w:numFmt w:val="none"/>
      <w:lvlRestart w:val="0"/>
      <w:lvlText w:val=""/>
      <w:lvlJc w:val="left"/>
      <w:pPr>
        <w:ind w:left="4082" w:hanging="680"/>
      </w:pPr>
      <w:rPr>
        <w:rFonts w:hint="default"/>
      </w:rPr>
    </w:lvl>
    <w:lvl w:ilvl="8">
      <w:start w:val="1"/>
      <w:numFmt w:val="none"/>
      <w:lvlRestart w:val="0"/>
      <w:lvlText w:val=""/>
      <w:lvlJc w:val="left"/>
      <w:pPr>
        <w:ind w:left="4082" w:hanging="680"/>
      </w:pPr>
      <w:rPr>
        <w:rFonts w:hint="default"/>
      </w:rPr>
    </w:lvl>
  </w:abstractNum>
  <w:abstractNum w:abstractNumId="58" w15:restartNumberingAfterBreak="0">
    <w:nsid w:val="53C20CF1"/>
    <w:multiLevelType w:val="multilevel"/>
    <w:tmpl w:val="579ECC4A"/>
    <w:numStyleLink w:val="LLroman"/>
  </w:abstractNum>
  <w:abstractNum w:abstractNumId="59" w15:restartNumberingAfterBreak="0">
    <w:nsid w:val="54C56367"/>
    <w:multiLevelType w:val="multilevel"/>
    <w:tmpl w:val="9F565188"/>
    <w:styleLink w:val="LLTable"/>
    <w:lvl w:ilvl="0">
      <w:start w:val="1"/>
      <w:numFmt w:val="decimal"/>
      <w:pStyle w:val="Table1"/>
      <w:lvlText w:val="%1"/>
      <w:lvlJc w:val="left"/>
      <w:pPr>
        <w:tabs>
          <w:tab w:val="num" w:pos="680"/>
        </w:tabs>
        <w:ind w:left="680" w:hanging="680"/>
      </w:pPr>
      <w:rPr>
        <w:rFonts w:hAnsi="Arial" w:cs="Times New Roman"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Restart w:val="0"/>
      <w:lvlText w:val=""/>
      <w:lvlJc w:val="left"/>
      <w:pPr>
        <w:ind w:left="680" w:hanging="680"/>
      </w:pPr>
      <w:rPr>
        <w:rFonts w:hint="default"/>
      </w:rPr>
    </w:lvl>
    <w:lvl w:ilvl="7">
      <w:start w:val="1"/>
      <w:numFmt w:val="none"/>
      <w:lvlRestart w:val="0"/>
      <w:lvlText w:val=""/>
      <w:lvlJc w:val="left"/>
      <w:pPr>
        <w:ind w:left="680" w:hanging="680"/>
      </w:pPr>
      <w:rPr>
        <w:rFonts w:hint="default"/>
      </w:rPr>
    </w:lvl>
    <w:lvl w:ilvl="8">
      <w:start w:val="1"/>
      <w:numFmt w:val="none"/>
      <w:lvlRestart w:val="0"/>
      <w:lvlText w:val=""/>
      <w:lvlJc w:val="left"/>
      <w:pPr>
        <w:ind w:left="680" w:hanging="680"/>
      </w:pPr>
      <w:rPr>
        <w:rFonts w:hint="default"/>
      </w:rPr>
    </w:lvl>
  </w:abstractNum>
  <w:abstractNum w:abstractNumId="60" w15:restartNumberingAfterBreak="0">
    <w:nsid w:val="56F71436"/>
    <w:multiLevelType w:val="multilevel"/>
    <w:tmpl w:val="383CCEC4"/>
    <w:numStyleLink w:val="LLdashbullet"/>
  </w:abstractNum>
  <w:abstractNum w:abstractNumId="61" w15:restartNumberingAfterBreak="0">
    <w:nsid w:val="5E547DDA"/>
    <w:multiLevelType w:val="multilevel"/>
    <w:tmpl w:val="C054F7D8"/>
    <w:numStyleLink w:val="LLTablebullet"/>
  </w:abstractNum>
  <w:abstractNum w:abstractNumId="62" w15:restartNumberingAfterBreak="0">
    <w:nsid w:val="5FBA1CD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5860861"/>
    <w:multiLevelType w:val="multilevel"/>
    <w:tmpl w:val="BB16DBE8"/>
    <w:styleLink w:val="LLRecitals"/>
    <w:lvl w:ilvl="0">
      <w:start w:val="1"/>
      <w:numFmt w:val="upperLetter"/>
      <w:pStyle w:val="Recitals"/>
      <w:lvlText w:val="(%1)"/>
      <w:lvlJc w:val="left"/>
      <w:pPr>
        <w:tabs>
          <w:tab w:val="num" w:pos="680"/>
        </w:tabs>
        <w:ind w:left="680" w:hanging="680"/>
      </w:pPr>
      <w:rPr>
        <w:rFonts w:hAnsi="Arial" w:cs="Times New Roman" w:hint="default"/>
      </w:rPr>
    </w:lvl>
    <w:lvl w:ilvl="1">
      <w:start w:val="1"/>
      <w:numFmt w:val="none"/>
      <w:lvlRestart w:val="0"/>
      <w:lvlText w:val=""/>
      <w:lvlJc w:val="left"/>
      <w:pPr>
        <w:ind w:left="680" w:hanging="680"/>
      </w:pPr>
      <w:rPr>
        <w:rFonts w:hint="default"/>
      </w:rPr>
    </w:lvl>
    <w:lvl w:ilvl="2">
      <w:start w:val="1"/>
      <w:numFmt w:val="none"/>
      <w:lvlRestart w:val="0"/>
      <w:lvlText w:val=""/>
      <w:lvlJc w:val="left"/>
      <w:pPr>
        <w:ind w:left="680" w:hanging="680"/>
      </w:pPr>
      <w:rPr>
        <w:rFonts w:hint="default"/>
      </w:rPr>
    </w:lvl>
    <w:lvl w:ilvl="3">
      <w:start w:val="1"/>
      <w:numFmt w:val="none"/>
      <w:lvlRestart w:val="0"/>
      <w:lvlText w:val=""/>
      <w:lvlJc w:val="left"/>
      <w:pPr>
        <w:ind w:left="680" w:hanging="680"/>
      </w:pPr>
      <w:rPr>
        <w:rFonts w:hint="default"/>
      </w:rPr>
    </w:lvl>
    <w:lvl w:ilvl="4">
      <w:start w:val="1"/>
      <w:numFmt w:val="none"/>
      <w:lvlRestart w:val="0"/>
      <w:lvlText w:val=""/>
      <w:lvlJc w:val="left"/>
      <w:pPr>
        <w:ind w:left="680" w:hanging="680"/>
      </w:pPr>
      <w:rPr>
        <w:rFonts w:hint="default"/>
      </w:rPr>
    </w:lvl>
    <w:lvl w:ilvl="5">
      <w:start w:val="1"/>
      <w:numFmt w:val="none"/>
      <w:lvlRestart w:val="0"/>
      <w:lvlText w:val=""/>
      <w:lvlJc w:val="left"/>
      <w:pPr>
        <w:ind w:left="680" w:hanging="680"/>
      </w:pPr>
      <w:rPr>
        <w:rFonts w:hint="default"/>
      </w:rPr>
    </w:lvl>
    <w:lvl w:ilvl="6">
      <w:start w:val="1"/>
      <w:numFmt w:val="none"/>
      <w:lvlRestart w:val="0"/>
      <w:lvlText w:val=""/>
      <w:lvlJc w:val="left"/>
      <w:pPr>
        <w:ind w:left="680" w:hanging="680"/>
      </w:pPr>
      <w:rPr>
        <w:rFonts w:hint="default"/>
      </w:rPr>
    </w:lvl>
    <w:lvl w:ilvl="7">
      <w:start w:val="1"/>
      <w:numFmt w:val="none"/>
      <w:lvlRestart w:val="0"/>
      <w:lvlText w:val=""/>
      <w:lvlJc w:val="left"/>
      <w:pPr>
        <w:ind w:left="680" w:hanging="680"/>
      </w:pPr>
      <w:rPr>
        <w:rFonts w:hint="default"/>
      </w:rPr>
    </w:lvl>
    <w:lvl w:ilvl="8">
      <w:start w:val="1"/>
      <w:numFmt w:val="none"/>
      <w:lvlRestart w:val="0"/>
      <w:lvlText w:val=""/>
      <w:lvlJc w:val="left"/>
      <w:pPr>
        <w:ind w:left="680" w:hanging="680"/>
      </w:pPr>
      <w:rPr>
        <w:rFonts w:hint="default"/>
      </w:rPr>
    </w:lvl>
  </w:abstractNum>
  <w:abstractNum w:abstractNumId="64" w15:restartNumberingAfterBreak="0">
    <w:nsid w:val="67091840"/>
    <w:multiLevelType w:val="hybridMultilevel"/>
    <w:tmpl w:val="9080FF02"/>
    <w:lvl w:ilvl="0" w:tplc="E60CF876">
      <w:start w:val="1"/>
      <w:numFmt w:val="upperRoman"/>
      <w:lvlText w:val="(%1)"/>
      <w:lvlJc w:val="left"/>
      <w:pPr>
        <w:ind w:left="1996" w:hanging="720"/>
      </w:pPr>
      <w:rPr>
        <w:rFonts w:hint="default"/>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65" w15:restartNumberingAfterBreak="0">
    <w:nsid w:val="6794670C"/>
    <w:multiLevelType w:val="hybridMultilevel"/>
    <w:tmpl w:val="02386E02"/>
    <w:lvl w:ilvl="0" w:tplc="F92CC668">
      <w:start w:val="1"/>
      <w:numFmt w:val="upperRoman"/>
      <w:lvlText w:val="(%1)"/>
      <w:lvlJc w:val="left"/>
      <w:pPr>
        <w:ind w:left="1429" w:hanging="360"/>
      </w:pPr>
      <w:rPr>
        <w:rFonts w:hint="default"/>
        <w:b w:val="0"/>
        <w:i w:val="0"/>
        <w:sz w:val="22"/>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66" w15:restartNumberingAfterBreak="0">
    <w:nsid w:val="6D8721FF"/>
    <w:multiLevelType w:val="multilevel"/>
    <w:tmpl w:val="FF669768"/>
    <w:numStyleLink w:val="LLTablealpha"/>
  </w:abstractNum>
  <w:abstractNum w:abstractNumId="67" w15:restartNumberingAfterBreak="0">
    <w:nsid w:val="71E40D2A"/>
    <w:multiLevelType w:val="hybridMultilevel"/>
    <w:tmpl w:val="56A43A6C"/>
    <w:lvl w:ilvl="0" w:tplc="15362D9E">
      <w:start w:val="1"/>
      <w:numFmt w:val="lowerRoman"/>
      <w:lvlText w:val="(%1)"/>
      <w:lvlJc w:val="left"/>
      <w:pPr>
        <w:ind w:left="1400" w:hanging="720"/>
      </w:pPr>
      <w:rPr>
        <w:rFonts w:hint="default"/>
      </w:rPr>
    </w:lvl>
    <w:lvl w:ilvl="1" w:tplc="08090019" w:tentative="1">
      <w:start w:val="1"/>
      <w:numFmt w:val="lowerLetter"/>
      <w:lvlText w:val="%2."/>
      <w:lvlJc w:val="left"/>
      <w:pPr>
        <w:ind w:left="1760" w:hanging="360"/>
      </w:pPr>
    </w:lvl>
    <w:lvl w:ilvl="2" w:tplc="0809001B" w:tentative="1">
      <w:start w:val="1"/>
      <w:numFmt w:val="lowerRoman"/>
      <w:lvlText w:val="%3."/>
      <w:lvlJc w:val="right"/>
      <w:pPr>
        <w:ind w:left="2480" w:hanging="180"/>
      </w:pPr>
    </w:lvl>
    <w:lvl w:ilvl="3" w:tplc="0809000F" w:tentative="1">
      <w:start w:val="1"/>
      <w:numFmt w:val="decimal"/>
      <w:lvlText w:val="%4."/>
      <w:lvlJc w:val="left"/>
      <w:pPr>
        <w:ind w:left="3200" w:hanging="360"/>
      </w:pPr>
    </w:lvl>
    <w:lvl w:ilvl="4" w:tplc="08090019" w:tentative="1">
      <w:start w:val="1"/>
      <w:numFmt w:val="lowerLetter"/>
      <w:lvlText w:val="%5."/>
      <w:lvlJc w:val="left"/>
      <w:pPr>
        <w:ind w:left="3920" w:hanging="360"/>
      </w:pPr>
    </w:lvl>
    <w:lvl w:ilvl="5" w:tplc="0809001B" w:tentative="1">
      <w:start w:val="1"/>
      <w:numFmt w:val="lowerRoman"/>
      <w:lvlText w:val="%6."/>
      <w:lvlJc w:val="right"/>
      <w:pPr>
        <w:ind w:left="4640" w:hanging="180"/>
      </w:pPr>
    </w:lvl>
    <w:lvl w:ilvl="6" w:tplc="0809000F" w:tentative="1">
      <w:start w:val="1"/>
      <w:numFmt w:val="decimal"/>
      <w:lvlText w:val="%7."/>
      <w:lvlJc w:val="left"/>
      <w:pPr>
        <w:ind w:left="5360" w:hanging="360"/>
      </w:pPr>
    </w:lvl>
    <w:lvl w:ilvl="7" w:tplc="08090019" w:tentative="1">
      <w:start w:val="1"/>
      <w:numFmt w:val="lowerLetter"/>
      <w:lvlText w:val="%8."/>
      <w:lvlJc w:val="left"/>
      <w:pPr>
        <w:ind w:left="6080" w:hanging="360"/>
      </w:pPr>
    </w:lvl>
    <w:lvl w:ilvl="8" w:tplc="0809001B" w:tentative="1">
      <w:start w:val="1"/>
      <w:numFmt w:val="lowerRoman"/>
      <w:lvlText w:val="%9."/>
      <w:lvlJc w:val="right"/>
      <w:pPr>
        <w:ind w:left="6800" w:hanging="180"/>
      </w:pPr>
    </w:lvl>
  </w:abstractNum>
  <w:abstractNum w:abstractNumId="68" w15:restartNumberingAfterBreak="0">
    <w:nsid w:val="720A2EA5"/>
    <w:multiLevelType w:val="multilevel"/>
    <w:tmpl w:val="CD34D7B6"/>
    <w:numStyleLink w:val="FormCOBody"/>
  </w:abstractNum>
  <w:abstractNum w:abstractNumId="69" w15:restartNumberingAfterBreak="0">
    <w:nsid w:val="73717529"/>
    <w:multiLevelType w:val="multilevel"/>
    <w:tmpl w:val="09BA6932"/>
    <w:styleLink w:val="LLbullet"/>
    <w:lvl w:ilvl="0">
      <w:start w:val="1"/>
      <w:numFmt w:val="bullet"/>
      <w:pStyle w:val="bullet1"/>
      <w:lvlText w:val=""/>
      <w:lvlJc w:val="left"/>
      <w:pPr>
        <w:tabs>
          <w:tab w:val="num" w:pos="680"/>
        </w:tabs>
        <w:ind w:left="680" w:hanging="680"/>
      </w:pPr>
      <w:rPr>
        <w:rFonts w:ascii="Symbol" w:hAnsi="Symbol" w:cs="Times New Roman" w:hint="default"/>
        <w:color w:val="auto"/>
      </w:rPr>
    </w:lvl>
    <w:lvl w:ilvl="1">
      <w:start w:val="1"/>
      <w:numFmt w:val="bullet"/>
      <w:lvlRestart w:val="0"/>
      <w:pStyle w:val="bullet2"/>
      <w:lvlText w:val=""/>
      <w:lvlJc w:val="left"/>
      <w:pPr>
        <w:tabs>
          <w:tab w:val="num" w:pos="1361"/>
        </w:tabs>
        <w:ind w:left="1361" w:hanging="681"/>
      </w:pPr>
      <w:rPr>
        <w:rFonts w:ascii="Symbol" w:hAnsi="Symbol" w:cs="Times New Roman" w:hint="default"/>
        <w:color w:val="auto"/>
      </w:rPr>
    </w:lvl>
    <w:lvl w:ilvl="2">
      <w:start w:val="1"/>
      <w:numFmt w:val="bullet"/>
      <w:lvlRestart w:val="0"/>
      <w:pStyle w:val="bullet3"/>
      <w:lvlText w:val=""/>
      <w:lvlJc w:val="left"/>
      <w:pPr>
        <w:tabs>
          <w:tab w:val="num" w:pos="2041"/>
        </w:tabs>
        <w:ind w:left="2041" w:hanging="680"/>
      </w:pPr>
      <w:rPr>
        <w:rFonts w:ascii="Symbol" w:hAnsi="Symbol" w:cs="Times New Roman" w:hint="default"/>
        <w:color w:val="auto"/>
      </w:rPr>
    </w:lvl>
    <w:lvl w:ilvl="3">
      <w:start w:val="1"/>
      <w:numFmt w:val="bullet"/>
      <w:lvlRestart w:val="0"/>
      <w:pStyle w:val="bullet4"/>
      <w:lvlText w:val=""/>
      <w:lvlJc w:val="left"/>
      <w:pPr>
        <w:tabs>
          <w:tab w:val="num" w:pos="2722"/>
        </w:tabs>
        <w:ind w:left="2722" w:hanging="681"/>
      </w:pPr>
      <w:rPr>
        <w:rFonts w:ascii="Symbol" w:hAnsi="Symbol" w:cs="Times New Roman" w:hint="default"/>
        <w:color w:val="auto"/>
      </w:rPr>
    </w:lvl>
    <w:lvl w:ilvl="4">
      <w:start w:val="1"/>
      <w:numFmt w:val="bullet"/>
      <w:lvlRestart w:val="0"/>
      <w:pStyle w:val="bullet5"/>
      <w:lvlText w:val=""/>
      <w:lvlJc w:val="left"/>
      <w:pPr>
        <w:tabs>
          <w:tab w:val="num" w:pos="3402"/>
        </w:tabs>
        <w:ind w:left="3402" w:hanging="680"/>
      </w:pPr>
      <w:rPr>
        <w:rFonts w:ascii="Symbol" w:hAnsi="Symbol" w:cs="Times New Roman" w:hint="default"/>
        <w:color w:val="auto"/>
      </w:rPr>
    </w:lvl>
    <w:lvl w:ilvl="5">
      <w:start w:val="1"/>
      <w:numFmt w:val="bullet"/>
      <w:lvlRestart w:val="0"/>
      <w:pStyle w:val="bullet6"/>
      <w:lvlText w:val=""/>
      <w:lvlJc w:val="left"/>
      <w:pPr>
        <w:tabs>
          <w:tab w:val="num" w:pos="4082"/>
        </w:tabs>
        <w:ind w:left="4082" w:hanging="680"/>
      </w:pPr>
      <w:rPr>
        <w:rFonts w:ascii="Symbol" w:hAnsi="Symbol" w:cs="Times New Roman" w:hint="default"/>
        <w:color w:val="auto"/>
      </w:rPr>
    </w:lvl>
    <w:lvl w:ilvl="6">
      <w:start w:val="1"/>
      <w:numFmt w:val="none"/>
      <w:lvlRestart w:val="0"/>
      <w:lvlText w:val=""/>
      <w:lvlJc w:val="left"/>
      <w:pPr>
        <w:ind w:left="4082" w:hanging="680"/>
      </w:pPr>
      <w:rPr>
        <w:rFonts w:hint="default"/>
      </w:rPr>
    </w:lvl>
    <w:lvl w:ilvl="7">
      <w:start w:val="1"/>
      <w:numFmt w:val="none"/>
      <w:lvlRestart w:val="0"/>
      <w:lvlText w:val=""/>
      <w:lvlJc w:val="left"/>
      <w:pPr>
        <w:ind w:left="4082" w:hanging="680"/>
      </w:pPr>
      <w:rPr>
        <w:rFonts w:hint="default"/>
      </w:rPr>
    </w:lvl>
    <w:lvl w:ilvl="8">
      <w:start w:val="1"/>
      <w:numFmt w:val="none"/>
      <w:lvlRestart w:val="0"/>
      <w:lvlText w:val=""/>
      <w:lvlJc w:val="left"/>
      <w:pPr>
        <w:ind w:left="4082" w:hanging="680"/>
      </w:pPr>
      <w:rPr>
        <w:rFonts w:hint="default"/>
      </w:rPr>
    </w:lvl>
  </w:abstractNum>
  <w:abstractNum w:abstractNumId="70" w15:restartNumberingAfterBreak="0">
    <w:nsid w:val="74A95B21"/>
    <w:multiLevelType w:val="hybridMultilevel"/>
    <w:tmpl w:val="D01AFB22"/>
    <w:lvl w:ilvl="0" w:tplc="F92CC668">
      <w:start w:val="1"/>
      <w:numFmt w:val="upperRoman"/>
      <w:lvlText w:val="(%1)"/>
      <w:lvlJc w:val="left"/>
      <w:pPr>
        <w:ind w:left="2055" w:hanging="360"/>
      </w:pPr>
      <w:rPr>
        <w:rFonts w:hint="default"/>
        <w:b w:val="0"/>
        <w:i w:val="0"/>
        <w:sz w:val="22"/>
      </w:rPr>
    </w:lvl>
    <w:lvl w:ilvl="1" w:tplc="08090019">
      <w:start w:val="1"/>
      <w:numFmt w:val="lowerLetter"/>
      <w:lvlText w:val="%2."/>
      <w:lvlJc w:val="left"/>
      <w:pPr>
        <w:ind w:left="2775" w:hanging="360"/>
      </w:p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71" w15:restartNumberingAfterBreak="0">
    <w:nsid w:val="7C260529"/>
    <w:multiLevelType w:val="multilevel"/>
    <w:tmpl w:val="F49C9BD6"/>
    <w:numStyleLink w:val="LLUCRoman"/>
  </w:abstractNum>
  <w:abstractNum w:abstractNumId="72" w15:restartNumberingAfterBreak="0">
    <w:nsid w:val="7CD96D4E"/>
    <w:multiLevelType w:val="hybridMultilevel"/>
    <w:tmpl w:val="7B54EBEC"/>
    <w:lvl w:ilvl="0" w:tplc="24345006">
      <w:start w:val="1"/>
      <w:numFmt w:val="upperLetter"/>
      <w:lvlText w:val="(%1)"/>
      <w:lvlJc w:val="left"/>
      <w:pPr>
        <w:ind w:left="1760" w:hanging="360"/>
      </w:pPr>
      <w:rPr>
        <w:rFonts w:hint="default"/>
      </w:rPr>
    </w:lvl>
    <w:lvl w:ilvl="1" w:tplc="08090019" w:tentative="1">
      <w:start w:val="1"/>
      <w:numFmt w:val="lowerLetter"/>
      <w:lvlText w:val="%2."/>
      <w:lvlJc w:val="left"/>
      <w:pPr>
        <w:ind w:left="2480" w:hanging="360"/>
      </w:pPr>
    </w:lvl>
    <w:lvl w:ilvl="2" w:tplc="0809001B" w:tentative="1">
      <w:start w:val="1"/>
      <w:numFmt w:val="lowerRoman"/>
      <w:lvlText w:val="%3."/>
      <w:lvlJc w:val="right"/>
      <w:pPr>
        <w:ind w:left="3200" w:hanging="180"/>
      </w:pPr>
    </w:lvl>
    <w:lvl w:ilvl="3" w:tplc="0809000F" w:tentative="1">
      <w:start w:val="1"/>
      <w:numFmt w:val="decimal"/>
      <w:lvlText w:val="%4."/>
      <w:lvlJc w:val="left"/>
      <w:pPr>
        <w:ind w:left="3920" w:hanging="360"/>
      </w:pPr>
    </w:lvl>
    <w:lvl w:ilvl="4" w:tplc="08090019" w:tentative="1">
      <w:start w:val="1"/>
      <w:numFmt w:val="lowerLetter"/>
      <w:lvlText w:val="%5."/>
      <w:lvlJc w:val="left"/>
      <w:pPr>
        <w:ind w:left="4640" w:hanging="360"/>
      </w:pPr>
    </w:lvl>
    <w:lvl w:ilvl="5" w:tplc="0809001B" w:tentative="1">
      <w:start w:val="1"/>
      <w:numFmt w:val="lowerRoman"/>
      <w:lvlText w:val="%6."/>
      <w:lvlJc w:val="right"/>
      <w:pPr>
        <w:ind w:left="5360" w:hanging="180"/>
      </w:pPr>
    </w:lvl>
    <w:lvl w:ilvl="6" w:tplc="0809000F" w:tentative="1">
      <w:start w:val="1"/>
      <w:numFmt w:val="decimal"/>
      <w:lvlText w:val="%7."/>
      <w:lvlJc w:val="left"/>
      <w:pPr>
        <w:ind w:left="6080" w:hanging="360"/>
      </w:pPr>
    </w:lvl>
    <w:lvl w:ilvl="7" w:tplc="08090019" w:tentative="1">
      <w:start w:val="1"/>
      <w:numFmt w:val="lowerLetter"/>
      <w:lvlText w:val="%8."/>
      <w:lvlJc w:val="left"/>
      <w:pPr>
        <w:ind w:left="6800" w:hanging="360"/>
      </w:pPr>
    </w:lvl>
    <w:lvl w:ilvl="8" w:tplc="0809001B" w:tentative="1">
      <w:start w:val="1"/>
      <w:numFmt w:val="lowerRoman"/>
      <w:lvlText w:val="%9."/>
      <w:lvlJc w:val="right"/>
      <w:pPr>
        <w:ind w:left="7520" w:hanging="180"/>
      </w:pPr>
    </w:lvl>
  </w:abstractNum>
  <w:num w:numId="1">
    <w:abstractNumId w:val="57"/>
  </w:num>
  <w:num w:numId="2">
    <w:abstractNumId w:val="69"/>
  </w:num>
  <w:num w:numId="3">
    <w:abstractNumId w:val="46"/>
  </w:num>
  <w:num w:numId="4">
    <w:abstractNumId w:val="38"/>
  </w:num>
  <w:num w:numId="5">
    <w:abstractNumId w:val="54"/>
  </w:num>
  <w:num w:numId="6">
    <w:abstractNumId w:val="27"/>
  </w:num>
  <w:num w:numId="7">
    <w:abstractNumId w:val="15"/>
  </w:num>
  <w:num w:numId="8">
    <w:abstractNumId w:val="43"/>
  </w:num>
  <w:num w:numId="9">
    <w:abstractNumId w:val="31"/>
  </w:num>
  <w:num w:numId="10">
    <w:abstractNumId w:val="63"/>
  </w:num>
  <w:num w:numId="11">
    <w:abstractNumId w:val="24"/>
  </w:num>
  <w:num w:numId="12">
    <w:abstractNumId w:val="56"/>
  </w:num>
  <w:num w:numId="13">
    <w:abstractNumId w:val="22"/>
  </w:num>
  <w:num w:numId="14">
    <w:abstractNumId w:val="59"/>
  </w:num>
  <w:num w:numId="15">
    <w:abstractNumId w:val="35"/>
  </w:num>
  <w:num w:numId="16">
    <w:abstractNumId w:val="13"/>
  </w:num>
  <w:num w:numId="17">
    <w:abstractNumId w:val="53"/>
  </w:num>
  <w:num w:numId="18">
    <w:abstractNumId w:val="51"/>
  </w:num>
  <w:num w:numId="19">
    <w:abstractNumId w:val="19"/>
  </w:num>
  <w:num w:numId="20">
    <w:abstractNumId w:val="34"/>
  </w:num>
  <w:num w:numId="21">
    <w:abstractNumId w:val="50"/>
  </w:num>
  <w:num w:numId="22">
    <w:abstractNumId w:val="18"/>
  </w:num>
  <w:num w:numId="23">
    <w:abstractNumId w:val="61"/>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62"/>
  </w:num>
  <w:num w:numId="35">
    <w:abstractNumId w:val="28"/>
  </w:num>
  <w:num w:numId="36">
    <w:abstractNumId w:val="40"/>
  </w:num>
  <w:num w:numId="37">
    <w:abstractNumId w:val="32"/>
  </w:num>
  <w:num w:numId="38">
    <w:abstractNumId w:val="42"/>
  </w:num>
  <w:num w:numId="39">
    <w:abstractNumId w:val="68"/>
  </w:num>
  <w:num w:numId="40">
    <w:abstractNumId w:val="20"/>
  </w:num>
  <w:num w:numId="41">
    <w:abstractNumId w:val="60"/>
  </w:num>
  <w:num w:numId="42">
    <w:abstractNumId w:val="29"/>
  </w:num>
  <w:num w:numId="43">
    <w:abstractNumId w:val="44"/>
  </w:num>
  <w:num w:numId="44">
    <w:abstractNumId w:val="52"/>
  </w:num>
  <w:num w:numId="45">
    <w:abstractNumId w:val="41"/>
  </w:num>
  <w:num w:numId="46">
    <w:abstractNumId w:val="17"/>
  </w:num>
  <w:num w:numId="47">
    <w:abstractNumId w:val="37"/>
  </w:num>
  <w:num w:numId="48">
    <w:abstractNumId w:val="12"/>
  </w:num>
  <w:num w:numId="49">
    <w:abstractNumId w:val="58"/>
  </w:num>
  <w:num w:numId="50">
    <w:abstractNumId w:val="14"/>
  </w:num>
  <w:num w:numId="51">
    <w:abstractNumId w:val="25"/>
  </w:num>
  <w:num w:numId="52">
    <w:abstractNumId w:val="21"/>
  </w:num>
  <w:num w:numId="53">
    <w:abstractNumId w:val="23"/>
  </w:num>
  <w:num w:numId="54">
    <w:abstractNumId w:val="66"/>
  </w:num>
  <w:num w:numId="55">
    <w:abstractNumId w:val="39"/>
  </w:num>
  <w:num w:numId="56">
    <w:abstractNumId w:val="45"/>
  </w:num>
  <w:num w:numId="57">
    <w:abstractNumId w:val="71"/>
  </w:num>
  <w:num w:numId="58">
    <w:abstractNumId w:val="70"/>
  </w:num>
  <w:num w:numId="59">
    <w:abstractNumId w:val="33"/>
  </w:num>
  <w:num w:numId="60">
    <w:abstractNumId w:val="65"/>
  </w:num>
  <w:num w:numId="61">
    <w:abstractNumId w:val="11"/>
  </w:num>
  <w:num w:numId="62">
    <w:abstractNumId w:val="36"/>
  </w:num>
  <w:num w:numId="63">
    <w:abstractNumId w:val="67"/>
  </w:num>
  <w:num w:numId="64">
    <w:abstractNumId w:val="72"/>
  </w:num>
  <w:num w:numId="65">
    <w:abstractNumId w:val="26"/>
  </w:num>
  <w:num w:numId="66">
    <w:abstractNumId w:val="47"/>
  </w:num>
  <w:num w:numId="67">
    <w:abstractNumId w:val="10"/>
  </w:num>
  <w:num w:numId="68">
    <w:abstractNumId w:val="30"/>
  </w:num>
  <w:num w:numId="69">
    <w:abstractNumId w:val="64"/>
  </w:num>
  <w:num w:numId="70">
    <w:abstractNumId w:val="49"/>
  </w:num>
  <w:num w:numId="71">
    <w:abstractNumId w:val="55"/>
  </w:num>
  <w:num w:numId="72">
    <w:abstractNumId w:val="16"/>
  </w:num>
  <w:num w:numId="73">
    <w:abstractNumId w:val="48"/>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y Authorised User">
    <w15:presenceInfo w15:providerId="None" w15:userId="Any Authorised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NotTrackMoves/>
  <w:doNotTrackFormatting/>
  <w:defaultTabStop w:val="68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TMS_BusinessUnitID" w:val="LinklatersLLP"/>
    <w:docVar w:name="TMS_CultureID" w:val="English-UK"/>
    <w:docVar w:name="TMS_OfficeID" w:val="London"/>
  </w:docVars>
  <w:rsids>
    <w:rsidRoot w:val="0074544A"/>
    <w:rsid w:val="0000012F"/>
    <w:rsid w:val="00004054"/>
    <w:rsid w:val="00004861"/>
    <w:rsid w:val="00021833"/>
    <w:rsid w:val="0002770F"/>
    <w:rsid w:val="00035179"/>
    <w:rsid w:val="000365F6"/>
    <w:rsid w:val="00037492"/>
    <w:rsid w:val="00044684"/>
    <w:rsid w:val="000508EF"/>
    <w:rsid w:val="000512F5"/>
    <w:rsid w:val="00057864"/>
    <w:rsid w:val="000609C1"/>
    <w:rsid w:val="00061059"/>
    <w:rsid w:val="00062A85"/>
    <w:rsid w:val="00066E4A"/>
    <w:rsid w:val="00072B06"/>
    <w:rsid w:val="00075BA9"/>
    <w:rsid w:val="0007706F"/>
    <w:rsid w:val="00077B98"/>
    <w:rsid w:val="00081621"/>
    <w:rsid w:val="00084319"/>
    <w:rsid w:val="0009043C"/>
    <w:rsid w:val="000921C6"/>
    <w:rsid w:val="000B34AF"/>
    <w:rsid w:val="000C693E"/>
    <w:rsid w:val="000D12F9"/>
    <w:rsid w:val="000D5842"/>
    <w:rsid w:val="000E5B96"/>
    <w:rsid w:val="000E7F00"/>
    <w:rsid w:val="001047DB"/>
    <w:rsid w:val="00105C0D"/>
    <w:rsid w:val="00112520"/>
    <w:rsid w:val="001163CC"/>
    <w:rsid w:val="00134FDA"/>
    <w:rsid w:val="0014486A"/>
    <w:rsid w:val="00153C79"/>
    <w:rsid w:val="00160754"/>
    <w:rsid w:val="00160AA6"/>
    <w:rsid w:val="00160BE5"/>
    <w:rsid w:val="00162AF2"/>
    <w:rsid w:val="001649C0"/>
    <w:rsid w:val="001655FA"/>
    <w:rsid w:val="00174232"/>
    <w:rsid w:val="00174588"/>
    <w:rsid w:val="001824E6"/>
    <w:rsid w:val="00192F2D"/>
    <w:rsid w:val="00197DFF"/>
    <w:rsid w:val="001B052B"/>
    <w:rsid w:val="001B27B2"/>
    <w:rsid w:val="001C3888"/>
    <w:rsid w:val="001C58C7"/>
    <w:rsid w:val="001C6A07"/>
    <w:rsid w:val="001D1496"/>
    <w:rsid w:val="001D6F53"/>
    <w:rsid w:val="001E155F"/>
    <w:rsid w:val="001F3CA5"/>
    <w:rsid w:val="002035F3"/>
    <w:rsid w:val="002063E8"/>
    <w:rsid w:val="00213165"/>
    <w:rsid w:val="002179F2"/>
    <w:rsid w:val="00234887"/>
    <w:rsid w:val="00244B87"/>
    <w:rsid w:val="00270EB9"/>
    <w:rsid w:val="002774DB"/>
    <w:rsid w:val="002816E8"/>
    <w:rsid w:val="00282FCB"/>
    <w:rsid w:val="002906B3"/>
    <w:rsid w:val="002920B4"/>
    <w:rsid w:val="002A29F5"/>
    <w:rsid w:val="002A65AE"/>
    <w:rsid w:val="002A6A04"/>
    <w:rsid w:val="002B0E36"/>
    <w:rsid w:val="002B2A5F"/>
    <w:rsid w:val="002D0F1F"/>
    <w:rsid w:val="002D117D"/>
    <w:rsid w:val="002D4532"/>
    <w:rsid w:val="002D599B"/>
    <w:rsid w:val="002E672C"/>
    <w:rsid w:val="002F5B77"/>
    <w:rsid w:val="003001E5"/>
    <w:rsid w:val="00304CBF"/>
    <w:rsid w:val="00310C23"/>
    <w:rsid w:val="003178AC"/>
    <w:rsid w:val="00317CB1"/>
    <w:rsid w:val="00323FE9"/>
    <w:rsid w:val="00325C07"/>
    <w:rsid w:val="00327787"/>
    <w:rsid w:val="003303B2"/>
    <w:rsid w:val="00331E07"/>
    <w:rsid w:val="00350E2D"/>
    <w:rsid w:val="00371AB7"/>
    <w:rsid w:val="00380742"/>
    <w:rsid w:val="00387F78"/>
    <w:rsid w:val="003940E5"/>
    <w:rsid w:val="00394FAA"/>
    <w:rsid w:val="003A1BEE"/>
    <w:rsid w:val="003A2737"/>
    <w:rsid w:val="003A2AB7"/>
    <w:rsid w:val="003A3514"/>
    <w:rsid w:val="003A4194"/>
    <w:rsid w:val="003A683A"/>
    <w:rsid w:val="003B0964"/>
    <w:rsid w:val="003B0B81"/>
    <w:rsid w:val="003C4F7D"/>
    <w:rsid w:val="003C6F41"/>
    <w:rsid w:val="003D6264"/>
    <w:rsid w:val="003E2B09"/>
    <w:rsid w:val="003E3240"/>
    <w:rsid w:val="003F7B2A"/>
    <w:rsid w:val="00406FFB"/>
    <w:rsid w:val="004075CD"/>
    <w:rsid w:val="00411DF4"/>
    <w:rsid w:val="0041384B"/>
    <w:rsid w:val="00414908"/>
    <w:rsid w:val="0042644E"/>
    <w:rsid w:val="0042707D"/>
    <w:rsid w:val="00445B47"/>
    <w:rsid w:val="004567A2"/>
    <w:rsid w:val="00473269"/>
    <w:rsid w:val="004732D3"/>
    <w:rsid w:val="00483B17"/>
    <w:rsid w:val="00485155"/>
    <w:rsid w:val="0048643A"/>
    <w:rsid w:val="00490455"/>
    <w:rsid w:val="00494D08"/>
    <w:rsid w:val="004B2229"/>
    <w:rsid w:val="004C1B6F"/>
    <w:rsid w:val="004C3271"/>
    <w:rsid w:val="004C5DA6"/>
    <w:rsid w:val="004F0BEE"/>
    <w:rsid w:val="00502F67"/>
    <w:rsid w:val="0050306E"/>
    <w:rsid w:val="005136B7"/>
    <w:rsid w:val="00514E78"/>
    <w:rsid w:val="00515721"/>
    <w:rsid w:val="005230D3"/>
    <w:rsid w:val="00531DD4"/>
    <w:rsid w:val="0053377E"/>
    <w:rsid w:val="00543E90"/>
    <w:rsid w:val="005502E6"/>
    <w:rsid w:val="00553803"/>
    <w:rsid w:val="00557A51"/>
    <w:rsid w:val="005614A5"/>
    <w:rsid w:val="00572BF8"/>
    <w:rsid w:val="00595D34"/>
    <w:rsid w:val="005A1371"/>
    <w:rsid w:val="005A591E"/>
    <w:rsid w:val="005B57EC"/>
    <w:rsid w:val="005B7B9F"/>
    <w:rsid w:val="005B7F6C"/>
    <w:rsid w:val="005C0101"/>
    <w:rsid w:val="005C483B"/>
    <w:rsid w:val="005D0D46"/>
    <w:rsid w:val="005D47D7"/>
    <w:rsid w:val="005D6248"/>
    <w:rsid w:val="005E3920"/>
    <w:rsid w:val="005F0266"/>
    <w:rsid w:val="005F726F"/>
    <w:rsid w:val="00606A61"/>
    <w:rsid w:val="00606BD0"/>
    <w:rsid w:val="00610C32"/>
    <w:rsid w:val="00615FC4"/>
    <w:rsid w:val="006351CA"/>
    <w:rsid w:val="006362D6"/>
    <w:rsid w:val="00641E23"/>
    <w:rsid w:val="00644326"/>
    <w:rsid w:val="00647747"/>
    <w:rsid w:val="00653618"/>
    <w:rsid w:val="006573E0"/>
    <w:rsid w:val="00685DE8"/>
    <w:rsid w:val="00695B82"/>
    <w:rsid w:val="00696C59"/>
    <w:rsid w:val="006A7AEA"/>
    <w:rsid w:val="006B124F"/>
    <w:rsid w:val="006B3783"/>
    <w:rsid w:val="006B41F6"/>
    <w:rsid w:val="006B48F2"/>
    <w:rsid w:val="006B5468"/>
    <w:rsid w:val="006C5AFE"/>
    <w:rsid w:val="006C6A1A"/>
    <w:rsid w:val="006D168C"/>
    <w:rsid w:val="006D2EFD"/>
    <w:rsid w:val="006D34FE"/>
    <w:rsid w:val="006D6124"/>
    <w:rsid w:val="006E52F9"/>
    <w:rsid w:val="006F02F8"/>
    <w:rsid w:val="00703610"/>
    <w:rsid w:val="0070783C"/>
    <w:rsid w:val="007147A3"/>
    <w:rsid w:val="00714A56"/>
    <w:rsid w:val="00714CCA"/>
    <w:rsid w:val="00725E64"/>
    <w:rsid w:val="00735BA2"/>
    <w:rsid w:val="0074544A"/>
    <w:rsid w:val="0074780B"/>
    <w:rsid w:val="007522B8"/>
    <w:rsid w:val="007554F8"/>
    <w:rsid w:val="00762743"/>
    <w:rsid w:val="00772B9B"/>
    <w:rsid w:val="00782908"/>
    <w:rsid w:val="00784D7B"/>
    <w:rsid w:val="00787110"/>
    <w:rsid w:val="007953BF"/>
    <w:rsid w:val="00795703"/>
    <w:rsid w:val="007A03DD"/>
    <w:rsid w:val="007B17F3"/>
    <w:rsid w:val="007B1C4D"/>
    <w:rsid w:val="007D1E0B"/>
    <w:rsid w:val="007D58E9"/>
    <w:rsid w:val="007F3BFE"/>
    <w:rsid w:val="007F5EC5"/>
    <w:rsid w:val="00812EAF"/>
    <w:rsid w:val="00815EC2"/>
    <w:rsid w:val="008328BD"/>
    <w:rsid w:val="00833E9A"/>
    <w:rsid w:val="00834AEC"/>
    <w:rsid w:val="00836E6A"/>
    <w:rsid w:val="008402A9"/>
    <w:rsid w:val="0084230F"/>
    <w:rsid w:val="00856CE5"/>
    <w:rsid w:val="00864E4D"/>
    <w:rsid w:val="00880291"/>
    <w:rsid w:val="008843B2"/>
    <w:rsid w:val="00885E92"/>
    <w:rsid w:val="00886392"/>
    <w:rsid w:val="00892358"/>
    <w:rsid w:val="00893677"/>
    <w:rsid w:val="00895095"/>
    <w:rsid w:val="008A3295"/>
    <w:rsid w:val="008A64AE"/>
    <w:rsid w:val="008B0365"/>
    <w:rsid w:val="008B1D97"/>
    <w:rsid w:val="008B2EBD"/>
    <w:rsid w:val="008B44E2"/>
    <w:rsid w:val="008C55B6"/>
    <w:rsid w:val="008D2449"/>
    <w:rsid w:val="008D2E1E"/>
    <w:rsid w:val="008F1E10"/>
    <w:rsid w:val="008F6449"/>
    <w:rsid w:val="009111BE"/>
    <w:rsid w:val="00922B56"/>
    <w:rsid w:val="009231F7"/>
    <w:rsid w:val="00924593"/>
    <w:rsid w:val="009303ED"/>
    <w:rsid w:val="0093377B"/>
    <w:rsid w:val="009342CC"/>
    <w:rsid w:val="00935CA9"/>
    <w:rsid w:val="00940095"/>
    <w:rsid w:val="009420B5"/>
    <w:rsid w:val="00945827"/>
    <w:rsid w:val="00956AFB"/>
    <w:rsid w:val="009573AF"/>
    <w:rsid w:val="00957BD6"/>
    <w:rsid w:val="0098164B"/>
    <w:rsid w:val="00982898"/>
    <w:rsid w:val="009A59F3"/>
    <w:rsid w:val="009A7265"/>
    <w:rsid w:val="009A7A10"/>
    <w:rsid w:val="009C44A0"/>
    <w:rsid w:val="009C500A"/>
    <w:rsid w:val="009D3D46"/>
    <w:rsid w:val="009F02DB"/>
    <w:rsid w:val="00A117B5"/>
    <w:rsid w:val="00A170EE"/>
    <w:rsid w:val="00A34CE2"/>
    <w:rsid w:val="00A351AA"/>
    <w:rsid w:val="00A43AD8"/>
    <w:rsid w:val="00A47253"/>
    <w:rsid w:val="00A55F2D"/>
    <w:rsid w:val="00A57181"/>
    <w:rsid w:val="00A6353E"/>
    <w:rsid w:val="00A6485C"/>
    <w:rsid w:val="00A649DE"/>
    <w:rsid w:val="00A87828"/>
    <w:rsid w:val="00A90873"/>
    <w:rsid w:val="00AA4B76"/>
    <w:rsid w:val="00AB1E95"/>
    <w:rsid w:val="00AB26A1"/>
    <w:rsid w:val="00AB5103"/>
    <w:rsid w:val="00AC0666"/>
    <w:rsid w:val="00AC08BF"/>
    <w:rsid w:val="00AC6F0E"/>
    <w:rsid w:val="00AC73A1"/>
    <w:rsid w:val="00AC7E95"/>
    <w:rsid w:val="00AD37D2"/>
    <w:rsid w:val="00AF20BD"/>
    <w:rsid w:val="00AF56D5"/>
    <w:rsid w:val="00AF6948"/>
    <w:rsid w:val="00AF69C6"/>
    <w:rsid w:val="00B01C3D"/>
    <w:rsid w:val="00B152C6"/>
    <w:rsid w:val="00B17449"/>
    <w:rsid w:val="00B17CA9"/>
    <w:rsid w:val="00B20A88"/>
    <w:rsid w:val="00B242E7"/>
    <w:rsid w:val="00B32F37"/>
    <w:rsid w:val="00B34F24"/>
    <w:rsid w:val="00B40FF7"/>
    <w:rsid w:val="00B416FE"/>
    <w:rsid w:val="00B510CB"/>
    <w:rsid w:val="00B55D9C"/>
    <w:rsid w:val="00B577A8"/>
    <w:rsid w:val="00B6584D"/>
    <w:rsid w:val="00B708F7"/>
    <w:rsid w:val="00B70D8F"/>
    <w:rsid w:val="00B71AA0"/>
    <w:rsid w:val="00B72FF5"/>
    <w:rsid w:val="00B74550"/>
    <w:rsid w:val="00B74AD7"/>
    <w:rsid w:val="00B77D72"/>
    <w:rsid w:val="00B80716"/>
    <w:rsid w:val="00B842FB"/>
    <w:rsid w:val="00B86B25"/>
    <w:rsid w:val="00B87837"/>
    <w:rsid w:val="00B922A0"/>
    <w:rsid w:val="00B92B5B"/>
    <w:rsid w:val="00BA0253"/>
    <w:rsid w:val="00BA1E24"/>
    <w:rsid w:val="00BB0A00"/>
    <w:rsid w:val="00BB7A29"/>
    <w:rsid w:val="00BC1E1A"/>
    <w:rsid w:val="00BC5681"/>
    <w:rsid w:val="00BC5AB2"/>
    <w:rsid w:val="00BD1781"/>
    <w:rsid w:val="00BD1C1D"/>
    <w:rsid w:val="00BE2E3B"/>
    <w:rsid w:val="00BF116A"/>
    <w:rsid w:val="00C07CF6"/>
    <w:rsid w:val="00C213A5"/>
    <w:rsid w:val="00C3162F"/>
    <w:rsid w:val="00C35413"/>
    <w:rsid w:val="00C355A1"/>
    <w:rsid w:val="00C36726"/>
    <w:rsid w:val="00C36F4B"/>
    <w:rsid w:val="00C41222"/>
    <w:rsid w:val="00C427B0"/>
    <w:rsid w:val="00C543FE"/>
    <w:rsid w:val="00C56D76"/>
    <w:rsid w:val="00C60247"/>
    <w:rsid w:val="00C60962"/>
    <w:rsid w:val="00C812E8"/>
    <w:rsid w:val="00C82590"/>
    <w:rsid w:val="00C85350"/>
    <w:rsid w:val="00C861F6"/>
    <w:rsid w:val="00CA1517"/>
    <w:rsid w:val="00CB60C1"/>
    <w:rsid w:val="00CC592F"/>
    <w:rsid w:val="00CC639B"/>
    <w:rsid w:val="00CD7DE5"/>
    <w:rsid w:val="00CE04FE"/>
    <w:rsid w:val="00CE27E4"/>
    <w:rsid w:val="00CF0A04"/>
    <w:rsid w:val="00CF1782"/>
    <w:rsid w:val="00CF562E"/>
    <w:rsid w:val="00CF77AA"/>
    <w:rsid w:val="00CF7F37"/>
    <w:rsid w:val="00D162C6"/>
    <w:rsid w:val="00D23A38"/>
    <w:rsid w:val="00D276CE"/>
    <w:rsid w:val="00D477BB"/>
    <w:rsid w:val="00D630F7"/>
    <w:rsid w:val="00D712F0"/>
    <w:rsid w:val="00D7347A"/>
    <w:rsid w:val="00D825DB"/>
    <w:rsid w:val="00D92049"/>
    <w:rsid w:val="00DB30C7"/>
    <w:rsid w:val="00DB5A0B"/>
    <w:rsid w:val="00DD3BC6"/>
    <w:rsid w:val="00DD567D"/>
    <w:rsid w:val="00DD6957"/>
    <w:rsid w:val="00DD71A0"/>
    <w:rsid w:val="00DE018B"/>
    <w:rsid w:val="00DE041E"/>
    <w:rsid w:val="00DE3946"/>
    <w:rsid w:val="00E02078"/>
    <w:rsid w:val="00E0643C"/>
    <w:rsid w:val="00E101A4"/>
    <w:rsid w:val="00E11C81"/>
    <w:rsid w:val="00E121B8"/>
    <w:rsid w:val="00E13E37"/>
    <w:rsid w:val="00E15A55"/>
    <w:rsid w:val="00E15FD9"/>
    <w:rsid w:val="00E257C1"/>
    <w:rsid w:val="00E30A7F"/>
    <w:rsid w:val="00E34498"/>
    <w:rsid w:val="00E408DF"/>
    <w:rsid w:val="00E55E44"/>
    <w:rsid w:val="00E605D8"/>
    <w:rsid w:val="00E76C07"/>
    <w:rsid w:val="00E77B83"/>
    <w:rsid w:val="00E80339"/>
    <w:rsid w:val="00EB4A42"/>
    <w:rsid w:val="00EC3843"/>
    <w:rsid w:val="00EC5BB4"/>
    <w:rsid w:val="00EE41BE"/>
    <w:rsid w:val="00EF1C5D"/>
    <w:rsid w:val="00EF5002"/>
    <w:rsid w:val="00F07349"/>
    <w:rsid w:val="00F12D94"/>
    <w:rsid w:val="00F130EB"/>
    <w:rsid w:val="00F13A3A"/>
    <w:rsid w:val="00F14AB2"/>
    <w:rsid w:val="00F17C54"/>
    <w:rsid w:val="00F22D19"/>
    <w:rsid w:val="00F22F6B"/>
    <w:rsid w:val="00F235F7"/>
    <w:rsid w:val="00F23656"/>
    <w:rsid w:val="00F342E7"/>
    <w:rsid w:val="00F36303"/>
    <w:rsid w:val="00F40010"/>
    <w:rsid w:val="00F50A08"/>
    <w:rsid w:val="00F55400"/>
    <w:rsid w:val="00F60816"/>
    <w:rsid w:val="00F6794A"/>
    <w:rsid w:val="00F761C9"/>
    <w:rsid w:val="00F9718A"/>
    <w:rsid w:val="00F978CE"/>
    <w:rsid w:val="00FA701E"/>
    <w:rsid w:val="00FB0DDC"/>
    <w:rsid w:val="00FC273F"/>
    <w:rsid w:val="00FE0291"/>
    <w:rsid w:val="00FE583B"/>
    <w:rsid w:val="00FF736A"/>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4:docId w14:val="65F2BE60"/>
  <w15:chartTrackingRefBased/>
  <w15:docId w15:val="{9C772EB1-D944-43BF-AD81-D019FB378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unhideWhenUsed="1"/>
    <w:lsdException w:name="heading 1" w:uiPriority="0" w:unhideWhenUsed="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annotation reference" w:semiHidden="1" w:unhideWhenUsed="1"/>
    <w:lsdException w:name="line number" w:semiHidden="1" w:unhideWhenUsed="1"/>
    <w:lsdException w:name="page number" w:uiPriority="0" w:unhideWhenUsed="1"/>
    <w:lsdException w:name="endnote reference" w:uiPriority="0" w:unhideWhenUsed="1"/>
    <w:lsdException w:name="endnote text"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rsid w:val="009F02DB"/>
    <w:pPr>
      <w:spacing w:after="0" w:line="240" w:lineRule="auto"/>
    </w:pPr>
    <w:rPr>
      <w:rFonts w:ascii="Arial" w:hAnsi="Arial"/>
      <w:sz w:val="20"/>
    </w:rPr>
  </w:style>
  <w:style w:type="paragraph" w:styleId="Heading1">
    <w:name w:val="heading 1"/>
    <w:basedOn w:val="Normal"/>
    <w:next w:val="Normal"/>
    <w:link w:val="Heading1Char"/>
    <w:unhideWhenUsed/>
    <w:rsid w:val="00411DF4"/>
    <w:pPr>
      <w:numPr>
        <w:numId w:val="36"/>
      </w:numPr>
      <w:outlineLvl w:val="0"/>
    </w:pPr>
    <w:rPr>
      <w:rFonts w:eastAsia="Times New Roman" w:cs="Arial"/>
      <w:bCs/>
      <w:szCs w:val="32"/>
      <w:lang w:eastAsia="en-GB"/>
    </w:rPr>
  </w:style>
  <w:style w:type="paragraph" w:styleId="Heading2">
    <w:name w:val="heading 2"/>
    <w:basedOn w:val="Normal"/>
    <w:next w:val="Normal"/>
    <w:link w:val="Heading2Char"/>
    <w:unhideWhenUsed/>
    <w:qFormat/>
    <w:rsid w:val="00411DF4"/>
    <w:pPr>
      <w:numPr>
        <w:ilvl w:val="1"/>
        <w:numId w:val="36"/>
      </w:numPr>
      <w:outlineLvl w:val="1"/>
    </w:pPr>
    <w:rPr>
      <w:rFonts w:eastAsia="Times New Roman" w:cs="Arial"/>
      <w:bCs/>
      <w:iCs/>
      <w:szCs w:val="28"/>
      <w:lang w:eastAsia="en-GB"/>
    </w:rPr>
  </w:style>
  <w:style w:type="paragraph" w:styleId="Heading3">
    <w:name w:val="heading 3"/>
    <w:basedOn w:val="Normal"/>
    <w:next w:val="Normal"/>
    <w:link w:val="Heading3Char"/>
    <w:unhideWhenUsed/>
    <w:qFormat/>
    <w:rsid w:val="00411DF4"/>
    <w:pPr>
      <w:numPr>
        <w:ilvl w:val="2"/>
        <w:numId w:val="36"/>
      </w:numPr>
      <w:outlineLvl w:val="2"/>
    </w:pPr>
    <w:rPr>
      <w:rFonts w:eastAsia="Times New Roman" w:cs="Arial"/>
      <w:bCs/>
      <w:szCs w:val="26"/>
      <w:lang w:eastAsia="en-GB"/>
    </w:rPr>
  </w:style>
  <w:style w:type="paragraph" w:styleId="Heading4">
    <w:name w:val="heading 4"/>
    <w:basedOn w:val="Normal"/>
    <w:next w:val="Normal"/>
    <w:link w:val="Heading4Char"/>
    <w:unhideWhenUsed/>
    <w:qFormat/>
    <w:rsid w:val="00411DF4"/>
    <w:pPr>
      <w:numPr>
        <w:ilvl w:val="3"/>
        <w:numId w:val="36"/>
      </w:numPr>
      <w:outlineLvl w:val="3"/>
    </w:pPr>
    <w:rPr>
      <w:rFonts w:eastAsia="Times New Roman" w:cs="Times New Roman"/>
      <w:bCs/>
      <w:szCs w:val="28"/>
      <w:lang w:eastAsia="en-GB"/>
    </w:rPr>
  </w:style>
  <w:style w:type="paragraph" w:styleId="Heading5">
    <w:name w:val="heading 5"/>
    <w:basedOn w:val="Normal"/>
    <w:next w:val="Normal"/>
    <w:link w:val="Heading5Char"/>
    <w:unhideWhenUsed/>
    <w:qFormat/>
    <w:rsid w:val="00411DF4"/>
    <w:pPr>
      <w:numPr>
        <w:ilvl w:val="4"/>
        <w:numId w:val="36"/>
      </w:numPr>
      <w:outlineLvl w:val="4"/>
    </w:pPr>
    <w:rPr>
      <w:rFonts w:eastAsia="Times New Roman" w:cs="Times New Roman"/>
      <w:bCs/>
      <w:iCs/>
      <w:szCs w:val="26"/>
      <w:lang w:eastAsia="en-GB"/>
    </w:rPr>
  </w:style>
  <w:style w:type="paragraph" w:styleId="Heading6">
    <w:name w:val="heading 6"/>
    <w:basedOn w:val="Normal"/>
    <w:next w:val="Normal"/>
    <w:link w:val="Heading6Char"/>
    <w:unhideWhenUsed/>
    <w:qFormat/>
    <w:rsid w:val="00411DF4"/>
    <w:pPr>
      <w:numPr>
        <w:ilvl w:val="5"/>
        <w:numId w:val="36"/>
      </w:numPr>
      <w:outlineLvl w:val="5"/>
    </w:pPr>
    <w:rPr>
      <w:rFonts w:eastAsia="Times New Roman" w:cs="Times New Roman"/>
      <w:bCs/>
      <w:lang w:eastAsia="en-GB"/>
    </w:rPr>
  </w:style>
  <w:style w:type="paragraph" w:styleId="Heading7">
    <w:name w:val="heading 7"/>
    <w:basedOn w:val="Normal"/>
    <w:next w:val="Normal"/>
    <w:link w:val="Heading7Char"/>
    <w:unhideWhenUsed/>
    <w:qFormat/>
    <w:rsid w:val="00411DF4"/>
    <w:pPr>
      <w:numPr>
        <w:ilvl w:val="6"/>
        <w:numId w:val="36"/>
      </w:numPr>
      <w:outlineLvl w:val="6"/>
    </w:pPr>
    <w:rPr>
      <w:rFonts w:eastAsia="Times New Roman" w:cs="Times New Roman"/>
      <w:szCs w:val="24"/>
      <w:lang w:eastAsia="en-GB"/>
    </w:rPr>
  </w:style>
  <w:style w:type="paragraph" w:styleId="Heading8">
    <w:name w:val="heading 8"/>
    <w:basedOn w:val="Normal"/>
    <w:next w:val="Normal"/>
    <w:link w:val="Heading8Char"/>
    <w:unhideWhenUsed/>
    <w:qFormat/>
    <w:rsid w:val="00411DF4"/>
    <w:pPr>
      <w:numPr>
        <w:ilvl w:val="7"/>
        <w:numId w:val="36"/>
      </w:numPr>
      <w:outlineLvl w:val="7"/>
    </w:pPr>
    <w:rPr>
      <w:rFonts w:eastAsia="Times New Roman" w:cs="Times New Roman"/>
      <w:iCs/>
      <w:szCs w:val="24"/>
      <w:lang w:eastAsia="en-GB"/>
    </w:rPr>
  </w:style>
  <w:style w:type="paragraph" w:styleId="Heading9">
    <w:name w:val="heading 9"/>
    <w:basedOn w:val="Normal"/>
    <w:next w:val="Normal"/>
    <w:link w:val="Heading9Char"/>
    <w:unhideWhenUsed/>
    <w:qFormat/>
    <w:rsid w:val="00411DF4"/>
    <w:pPr>
      <w:numPr>
        <w:ilvl w:val="8"/>
        <w:numId w:val="36"/>
      </w:numPr>
      <w:outlineLvl w:val="8"/>
    </w:pPr>
    <w:rPr>
      <w:rFonts w:eastAsia="Times New Roman" w:cs="Arial"/>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unhideWhenUsed/>
    <w:rsid w:val="008B2EBD"/>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FSDraft">
    <w:name w:val="zFSDraft"/>
    <w:basedOn w:val="Normal"/>
    <w:uiPriority w:val="99"/>
    <w:semiHidden/>
    <w:unhideWhenUsed/>
    <w:rsid w:val="00AF69C6"/>
    <w:rPr>
      <w:rFonts w:cs="Times New Roman"/>
      <w:kern w:val="20"/>
    </w:rPr>
  </w:style>
  <w:style w:type="paragraph" w:customStyle="1" w:styleId="zFSDate">
    <w:name w:val="zFSDate"/>
    <w:basedOn w:val="Normal"/>
    <w:uiPriority w:val="99"/>
    <w:semiHidden/>
    <w:unhideWhenUsed/>
    <w:rsid w:val="00AF69C6"/>
    <w:pPr>
      <w:spacing w:before="80" w:after="80" w:line="290" w:lineRule="auto"/>
    </w:pPr>
    <w:rPr>
      <w:rFonts w:cs="Times New Roman"/>
      <w:sz w:val="24"/>
    </w:rPr>
  </w:style>
  <w:style w:type="paragraph" w:customStyle="1" w:styleId="zFSco-names">
    <w:name w:val="zFSco-names"/>
    <w:basedOn w:val="Normal"/>
    <w:next w:val="zFSand"/>
    <w:uiPriority w:val="99"/>
    <w:semiHidden/>
    <w:unhideWhenUsed/>
    <w:rsid w:val="0093377B"/>
    <w:pPr>
      <w:spacing w:before="120" w:after="120" w:line="290" w:lineRule="auto"/>
    </w:pPr>
    <w:rPr>
      <w:rFonts w:eastAsia="SimSun" w:cs="Times New Roman"/>
      <w:color w:val="000000" w:themeColor="text1"/>
      <w:kern w:val="24"/>
      <w:sz w:val="32"/>
      <w:szCs w:val="48"/>
    </w:rPr>
  </w:style>
  <w:style w:type="paragraph" w:customStyle="1" w:styleId="zFSand">
    <w:name w:val="zFSand"/>
    <w:basedOn w:val="Normal"/>
    <w:next w:val="zFSco-names"/>
    <w:uiPriority w:val="99"/>
    <w:semiHidden/>
    <w:unhideWhenUsed/>
    <w:rsid w:val="007B17F3"/>
    <w:pPr>
      <w:spacing w:after="180" w:line="290" w:lineRule="auto"/>
    </w:pPr>
    <w:rPr>
      <w:rFonts w:eastAsia="SimSun" w:cs="Times New Roman"/>
      <w:kern w:val="20"/>
      <w:szCs w:val="20"/>
    </w:rPr>
  </w:style>
  <w:style w:type="paragraph" w:customStyle="1" w:styleId="zFSNarrative">
    <w:name w:val="zFSNarrative"/>
    <w:basedOn w:val="Normal"/>
    <w:uiPriority w:val="99"/>
    <w:semiHidden/>
    <w:unhideWhenUsed/>
    <w:rsid w:val="00AF69C6"/>
    <w:pPr>
      <w:spacing w:before="60" w:after="60" w:line="290" w:lineRule="auto"/>
    </w:pPr>
    <w:rPr>
      <w:rFonts w:cs="Times New Roman"/>
      <w:color w:val="000000" w:themeColor="text1"/>
      <w:kern w:val="20"/>
      <w:sz w:val="24"/>
    </w:rPr>
  </w:style>
  <w:style w:type="paragraph" w:customStyle="1" w:styleId="zFSTitle">
    <w:name w:val="zFSTitle"/>
    <w:basedOn w:val="Normal"/>
    <w:uiPriority w:val="99"/>
    <w:semiHidden/>
    <w:unhideWhenUsed/>
    <w:rsid w:val="00AF69C6"/>
    <w:pPr>
      <w:spacing w:before="60" w:after="60" w:line="290" w:lineRule="auto"/>
    </w:pPr>
    <w:rPr>
      <w:rFonts w:cs="Times New Roman"/>
      <w:color w:val="AF005F" w:themeColor="text2"/>
      <w:sz w:val="36"/>
      <w:szCs w:val="32"/>
    </w:rPr>
  </w:style>
  <w:style w:type="paragraph" w:customStyle="1" w:styleId="zFSAddress">
    <w:name w:val="zFSAddress"/>
    <w:basedOn w:val="Normal"/>
    <w:uiPriority w:val="99"/>
    <w:semiHidden/>
    <w:unhideWhenUsed/>
    <w:rsid w:val="00A6485C"/>
    <w:pPr>
      <w:spacing w:line="290" w:lineRule="auto"/>
    </w:pPr>
    <w:rPr>
      <w:rFonts w:cs="Times New Roman"/>
      <w:kern w:val="16"/>
      <w:sz w:val="16"/>
    </w:rPr>
  </w:style>
  <w:style w:type="paragraph" w:customStyle="1" w:styleId="zFSTel">
    <w:name w:val="zFSTel"/>
    <w:basedOn w:val="Normal"/>
    <w:uiPriority w:val="99"/>
    <w:semiHidden/>
    <w:unhideWhenUsed/>
    <w:rsid w:val="00A6485C"/>
    <w:rPr>
      <w:rFonts w:cs="Times New Roman"/>
      <w:kern w:val="16"/>
      <w:sz w:val="16"/>
    </w:rPr>
  </w:style>
  <w:style w:type="paragraph" w:customStyle="1" w:styleId="zFSFax">
    <w:name w:val="zFSFax"/>
    <w:basedOn w:val="Normal"/>
    <w:uiPriority w:val="99"/>
    <w:semiHidden/>
    <w:unhideWhenUsed/>
    <w:rsid w:val="00A6485C"/>
    <w:rPr>
      <w:rFonts w:cs="Times New Roman"/>
      <w:kern w:val="16"/>
      <w:sz w:val="16"/>
    </w:rPr>
  </w:style>
  <w:style w:type="paragraph" w:customStyle="1" w:styleId="zSFRef">
    <w:name w:val="zSFRef"/>
    <w:basedOn w:val="Normal"/>
    <w:uiPriority w:val="99"/>
    <w:semiHidden/>
    <w:unhideWhenUsed/>
    <w:rsid w:val="00AF69C6"/>
    <w:rPr>
      <w:rFonts w:cs="Times New Roman"/>
      <w:kern w:val="16"/>
      <w:sz w:val="16"/>
    </w:rPr>
  </w:style>
  <w:style w:type="paragraph" w:customStyle="1" w:styleId="zFSAddress2">
    <w:name w:val="zFSAddress2"/>
    <w:basedOn w:val="Normal"/>
    <w:uiPriority w:val="99"/>
    <w:semiHidden/>
    <w:unhideWhenUsed/>
    <w:rsid w:val="00A6485C"/>
    <w:pPr>
      <w:spacing w:line="290" w:lineRule="auto"/>
    </w:pPr>
    <w:rPr>
      <w:rFonts w:cs="Times New Roman"/>
      <w:kern w:val="16"/>
      <w:sz w:val="16"/>
    </w:rPr>
  </w:style>
  <w:style w:type="paragraph" w:customStyle="1" w:styleId="Body">
    <w:name w:val="Body"/>
    <w:basedOn w:val="Normal"/>
    <w:rsid w:val="00BB7A29"/>
    <w:pPr>
      <w:spacing w:after="140" w:line="290" w:lineRule="auto"/>
      <w:jc w:val="both"/>
    </w:pPr>
    <w:rPr>
      <w:rFonts w:cs="Times New Roman"/>
      <w:kern w:val="20"/>
    </w:rPr>
  </w:style>
  <w:style w:type="paragraph" w:styleId="Header">
    <w:name w:val="header"/>
    <w:basedOn w:val="Normal"/>
    <w:link w:val="HeaderChar"/>
    <w:uiPriority w:val="99"/>
    <w:unhideWhenUsed/>
    <w:rsid w:val="00CF1782"/>
    <w:pPr>
      <w:tabs>
        <w:tab w:val="center" w:pos="4366"/>
        <w:tab w:val="right" w:pos="8732"/>
      </w:tabs>
    </w:pPr>
    <w:rPr>
      <w:rFonts w:eastAsia="Times New Roman" w:cs="Times New Roman"/>
      <w:kern w:val="20"/>
      <w:szCs w:val="24"/>
      <w:lang w:eastAsia="en-GB"/>
    </w:rPr>
  </w:style>
  <w:style w:type="character" w:customStyle="1" w:styleId="Heading1Char">
    <w:name w:val="Heading 1 Char"/>
    <w:basedOn w:val="DefaultParagraphFont"/>
    <w:link w:val="Heading1"/>
    <w:rsid w:val="00FE583B"/>
    <w:rPr>
      <w:rFonts w:ascii="Arial" w:eastAsia="Times New Roman" w:hAnsi="Arial" w:cs="Arial"/>
      <w:bCs/>
      <w:sz w:val="20"/>
      <w:szCs w:val="32"/>
      <w:lang w:eastAsia="en-GB"/>
    </w:rPr>
  </w:style>
  <w:style w:type="paragraph" w:styleId="Footer">
    <w:name w:val="footer"/>
    <w:basedOn w:val="Normal"/>
    <w:link w:val="FooterChar"/>
    <w:unhideWhenUsed/>
    <w:rsid w:val="00606BD0"/>
    <w:pPr>
      <w:spacing w:before="120" w:after="120" w:line="290" w:lineRule="auto"/>
      <w:jc w:val="both"/>
    </w:pPr>
    <w:rPr>
      <w:sz w:val="16"/>
    </w:rPr>
  </w:style>
  <w:style w:type="character" w:customStyle="1" w:styleId="FooterChar">
    <w:name w:val="Footer Char"/>
    <w:basedOn w:val="DefaultParagraphFont"/>
    <w:link w:val="Footer"/>
    <w:rsid w:val="00FE583B"/>
    <w:rPr>
      <w:rFonts w:ascii="Arial" w:hAnsi="Arial"/>
      <w:sz w:val="16"/>
    </w:rPr>
  </w:style>
  <w:style w:type="paragraph" w:customStyle="1" w:styleId="alpha1">
    <w:name w:val="alpha 1"/>
    <w:basedOn w:val="Normal"/>
    <w:rsid w:val="00D23A38"/>
    <w:pPr>
      <w:numPr>
        <w:numId w:val="40"/>
      </w:numPr>
      <w:spacing w:after="140" w:line="290" w:lineRule="auto"/>
      <w:jc w:val="both"/>
      <w:outlineLvl w:val="0"/>
    </w:pPr>
    <w:rPr>
      <w:rFonts w:cs="Times New Roman"/>
      <w:kern w:val="20"/>
    </w:rPr>
  </w:style>
  <w:style w:type="paragraph" w:customStyle="1" w:styleId="alpha2">
    <w:name w:val="alpha 2"/>
    <w:basedOn w:val="Normal"/>
    <w:rsid w:val="00D23A38"/>
    <w:pPr>
      <w:numPr>
        <w:ilvl w:val="1"/>
        <w:numId w:val="40"/>
      </w:numPr>
      <w:spacing w:after="140" w:line="290" w:lineRule="auto"/>
      <w:jc w:val="both"/>
      <w:outlineLvl w:val="1"/>
    </w:pPr>
    <w:rPr>
      <w:rFonts w:cs="Times New Roman"/>
      <w:kern w:val="20"/>
    </w:rPr>
  </w:style>
  <w:style w:type="paragraph" w:customStyle="1" w:styleId="alpha3">
    <w:name w:val="alpha 3"/>
    <w:basedOn w:val="Normal"/>
    <w:rsid w:val="00D23A38"/>
    <w:pPr>
      <w:numPr>
        <w:ilvl w:val="2"/>
        <w:numId w:val="40"/>
      </w:numPr>
      <w:spacing w:after="140" w:line="290" w:lineRule="auto"/>
      <w:jc w:val="both"/>
      <w:outlineLvl w:val="2"/>
    </w:pPr>
    <w:rPr>
      <w:rFonts w:cs="Times New Roman"/>
      <w:kern w:val="20"/>
    </w:rPr>
  </w:style>
  <w:style w:type="paragraph" w:customStyle="1" w:styleId="alpha4">
    <w:name w:val="alpha 4"/>
    <w:basedOn w:val="Normal"/>
    <w:rsid w:val="00D23A38"/>
    <w:pPr>
      <w:numPr>
        <w:ilvl w:val="3"/>
        <w:numId w:val="40"/>
      </w:numPr>
      <w:spacing w:after="140" w:line="290" w:lineRule="auto"/>
      <w:jc w:val="both"/>
      <w:outlineLvl w:val="3"/>
    </w:pPr>
    <w:rPr>
      <w:rFonts w:cs="Times New Roman"/>
      <w:kern w:val="20"/>
    </w:rPr>
  </w:style>
  <w:style w:type="paragraph" w:customStyle="1" w:styleId="alpha5">
    <w:name w:val="alpha 5"/>
    <w:basedOn w:val="Normal"/>
    <w:rsid w:val="00D23A38"/>
    <w:pPr>
      <w:numPr>
        <w:ilvl w:val="4"/>
        <w:numId w:val="40"/>
      </w:numPr>
      <w:spacing w:after="140" w:line="290" w:lineRule="auto"/>
      <w:jc w:val="both"/>
      <w:outlineLvl w:val="4"/>
    </w:pPr>
    <w:rPr>
      <w:rFonts w:cs="Times New Roman"/>
      <w:kern w:val="20"/>
    </w:rPr>
  </w:style>
  <w:style w:type="paragraph" w:customStyle="1" w:styleId="alpha6">
    <w:name w:val="alpha 6"/>
    <w:basedOn w:val="Normal"/>
    <w:rsid w:val="00D23A38"/>
    <w:pPr>
      <w:numPr>
        <w:ilvl w:val="5"/>
        <w:numId w:val="40"/>
      </w:numPr>
      <w:spacing w:after="140" w:line="290" w:lineRule="auto"/>
      <w:jc w:val="both"/>
      <w:outlineLvl w:val="5"/>
    </w:pPr>
    <w:rPr>
      <w:rFonts w:cs="Times New Roman"/>
      <w:kern w:val="20"/>
    </w:rPr>
  </w:style>
  <w:style w:type="paragraph" w:customStyle="1" w:styleId="Body1">
    <w:name w:val="Body 1"/>
    <w:basedOn w:val="Normal"/>
    <w:rsid w:val="00BA0253"/>
    <w:pPr>
      <w:spacing w:after="140" w:line="290" w:lineRule="auto"/>
      <w:ind w:left="680"/>
      <w:jc w:val="both"/>
    </w:pPr>
    <w:rPr>
      <w:rFonts w:cs="Times New Roman"/>
      <w:kern w:val="20"/>
    </w:rPr>
  </w:style>
  <w:style w:type="paragraph" w:customStyle="1" w:styleId="Body2">
    <w:name w:val="Body 2"/>
    <w:basedOn w:val="Normal"/>
    <w:rsid w:val="00BA0253"/>
    <w:pPr>
      <w:spacing w:after="140" w:line="290" w:lineRule="auto"/>
      <w:ind w:left="680"/>
      <w:jc w:val="both"/>
    </w:pPr>
    <w:rPr>
      <w:rFonts w:cs="Times New Roman"/>
      <w:kern w:val="20"/>
    </w:rPr>
  </w:style>
  <w:style w:type="paragraph" w:customStyle="1" w:styleId="Body3">
    <w:name w:val="Body 3"/>
    <w:basedOn w:val="Normal"/>
    <w:rsid w:val="00BA0253"/>
    <w:pPr>
      <w:spacing w:after="140" w:line="290" w:lineRule="auto"/>
      <w:ind w:left="1361"/>
      <w:jc w:val="both"/>
    </w:pPr>
    <w:rPr>
      <w:rFonts w:cs="Times New Roman"/>
      <w:kern w:val="20"/>
    </w:rPr>
  </w:style>
  <w:style w:type="paragraph" w:customStyle="1" w:styleId="Body4">
    <w:name w:val="Body 4"/>
    <w:basedOn w:val="Normal"/>
    <w:rsid w:val="00BA0253"/>
    <w:pPr>
      <w:spacing w:after="140" w:line="290" w:lineRule="auto"/>
      <w:ind w:left="2041"/>
      <w:jc w:val="both"/>
    </w:pPr>
    <w:rPr>
      <w:rFonts w:cs="Times New Roman"/>
      <w:kern w:val="20"/>
    </w:rPr>
  </w:style>
  <w:style w:type="paragraph" w:customStyle="1" w:styleId="Body5">
    <w:name w:val="Body 5"/>
    <w:basedOn w:val="Normal"/>
    <w:rsid w:val="00BA0253"/>
    <w:pPr>
      <w:spacing w:after="140" w:line="290" w:lineRule="auto"/>
      <w:ind w:left="2722"/>
      <w:jc w:val="both"/>
    </w:pPr>
    <w:rPr>
      <w:rFonts w:cs="Times New Roman"/>
      <w:kern w:val="20"/>
    </w:rPr>
  </w:style>
  <w:style w:type="paragraph" w:customStyle="1" w:styleId="Body6">
    <w:name w:val="Body 6"/>
    <w:basedOn w:val="Normal"/>
    <w:rsid w:val="00BA0253"/>
    <w:pPr>
      <w:spacing w:after="140" w:line="290" w:lineRule="auto"/>
      <w:ind w:left="3402"/>
      <w:jc w:val="both"/>
    </w:pPr>
    <w:rPr>
      <w:rFonts w:cs="Times New Roman"/>
      <w:kern w:val="20"/>
    </w:rPr>
  </w:style>
  <w:style w:type="paragraph" w:customStyle="1" w:styleId="bullet1">
    <w:name w:val="bullet 1"/>
    <w:basedOn w:val="Normal"/>
    <w:rsid w:val="00D23A38"/>
    <w:pPr>
      <w:numPr>
        <w:numId w:val="42"/>
      </w:numPr>
      <w:spacing w:after="140" w:line="290" w:lineRule="auto"/>
      <w:jc w:val="both"/>
      <w:outlineLvl w:val="0"/>
    </w:pPr>
    <w:rPr>
      <w:rFonts w:cs="Times New Roman"/>
      <w:kern w:val="20"/>
    </w:rPr>
  </w:style>
  <w:style w:type="paragraph" w:customStyle="1" w:styleId="bullet2">
    <w:name w:val="bullet 2"/>
    <w:basedOn w:val="Normal"/>
    <w:rsid w:val="00D23A38"/>
    <w:pPr>
      <w:numPr>
        <w:ilvl w:val="1"/>
        <w:numId w:val="42"/>
      </w:numPr>
      <w:spacing w:after="140" w:line="290" w:lineRule="auto"/>
      <w:jc w:val="both"/>
      <w:outlineLvl w:val="1"/>
    </w:pPr>
    <w:rPr>
      <w:rFonts w:cs="Times New Roman"/>
      <w:kern w:val="20"/>
    </w:rPr>
  </w:style>
  <w:style w:type="paragraph" w:customStyle="1" w:styleId="bullet3">
    <w:name w:val="bullet 3"/>
    <w:basedOn w:val="Normal"/>
    <w:rsid w:val="00D23A38"/>
    <w:pPr>
      <w:numPr>
        <w:ilvl w:val="2"/>
        <w:numId w:val="42"/>
      </w:numPr>
      <w:spacing w:after="140" w:line="290" w:lineRule="auto"/>
      <w:jc w:val="both"/>
      <w:outlineLvl w:val="2"/>
    </w:pPr>
    <w:rPr>
      <w:rFonts w:cs="Times New Roman"/>
      <w:kern w:val="20"/>
    </w:rPr>
  </w:style>
  <w:style w:type="paragraph" w:customStyle="1" w:styleId="bullet4">
    <w:name w:val="bullet 4"/>
    <w:basedOn w:val="Normal"/>
    <w:rsid w:val="00D23A38"/>
    <w:pPr>
      <w:numPr>
        <w:ilvl w:val="3"/>
        <w:numId w:val="42"/>
      </w:numPr>
      <w:spacing w:after="140" w:line="290" w:lineRule="auto"/>
      <w:jc w:val="both"/>
      <w:outlineLvl w:val="3"/>
    </w:pPr>
    <w:rPr>
      <w:rFonts w:cs="Times New Roman"/>
      <w:kern w:val="20"/>
    </w:rPr>
  </w:style>
  <w:style w:type="paragraph" w:customStyle="1" w:styleId="bullet5">
    <w:name w:val="bullet 5"/>
    <w:basedOn w:val="Normal"/>
    <w:rsid w:val="00D23A38"/>
    <w:pPr>
      <w:numPr>
        <w:ilvl w:val="4"/>
        <w:numId w:val="42"/>
      </w:numPr>
      <w:spacing w:after="140" w:line="290" w:lineRule="auto"/>
      <w:jc w:val="both"/>
      <w:outlineLvl w:val="4"/>
    </w:pPr>
    <w:rPr>
      <w:rFonts w:cs="Times New Roman"/>
      <w:kern w:val="20"/>
    </w:rPr>
  </w:style>
  <w:style w:type="paragraph" w:customStyle="1" w:styleId="bullet6">
    <w:name w:val="bullet 6"/>
    <w:basedOn w:val="Normal"/>
    <w:rsid w:val="00D23A38"/>
    <w:pPr>
      <w:numPr>
        <w:ilvl w:val="5"/>
        <w:numId w:val="42"/>
      </w:numPr>
      <w:spacing w:after="140" w:line="290" w:lineRule="auto"/>
      <w:jc w:val="both"/>
      <w:outlineLvl w:val="5"/>
    </w:pPr>
    <w:rPr>
      <w:rFonts w:cs="Times New Roman"/>
      <w:kern w:val="20"/>
    </w:rPr>
  </w:style>
  <w:style w:type="paragraph" w:customStyle="1" w:styleId="CellBody">
    <w:name w:val="CellBody"/>
    <w:basedOn w:val="Normal"/>
    <w:rsid w:val="00502F67"/>
    <w:pPr>
      <w:spacing w:before="60" w:after="60" w:line="290" w:lineRule="auto"/>
    </w:pPr>
    <w:rPr>
      <w:rFonts w:cs="Times New Roman"/>
      <w:kern w:val="20"/>
    </w:rPr>
  </w:style>
  <w:style w:type="paragraph" w:customStyle="1" w:styleId="CellHead">
    <w:name w:val="CellHead"/>
    <w:basedOn w:val="Normal"/>
    <w:rsid w:val="00F978CE"/>
    <w:pPr>
      <w:keepNext/>
      <w:spacing w:before="60" w:after="60" w:line="259" w:lineRule="auto"/>
    </w:pPr>
    <w:rPr>
      <w:rFonts w:cs="Times New Roman"/>
      <w:b/>
      <w:kern w:val="20"/>
    </w:rPr>
  </w:style>
  <w:style w:type="paragraph" w:customStyle="1" w:styleId="dashbullet1">
    <w:name w:val="dash bullet 1"/>
    <w:basedOn w:val="Normal"/>
    <w:rsid w:val="00D23A38"/>
    <w:pPr>
      <w:numPr>
        <w:numId w:val="41"/>
      </w:numPr>
      <w:spacing w:after="140" w:line="290" w:lineRule="auto"/>
      <w:jc w:val="both"/>
      <w:outlineLvl w:val="0"/>
    </w:pPr>
    <w:rPr>
      <w:rFonts w:cs="Times New Roman"/>
      <w:kern w:val="20"/>
    </w:rPr>
  </w:style>
  <w:style w:type="paragraph" w:customStyle="1" w:styleId="dashbullet2">
    <w:name w:val="dash bullet 2"/>
    <w:basedOn w:val="Normal"/>
    <w:rsid w:val="00D23A38"/>
    <w:pPr>
      <w:numPr>
        <w:ilvl w:val="1"/>
        <w:numId w:val="41"/>
      </w:numPr>
      <w:spacing w:after="140" w:line="290" w:lineRule="auto"/>
      <w:jc w:val="both"/>
      <w:outlineLvl w:val="1"/>
    </w:pPr>
    <w:rPr>
      <w:rFonts w:cs="Times New Roman"/>
      <w:kern w:val="20"/>
    </w:rPr>
  </w:style>
  <w:style w:type="paragraph" w:customStyle="1" w:styleId="dashbullet3">
    <w:name w:val="dash bullet 3"/>
    <w:basedOn w:val="Normal"/>
    <w:rsid w:val="00D23A38"/>
    <w:pPr>
      <w:numPr>
        <w:ilvl w:val="2"/>
        <w:numId w:val="41"/>
      </w:numPr>
      <w:spacing w:after="140" w:line="290" w:lineRule="auto"/>
      <w:jc w:val="both"/>
      <w:outlineLvl w:val="2"/>
    </w:pPr>
    <w:rPr>
      <w:rFonts w:cs="Times New Roman"/>
      <w:kern w:val="20"/>
    </w:rPr>
  </w:style>
  <w:style w:type="paragraph" w:customStyle="1" w:styleId="dashbullet4">
    <w:name w:val="dash bullet 4"/>
    <w:basedOn w:val="Normal"/>
    <w:rsid w:val="00D23A38"/>
    <w:pPr>
      <w:numPr>
        <w:ilvl w:val="3"/>
        <w:numId w:val="41"/>
      </w:numPr>
      <w:spacing w:after="140" w:line="290" w:lineRule="auto"/>
      <w:jc w:val="both"/>
      <w:outlineLvl w:val="3"/>
    </w:pPr>
    <w:rPr>
      <w:rFonts w:cs="Times New Roman"/>
      <w:kern w:val="20"/>
    </w:rPr>
  </w:style>
  <w:style w:type="paragraph" w:customStyle="1" w:styleId="dashbullet5">
    <w:name w:val="dash bullet 5"/>
    <w:basedOn w:val="Normal"/>
    <w:rsid w:val="00D23A38"/>
    <w:pPr>
      <w:numPr>
        <w:ilvl w:val="4"/>
        <w:numId w:val="41"/>
      </w:numPr>
      <w:spacing w:after="140" w:line="290" w:lineRule="auto"/>
      <w:jc w:val="both"/>
      <w:outlineLvl w:val="4"/>
    </w:pPr>
    <w:rPr>
      <w:rFonts w:cs="Times New Roman"/>
      <w:kern w:val="20"/>
    </w:rPr>
  </w:style>
  <w:style w:type="paragraph" w:customStyle="1" w:styleId="dashbullet6">
    <w:name w:val="dash bullet 6"/>
    <w:basedOn w:val="Normal"/>
    <w:rsid w:val="00D23A38"/>
    <w:pPr>
      <w:numPr>
        <w:ilvl w:val="5"/>
        <w:numId w:val="41"/>
      </w:numPr>
      <w:spacing w:after="140" w:line="290" w:lineRule="auto"/>
      <w:jc w:val="both"/>
      <w:outlineLvl w:val="5"/>
    </w:pPr>
    <w:rPr>
      <w:rFonts w:cs="Times New Roman"/>
      <w:kern w:val="20"/>
    </w:rPr>
  </w:style>
  <w:style w:type="paragraph" w:customStyle="1" w:styleId="DocExCode">
    <w:name w:val="DocExCode"/>
    <w:basedOn w:val="Normal"/>
    <w:rsid w:val="0084230F"/>
    <w:pPr>
      <w:pBdr>
        <w:top w:val="single" w:sz="4" w:space="1" w:color="auto"/>
      </w:pBdr>
    </w:pPr>
    <w:rPr>
      <w:rFonts w:cs="Times New Roman"/>
      <w:sz w:val="16"/>
    </w:rPr>
  </w:style>
  <w:style w:type="paragraph" w:customStyle="1" w:styleId="DocExCode-NoLine">
    <w:name w:val="DocExCode - No Line"/>
    <w:basedOn w:val="DocExCode"/>
    <w:rsid w:val="0084230F"/>
    <w:pPr>
      <w:pBdr>
        <w:top w:val="none" w:sz="0" w:space="0" w:color="auto"/>
      </w:pBdr>
    </w:pPr>
  </w:style>
  <w:style w:type="paragraph" w:customStyle="1" w:styleId="doublealpha">
    <w:name w:val="double alpha"/>
    <w:basedOn w:val="Normal"/>
    <w:rsid w:val="00D23A38"/>
    <w:pPr>
      <w:numPr>
        <w:numId w:val="43"/>
      </w:numPr>
      <w:spacing w:after="140" w:line="290" w:lineRule="auto"/>
      <w:jc w:val="both"/>
    </w:pPr>
    <w:rPr>
      <w:rFonts w:cs="Times New Roman"/>
      <w:kern w:val="20"/>
    </w:rPr>
  </w:style>
  <w:style w:type="paragraph" w:customStyle="1" w:styleId="engageBody">
    <w:name w:val="engage_Body"/>
    <w:basedOn w:val="Normal"/>
    <w:rsid w:val="0084230F"/>
    <w:pPr>
      <w:spacing w:after="140" w:line="290" w:lineRule="auto"/>
      <w:jc w:val="both"/>
    </w:pPr>
    <w:rPr>
      <w:rFonts w:cs="Times New Roman"/>
      <w:sz w:val="13"/>
    </w:rPr>
  </w:style>
  <w:style w:type="paragraph" w:customStyle="1" w:styleId="engageL1">
    <w:name w:val="engage_L1"/>
    <w:basedOn w:val="Normal"/>
    <w:rsid w:val="00725E64"/>
    <w:pPr>
      <w:keepNext/>
      <w:numPr>
        <w:numId w:val="44"/>
      </w:numPr>
      <w:spacing w:after="140" w:line="290" w:lineRule="auto"/>
    </w:pPr>
    <w:rPr>
      <w:rFonts w:cs="Times New Roman"/>
      <w:b/>
      <w:sz w:val="13"/>
    </w:rPr>
  </w:style>
  <w:style w:type="paragraph" w:customStyle="1" w:styleId="engageL2">
    <w:name w:val="engage_L2"/>
    <w:basedOn w:val="Normal"/>
    <w:qFormat/>
    <w:rsid w:val="00D23A38"/>
    <w:pPr>
      <w:numPr>
        <w:ilvl w:val="1"/>
        <w:numId w:val="44"/>
      </w:numPr>
      <w:spacing w:after="140" w:line="290" w:lineRule="auto"/>
      <w:jc w:val="both"/>
    </w:pPr>
    <w:rPr>
      <w:rFonts w:cs="Times New Roman"/>
      <w:sz w:val="13"/>
    </w:rPr>
  </w:style>
  <w:style w:type="paragraph" w:customStyle="1" w:styleId="engageTitle">
    <w:name w:val="engage_Title"/>
    <w:basedOn w:val="Normal"/>
    <w:next w:val="engageBody"/>
    <w:rsid w:val="0084230F"/>
    <w:pPr>
      <w:spacing w:after="240"/>
      <w:jc w:val="center"/>
    </w:pPr>
    <w:rPr>
      <w:rFonts w:cs="Times New Roman"/>
      <w:b/>
    </w:rPr>
  </w:style>
  <w:style w:type="paragraph" w:customStyle="1" w:styleId="Level1">
    <w:name w:val="Level 1"/>
    <w:basedOn w:val="Normal"/>
    <w:next w:val="Body1"/>
    <w:rsid w:val="00A170EE"/>
    <w:pPr>
      <w:keepNext/>
      <w:numPr>
        <w:numId w:val="22"/>
      </w:numPr>
      <w:spacing w:before="280" w:after="140" w:line="290" w:lineRule="auto"/>
      <w:jc w:val="both"/>
      <w:outlineLvl w:val="0"/>
    </w:pPr>
    <w:rPr>
      <w:rFonts w:cs="Times New Roman"/>
      <w:b/>
      <w:bCs/>
      <w:kern w:val="20"/>
      <w:sz w:val="22"/>
      <w:szCs w:val="32"/>
    </w:rPr>
  </w:style>
  <w:style w:type="paragraph" w:customStyle="1" w:styleId="Head">
    <w:name w:val="Head"/>
    <w:basedOn w:val="Normal"/>
    <w:next w:val="Body"/>
    <w:rsid w:val="00725E64"/>
    <w:pPr>
      <w:keepNext/>
      <w:numPr>
        <w:numId w:val="45"/>
      </w:numPr>
      <w:spacing w:before="280" w:after="140" w:line="290" w:lineRule="auto"/>
      <w:jc w:val="both"/>
      <w:outlineLvl w:val="0"/>
    </w:pPr>
    <w:rPr>
      <w:rFonts w:cs="Times New Roman"/>
      <w:b/>
      <w:kern w:val="28"/>
      <w:sz w:val="23"/>
    </w:rPr>
  </w:style>
  <w:style w:type="paragraph" w:customStyle="1" w:styleId="Head1">
    <w:name w:val="Head 1"/>
    <w:basedOn w:val="Normal"/>
    <w:next w:val="Body1"/>
    <w:qFormat/>
    <w:rsid w:val="00D23A38"/>
    <w:pPr>
      <w:keepNext/>
      <w:numPr>
        <w:ilvl w:val="1"/>
        <w:numId w:val="45"/>
      </w:numPr>
      <w:spacing w:before="280" w:after="140" w:line="290" w:lineRule="auto"/>
      <w:jc w:val="both"/>
      <w:outlineLvl w:val="0"/>
    </w:pPr>
    <w:rPr>
      <w:rFonts w:cs="Times New Roman"/>
      <w:b/>
      <w:kern w:val="22"/>
      <w:sz w:val="22"/>
    </w:rPr>
  </w:style>
  <w:style w:type="paragraph" w:customStyle="1" w:styleId="Head2">
    <w:name w:val="Head 2"/>
    <w:basedOn w:val="Normal"/>
    <w:next w:val="Body3"/>
    <w:rsid w:val="00D23A38"/>
    <w:pPr>
      <w:keepNext/>
      <w:numPr>
        <w:ilvl w:val="2"/>
        <w:numId w:val="45"/>
      </w:numPr>
      <w:spacing w:before="280" w:after="60" w:line="290" w:lineRule="auto"/>
      <w:jc w:val="both"/>
      <w:outlineLvl w:val="1"/>
    </w:pPr>
    <w:rPr>
      <w:rFonts w:cs="Times New Roman"/>
      <w:b/>
      <w:kern w:val="21"/>
      <w:sz w:val="21"/>
    </w:rPr>
  </w:style>
  <w:style w:type="paragraph" w:customStyle="1" w:styleId="Head3">
    <w:name w:val="Head 3"/>
    <w:basedOn w:val="Normal"/>
    <w:next w:val="Body4"/>
    <w:rsid w:val="00D23A38"/>
    <w:pPr>
      <w:keepNext/>
      <w:numPr>
        <w:ilvl w:val="3"/>
        <w:numId w:val="45"/>
      </w:numPr>
      <w:spacing w:before="280" w:after="40" w:line="290" w:lineRule="auto"/>
      <w:jc w:val="both"/>
      <w:outlineLvl w:val="2"/>
    </w:pPr>
    <w:rPr>
      <w:rFonts w:cs="Times New Roman"/>
      <w:b/>
      <w:kern w:val="20"/>
    </w:rPr>
  </w:style>
  <w:style w:type="paragraph" w:customStyle="1" w:styleId="Level2">
    <w:name w:val="Level 2"/>
    <w:basedOn w:val="Normal"/>
    <w:qFormat/>
    <w:rsid w:val="00B77D72"/>
    <w:pPr>
      <w:numPr>
        <w:ilvl w:val="1"/>
        <w:numId w:val="22"/>
      </w:numPr>
      <w:spacing w:after="140" w:line="290" w:lineRule="auto"/>
      <w:jc w:val="both"/>
      <w:outlineLvl w:val="1"/>
    </w:pPr>
    <w:rPr>
      <w:rFonts w:cs="Times New Roman"/>
      <w:kern w:val="20"/>
      <w:szCs w:val="28"/>
    </w:rPr>
  </w:style>
  <w:style w:type="paragraph" w:customStyle="1" w:styleId="Level3">
    <w:name w:val="Level 3"/>
    <w:basedOn w:val="Normal"/>
    <w:rsid w:val="00514E78"/>
    <w:pPr>
      <w:numPr>
        <w:ilvl w:val="2"/>
        <w:numId w:val="22"/>
      </w:numPr>
      <w:spacing w:after="140" w:line="290" w:lineRule="auto"/>
      <w:jc w:val="both"/>
      <w:outlineLvl w:val="2"/>
    </w:pPr>
    <w:rPr>
      <w:rFonts w:cs="Times New Roman"/>
      <w:kern w:val="20"/>
      <w:szCs w:val="28"/>
    </w:rPr>
  </w:style>
  <w:style w:type="paragraph" w:customStyle="1" w:styleId="Level4">
    <w:name w:val="Level 4"/>
    <w:basedOn w:val="Normal"/>
    <w:rsid w:val="00514E78"/>
    <w:pPr>
      <w:numPr>
        <w:ilvl w:val="3"/>
        <w:numId w:val="22"/>
      </w:numPr>
      <w:spacing w:after="140" w:line="290" w:lineRule="auto"/>
      <w:jc w:val="both"/>
      <w:outlineLvl w:val="3"/>
    </w:pPr>
    <w:rPr>
      <w:rFonts w:cs="Times New Roman"/>
      <w:kern w:val="20"/>
    </w:rPr>
  </w:style>
  <w:style w:type="paragraph" w:customStyle="1" w:styleId="Level5">
    <w:name w:val="Level 5"/>
    <w:basedOn w:val="Normal"/>
    <w:rsid w:val="00514E78"/>
    <w:pPr>
      <w:numPr>
        <w:ilvl w:val="4"/>
        <w:numId w:val="22"/>
      </w:numPr>
      <w:spacing w:after="140" w:line="290" w:lineRule="auto"/>
      <w:jc w:val="both"/>
      <w:outlineLvl w:val="4"/>
    </w:pPr>
    <w:rPr>
      <w:rFonts w:cs="Times New Roman"/>
      <w:kern w:val="20"/>
    </w:rPr>
  </w:style>
  <w:style w:type="paragraph" w:customStyle="1" w:styleId="Level6">
    <w:name w:val="Level 6"/>
    <w:basedOn w:val="Normal"/>
    <w:rsid w:val="00514E78"/>
    <w:pPr>
      <w:numPr>
        <w:ilvl w:val="5"/>
        <w:numId w:val="22"/>
      </w:numPr>
      <w:spacing w:after="140" w:line="290" w:lineRule="auto"/>
      <w:jc w:val="both"/>
      <w:outlineLvl w:val="5"/>
    </w:pPr>
    <w:rPr>
      <w:rFonts w:cs="Times New Roman"/>
      <w:kern w:val="20"/>
    </w:rPr>
  </w:style>
  <w:style w:type="paragraph" w:customStyle="1" w:styleId="Level7">
    <w:name w:val="Level 7"/>
    <w:basedOn w:val="Normal"/>
    <w:rsid w:val="00B77D72"/>
    <w:pPr>
      <w:numPr>
        <w:ilvl w:val="6"/>
        <w:numId w:val="22"/>
      </w:numPr>
      <w:spacing w:after="140" w:line="290" w:lineRule="auto"/>
      <w:jc w:val="both"/>
      <w:outlineLvl w:val="6"/>
    </w:pPr>
    <w:rPr>
      <w:rFonts w:cs="Times New Roman"/>
      <w:kern w:val="20"/>
    </w:rPr>
  </w:style>
  <w:style w:type="paragraph" w:customStyle="1" w:styleId="Level8">
    <w:name w:val="Level 8"/>
    <w:basedOn w:val="Normal"/>
    <w:rsid w:val="00514E78"/>
    <w:pPr>
      <w:numPr>
        <w:ilvl w:val="7"/>
        <w:numId w:val="22"/>
      </w:numPr>
      <w:spacing w:after="140" w:line="290" w:lineRule="auto"/>
      <w:jc w:val="both"/>
      <w:outlineLvl w:val="7"/>
    </w:pPr>
    <w:rPr>
      <w:rFonts w:cs="Times New Roman"/>
      <w:kern w:val="20"/>
    </w:rPr>
  </w:style>
  <w:style w:type="paragraph" w:customStyle="1" w:styleId="Level9">
    <w:name w:val="Level 9"/>
    <w:basedOn w:val="Normal"/>
    <w:rsid w:val="00514E78"/>
    <w:pPr>
      <w:numPr>
        <w:ilvl w:val="8"/>
        <w:numId w:val="22"/>
      </w:numPr>
      <w:spacing w:after="140" w:line="290" w:lineRule="auto"/>
      <w:jc w:val="both"/>
      <w:outlineLvl w:val="8"/>
    </w:pPr>
    <w:rPr>
      <w:rFonts w:cs="Times New Roman"/>
      <w:kern w:val="20"/>
    </w:rPr>
  </w:style>
  <w:style w:type="paragraph" w:customStyle="1" w:styleId="ListNumbers">
    <w:name w:val="List Numbers"/>
    <w:basedOn w:val="Normal"/>
    <w:rsid w:val="008B1D97"/>
    <w:pPr>
      <w:numPr>
        <w:numId w:val="46"/>
      </w:numPr>
      <w:spacing w:after="140" w:line="290" w:lineRule="auto"/>
      <w:jc w:val="both"/>
      <w:outlineLvl w:val="0"/>
    </w:pPr>
    <w:rPr>
      <w:rFonts w:cs="Times New Roman"/>
      <w:kern w:val="20"/>
    </w:rPr>
  </w:style>
  <w:style w:type="paragraph" w:customStyle="1" w:styleId="Parties">
    <w:name w:val="Parties"/>
    <w:basedOn w:val="Normal"/>
    <w:rsid w:val="008B1D97"/>
    <w:pPr>
      <w:numPr>
        <w:numId w:val="47"/>
      </w:numPr>
      <w:spacing w:after="140" w:line="290" w:lineRule="auto"/>
      <w:jc w:val="both"/>
    </w:pPr>
    <w:rPr>
      <w:rFonts w:cs="Times New Roman"/>
      <w:kern w:val="20"/>
    </w:rPr>
  </w:style>
  <w:style w:type="paragraph" w:customStyle="1" w:styleId="Recitals">
    <w:name w:val="Recitals"/>
    <w:basedOn w:val="Normal"/>
    <w:rsid w:val="008B1D97"/>
    <w:pPr>
      <w:numPr>
        <w:numId w:val="48"/>
      </w:numPr>
      <w:spacing w:after="140" w:line="290" w:lineRule="auto"/>
      <w:jc w:val="both"/>
    </w:pPr>
    <w:rPr>
      <w:rFonts w:cs="Times New Roman"/>
      <w:kern w:val="20"/>
    </w:rPr>
  </w:style>
  <w:style w:type="paragraph" w:customStyle="1" w:styleId="roman1">
    <w:name w:val="roman 1"/>
    <w:basedOn w:val="Normal"/>
    <w:rsid w:val="008B1D97"/>
    <w:pPr>
      <w:numPr>
        <w:numId w:val="49"/>
      </w:numPr>
      <w:spacing w:after="140" w:line="290" w:lineRule="auto"/>
      <w:jc w:val="both"/>
      <w:outlineLvl w:val="0"/>
    </w:pPr>
    <w:rPr>
      <w:rFonts w:cs="Times New Roman"/>
      <w:kern w:val="20"/>
    </w:rPr>
  </w:style>
  <w:style w:type="paragraph" w:customStyle="1" w:styleId="roman2">
    <w:name w:val="roman 2"/>
    <w:basedOn w:val="Normal"/>
    <w:rsid w:val="008B1D97"/>
    <w:pPr>
      <w:numPr>
        <w:ilvl w:val="1"/>
        <w:numId w:val="49"/>
      </w:numPr>
      <w:spacing w:after="140" w:line="290" w:lineRule="auto"/>
      <w:jc w:val="both"/>
      <w:outlineLvl w:val="1"/>
    </w:pPr>
    <w:rPr>
      <w:rFonts w:cs="Times New Roman"/>
      <w:kern w:val="20"/>
    </w:rPr>
  </w:style>
  <w:style w:type="paragraph" w:customStyle="1" w:styleId="roman3">
    <w:name w:val="roman 3"/>
    <w:basedOn w:val="Normal"/>
    <w:rsid w:val="008B1D97"/>
    <w:pPr>
      <w:numPr>
        <w:ilvl w:val="2"/>
        <w:numId w:val="49"/>
      </w:numPr>
      <w:spacing w:after="140" w:line="290" w:lineRule="auto"/>
      <w:jc w:val="both"/>
      <w:outlineLvl w:val="2"/>
    </w:pPr>
    <w:rPr>
      <w:rFonts w:cs="Times New Roman"/>
      <w:kern w:val="20"/>
    </w:rPr>
  </w:style>
  <w:style w:type="paragraph" w:customStyle="1" w:styleId="roman4">
    <w:name w:val="roman 4"/>
    <w:basedOn w:val="Normal"/>
    <w:rsid w:val="008B1D97"/>
    <w:pPr>
      <w:numPr>
        <w:ilvl w:val="3"/>
        <w:numId w:val="49"/>
      </w:numPr>
      <w:spacing w:after="140" w:line="290" w:lineRule="auto"/>
      <w:jc w:val="both"/>
      <w:outlineLvl w:val="3"/>
    </w:pPr>
    <w:rPr>
      <w:rFonts w:cs="Times New Roman"/>
      <w:kern w:val="20"/>
    </w:rPr>
  </w:style>
  <w:style w:type="paragraph" w:customStyle="1" w:styleId="roman5">
    <w:name w:val="roman 5"/>
    <w:basedOn w:val="Normal"/>
    <w:rsid w:val="008B1D97"/>
    <w:pPr>
      <w:numPr>
        <w:ilvl w:val="4"/>
        <w:numId w:val="49"/>
      </w:numPr>
      <w:spacing w:after="140" w:line="290" w:lineRule="auto"/>
      <w:jc w:val="both"/>
      <w:outlineLvl w:val="4"/>
    </w:pPr>
    <w:rPr>
      <w:rFonts w:cs="Times New Roman"/>
      <w:kern w:val="20"/>
    </w:rPr>
  </w:style>
  <w:style w:type="paragraph" w:customStyle="1" w:styleId="roman6">
    <w:name w:val="roman 6"/>
    <w:basedOn w:val="Normal"/>
    <w:rsid w:val="008B1D97"/>
    <w:pPr>
      <w:numPr>
        <w:ilvl w:val="5"/>
        <w:numId w:val="49"/>
      </w:numPr>
      <w:spacing w:after="140" w:line="290" w:lineRule="auto"/>
      <w:jc w:val="both"/>
      <w:outlineLvl w:val="5"/>
    </w:pPr>
    <w:rPr>
      <w:rFonts w:cs="Times New Roman"/>
      <w:kern w:val="20"/>
    </w:rPr>
  </w:style>
  <w:style w:type="paragraph" w:customStyle="1" w:styleId="SchedApps">
    <w:name w:val="Sched/Apps"/>
    <w:basedOn w:val="Normal"/>
    <w:next w:val="Body"/>
    <w:rsid w:val="00F978CE"/>
    <w:pPr>
      <w:keepNext/>
      <w:pageBreakBefore/>
      <w:spacing w:after="240" w:line="290" w:lineRule="auto"/>
      <w:jc w:val="center"/>
      <w:outlineLvl w:val="3"/>
    </w:pPr>
    <w:rPr>
      <w:rFonts w:cs="Times New Roman"/>
      <w:b/>
      <w:kern w:val="23"/>
      <w:sz w:val="23"/>
    </w:rPr>
  </w:style>
  <w:style w:type="paragraph" w:customStyle="1" w:styleId="Schedule1">
    <w:name w:val="Schedule 1"/>
    <w:basedOn w:val="Normal"/>
    <w:rsid w:val="008B1D97"/>
    <w:pPr>
      <w:numPr>
        <w:numId w:val="50"/>
      </w:numPr>
      <w:spacing w:after="140" w:line="290" w:lineRule="auto"/>
      <w:jc w:val="both"/>
      <w:outlineLvl w:val="0"/>
    </w:pPr>
    <w:rPr>
      <w:rFonts w:cs="Times New Roman"/>
      <w:kern w:val="20"/>
    </w:rPr>
  </w:style>
  <w:style w:type="paragraph" w:customStyle="1" w:styleId="Schedule2">
    <w:name w:val="Schedule 2"/>
    <w:basedOn w:val="Normal"/>
    <w:rsid w:val="008B1D97"/>
    <w:pPr>
      <w:numPr>
        <w:ilvl w:val="1"/>
        <w:numId w:val="50"/>
      </w:numPr>
      <w:spacing w:after="140" w:line="290" w:lineRule="auto"/>
      <w:jc w:val="both"/>
      <w:outlineLvl w:val="0"/>
    </w:pPr>
    <w:rPr>
      <w:rFonts w:cs="Times New Roman"/>
      <w:kern w:val="20"/>
    </w:rPr>
  </w:style>
  <w:style w:type="paragraph" w:customStyle="1" w:styleId="Schedule3">
    <w:name w:val="Schedule 3"/>
    <w:basedOn w:val="Normal"/>
    <w:rsid w:val="008B1D97"/>
    <w:pPr>
      <w:numPr>
        <w:ilvl w:val="2"/>
        <w:numId w:val="50"/>
      </w:numPr>
      <w:spacing w:after="140" w:line="290" w:lineRule="auto"/>
      <w:jc w:val="both"/>
      <w:outlineLvl w:val="1"/>
    </w:pPr>
    <w:rPr>
      <w:rFonts w:cs="Times New Roman"/>
      <w:kern w:val="20"/>
    </w:rPr>
  </w:style>
  <w:style w:type="paragraph" w:customStyle="1" w:styleId="Schedule4">
    <w:name w:val="Schedule 4"/>
    <w:basedOn w:val="Normal"/>
    <w:rsid w:val="008B1D97"/>
    <w:pPr>
      <w:numPr>
        <w:ilvl w:val="3"/>
        <w:numId w:val="50"/>
      </w:numPr>
      <w:spacing w:after="140" w:line="290" w:lineRule="auto"/>
      <w:jc w:val="both"/>
      <w:outlineLvl w:val="2"/>
    </w:pPr>
    <w:rPr>
      <w:rFonts w:cs="Times New Roman"/>
      <w:kern w:val="20"/>
    </w:rPr>
  </w:style>
  <w:style w:type="paragraph" w:customStyle="1" w:styleId="Schedule5">
    <w:name w:val="Schedule 5"/>
    <w:basedOn w:val="Normal"/>
    <w:rsid w:val="008B1D97"/>
    <w:pPr>
      <w:numPr>
        <w:ilvl w:val="4"/>
        <w:numId w:val="50"/>
      </w:numPr>
      <w:spacing w:after="140" w:line="290" w:lineRule="auto"/>
      <w:jc w:val="both"/>
      <w:outlineLvl w:val="3"/>
    </w:pPr>
    <w:rPr>
      <w:rFonts w:cs="Times New Roman"/>
      <w:kern w:val="20"/>
    </w:rPr>
  </w:style>
  <w:style w:type="paragraph" w:customStyle="1" w:styleId="Schedule6">
    <w:name w:val="Schedule 6"/>
    <w:basedOn w:val="Normal"/>
    <w:rsid w:val="008B1D97"/>
    <w:pPr>
      <w:numPr>
        <w:ilvl w:val="5"/>
        <w:numId w:val="50"/>
      </w:numPr>
      <w:spacing w:after="140" w:line="290" w:lineRule="auto"/>
      <w:jc w:val="both"/>
      <w:outlineLvl w:val="5"/>
    </w:pPr>
    <w:rPr>
      <w:rFonts w:cs="Times New Roman"/>
      <w:kern w:val="20"/>
    </w:rPr>
  </w:style>
  <w:style w:type="paragraph" w:customStyle="1" w:styleId="ScheduleHeading">
    <w:name w:val="Schedule Heading"/>
    <w:basedOn w:val="Body"/>
    <w:next w:val="Body"/>
    <w:rsid w:val="008B1D97"/>
    <w:pPr>
      <w:keepNext/>
      <w:pageBreakBefore/>
      <w:numPr>
        <w:numId w:val="51"/>
      </w:numPr>
      <w:spacing w:after="240"/>
      <w:jc w:val="center"/>
      <w:outlineLvl w:val="3"/>
    </w:pPr>
    <w:rPr>
      <w:b/>
      <w:kern w:val="23"/>
      <w:sz w:val="23"/>
    </w:rPr>
  </w:style>
  <w:style w:type="paragraph" w:customStyle="1" w:styleId="SubHead">
    <w:name w:val="SubHead"/>
    <w:basedOn w:val="Normal"/>
    <w:next w:val="Body"/>
    <w:rsid w:val="00A170EE"/>
    <w:pPr>
      <w:keepNext/>
      <w:spacing w:before="120" w:after="60" w:line="290" w:lineRule="auto"/>
      <w:jc w:val="both"/>
      <w:outlineLvl w:val="0"/>
    </w:pPr>
    <w:rPr>
      <w:rFonts w:cs="Times New Roman"/>
      <w:b/>
      <w:kern w:val="21"/>
      <w:sz w:val="21"/>
    </w:rPr>
  </w:style>
  <w:style w:type="paragraph" w:customStyle="1" w:styleId="TCLevel1">
    <w:name w:val="T+C Level 1"/>
    <w:basedOn w:val="Normal"/>
    <w:next w:val="TCLevel2"/>
    <w:rsid w:val="008B1D97"/>
    <w:pPr>
      <w:keepNext/>
      <w:numPr>
        <w:numId w:val="52"/>
      </w:numPr>
      <w:spacing w:before="140" w:line="290" w:lineRule="auto"/>
      <w:jc w:val="both"/>
      <w:outlineLvl w:val="0"/>
    </w:pPr>
    <w:rPr>
      <w:rFonts w:cs="Times New Roman"/>
      <w:b/>
      <w:kern w:val="20"/>
    </w:rPr>
  </w:style>
  <w:style w:type="paragraph" w:customStyle="1" w:styleId="TCLevel2">
    <w:name w:val="T+C Level 2"/>
    <w:basedOn w:val="Normal"/>
    <w:rsid w:val="008B1D97"/>
    <w:pPr>
      <w:numPr>
        <w:ilvl w:val="1"/>
        <w:numId w:val="52"/>
      </w:numPr>
      <w:spacing w:after="140" w:line="290" w:lineRule="auto"/>
      <w:jc w:val="both"/>
      <w:outlineLvl w:val="1"/>
    </w:pPr>
    <w:rPr>
      <w:rFonts w:cs="Times New Roman"/>
      <w:kern w:val="20"/>
    </w:rPr>
  </w:style>
  <w:style w:type="paragraph" w:customStyle="1" w:styleId="TCLevel3">
    <w:name w:val="T+C Level 3"/>
    <w:basedOn w:val="Normal"/>
    <w:rsid w:val="008B1D97"/>
    <w:pPr>
      <w:numPr>
        <w:ilvl w:val="2"/>
        <w:numId w:val="52"/>
      </w:numPr>
      <w:spacing w:after="140" w:line="290" w:lineRule="auto"/>
      <w:jc w:val="both"/>
      <w:outlineLvl w:val="2"/>
    </w:pPr>
    <w:rPr>
      <w:rFonts w:cs="Times New Roman"/>
      <w:kern w:val="20"/>
    </w:rPr>
  </w:style>
  <w:style w:type="paragraph" w:customStyle="1" w:styleId="TCLevel4">
    <w:name w:val="T+C Level 4"/>
    <w:basedOn w:val="Normal"/>
    <w:rsid w:val="008B1D97"/>
    <w:pPr>
      <w:numPr>
        <w:ilvl w:val="3"/>
        <w:numId w:val="52"/>
      </w:numPr>
      <w:spacing w:after="140" w:line="290" w:lineRule="auto"/>
      <w:jc w:val="both"/>
      <w:outlineLvl w:val="3"/>
    </w:pPr>
    <w:rPr>
      <w:rFonts w:cs="Times New Roman"/>
      <w:kern w:val="20"/>
    </w:rPr>
  </w:style>
  <w:style w:type="paragraph" w:customStyle="1" w:styleId="Table1">
    <w:name w:val="Table 1"/>
    <w:basedOn w:val="Normal"/>
    <w:rsid w:val="008B1D97"/>
    <w:pPr>
      <w:numPr>
        <w:numId w:val="53"/>
      </w:numPr>
      <w:spacing w:before="60" w:after="60" w:line="290" w:lineRule="auto"/>
      <w:outlineLvl w:val="0"/>
    </w:pPr>
    <w:rPr>
      <w:rFonts w:cs="Times New Roman"/>
      <w:kern w:val="20"/>
    </w:rPr>
  </w:style>
  <w:style w:type="paragraph" w:customStyle="1" w:styleId="Table2">
    <w:name w:val="Table 2"/>
    <w:basedOn w:val="Normal"/>
    <w:rsid w:val="008B1D97"/>
    <w:pPr>
      <w:numPr>
        <w:ilvl w:val="1"/>
        <w:numId w:val="53"/>
      </w:numPr>
      <w:spacing w:before="60" w:after="60" w:line="290" w:lineRule="auto"/>
      <w:outlineLvl w:val="0"/>
    </w:pPr>
    <w:rPr>
      <w:rFonts w:cs="Times New Roman"/>
      <w:kern w:val="20"/>
    </w:rPr>
  </w:style>
  <w:style w:type="paragraph" w:customStyle="1" w:styleId="Table3">
    <w:name w:val="Table 3"/>
    <w:basedOn w:val="Normal"/>
    <w:rsid w:val="008B1D97"/>
    <w:pPr>
      <w:numPr>
        <w:ilvl w:val="2"/>
        <w:numId w:val="53"/>
      </w:numPr>
      <w:spacing w:before="60" w:after="60" w:line="290" w:lineRule="auto"/>
      <w:outlineLvl w:val="0"/>
    </w:pPr>
    <w:rPr>
      <w:rFonts w:cs="Times New Roman"/>
      <w:kern w:val="20"/>
    </w:rPr>
  </w:style>
  <w:style w:type="paragraph" w:customStyle="1" w:styleId="Table4">
    <w:name w:val="Table 4"/>
    <w:basedOn w:val="Normal"/>
    <w:rsid w:val="008B1D97"/>
    <w:pPr>
      <w:numPr>
        <w:ilvl w:val="3"/>
        <w:numId w:val="53"/>
      </w:numPr>
      <w:spacing w:before="60" w:after="60" w:line="290" w:lineRule="auto"/>
      <w:outlineLvl w:val="0"/>
    </w:pPr>
    <w:rPr>
      <w:rFonts w:cs="Times New Roman"/>
      <w:kern w:val="20"/>
    </w:rPr>
  </w:style>
  <w:style w:type="paragraph" w:customStyle="1" w:styleId="Table5">
    <w:name w:val="Table 5"/>
    <w:basedOn w:val="Normal"/>
    <w:rsid w:val="008B1D97"/>
    <w:pPr>
      <w:numPr>
        <w:ilvl w:val="4"/>
        <w:numId w:val="53"/>
      </w:numPr>
      <w:spacing w:before="60" w:after="60" w:line="290" w:lineRule="auto"/>
      <w:outlineLvl w:val="0"/>
    </w:pPr>
    <w:rPr>
      <w:rFonts w:cs="Times New Roman"/>
      <w:kern w:val="20"/>
    </w:rPr>
  </w:style>
  <w:style w:type="paragraph" w:customStyle="1" w:styleId="Table6">
    <w:name w:val="Table 6"/>
    <w:basedOn w:val="Normal"/>
    <w:rsid w:val="008B1D97"/>
    <w:pPr>
      <w:numPr>
        <w:ilvl w:val="5"/>
        <w:numId w:val="53"/>
      </w:numPr>
      <w:spacing w:before="60" w:after="60" w:line="290" w:lineRule="auto"/>
      <w:outlineLvl w:val="0"/>
    </w:pPr>
    <w:rPr>
      <w:rFonts w:cs="Times New Roman"/>
      <w:kern w:val="20"/>
    </w:rPr>
  </w:style>
  <w:style w:type="paragraph" w:customStyle="1" w:styleId="Tablealpha">
    <w:name w:val="Table alpha"/>
    <w:basedOn w:val="CellBody"/>
    <w:rsid w:val="008B1D97"/>
    <w:pPr>
      <w:numPr>
        <w:numId w:val="54"/>
      </w:numPr>
    </w:pPr>
  </w:style>
  <w:style w:type="paragraph" w:customStyle="1" w:styleId="Tablebullet">
    <w:name w:val="Table bullet"/>
    <w:basedOn w:val="Normal"/>
    <w:rsid w:val="00A170EE"/>
    <w:pPr>
      <w:numPr>
        <w:numId w:val="23"/>
      </w:numPr>
      <w:spacing w:before="60" w:after="60" w:line="290" w:lineRule="auto"/>
    </w:pPr>
    <w:rPr>
      <w:rFonts w:cs="Times New Roman"/>
      <w:kern w:val="20"/>
    </w:rPr>
  </w:style>
  <w:style w:type="paragraph" w:customStyle="1" w:styleId="Tableroman">
    <w:name w:val="Table roman"/>
    <w:basedOn w:val="CellBody"/>
    <w:rsid w:val="008B1D97"/>
    <w:pPr>
      <w:numPr>
        <w:numId w:val="55"/>
      </w:numPr>
    </w:pPr>
  </w:style>
  <w:style w:type="paragraph" w:styleId="TOAHeading">
    <w:name w:val="toa heading"/>
    <w:basedOn w:val="Normal"/>
    <w:next w:val="Normal"/>
    <w:uiPriority w:val="99"/>
    <w:unhideWhenUsed/>
    <w:rsid w:val="00C543FE"/>
    <w:pPr>
      <w:spacing w:before="120"/>
    </w:pPr>
    <w:rPr>
      <w:rFonts w:asciiTheme="majorHAnsi" w:eastAsiaTheme="majorEastAsia" w:hAnsiTheme="majorHAnsi" w:cstheme="majorBidi"/>
      <w:b/>
      <w:bCs/>
      <w:sz w:val="24"/>
      <w:szCs w:val="24"/>
    </w:rPr>
  </w:style>
  <w:style w:type="paragraph" w:styleId="Title">
    <w:name w:val="Title"/>
    <w:basedOn w:val="Normal"/>
    <w:next w:val="Body"/>
    <w:link w:val="TitleChar"/>
    <w:unhideWhenUsed/>
    <w:rsid w:val="00F978CE"/>
    <w:pPr>
      <w:keepNext/>
      <w:spacing w:after="240" w:line="290" w:lineRule="auto"/>
      <w:jc w:val="both"/>
      <w:outlineLvl w:val="0"/>
    </w:pPr>
    <w:rPr>
      <w:rFonts w:eastAsiaTheme="majorEastAsia" w:cs="Arial"/>
      <w:b/>
      <w:kern w:val="25"/>
      <w:sz w:val="25"/>
      <w:szCs w:val="56"/>
    </w:rPr>
  </w:style>
  <w:style w:type="character" w:customStyle="1" w:styleId="TitleChar">
    <w:name w:val="Title Char"/>
    <w:basedOn w:val="DefaultParagraphFont"/>
    <w:link w:val="Title"/>
    <w:rsid w:val="00FE583B"/>
    <w:rPr>
      <w:rFonts w:ascii="Arial" w:eastAsiaTheme="majorEastAsia" w:hAnsi="Arial" w:cs="Arial"/>
      <w:b/>
      <w:kern w:val="25"/>
      <w:sz w:val="25"/>
      <w:szCs w:val="56"/>
    </w:rPr>
  </w:style>
  <w:style w:type="paragraph" w:styleId="TOC1">
    <w:name w:val="toc 1"/>
    <w:basedOn w:val="Normal"/>
    <w:next w:val="Body"/>
    <w:unhideWhenUsed/>
    <w:rsid w:val="009C500A"/>
    <w:pPr>
      <w:spacing w:before="280" w:after="140" w:line="290" w:lineRule="auto"/>
    </w:pPr>
    <w:rPr>
      <w:rFonts w:eastAsia="Times New Roman" w:cs="Times New Roman"/>
      <w:kern w:val="20"/>
      <w:szCs w:val="24"/>
      <w:lang w:eastAsia="en-GB"/>
    </w:rPr>
  </w:style>
  <w:style w:type="paragraph" w:styleId="TOC2">
    <w:name w:val="toc 2"/>
    <w:basedOn w:val="Normal"/>
    <w:next w:val="Body"/>
    <w:unhideWhenUsed/>
    <w:rsid w:val="009C500A"/>
    <w:pPr>
      <w:spacing w:before="280" w:after="140" w:line="290" w:lineRule="auto"/>
    </w:pPr>
    <w:rPr>
      <w:rFonts w:eastAsia="Times New Roman" w:cs="Times New Roman"/>
      <w:kern w:val="20"/>
      <w:szCs w:val="24"/>
      <w:lang w:eastAsia="en-GB"/>
    </w:rPr>
  </w:style>
  <w:style w:type="paragraph" w:styleId="TOC3">
    <w:name w:val="toc 3"/>
    <w:basedOn w:val="Normal"/>
    <w:next w:val="Body"/>
    <w:unhideWhenUsed/>
    <w:rsid w:val="009C500A"/>
    <w:pPr>
      <w:spacing w:before="280" w:after="140" w:line="290" w:lineRule="auto"/>
      <w:ind w:left="680"/>
    </w:pPr>
    <w:rPr>
      <w:rFonts w:eastAsia="Times New Roman" w:cs="Times New Roman"/>
      <w:kern w:val="20"/>
      <w:szCs w:val="24"/>
      <w:lang w:eastAsia="en-GB"/>
    </w:rPr>
  </w:style>
  <w:style w:type="paragraph" w:styleId="TOC4">
    <w:name w:val="toc 4"/>
    <w:basedOn w:val="Normal"/>
    <w:next w:val="Body"/>
    <w:unhideWhenUsed/>
    <w:rsid w:val="009C500A"/>
    <w:pPr>
      <w:spacing w:before="280" w:after="140" w:line="290" w:lineRule="auto"/>
      <w:ind w:left="680"/>
    </w:pPr>
    <w:rPr>
      <w:rFonts w:eastAsia="Times New Roman" w:cs="Times New Roman"/>
      <w:kern w:val="20"/>
      <w:szCs w:val="24"/>
      <w:lang w:eastAsia="en-GB"/>
    </w:rPr>
  </w:style>
  <w:style w:type="paragraph" w:styleId="TOC5">
    <w:name w:val="toc 5"/>
    <w:basedOn w:val="Normal"/>
    <w:next w:val="Body"/>
    <w:unhideWhenUsed/>
    <w:rsid w:val="009C500A"/>
    <w:rPr>
      <w:rFonts w:eastAsia="Times New Roman" w:cs="Times New Roman"/>
      <w:szCs w:val="24"/>
      <w:lang w:eastAsia="en-GB"/>
    </w:rPr>
  </w:style>
  <w:style w:type="paragraph" w:styleId="TOC6">
    <w:name w:val="toc 6"/>
    <w:basedOn w:val="Normal"/>
    <w:next w:val="Body"/>
    <w:unhideWhenUsed/>
    <w:rsid w:val="009C500A"/>
    <w:rPr>
      <w:rFonts w:eastAsia="Times New Roman" w:cs="Times New Roman"/>
      <w:szCs w:val="24"/>
      <w:lang w:eastAsia="en-GB"/>
    </w:rPr>
  </w:style>
  <w:style w:type="paragraph" w:styleId="TOC7">
    <w:name w:val="toc 7"/>
    <w:basedOn w:val="Normal"/>
    <w:next w:val="Body"/>
    <w:unhideWhenUsed/>
    <w:rsid w:val="009C500A"/>
    <w:rPr>
      <w:rFonts w:eastAsia="Times New Roman" w:cs="Times New Roman"/>
      <w:szCs w:val="24"/>
      <w:lang w:eastAsia="en-GB"/>
    </w:rPr>
  </w:style>
  <w:style w:type="paragraph" w:styleId="TOC8">
    <w:name w:val="toc 8"/>
    <w:basedOn w:val="Normal"/>
    <w:next w:val="Body"/>
    <w:unhideWhenUsed/>
    <w:rsid w:val="009C500A"/>
    <w:rPr>
      <w:rFonts w:eastAsia="Times New Roman" w:cs="Times New Roman"/>
      <w:szCs w:val="24"/>
      <w:lang w:eastAsia="en-GB"/>
    </w:rPr>
  </w:style>
  <w:style w:type="paragraph" w:styleId="TOC9">
    <w:name w:val="toc 9"/>
    <w:basedOn w:val="Normal"/>
    <w:next w:val="Body"/>
    <w:unhideWhenUsed/>
    <w:rsid w:val="009C500A"/>
    <w:rPr>
      <w:rFonts w:eastAsia="Times New Roman" w:cs="Times New Roman"/>
      <w:szCs w:val="24"/>
      <w:lang w:eastAsia="en-GB"/>
    </w:rPr>
  </w:style>
  <w:style w:type="paragraph" w:customStyle="1" w:styleId="UCAlpha1">
    <w:name w:val="UCAlpha 1"/>
    <w:basedOn w:val="Normal"/>
    <w:rsid w:val="00A34CE2"/>
    <w:pPr>
      <w:numPr>
        <w:numId w:val="56"/>
      </w:numPr>
      <w:spacing w:after="140" w:line="290" w:lineRule="auto"/>
      <w:jc w:val="both"/>
      <w:outlineLvl w:val="0"/>
    </w:pPr>
    <w:rPr>
      <w:rFonts w:cs="Times New Roman"/>
      <w:kern w:val="20"/>
    </w:rPr>
  </w:style>
  <w:style w:type="paragraph" w:customStyle="1" w:styleId="UCAlpha2">
    <w:name w:val="UCAlpha 2"/>
    <w:basedOn w:val="Normal"/>
    <w:rsid w:val="00A34CE2"/>
    <w:pPr>
      <w:numPr>
        <w:ilvl w:val="1"/>
        <w:numId w:val="56"/>
      </w:numPr>
      <w:spacing w:after="140" w:line="290" w:lineRule="auto"/>
      <w:jc w:val="both"/>
      <w:outlineLvl w:val="1"/>
    </w:pPr>
    <w:rPr>
      <w:rFonts w:cs="Times New Roman"/>
      <w:kern w:val="20"/>
    </w:rPr>
  </w:style>
  <w:style w:type="paragraph" w:customStyle="1" w:styleId="UCAlpha3">
    <w:name w:val="UCAlpha 3"/>
    <w:basedOn w:val="Normal"/>
    <w:rsid w:val="00A34CE2"/>
    <w:pPr>
      <w:numPr>
        <w:ilvl w:val="2"/>
        <w:numId w:val="56"/>
      </w:numPr>
      <w:spacing w:after="140" w:line="290" w:lineRule="auto"/>
      <w:jc w:val="both"/>
      <w:outlineLvl w:val="2"/>
    </w:pPr>
    <w:rPr>
      <w:rFonts w:cs="Times New Roman"/>
      <w:kern w:val="20"/>
    </w:rPr>
  </w:style>
  <w:style w:type="paragraph" w:customStyle="1" w:styleId="UCAlpha4">
    <w:name w:val="UCAlpha 4"/>
    <w:basedOn w:val="Normal"/>
    <w:rsid w:val="00A34CE2"/>
    <w:pPr>
      <w:numPr>
        <w:ilvl w:val="3"/>
        <w:numId w:val="56"/>
      </w:numPr>
      <w:spacing w:after="140" w:line="290" w:lineRule="auto"/>
      <w:jc w:val="both"/>
      <w:outlineLvl w:val="3"/>
    </w:pPr>
    <w:rPr>
      <w:rFonts w:cs="Times New Roman"/>
      <w:kern w:val="20"/>
    </w:rPr>
  </w:style>
  <w:style w:type="paragraph" w:customStyle="1" w:styleId="UCAlpha5">
    <w:name w:val="UCAlpha 5"/>
    <w:basedOn w:val="Normal"/>
    <w:rsid w:val="00A34CE2"/>
    <w:pPr>
      <w:numPr>
        <w:ilvl w:val="4"/>
        <w:numId w:val="56"/>
      </w:numPr>
      <w:spacing w:after="140" w:line="290" w:lineRule="auto"/>
      <w:jc w:val="both"/>
      <w:outlineLvl w:val="4"/>
    </w:pPr>
    <w:rPr>
      <w:rFonts w:cs="Times New Roman"/>
      <w:kern w:val="20"/>
    </w:rPr>
  </w:style>
  <w:style w:type="paragraph" w:customStyle="1" w:styleId="UCAlpha6">
    <w:name w:val="UCAlpha 6"/>
    <w:basedOn w:val="Normal"/>
    <w:rsid w:val="00A34CE2"/>
    <w:pPr>
      <w:numPr>
        <w:ilvl w:val="5"/>
        <w:numId w:val="56"/>
      </w:numPr>
      <w:spacing w:after="140" w:line="290" w:lineRule="auto"/>
      <w:jc w:val="both"/>
      <w:outlineLvl w:val="5"/>
    </w:pPr>
    <w:rPr>
      <w:rFonts w:cs="Times New Roman"/>
      <w:kern w:val="20"/>
    </w:rPr>
  </w:style>
  <w:style w:type="paragraph" w:customStyle="1" w:styleId="UCRoman1">
    <w:name w:val="UCRoman 1"/>
    <w:basedOn w:val="Normal"/>
    <w:rsid w:val="00A34CE2"/>
    <w:pPr>
      <w:numPr>
        <w:numId w:val="57"/>
      </w:numPr>
      <w:spacing w:after="140" w:line="290" w:lineRule="auto"/>
      <w:jc w:val="both"/>
      <w:outlineLvl w:val="0"/>
    </w:pPr>
    <w:rPr>
      <w:rFonts w:cs="Times New Roman"/>
      <w:kern w:val="20"/>
    </w:rPr>
  </w:style>
  <w:style w:type="paragraph" w:customStyle="1" w:styleId="UCRoman2">
    <w:name w:val="UCRoman 2"/>
    <w:basedOn w:val="Normal"/>
    <w:rsid w:val="00A34CE2"/>
    <w:pPr>
      <w:numPr>
        <w:ilvl w:val="1"/>
        <w:numId w:val="57"/>
      </w:numPr>
      <w:spacing w:after="140" w:line="290" w:lineRule="auto"/>
      <w:jc w:val="both"/>
      <w:outlineLvl w:val="1"/>
    </w:pPr>
    <w:rPr>
      <w:rFonts w:cs="Times New Roman"/>
      <w:kern w:val="20"/>
    </w:rPr>
  </w:style>
  <w:style w:type="paragraph" w:customStyle="1" w:styleId="UCRoman3">
    <w:name w:val="UCRoman 3"/>
    <w:basedOn w:val="Normal"/>
    <w:rsid w:val="00A34CE2"/>
    <w:pPr>
      <w:numPr>
        <w:ilvl w:val="2"/>
        <w:numId w:val="57"/>
      </w:numPr>
      <w:spacing w:after="140" w:line="290" w:lineRule="auto"/>
      <w:jc w:val="both"/>
      <w:outlineLvl w:val="2"/>
    </w:pPr>
    <w:rPr>
      <w:rFonts w:cs="Times New Roman"/>
      <w:kern w:val="20"/>
    </w:rPr>
  </w:style>
  <w:style w:type="paragraph" w:customStyle="1" w:styleId="UCRoman4">
    <w:name w:val="UCRoman 4"/>
    <w:basedOn w:val="Normal"/>
    <w:rsid w:val="00A34CE2"/>
    <w:pPr>
      <w:numPr>
        <w:ilvl w:val="3"/>
        <w:numId w:val="57"/>
      </w:numPr>
      <w:spacing w:after="140" w:line="290" w:lineRule="auto"/>
      <w:jc w:val="both"/>
      <w:outlineLvl w:val="3"/>
    </w:pPr>
    <w:rPr>
      <w:rFonts w:cs="Times New Roman"/>
    </w:rPr>
  </w:style>
  <w:style w:type="paragraph" w:customStyle="1" w:styleId="UCRoman5">
    <w:name w:val="UCRoman 5"/>
    <w:basedOn w:val="Normal"/>
    <w:rsid w:val="00A34CE2"/>
    <w:pPr>
      <w:numPr>
        <w:ilvl w:val="4"/>
        <w:numId w:val="57"/>
      </w:numPr>
      <w:spacing w:after="140" w:line="290" w:lineRule="auto"/>
      <w:jc w:val="both"/>
      <w:outlineLvl w:val="4"/>
    </w:pPr>
    <w:rPr>
      <w:rFonts w:cs="Times New Roman"/>
      <w:kern w:val="20"/>
    </w:rPr>
  </w:style>
  <w:style w:type="paragraph" w:customStyle="1" w:styleId="UCRoman6">
    <w:name w:val="UCRoman 6"/>
    <w:basedOn w:val="Normal"/>
    <w:rsid w:val="00A34CE2"/>
    <w:pPr>
      <w:numPr>
        <w:ilvl w:val="5"/>
        <w:numId w:val="57"/>
      </w:numPr>
      <w:spacing w:after="140" w:line="290" w:lineRule="auto"/>
      <w:jc w:val="both"/>
      <w:outlineLvl w:val="5"/>
    </w:pPr>
    <w:rPr>
      <w:rFonts w:cs="Times New Roman"/>
      <w:kern w:val="20"/>
    </w:rPr>
  </w:style>
  <w:style w:type="paragraph" w:styleId="FootnoteText">
    <w:name w:val="footnote text"/>
    <w:basedOn w:val="Normal"/>
    <w:link w:val="FootnoteTextChar"/>
    <w:unhideWhenUsed/>
    <w:rsid w:val="00606BD0"/>
    <w:pPr>
      <w:spacing w:after="60" w:line="200" w:lineRule="atLeast"/>
      <w:ind w:left="227" w:hanging="227"/>
      <w:jc w:val="both"/>
    </w:pPr>
    <w:rPr>
      <w:sz w:val="16"/>
      <w:szCs w:val="20"/>
    </w:rPr>
  </w:style>
  <w:style w:type="character" w:customStyle="1" w:styleId="FootnoteTextChar">
    <w:name w:val="Footnote Text Char"/>
    <w:basedOn w:val="DefaultParagraphFont"/>
    <w:link w:val="FootnoteText"/>
    <w:rsid w:val="00FE583B"/>
    <w:rPr>
      <w:rFonts w:ascii="Arial" w:hAnsi="Arial"/>
      <w:sz w:val="16"/>
      <w:szCs w:val="20"/>
    </w:rPr>
  </w:style>
  <w:style w:type="paragraph" w:customStyle="1" w:styleId="zFSAmount">
    <w:name w:val="zFSAmount"/>
    <w:basedOn w:val="Normal"/>
    <w:semiHidden/>
    <w:unhideWhenUsed/>
    <w:rsid w:val="002D0F1F"/>
    <w:pPr>
      <w:spacing w:before="800" w:line="290" w:lineRule="auto"/>
      <w:jc w:val="center"/>
    </w:pPr>
    <w:rPr>
      <w:rFonts w:cs="Times New Roman"/>
      <w:i/>
    </w:rPr>
  </w:style>
  <w:style w:type="paragraph" w:customStyle="1" w:styleId="zFSDescription">
    <w:name w:val="zFSDescription"/>
    <w:basedOn w:val="Normal"/>
    <w:semiHidden/>
    <w:unhideWhenUsed/>
    <w:rsid w:val="002D0F1F"/>
    <w:pPr>
      <w:spacing w:line="290" w:lineRule="auto"/>
      <w:jc w:val="center"/>
    </w:pPr>
    <w:rPr>
      <w:rFonts w:cs="Times New Roman"/>
      <w:i/>
      <w:caps/>
    </w:rPr>
  </w:style>
  <w:style w:type="paragraph" w:customStyle="1" w:styleId="zFSFooter">
    <w:name w:val="zFSFooter"/>
    <w:basedOn w:val="Normal"/>
    <w:semiHidden/>
    <w:unhideWhenUsed/>
    <w:rsid w:val="002D0F1F"/>
    <w:pPr>
      <w:tabs>
        <w:tab w:val="left" w:pos="6521"/>
      </w:tabs>
      <w:spacing w:after="40"/>
    </w:pPr>
    <w:rPr>
      <w:rFonts w:cs="Times New Roman"/>
      <w:sz w:val="16"/>
    </w:rPr>
  </w:style>
  <w:style w:type="paragraph" w:customStyle="1" w:styleId="zFSNameofDoc">
    <w:name w:val="zFSNameofDoc"/>
    <w:basedOn w:val="Body"/>
    <w:semiHidden/>
    <w:unhideWhenUsed/>
    <w:rsid w:val="002D0F1F"/>
    <w:pPr>
      <w:spacing w:before="300" w:after="400"/>
      <w:jc w:val="center"/>
    </w:pPr>
    <w:rPr>
      <w:caps/>
    </w:rPr>
  </w:style>
  <w:style w:type="numbering" w:customStyle="1" w:styleId="LLalpha">
    <w:name w:val="LL_alpha"/>
    <w:uiPriority w:val="99"/>
    <w:rsid w:val="00D23A38"/>
    <w:pPr>
      <w:numPr>
        <w:numId w:val="1"/>
      </w:numPr>
    </w:pPr>
  </w:style>
  <w:style w:type="numbering" w:customStyle="1" w:styleId="LLbullet">
    <w:name w:val="LL_bullet"/>
    <w:uiPriority w:val="99"/>
    <w:rsid w:val="00D23A38"/>
    <w:pPr>
      <w:numPr>
        <w:numId w:val="2"/>
      </w:numPr>
    </w:pPr>
  </w:style>
  <w:style w:type="numbering" w:customStyle="1" w:styleId="LLdashbullet">
    <w:name w:val="LL_dash bullet"/>
    <w:uiPriority w:val="99"/>
    <w:rsid w:val="00D23A38"/>
    <w:pPr>
      <w:numPr>
        <w:numId w:val="3"/>
      </w:numPr>
    </w:pPr>
  </w:style>
  <w:style w:type="numbering" w:customStyle="1" w:styleId="LLdoublealpha">
    <w:name w:val="LL_double alpha"/>
    <w:uiPriority w:val="99"/>
    <w:rsid w:val="00D23A38"/>
    <w:pPr>
      <w:numPr>
        <w:numId w:val="4"/>
      </w:numPr>
    </w:pPr>
  </w:style>
  <w:style w:type="numbering" w:customStyle="1" w:styleId="LLengage">
    <w:name w:val="LL_engage"/>
    <w:uiPriority w:val="99"/>
    <w:rsid w:val="00D23A38"/>
    <w:pPr>
      <w:numPr>
        <w:numId w:val="5"/>
      </w:numPr>
    </w:pPr>
  </w:style>
  <w:style w:type="numbering" w:customStyle="1" w:styleId="LLHead">
    <w:name w:val="LL_Head"/>
    <w:uiPriority w:val="99"/>
    <w:rsid w:val="00D23A38"/>
    <w:pPr>
      <w:numPr>
        <w:numId w:val="6"/>
      </w:numPr>
    </w:pPr>
  </w:style>
  <w:style w:type="numbering" w:customStyle="1" w:styleId="LLLevel">
    <w:name w:val="LL_Level"/>
    <w:uiPriority w:val="99"/>
    <w:rsid w:val="00514E78"/>
    <w:pPr>
      <w:numPr>
        <w:numId w:val="7"/>
      </w:numPr>
    </w:pPr>
  </w:style>
  <w:style w:type="numbering" w:customStyle="1" w:styleId="LLListNumbers">
    <w:name w:val="LL_List Numbers"/>
    <w:uiPriority w:val="99"/>
    <w:rsid w:val="008B1D97"/>
    <w:pPr>
      <w:numPr>
        <w:numId w:val="8"/>
      </w:numPr>
    </w:pPr>
  </w:style>
  <w:style w:type="numbering" w:customStyle="1" w:styleId="LLParties">
    <w:name w:val="LL_Parties"/>
    <w:uiPriority w:val="99"/>
    <w:rsid w:val="008B1D97"/>
    <w:pPr>
      <w:numPr>
        <w:numId w:val="9"/>
      </w:numPr>
    </w:pPr>
  </w:style>
  <w:style w:type="numbering" w:customStyle="1" w:styleId="LLRecitals">
    <w:name w:val="LL_Recitals"/>
    <w:uiPriority w:val="99"/>
    <w:rsid w:val="008B1D97"/>
    <w:pPr>
      <w:numPr>
        <w:numId w:val="10"/>
      </w:numPr>
    </w:pPr>
  </w:style>
  <w:style w:type="numbering" w:customStyle="1" w:styleId="LLroman">
    <w:name w:val="LL_roman"/>
    <w:uiPriority w:val="99"/>
    <w:rsid w:val="008B1D97"/>
    <w:pPr>
      <w:numPr>
        <w:numId w:val="11"/>
      </w:numPr>
    </w:pPr>
  </w:style>
  <w:style w:type="numbering" w:customStyle="1" w:styleId="LLSchedule">
    <w:name w:val="LL_Schedule"/>
    <w:uiPriority w:val="99"/>
    <w:rsid w:val="008B1D97"/>
    <w:pPr>
      <w:numPr>
        <w:numId w:val="12"/>
      </w:numPr>
    </w:pPr>
  </w:style>
  <w:style w:type="numbering" w:customStyle="1" w:styleId="LLTC">
    <w:name w:val="LL_T+C"/>
    <w:uiPriority w:val="99"/>
    <w:rsid w:val="008B1D97"/>
    <w:pPr>
      <w:numPr>
        <w:numId w:val="13"/>
      </w:numPr>
    </w:pPr>
  </w:style>
  <w:style w:type="numbering" w:customStyle="1" w:styleId="LLTable">
    <w:name w:val="LL_Table"/>
    <w:uiPriority w:val="99"/>
    <w:rsid w:val="008B1D97"/>
    <w:pPr>
      <w:numPr>
        <w:numId w:val="14"/>
      </w:numPr>
    </w:pPr>
  </w:style>
  <w:style w:type="numbering" w:customStyle="1" w:styleId="LLTablealpha">
    <w:name w:val="LL_Table alpha"/>
    <w:uiPriority w:val="99"/>
    <w:rsid w:val="008B1D97"/>
    <w:pPr>
      <w:numPr>
        <w:numId w:val="15"/>
      </w:numPr>
    </w:pPr>
  </w:style>
  <w:style w:type="numbering" w:customStyle="1" w:styleId="LLTablebullet">
    <w:name w:val="LL_Table bullet"/>
    <w:uiPriority w:val="99"/>
    <w:rsid w:val="00A170EE"/>
    <w:pPr>
      <w:numPr>
        <w:numId w:val="16"/>
      </w:numPr>
    </w:pPr>
  </w:style>
  <w:style w:type="numbering" w:customStyle="1" w:styleId="LLTableroman">
    <w:name w:val="LL_Table roman"/>
    <w:uiPriority w:val="99"/>
    <w:rsid w:val="008B1D97"/>
    <w:pPr>
      <w:numPr>
        <w:numId w:val="17"/>
      </w:numPr>
    </w:pPr>
  </w:style>
  <w:style w:type="numbering" w:customStyle="1" w:styleId="LLTOC">
    <w:name w:val="LL_TOC"/>
    <w:uiPriority w:val="99"/>
    <w:rsid w:val="006A7AEA"/>
    <w:pPr>
      <w:numPr>
        <w:numId w:val="18"/>
      </w:numPr>
    </w:pPr>
  </w:style>
  <w:style w:type="numbering" w:customStyle="1" w:styleId="LLUCAlpha">
    <w:name w:val="LL_UCAlpha"/>
    <w:uiPriority w:val="99"/>
    <w:rsid w:val="00A34CE2"/>
    <w:pPr>
      <w:numPr>
        <w:numId w:val="19"/>
      </w:numPr>
    </w:pPr>
  </w:style>
  <w:style w:type="numbering" w:customStyle="1" w:styleId="LLUCRoman">
    <w:name w:val="LL_UCRoman"/>
    <w:uiPriority w:val="99"/>
    <w:rsid w:val="00A34CE2"/>
    <w:pPr>
      <w:numPr>
        <w:numId w:val="20"/>
      </w:numPr>
    </w:pPr>
  </w:style>
  <w:style w:type="numbering" w:customStyle="1" w:styleId="LLBody">
    <w:name w:val="LL_Body"/>
    <w:uiPriority w:val="99"/>
    <w:rsid w:val="00D23A38"/>
    <w:pPr>
      <w:numPr>
        <w:numId w:val="21"/>
      </w:numPr>
    </w:pPr>
  </w:style>
  <w:style w:type="character" w:customStyle="1" w:styleId="zTokyoLogoCaption">
    <w:name w:val="zTokyoLogoCaption"/>
    <w:semiHidden/>
    <w:unhideWhenUsed/>
    <w:rsid w:val="00DB5A0B"/>
    <w:rPr>
      <w:rFonts w:ascii="MS Mincho" w:hAnsi="Arial" w:cs="Times New Roman"/>
      <w:sz w:val="13"/>
    </w:rPr>
  </w:style>
  <w:style w:type="character" w:customStyle="1" w:styleId="zTokyoLogoCaption2">
    <w:name w:val="zTokyoLogoCaption2"/>
    <w:semiHidden/>
    <w:unhideWhenUsed/>
    <w:rsid w:val="00DB5A0B"/>
    <w:rPr>
      <w:rFonts w:ascii="MS Mincho" w:hAnsi="Arial" w:cs="Times New Roman"/>
      <w:sz w:val="16"/>
    </w:rPr>
  </w:style>
  <w:style w:type="character" w:customStyle="1" w:styleId="Heading2Char">
    <w:name w:val="Heading 2 Char"/>
    <w:basedOn w:val="DefaultParagraphFont"/>
    <w:link w:val="Heading2"/>
    <w:rsid w:val="00FE583B"/>
    <w:rPr>
      <w:rFonts w:ascii="Arial" w:eastAsia="Times New Roman" w:hAnsi="Arial" w:cs="Arial"/>
      <w:bCs/>
      <w:iCs/>
      <w:sz w:val="20"/>
      <w:szCs w:val="28"/>
      <w:lang w:eastAsia="en-GB"/>
    </w:rPr>
  </w:style>
  <w:style w:type="character" w:customStyle="1" w:styleId="Heading3Char">
    <w:name w:val="Heading 3 Char"/>
    <w:basedOn w:val="DefaultParagraphFont"/>
    <w:link w:val="Heading3"/>
    <w:rsid w:val="00FE583B"/>
    <w:rPr>
      <w:rFonts w:ascii="Arial" w:eastAsia="Times New Roman" w:hAnsi="Arial" w:cs="Arial"/>
      <w:bCs/>
      <w:sz w:val="20"/>
      <w:szCs w:val="26"/>
      <w:lang w:eastAsia="en-GB"/>
    </w:rPr>
  </w:style>
  <w:style w:type="character" w:customStyle="1" w:styleId="Heading4Char">
    <w:name w:val="Heading 4 Char"/>
    <w:basedOn w:val="DefaultParagraphFont"/>
    <w:link w:val="Heading4"/>
    <w:rsid w:val="00FE583B"/>
    <w:rPr>
      <w:rFonts w:ascii="Arial" w:eastAsia="Times New Roman" w:hAnsi="Arial" w:cs="Times New Roman"/>
      <w:bCs/>
      <w:sz w:val="20"/>
      <w:szCs w:val="28"/>
      <w:lang w:eastAsia="en-GB"/>
    </w:rPr>
  </w:style>
  <w:style w:type="character" w:customStyle="1" w:styleId="Heading5Char">
    <w:name w:val="Heading 5 Char"/>
    <w:basedOn w:val="DefaultParagraphFont"/>
    <w:link w:val="Heading5"/>
    <w:rsid w:val="00FE583B"/>
    <w:rPr>
      <w:rFonts w:ascii="Arial" w:eastAsia="Times New Roman" w:hAnsi="Arial" w:cs="Times New Roman"/>
      <w:bCs/>
      <w:iCs/>
      <w:sz w:val="20"/>
      <w:szCs w:val="26"/>
      <w:lang w:eastAsia="en-GB"/>
    </w:rPr>
  </w:style>
  <w:style w:type="character" w:customStyle="1" w:styleId="Heading6Char">
    <w:name w:val="Heading 6 Char"/>
    <w:basedOn w:val="DefaultParagraphFont"/>
    <w:link w:val="Heading6"/>
    <w:rsid w:val="00FE583B"/>
    <w:rPr>
      <w:rFonts w:ascii="Arial" w:eastAsia="Times New Roman" w:hAnsi="Arial" w:cs="Times New Roman"/>
      <w:bCs/>
      <w:sz w:val="20"/>
      <w:lang w:eastAsia="en-GB"/>
    </w:rPr>
  </w:style>
  <w:style w:type="character" w:customStyle="1" w:styleId="Heading7Char">
    <w:name w:val="Heading 7 Char"/>
    <w:basedOn w:val="DefaultParagraphFont"/>
    <w:link w:val="Heading7"/>
    <w:rsid w:val="00FE583B"/>
    <w:rPr>
      <w:rFonts w:ascii="Arial" w:eastAsia="Times New Roman" w:hAnsi="Arial" w:cs="Times New Roman"/>
      <w:sz w:val="20"/>
      <w:szCs w:val="24"/>
      <w:lang w:eastAsia="en-GB"/>
    </w:rPr>
  </w:style>
  <w:style w:type="character" w:customStyle="1" w:styleId="Heading8Char">
    <w:name w:val="Heading 8 Char"/>
    <w:basedOn w:val="DefaultParagraphFont"/>
    <w:link w:val="Heading8"/>
    <w:rsid w:val="00FE583B"/>
    <w:rPr>
      <w:rFonts w:ascii="Arial" w:eastAsia="Times New Roman" w:hAnsi="Arial" w:cs="Times New Roman"/>
      <w:iCs/>
      <w:sz w:val="20"/>
      <w:szCs w:val="24"/>
      <w:lang w:eastAsia="en-GB"/>
    </w:rPr>
  </w:style>
  <w:style w:type="character" w:customStyle="1" w:styleId="Heading9Char">
    <w:name w:val="Heading 9 Char"/>
    <w:basedOn w:val="DefaultParagraphFont"/>
    <w:link w:val="Heading9"/>
    <w:rsid w:val="00FE583B"/>
    <w:rPr>
      <w:rFonts w:ascii="Arial" w:eastAsia="Times New Roman" w:hAnsi="Arial" w:cs="Arial"/>
      <w:sz w:val="20"/>
      <w:lang w:eastAsia="en-GB"/>
    </w:rPr>
  </w:style>
  <w:style w:type="numbering" w:styleId="111111">
    <w:name w:val="Outline List 2"/>
    <w:basedOn w:val="NoList"/>
    <w:uiPriority w:val="99"/>
    <w:semiHidden/>
    <w:unhideWhenUsed/>
    <w:rsid w:val="00F978CE"/>
    <w:pPr>
      <w:numPr>
        <w:numId w:val="34"/>
      </w:numPr>
    </w:pPr>
  </w:style>
  <w:style w:type="numbering" w:styleId="1ai">
    <w:name w:val="Outline List 1"/>
    <w:basedOn w:val="NoList"/>
    <w:uiPriority w:val="99"/>
    <w:semiHidden/>
    <w:unhideWhenUsed/>
    <w:rsid w:val="00F978CE"/>
    <w:pPr>
      <w:numPr>
        <w:numId w:val="35"/>
      </w:numPr>
    </w:pPr>
  </w:style>
  <w:style w:type="numbering" w:styleId="ArticleSection">
    <w:name w:val="Outline List 3"/>
    <w:basedOn w:val="NoList"/>
    <w:uiPriority w:val="99"/>
    <w:semiHidden/>
    <w:unhideWhenUsed/>
    <w:rsid w:val="00F978CE"/>
    <w:pPr>
      <w:numPr>
        <w:numId w:val="36"/>
      </w:numPr>
    </w:pPr>
  </w:style>
  <w:style w:type="paragraph" w:styleId="BalloonText">
    <w:name w:val="Balloon Text"/>
    <w:basedOn w:val="Normal"/>
    <w:link w:val="BalloonTextChar"/>
    <w:uiPriority w:val="99"/>
    <w:unhideWhenUsed/>
    <w:rsid w:val="00F978CE"/>
    <w:rPr>
      <w:rFonts w:ascii="Segoe UI" w:hAnsi="Segoe UI" w:cs="Segoe UI"/>
      <w:sz w:val="18"/>
      <w:szCs w:val="18"/>
    </w:rPr>
  </w:style>
  <w:style w:type="character" w:customStyle="1" w:styleId="BalloonTextChar">
    <w:name w:val="Balloon Text Char"/>
    <w:basedOn w:val="DefaultParagraphFont"/>
    <w:link w:val="BalloonText"/>
    <w:uiPriority w:val="99"/>
    <w:rsid w:val="00FE583B"/>
    <w:rPr>
      <w:rFonts w:ascii="Segoe UI" w:hAnsi="Segoe UI" w:cs="Segoe UI"/>
      <w:sz w:val="18"/>
      <w:szCs w:val="18"/>
    </w:rPr>
  </w:style>
  <w:style w:type="paragraph" w:styleId="Bibliography">
    <w:name w:val="Bibliography"/>
    <w:basedOn w:val="Normal"/>
    <w:next w:val="Normal"/>
    <w:uiPriority w:val="37"/>
    <w:unhideWhenUsed/>
    <w:rsid w:val="00F978CE"/>
  </w:style>
  <w:style w:type="paragraph" w:styleId="BlockText">
    <w:name w:val="Block Text"/>
    <w:basedOn w:val="Normal"/>
    <w:uiPriority w:val="99"/>
    <w:unhideWhenUsed/>
    <w:rsid w:val="00F978CE"/>
    <w:pPr>
      <w:pBdr>
        <w:top w:val="single" w:sz="2" w:space="10" w:color="AF005F" w:themeColor="accent1"/>
        <w:left w:val="single" w:sz="2" w:space="10" w:color="AF005F" w:themeColor="accent1"/>
        <w:bottom w:val="single" w:sz="2" w:space="10" w:color="AF005F" w:themeColor="accent1"/>
        <w:right w:val="single" w:sz="2" w:space="10" w:color="AF005F" w:themeColor="accent1"/>
      </w:pBdr>
      <w:ind w:left="1152" w:right="1152"/>
    </w:pPr>
    <w:rPr>
      <w:rFonts w:asciiTheme="minorHAnsi" w:eastAsiaTheme="minorEastAsia" w:hAnsiTheme="minorHAnsi"/>
      <w:i/>
      <w:iCs/>
      <w:color w:val="AF005F" w:themeColor="accent1"/>
    </w:rPr>
  </w:style>
  <w:style w:type="paragraph" w:styleId="BodyText">
    <w:name w:val="Body Text"/>
    <w:basedOn w:val="Normal"/>
    <w:link w:val="BodyTextChar"/>
    <w:uiPriority w:val="99"/>
    <w:unhideWhenUsed/>
    <w:rsid w:val="00F978CE"/>
    <w:pPr>
      <w:spacing w:after="120"/>
    </w:pPr>
  </w:style>
  <w:style w:type="character" w:customStyle="1" w:styleId="BodyTextChar">
    <w:name w:val="Body Text Char"/>
    <w:basedOn w:val="DefaultParagraphFont"/>
    <w:link w:val="BodyText"/>
    <w:uiPriority w:val="99"/>
    <w:rsid w:val="00FE583B"/>
    <w:rPr>
      <w:rFonts w:ascii="Arial" w:hAnsi="Arial"/>
      <w:sz w:val="20"/>
    </w:rPr>
  </w:style>
  <w:style w:type="paragraph" w:styleId="BodyText2">
    <w:name w:val="Body Text 2"/>
    <w:basedOn w:val="Normal"/>
    <w:link w:val="BodyText2Char"/>
    <w:uiPriority w:val="99"/>
    <w:unhideWhenUsed/>
    <w:rsid w:val="00F978CE"/>
    <w:pPr>
      <w:spacing w:after="120" w:line="480" w:lineRule="auto"/>
    </w:pPr>
  </w:style>
  <w:style w:type="character" w:customStyle="1" w:styleId="BodyText2Char">
    <w:name w:val="Body Text 2 Char"/>
    <w:basedOn w:val="DefaultParagraphFont"/>
    <w:link w:val="BodyText2"/>
    <w:uiPriority w:val="99"/>
    <w:rsid w:val="00FE583B"/>
    <w:rPr>
      <w:rFonts w:ascii="Arial" w:hAnsi="Arial"/>
      <w:sz w:val="20"/>
    </w:rPr>
  </w:style>
  <w:style w:type="paragraph" w:styleId="BodyText3">
    <w:name w:val="Body Text 3"/>
    <w:basedOn w:val="Normal"/>
    <w:link w:val="BodyText3Char"/>
    <w:uiPriority w:val="99"/>
    <w:unhideWhenUsed/>
    <w:rsid w:val="00F978CE"/>
    <w:pPr>
      <w:spacing w:after="120"/>
    </w:pPr>
    <w:rPr>
      <w:sz w:val="16"/>
      <w:szCs w:val="16"/>
    </w:rPr>
  </w:style>
  <w:style w:type="character" w:customStyle="1" w:styleId="BodyText3Char">
    <w:name w:val="Body Text 3 Char"/>
    <w:basedOn w:val="DefaultParagraphFont"/>
    <w:link w:val="BodyText3"/>
    <w:uiPriority w:val="99"/>
    <w:rsid w:val="00FE583B"/>
    <w:rPr>
      <w:rFonts w:ascii="Arial" w:hAnsi="Arial"/>
      <w:sz w:val="16"/>
      <w:szCs w:val="16"/>
    </w:rPr>
  </w:style>
  <w:style w:type="paragraph" w:styleId="BodyTextFirstIndent">
    <w:name w:val="Body Text First Indent"/>
    <w:basedOn w:val="BodyText"/>
    <w:link w:val="BodyTextFirstIndentChar"/>
    <w:uiPriority w:val="99"/>
    <w:unhideWhenUsed/>
    <w:rsid w:val="00F978CE"/>
    <w:pPr>
      <w:spacing w:after="0"/>
      <w:ind w:firstLine="360"/>
    </w:pPr>
  </w:style>
  <w:style w:type="character" w:customStyle="1" w:styleId="BodyTextFirstIndentChar">
    <w:name w:val="Body Text First Indent Char"/>
    <w:basedOn w:val="BodyTextChar"/>
    <w:link w:val="BodyTextFirstIndent"/>
    <w:uiPriority w:val="99"/>
    <w:rsid w:val="00FE583B"/>
    <w:rPr>
      <w:rFonts w:ascii="Arial" w:hAnsi="Arial"/>
      <w:sz w:val="20"/>
    </w:rPr>
  </w:style>
  <w:style w:type="paragraph" w:styleId="BodyTextIndent">
    <w:name w:val="Body Text Indent"/>
    <w:basedOn w:val="Normal"/>
    <w:link w:val="BodyTextIndentChar"/>
    <w:uiPriority w:val="99"/>
    <w:unhideWhenUsed/>
    <w:rsid w:val="00F978CE"/>
    <w:pPr>
      <w:spacing w:after="120"/>
      <w:ind w:left="283"/>
    </w:pPr>
  </w:style>
  <w:style w:type="character" w:customStyle="1" w:styleId="BodyTextIndentChar">
    <w:name w:val="Body Text Indent Char"/>
    <w:basedOn w:val="DefaultParagraphFont"/>
    <w:link w:val="BodyTextIndent"/>
    <w:uiPriority w:val="99"/>
    <w:rsid w:val="00FE583B"/>
    <w:rPr>
      <w:rFonts w:ascii="Arial" w:hAnsi="Arial"/>
      <w:sz w:val="20"/>
    </w:rPr>
  </w:style>
  <w:style w:type="paragraph" w:styleId="BodyTextFirstIndent2">
    <w:name w:val="Body Text First Indent 2"/>
    <w:basedOn w:val="BodyTextIndent"/>
    <w:link w:val="BodyTextFirstIndent2Char"/>
    <w:uiPriority w:val="99"/>
    <w:unhideWhenUsed/>
    <w:rsid w:val="00F978CE"/>
    <w:pPr>
      <w:spacing w:after="0"/>
      <w:ind w:left="360" w:firstLine="360"/>
    </w:pPr>
  </w:style>
  <w:style w:type="character" w:customStyle="1" w:styleId="BodyTextFirstIndent2Char">
    <w:name w:val="Body Text First Indent 2 Char"/>
    <w:basedOn w:val="BodyTextIndentChar"/>
    <w:link w:val="BodyTextFirstIndent2"/>
    <w:uiPriority w:val="99"/>
    <w:rsid w:val="00FE583B"/>
    <w:rPr>
      <w:rFonts w:ascii="Arial" w:hAnsi="Arial"/>
      <w:sz w:val="20"/>
    </w:rPr>
  </w:style>
  <w:style w:type="paragraph" w:styleId="BodyTextIndent2">
    <w:name w:val="Body Text Indent 2"/>
    <w:basedOn w:val="Normal"/>
    <w:link w:val="BodyTextIndent2Char"/>
    <w:uiPriority w:val="99"/>
    <w:unhideWhenUsed/>
    <w:rsid w:val="00F978CE"/>
    <w:pPr>
      <w:spacing w:after="120" w:line="480" w:lineRule="auto"/>
      <w:ind w:left="283"/>
    </w:pPr>
  </w:style>
  <w:style w:type="character" w:customStyle="1" w:styleId="BodyTextIndent2Char">
    <w:name w:val="Body Text Indent 2 Char"/>
    <w:basedOn w:val="DefaultParagraphFont"/>
    <w:link w:val="BodyTextIndent2"/>
    <w:uiPriority w:val="99"/>
    <w:rsid w:val="00FE583B"/>
    <w:rPr>
      <w:rFonts w:ascii="Arial" w:hAnsi="Arial"/>
      <w:sz w:val="20"/>
    </w:rPr>
  </w:style>
  <w:style w:type="paragraph" w:styleId="BodyTextIndent3">
    <w:name w:val="Body Text Indent 3"/>
    <w:basedOn w:val="Normal"/>
    <w:link w:val="BodyTextIndent3Char"/>
    <w:uiPriority w:val="99"/>
    <w:unhideWhenUsed/>
    <w:rsid w:val="00F978CE"/>
    <w:pPr>
      <w:spacing w:after="120"/>
      <w:ind w:left="283"/>
    </w:pPr>
    <w:rPr>
      <w:sz w:val="16"/>
      <w:szCs w:val="16"/>
    </w:rPr>
  </w:style>
  <w:style w:type="character" w:customStyle="1" w:styleId="BodyTextIndent3Char">
    <w:name w:val="Body Text Indent 3 Char"/>
    <w:basedOn w:val="DefaultParagraphFont"/>
    <w:link w:val="BodyTextIndent3"/>
    <w:uiPriority w:val="99"/>
    <w:rsid w:val="00FE583B"/>
    <w:rPr>
      <w:rFonts w:ascii="Arial" w:hAnsi="Arial"/>
      <w:sz w:val="16"/>
      <w:szCs w:val="16"/>
    </w:rPr>
  </w:style>
  <w:style w:type="character" w:styleId="BookTitle">
    <w:name w:val="Book Title"/>
    <w:basedOn w:val="DefaultParagraphFont"/>
    <w:uiPriority w:val="99"/>
    <w:unhideWhenUsed/>
    <w:qFormat/>
    <w:rsid w:val="00F978CE"/>
    <w:rPr>
      <w:b/>
      <w:bCs/>
      <w:i/>
      <w:iCs/>
      <w:spacing w:val="5"/>
    </w:rPr>
  </w:style>
  <w:style w:type="paragraph" w:styleId="Caption">
    <w:name w:val="caption"/>
    <w:basedOn w:val="Normal"/>
    <w:next w:val="Normal"/>
    <w:uiPriority w:val="35"/>
    <w:unhideWhenUsed/>
    <w:qFormat/>
    <w:rsid w:val="00F978CE"/>
    <w:pPr>
      <w:spacing w:after="200"/>
    </w:pPr>
    <w:rPr>
      <w:i/>
      <w:iCs/>
      <w:color w:val="AF005F" w:themeColor="text2"/>
      <w:sz w:val="18"/>
      <w:szCs w:val="18"/>
    </w:rPr>
  </w:style>
  <w:style w:type="paragraph" w:styleId="Closing">
    <w:name w:val="Closing"/>
    <w:basedOn w:val="Normal"/>
    <w:link w:val="ClosingChar"/>
    <w:uiPriority w:val="99"/>
    <w:unhideWhenUsed/>
    <w:rsid w:val="00F978CE"/>
    <w:pPr>
      <w:ind w:left="4252"/>
    </w:pPr>
  </w:style>
  <w:style w:type="character" w:customStyle="1" w:styleId="ClosingChar">
    <w:name w:val="Closing Char"/>
    <w:basedOn w:val="DefaultParagraphFont"/>
    <w:link w:val="Closing"/>
    <w:uiPriority w:val="99"/>
    <w:rsid w:val="00FE583B"/>
    <w:rPr>
      <w:rFonts w:ascii="Arial" w:hAnsi="Arial"/>
      <w:sz w:val="20"/>
    </w:rPr>
  </w:style>
  <w:style w:type="table" w:styleId="ColorfulGrid-Accent4">
    <w:name w:val="Colorful Grid Accent 4"/>
    <w:basedOn w:val="TableNormal"/>
    <w:uiPriority w:val="73"/>
    <w:unhideWhenUsed/>
    <w:rsid w:val="00F978C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73"/>
    <w:unhideWhenUsed/>
    <w:rsid w:val="00F978C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EAEA" w:themeFill="accent5" w:themeFillTint="33"/>
    </w:tcPr>
    <w:tblStylePr w:type="firstRow">
      <w:rPr>
        <w:b/>
        <w:bCs/>
      </w:rPr>
      <w:tblPr/>
      <w:tcPr>
        <w:shd w:val="clear" w:color="auto" w:fill="D5D5D5" w:themeFill="accent5" w:themeFillTint="66"/>
      </w:tcPr>
    </w:tblStylePr>
    <w:tblStylePr w:type="lastRow">
      <w:rPr>
        <w:b/>
        <w:bCs/>
        <w:color w:val="000000" w:themeColor="text1"/>
      </w:rPr>
      <w:tblPr/>
      <w:tcPr>
        <w:shd w:val="clear" w:color="auto" w:fill="D5D5D5" w:themeFill="accent5" w:themeFillTint="66"/>
      </w:tcPr>
    </w:tblStylePr>
    <w:tblStylePr w:type="firstCol">
      <w:rPr>
        <w:color w:val="FFFFFF" w:themeColor="background1"/>
      </w:rPr>
      <w:tblPr/>
      <w:tcPr>
        <w:shd w:val="clear" w:color="auto" w:fill="707070" w:themeFill="accent5" w:themeFillShade="BF"/>
      </w:tcPr>
    </w:tblStylePr>
    <w:tblStylePr w:type="lastCol">
      <w:rPr>
        <w:color w:val="FFFFFF" w:themeColor="background1"/>
      </w:rPr>
      <w:tblPr/>
      <w:tcPr>
        <w:shd w:val="clear" w:color="auto" w:fill="707070" w:themeFill="accent5" w:themeFillShade="BF"/>
      </w:tcPr>
    </w:tblStylePr>
    <w:tblStylePr w:type="band1Vert">
      <w:tblPr/>
      <w:tcPr>
        <w:shd w:val="clear" w:color="auto" w:fill="CACACA" w:themeFill="accent5" w:themeFillTint="7F"/>
      </w:tcPr>
    </w:tblStylePr>
    <w:tblStylePr w:type="band1Horz">
      <w:tblPr/>
      <w:tcPr>
        <w:shd w:val="clear" w:color="auto" w:fill="CACACA" w:themeFill="accent5" w:themeFillTint="7F"/>
      </w:tcPr>
    </w:tblStylePr>
  </w:style>
  <w:style w:type="table" w:styleId="ColorfulGrid-Accent6">
    <w:name w:val="Colorful Grid Accent 6"/>
    <w:basedOn w:val="TableNormal"/>
    <w:uiPriority w:val="73"/>
    <w:unhideWhenUsed/>
    <w:rsid w:val="00F978C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3F3F3" w:themeFill="accent6" w:themeFillTint="33"/>
    </w:tcPr>
    <w:tblStylePr w:type="firstRow">
      <w:rPr>
        <w:b/>
        <w:bCs/>
      </w:rPr>
      <w:tblPr/>
      <w:tcPr>
        <w:shd w:val="clear" w:color="auto" w:fill="E7E7E7" w:themeFill="accent6" w:themeFillTint="66"/>
      </w:tcPr>
    </w:tblStylePr>
    <w:tblStylePr w:type="lastRow">
      <w:rPr>
        <w:b/>
        <w:bCs/>
        <w:color w:val="000000" w:themeColor="text1"/>
      </w:rPr>
      <w:tblPr/>
      <w:tcPr>
        <w:shd w:val="clear" w:color="auto" w:fill="E7E7E7" w:themeFill="accent6" w:themeFillTint="66"/>
      </w:tcPr>
    </w:tblStylePr>
    <w:tblStylePr w:type="firstCol">
      <w:rPr>
        <w:color w:val="FFFFFF" w:themeColor="background1"/>
      </w:rPr>
      <w:tblPr/>
      <w:tcPr>
        <w:shd w:val="clear" w:color="auto" w:fill="929292" w:themeFill="accent6" w:themeFillShade="BF"/>
      </w:tcPr>
    </w:tblStylePr>
    <w:tblStylePr w:type="lastCol">
      <w:rPr>
        <w:color w:val="FFFFFF" w:themeColor="background1"/>
      </w:rPr>
      <w:tblPr/>
      <w:tcPr>
        <w:shd w:val="clear" w:color="auto" w:fill="929292" w:themeFill="accent6" w:themeFillShade="BF"/>
      </w:tcPr>
    </w:tblStylePr>
    <w:tblStylePr w:type="band1Vert">
      <w:tblPr/>
      <w:tcPr>
        <w:shd w:val="clear" w:color="auto" w:fill="E1E1E1" w:themeFill="accent6" w:themeFillTint="7F"/>
      </w:tcPr>
    </w:tblStylePr>
    <w:tblStylePr w:type="band1Horz">
      <w:tblPr/>
      <w:tcPr>
        <w:shd w:val="clear" w:color="auto" w:fill="E1E1E1" w:themeFill="accent6" w:themeFillTint="7F"/>
      </w:tcPr>
    </w:tblStylePr>
  </w:style>
  <w:style w:type="table" w:styleId="ColorfulList">
    <w:name w:val="Colorful List"/>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82865" w:themeFill="accent2" w:themeFillShade="CC"/>
      </w:tcPr>
    </w:tblStylePr>
    <w:tblStylePr w:type="lastRow">
      <w:rPr>
        <w:b/>
        <w:bCs/>
        <w:color w:val="98286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FDEEF" w:themeFill="accent1" w:themeFillTint="19"/>
    </w:tcPr>
    <w:tblStylePr w:type="firstRow">
      <w:rPr>
        <w:b/>
        <w:bCs/>
        <w:color w:val="FFFFFF" w:themeColor="background1"/>
      </w:rPr>
      <w:tblPr/>
      <w:tcPr>
        <w:tcBorders>
          <w:bottom w:val="single" w:sz="12" w:space="0" w:color="FFFFFF" w:themeColor="background1"/>
        </w:tcBorders>
        <w:shd w:val="clear" w:color="auto" w:fill="982865" w:themeFill="accent2" w:themeFillShade="CC"/>
      </w:tcPr>
    </w:tblStylePr>
    <w:tblStylePr w:type="lastRow">
      <w:rPr>
        <w:b/>
        <w:bCs/>
        <w:color w:val="98286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ACD8" w:themeFill="accent1" w:themeFillTint="3F"/>
      </w:tcPr>
    </w:tblStylePr>
    <w:tblStylePr w:type="band1Horz">
      <w:tblPr/>
      <w:tcPr>
        <w:shd w:val="clear" w:color="auto" w:fill="FFBCE0" w:themeFill="accent1" w:themeFillTint="33"/>
      </w:tcPr>
    </w:tblStylePr>
  </w:style>
  <w:style w:type="table" w:styleId="ColorfulList-Accent2">
    <w:name w:val="Colorful List Accent 2"/>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9EAF2" w:themeFill="accent2" w:themeFillTint="19"/>
    </w:tcPr>
    <w:tblStylePr w:type="firstRow">
      <w:rPr>
        <w:b/>
        <w:bCs/>
        <w:color w:val="FFFFFF" w:themeColor="background1"/>
      </w:rPr>
      <w:tblPr/>
      <w:tcPr>
        <w:tcBorders>
          <w:bottom w:val="single" w:sz="12" w:space="0" w:color="FFFFFF" w:themeColor="background1"/>
        </w:tcBorders>
        <w:shd w:val="clear" w:color="auto" w:fill="982865" w:themeFill="accent2" w:themeFillShade="CC"/>
      </w:tcPr>
    </w:tblStylePr>
    <w:tblStylePr w:type="lastRow">
      <w:rPr>
        <w:b/>
        <w:bCs/>
        <w:color w:val="98286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CADF" w:themeFill="accent2" w:themeFillTint="3F"/>
      </w:tcPr>
    </w:tblStylePr>
    <w:tblStylePr w:type="band1Horz">
      <w:tblPr/>
      <w:tcPr>
        <w:shd w:val="clear" w:color="auto" w:fill="F3D4E5" w:themeFill="accent2" w:themeFillTint="33"/>
      </w:tcPr>
    </w:tblStylePr>
  </w:style>
  <w:style w:type="table" w:styleId="ColorfulList-Accent3">
    <w:name w:val="Colorful List Accent 3"/>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AEF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D6E5" w:themeFill="accent3" w:themeFillTint="3F"/>
      </w:tcPr>
    </w:tblStylePr>
    <w:tblStylePr w:type="band1Horz">
      <w:tblPr/>
      <w:tcPr>
        <w:shd w:val="clear" w:color="auto" w:fill="F4DEEA" w:themeFill="accent3" w:themeFillTint="33"/>
      </w:tcPr>
    </w:tblStylePr>
  </w:style>
  <w:style w:type="table" w:styleId="ColorfulList-Accent4">
    <w:name w:val="Colorful List Accent 4"/>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B4387B" w:themeFill="accent3" w:themeFillShade="CC"/>
      </w:tcPr>
    </w:tblStylePr>
    <w:tblStylePr w:type="lastRow">
      <w:rPr>
        <w:b/>
        <w:bCs/>
        <w:color w:val="B4387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4F4F4" w:themeFill="accent5" w:themeFillTint="19"/>
    </w:tcPr>
    <w:tblStylePr w:type="firstRow">
      <w:rPr>
        <w:b/>
        <w:bCs/>
        <w:color w:val="FFFFFF" w:themeColor="background1"/>
      </w:rPr>
      <w:tblPr/>
      <w:tcPr>
        <w:tcBorders>
          <w:bottom w:val="single" w:sz="12" w:space="0" w:color="FFFFFF" w:themeColor="background1"/>
        </w:tcBorders>
        <w:shd w:val="clear" w:color="auto" w:fill="9C9C9C" w:themeFill="accent6" w:themeFillShade="CC"/>
      </w:tcPr>
    </w:tblStylePr>
    <w:tblStylePr w:type="lastRow">
      <w:rPr>
        <w:b/>
        <w:bCs/>
        <w:color w:val="9C9C9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5" w:themeFillTint="3F"/>
      </w:tcPr>
    </w:tblStylePr>
    <w:tblStylePr w:type="band1Horz">
      <w:tblPr/>
      <w:tcPr>
        <w:shd w:val="clear" w:color="auto" w:fill="EAEAEA" w:themeFill="accent5" w:themeFillTint="33"/>
      </w:tcPr>
    </w:tblStylePr>
  </w:style>
  <w:style w:type="table" w:styleId="ColorfulList-Accent6">
    <w:name w:val="Colorful List Accent 6"/>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9F9F9" w:themeFill="accent6" w:themeFillTint="19"/>
    </w:tcPr>
    <w:tblStylePr w:type="firstRow">
      <w:rPr>
        <w:b/>
        <w:bCs/>
        <w:color w:val="FFFFFF" w:themeColor="background1"/>
      </w:rPr>
      <w:tblPr/>
      <w:tcPr>
        <w:tcBorders>
          <w:bottom w:val="single" w:sz="12" w:space="0" w:color="FFFFFF" w:themeColor="background1"/>
        </w:tcBorders>
        <w:shd w:val="clear" w:color="auto" w:fill="787878" w:themeFill="accent5" w:themeFillShade="CC"/>
      </w:tcPr>
    </w:tblStylePr>
    <w:tblStylePr w:type="lastRow">
      <w:rPr>
        <w:b/>
        <w:bCs/>
        <w:color w:val="78787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0F0F0" w:themeFill="accent6" w:themeFillTint="3F"/>
      </w:tcPr>
    </w:tblStylePr>
    <w:tblStylePr w:type="band1Horz">
      <w:tblPr/>
      <w:tcPr>
        <w:shd w:val="clear" w:color="auto" w:fill="F3F3F3" w:themeFill="accent6" w:themeFillTint="33"/>
      </w:tcPr>
    </w:tblStylePr>
  </w:style>
  <w:style w:type="table" w:styleId="ColorfulShading">
    <w:name w:val="Colorful Shading"/>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BF337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F337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BF337F" w:themeColor="accent2"/>
        <w:left w:val="single" w:sz="4" w:space="0" w:color="AF005F" w:themeColor="accent1"/>
        <w:bottom w:val="single" w:sz="4" w:space="0" w:color="AF005F" w:themeColor="accent1"/>
        <w:right w:val="single" w:sz="4" w:space="0" w:color="AF005F" w:themeColor="accent1"/>
        <w:insideH w:val="single" w:sz="4" w:space="0" w:color="FFFFFF" w:themeColor="background1"/>
        <w:insideV w:val="single" w:sz="4" w:space="0" w:color="FFFFFF" w:themeColor="background1"/>
      </w:tblBorders>
    </w:tblPr>
    <w:tcPr>
      <w:shd w:val="clear" w:color="auto" w:fill="FFDEEF" w:themeFill="accent1" w:themeFillTint="19"/>
    </w:tcPr>
    <w:tblStylePr w:type="firstRow">
      <w:rPr>
        <w:b/>
        <w:bCs/>
      </w:rPr>
      <w:tblPr/>
      <w:tcPr>
        <w:tcBorders>
          <w:top w:val="nil"/>
          <w:left w:val="nil"/>
          <w:bottom w:val="single" w:sz="24" w:space="0" w:color="BF337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90038" w:themeFill="accent1" w:themeFillShade="99"/>
      </w:tcPr>
    </w:tblStylePr>
    <w:tblStylePr w:type="firstCol">
      <w:rPr>
        <w:color w:val="FFFFFF" w:themeColor="background1"/>
      </w:rPr>
      <w:tblPr/>
      <w:tcPr>
        <w:tcBorders>
          <w:top w:val="nil"/>
          <w:left w:val="nil"/>
          <w:bottom w:val="nil"/>
          <w:right w:val="nil"/>
          <w:insideH w:val="single" w:sz="4" w:space="0" w:color="690038" w:themeColor="accent1" w:themeShade="99"/>
          <w:insideV w:val="nil"/>
        </w:tcBorders>
        <w:shd w:val="clear" w:color="auto" w:fill="69003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690038" w:themeFill="accent1" w:themeFillShade="99"/>
      </w:tcPr>
    </w:tblStylePr>
    <w:tblStylePr w:type="band1Vert">
      <w:tblPr/>
      <w:tcPr>
        <w:shd w:val="clear" w:color="auto" w:fill="FF79C1" w:themeFill="accent1" w:themeFillTint="66"/>
      </w:tcPr>
    </w:tblStylePr>
    <w:tblStylePr w:type="band1Horz">
      <w:tblPr/>
      <w:tcPr>
        <w:shd w:val="clear" w:color="auto" w:fill="FF58B2"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BF337F" w:themeColor="accent2"/>
        <w:left w:val="single" w:sz="4" w:space="0" w:color="BF337F" w:themeColor="accent2"/>
        <w:bottom w:val="single" w:sz="4" w:space="0" w:color="BF337F" w:themeColor="accent2"/>
        <w:right w:val="single" w:sz="4" w:space="0" w:color="BF337F" w:themeColor="accent2"/>
        <w:insideH w:val="single" w:sz="4" w:space="0" w:color="FFFFFF" w:themeColor="background1"/>
        <w:insideV w:val="single" w:sz="4" w:space="0" w:color="FFFFFF" w:themeColor="background1"/>
      </w:tblBorders>
    </w:tblPr>
    <w:tcPr>
      <w:shd w:val="clear" w:color="auto" w:fill="F9EAF2" w:themeFill="accent2" w:themeFillTint="19"/>
    </w:tcPr>
    <w:tblStylePr w:type="firstRow">
      <w:rPr>
        <w:b/>
        <w:bCs/>
      </w:rPr>
      <w:tblPr/>
      <w:tcPr>
        <w:tcBorders>
          <w:top w:val="nil"/>
          <w:left w:val="nil"/>
          <w:bottom w:val="single" w:sz="24" w:space="0" w:color="BF337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21E4B" w:themeFill="accent2" w:themeFillShade="99"/>
      </w:tcPr>
    </w:tblStylePr>
    <w:tblStylePr w:type="firstCol">
      <w:rPr>
        <w:color w:val="FFFFFF" w:themeColor="background1"/>
      </w:rPr>
      <w:tblPr/>
      <w:tcPr>
        <w:tcBorders>
          <w:top w:val="nil"/>
          <w:left w:val="nil"/>
          <w:bottom w:val="nil"/>
          <w:right w:val="nil"/>
          <w:insideH w:val="single" w:sz="4" w:space="0" w:color="721E4B" w:themeColor="accent2" w:themeShade="99"/>
          <w:insideV w:val="nil"/>
        </w:tcBorders>
        <w:shd w:val="clear" w:color="auto" w:fill="721E4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21E4B" w:themeFill="accent2" w:themeFillShade="99"/>
      </w:tcPr>
    </w:tblStylePr>
    <w:tblStylePr w:type="band1Vert">
      <w:tblPr/>
      <w:tcPr>
        <w:shd w:val="clear" w:color="auto" w:fill="E8AACB" w:themeFill="accent2" w:themeFillTint="66"/>
      </w:tcPr>
    </w:tblStylePr>
    <w:tblStylePr w:type="band1Horz">
      <w:tblPr/>
      <w:tcPr>
        <w:shd w:val="clear" w:color="auto" w:fill="E295BF"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808080" w:themeColor="accent4"/>
        <w:left w:val="single" w:sz="4" w:space="0" w:color="CC5C99" w:themeColor="accent3"/>
        <w:bottom w:val="single" w:sz="4" w:space="0" w:color="CC5C99" w:themeColor="accent3"/>
        <w:right w:val="single" w:sz="4" w:space="0" w:color="CC5C99" w:themeColor="accent3"/>
        <w:insideH w:val="single" w:sz="4" w:space="0" w:color="FFFFFF" w:themeColor="background1"/>
        <w:insideV w:val="single" w:sz="4" w:space="0" w:color="FFFFFF" w:themeColor="background1"/>
      </w:tblBorders>
    </w:tblPr>
    <w:tcPr>
      <w:shd w:val="clear" w:color="auto" w:fill="FAEF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72A5C" w:themeFill="accent3" w:themeFillShade="99"/>
      </w:tcPr>
    </w:tblStylePr>
    <w:tblStylePr w:type="firstCol">
      <w:rPr>
        <w:color w:val="FFFFFF" w:themeColor="background1"/>
      </w:rPr>
      <w:tblPr/>
      <w:tcPr>
        <w:tcBorders>
          <w:top w:val="nil"/>
          <w:left w:val="nil"/>
          <w:bottom w:val="nil"/>
          <w:right w:val="nil"/>
          <w:insideH w:val="single" w:sz="4" w:space="0" w:color="872A5C" w:themeColor="accent3" w:themeShade="99"/>
          <w:insideV w:val="nil"/>
        </w:tcBorders>
        <w:shd w:val="clear" w:color="auto" w:fill="872A5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72A5C" w:themeFill="accent3" w:themeFillShade="99"/>
      </w:tcPr>
    </w:tblStylePr>
    <w:tblStylePr w:type="band1Vert">
      <w:tblPr/>
      <w:tcPr>
        <w:shd w:val="clear" w:color="auto" w:fill="EABDD6" w:themeFill="accent3" w:themeFillTint="66"/>
      </w:tcPr>
    </w:tblStylePr>
    <w:tblStylePr w:type="band1Horz">
      <w:tblPr/>
      <w:tcPr>
        <w:shd w:val="clear" w:color="auto" w:fill="E5ADCB" w:themeFill="accent3" w:themeFillTint="7F"/>
      </w:tcPr>
    </w:tblStylePr>
  </w:style>
  <w:style w:type="table" w:styleId="ColorfulShading-Accent4">
    <w:name w:val="Colorful Shading Accent 4"/>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CC5C99"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CC5C9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C3C3C3" w:themeColor="accent6"/>
        <w:left w:val="single" w:sz="4" w:space="0" w:color="969696" w:themeColor="accent5"/>
        <w:bottom w:val="single" w:sz="4" w:space="0" w:color="969696" w:themeColor="accent5"/>
        <w:right w:val="single" w:sz="4" w:space="0" w:color="969696" w:themeColor="accent5"/>
        <w:insideH w:val="single" w:sz="4" w:space="0" w:color="FFFFFF" w:themeColor="background1"/>
        <w:insideV w:val="single" w:sz="4" w:space="0" w:color="FFFFFF" w:themeColor="background1"/>
      </w:tblBorders>
    </w:tblPr>
    <w:tcPr>
      <w:shd w:val="clear" w:color="auto" w:fill="F4F4F4" w:themeFill="accent5" w:themeFillTint="19"/>
    </w:tcPr>
    <w:tblStylePr w:type="firstRow">
      <w:rPr>
        <w:b/>
        <w:bCs/>
      </w:rPr>
      <w:tblPr/>
      <w:tcPr>
        <w:tcBorders>
          <w:top w:val="nil"/>
          <w:left w:val="nil"/>
          <w:bottom w:val="single" w:sz="24" w:space="0" w:color="C3C3C3"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5" w:themeFillShade="99"/>
      </w:tcPr>
    </w:tblStylePr>
    <w:tblStylePr w:type="firstCol">
      <w:rPr>
        <w:color w:val="FFFFFF" w:themeColor="background1"/>
      </w:rPr>
      <w:tblPr/>
      <w:tcPr>
        <w:tcBorders>
          <w:top w:val="nil"/>
          <w:left w:val="nil"/>
          <w:bottom w:val="nil"/>
          <w:right w:val="nil"/>
          <w:insideH w:val="single" w:sz="4" w:space="0" w:color="5A5A5A" w:themeColor="accent5" w:themeShade="99"/>
          <w:insideV w:val="nil"/>
        </w:tcBorders>
        <w:shd w:val="clear" w:color="auto" w:fill="5A5A5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5" w:themeFillShade="99"/>
      </w:tcPr>
    </w:tblStylePr>
    <w:tblStylePr w:type="band1Vert">
      <w:tblPr/>
      <w:tcPr>
        <w:shd w:val="clear" w:color="auto" w:fill="D5D5D5" w:themeFill="accent5" w:themeFillTint="66"/>
      </w:tcPr>
    </w:tblStylePr>
    <w:tblStylePr w:type="band1Horz">
      <w:tblPr/>
      <w:tcPr>
        <w:shd w:val="clear" w:color="auto" w:fill="CACAC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969696" w:themeColor="accent5"/>
        <w:left w:val="single" w:sz="4" w:space="0" w:color="C3C3C3" w:themeColor="accent6"/>
        <w:bottom w:val="single" w:sz="4" w:space="0" w:color="C3C3C3" w:themeColor="accent6"/>
        <w:right w:val="single" w:sz="4" w:space="0" w:color="C3C3C3" w:themeColor="accent6"/>
        <w:insideH w:val="single" w:sz="4" w:space="0" w:color="FFFFFF" w:themeColor="background1"/>
        <w:insideV w:val="single" w:sz="4" w:space="0" w:color="FFFFFF" w:themeColor="background1"/>
      </w:tblBorders>
    </w:tblPr>
    <w:tcPr>
      <w:shd w:val="clear" w:color="auto" w:fill="F9F9F9" w:themeFill="accent6" w:themeFillTint="19"/>
    </w:tcPr>
    <w:tblStylePr w:type="firstRow">
      <w:rPr>
        <w:b/>
        <w:bCs/>
      </w:rPr>
      <w:tblPr/>
      <w:tcPr>
        <w:tcBorders>
          <w:top w:val="nil"/>
          <w:left w:val="nil"/>
          <w:bottom w:val="single" w:sz="24" w:space="0" w:color="96969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7575" w:themeFill="accent6" w:themeFillShade="99"/>
      </w:tcPr>
    </w:tblStylePr>
    <w:tblStylePr w:type="firstCol">
      <w:rPr>
        <w:color w:val="FFFFFF" w:themeColor="background1"/>
      </w:rPr>
      <w:tblPr/>
      <w:tcPr>
        <w:tcBorders>
          <w:top w:val="nil"/>
          <w:left w:val="nil"/>
          <w:bottom w:val="nil"/>
          <w:right w:val="nil"/>
          <w:insideH w:val="single" w:sz="4" w:space="0" w:color="757575" w:themeColor="accent6" w:themeShade="99"/>
          <w:insideV w:val="nil"/>
        </w:tcBorders>
        <w:shd w:val="clear" w:color="auto" w:fill="757575"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57575" w:themeFill="accent6" w:themeFillShade="99"/>
      </w:tcPr>
    </w:tblStylePr>
    <w:tblStylePr w:type="band1Vert">
      <w:tblPr/>
      <w:tcPr>
        <w:shd w:val="clear" w:color="auto" w:fill="E7E7E7" w:themeFill="accent6" w:themeFillTint="66"/>
      </w:tcPr>
    </w:tblStylePr>
    <w:tblStylePr w:type="band1Horz">
      <w:tblPr/>
      <w:tcPr>
        <w:shd w:val="clear" w:color="auto" w:fill="E1E1E1"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unhideWhenUsed/>
    <w:rsid w:val="00F978CE"/>
    <w:rPr>
      <w:sz w:val="16"/>
      <w:szCs w:val="16"/>
    </w:rPr>
  </w:style>
  <w:style w:type="paragraph" w:styleId="CommentText">
    <w:name w:val="annotation text"/>
    <w:basedOn w:val="Normal"/>
    <w:link w:val="CommentTextChar"/>
    <w:uiPriority w:val="99"/>
    <w:unhideWhenUsed/>
    <w:rsid w:val="00F978CE"/>
    <w:rPr>
      <w:szCs w:val="20"/>
    </w:rPr>
  </w:style>
  <w:style w:type="character" w:customStyle="1" w:styleId="CommentTextChar">
    <w:name w:val="Comment Text Char"/>
    <w:basedOn w:val="DefaultParagraphFont"/>
    <w:link w:val="CommentText"/>
    <w:uiPriority w:val="99"/>
    <w:rsid w:val="00FE583B"/>
    <w:rPr>
      <w:rFonts w:ascii="Arial" w:hAnsi="Arial"/>
      <w:sz w:val="20"/>
      <w:szCs w:val="20"/>
    </w:rPr>
  </w:style>
  <w:style w:type="paragraph" w:styleId="CommentSubject">
    <w:name w:val="annotation subject"/>
    <w:basedOn w:val="CommentText"/>
    <w:next w:val="CommentText"/>
    <w:link w:val="CommentSubjectChar"/>
    <w:uiPriority w:val="99"/>
    <w:unhideWhenUsed/>
    <w:rsid w:val="00F978CE"/>
    <w:rPr>
      <w:b/>
      <w:bCs/>
    </w:rPr>
  </w:style>
  <w:style w:type="character" w:customStyle="1" w:styleId="CommentSubjectChar">
    <w:name w:val="Comment Subject Char"/>
    <w:basedOn w:val="CommentTextChar"/>
    <w:link w:val="CommentSubject"/>
    <w:uiPriority w:val="99"/>
    <w:rsid w:val="00FE583B"/>
    <w:rPr>
      <w:rFonts w:ascii="Arial" w:hAnsi="Arial"/>
      <w:b/>
      <w:bCs/>
      <w:sz w:val="20"/>
      <w:szCs w:val="20"/>
    </w:rPr>
  </w:style>
  <w:style w:type="table" w:styleId="DarkList">
    <w:name w:val="Dark List"/>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AF005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7002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83004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830046" w:themeFill="accent1" w:themeFillShade="BF"/>
      </w:tcPr>
    </w:tblStylePr>
    <w:tblStylePr w:type="band1Vert">
      <w:tblPr/>
      <w:tcPr>
        <w:tcBorders>
          <w:top w:val="nil"/>
          <w:left w:val="nil"/>
          <w:bottom w:val="nil"/>
          <w:right w:val="nil"/>
          <w:insideH w:val="nil"/>
          <w:insideV w:val="nil"/>
        </w:tcBorders>
        <w:shd w:val="clear" w:color="auto" w:fill="830046" w:themeFill="accent1" w:themeFillShade="BF"/>
      </w:tcPr>
    </w:tblStylePr>
    <w:tblStylePr w:type="band1Horz">
      <w:tblPr/>
      <w:tcPr>
        <w:tcBorders>
          <w:top w:val="nil"/>
          <w:left w:val="nil"/>
          <w:bottom w:val="nil"/>
          <w:right w:val="nil"/>
          <w:insideH w:val="nil"/>
          <w:insideV w:val="nil"/>
        </w:tcBorders>
        <w:shd w:val="clear" w:color="auto" w:fill="830046" w:themeFill="accent1" w:themeFillShade="BF"/>
      </w:tcPr>
    </w:tblStylePr>
  </w:style>
  <w:style w:type="table" w:styleId="DarkList-Accent2">
    <w:name w:val="Dark List Accent 2"/>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BF337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E193F"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E265E"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E265E" w:themeFill="accent2" w:themeFillShade="BF"/>
      </w:tcPr>
    </w:tblStylePr>
    <w:tblStylePr w:type="band1Vert">
      <w:tblPr/>
      <w:tcPr>
        <w:tcBorders>
          <w:top w:val="nil"/>
          <w:left w:val="nil"/>
          <w:bottom w:val="nil"/>
          <w:right w:val="nil"/>
          <w:insideH w:val="nil"/>
          <w:insideV w:val="nil"/>
        </w:tcBorders>
        <w:shd w:val="clear" w:color="auto" w:fill="8E265E" w:themeFill="accent2" w:themeFillShade="BF"/>
      </w:tcPr>
    </w:tblStylePr>
    <w:tblStylePr w:type="band1Horz">
      <w:tblPr/>
      <w:tcPr>
        <w:tcBorders>
          <w:top w:val="nil"/>
          <w:left w:val="nil"/>
          <w:bottom w:val="nil"/>
          <w:right w:val="nil"/>
          <w:insideH w:val="nil"/>
          <w:insideV w:val="nil"/>
        </w:tcBorders>
        <w:shd w:val="clear" w:color="auto" w:fill="8E265E" w:themeFill="accent2" w:themeFillShade="BF"/>
      </w:tcPr>
    </w:tblStylePr>
  </w:style>
  <w:style w:type="table" w:styleId="DarkList-Accent3">
    <w:name w:val="Dark List Accent 3"/>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CC5C9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0234C"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83573"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83573" w:themeFill="accent3" w:themeFillShade="BF"/>
      </w:tcPr>
    </w:tblStylePr>
    <w:tblStylePr w:type="band1Vert">
      <w:tblPr/>
      <w:tcPr>
        <w:tcBorders>
          <w:top w:val="nil"/>
          <w:left w:val="nil"/>
          <w:bottom w:val="nil"/>
          <w:right w:val="nil"/>
          <w:insideH w:val="nil"/>
          <w:insideV w:val="nil"/>
        </w:tcBorders>
        <w:shd w:val="clear" w:color="auto" w:fill="A83573" w:themeFill="accent3" w:themeFillShade="BF"/>
      </w:tcPr>
    </w:tblStylePr>
    <w:tblStylePr w:type="band1Horz">
      <w:tblPr/>
      <w:tcPr>
        <w:tcBorders>
          <w:top w:val="nil"/>
          <w:left w:val="nil"/>
          <w:bottom w:val="nil"/>
          <w:right w:val="nil"/>
          <w:insideH w:val="nil"/>
          <w:insideV w:val="nil"/>
        </w:tcBorders>
        <w:shd w:val="clear" w:color="auto" w:fill="A83573" w:themeFill="accent3" w:themeFillShade="BF"/>
      </w:tcPr>
    </w:tblStylePr>
  </w:style>
  <w:style w:type="table" w:styleId="DarkList-Accent4">
    <w:name w:val="Dark List Accent 4"/>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96969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5" w:themeFillShade="BF"/>
      </w:tcPr>
    </w:tblStylePr>
    <w:tblStylePr w:type="band1Vert">
      <w:tblPr/>
      <w:tcPr>
        <w:tcBorders>
          <w:top w:val="nil"/>
          <w:left w:val="nil"/>
          <w:bottom w:val="nil"/>
          <w:right w:val="nil"/>
          <w:insideH w:val="nil"/>
          <w:insideV w:val="nil"/>
        </w:tcBorders>
        <w:shd w:val="clear" w:color="auto" w:fill="707070" w:themeFill="accent5" w:themeFillShade="BF"/>
      </w:tcPr>
    </w:tblStylePr>
    <w:tblStylePr w:type="band1Horz">
      <w:tblPr/>
      <w:tcPr>
        <w:tcBorders>
          <w:top w:val="nil"/>
          <w:left w:val="nil"/>
          <w:bottom w:val="nil"/>
          <w:right w:val="nil"/>
          <w:insideH w:val="nil"/>
          <w:insideV w:val="nil"/>
        </w:tcBorders>
        <w:shd w:val="clear" w:color="auto" w:fill="707070" w:themeFill="accent5" w:themeFillShade="BF"/>
      </w:tcPr>
    </w:tblStylePr>
  </w:style>
  <w:style w:type="table" w:styleId="DarkList-Accent6">
    <w:name w:val="Dark List Accent 6"/>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C3C3C3"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16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29292"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29292" w:themeFill="accent6" w:themeFillShade="BF"/>
      </w:tcPr>
    </w:tblStylePr>
    <w:tblStylePr w:type="band1Vert">
      <w:tblPr/>
      <w:tcPr>
        <w:tcBorders>
          <w:top w:val="nil"/>
          <w:left w:val="nil"/>
          <w:bottom w:val="nil"/>
          <w:right w:val="nil"/>
          <w:insideH w:val="nil"/>
          <w:insideV w:val="nil"/>
        </w:tcBorders>
        <w:shd w:val="clear" w:color="auto" w:fill="929292" w:themeFill="accent6" w:themeFillShade="BF"/>
      </w:tcPr>
    </w:tblStylePr>
    <w:tblStylePr w:type="band1Horz">
      <w:tblPr/>
      <w:tcPr>
        <w:tcBorders>
          <w:top w:val="nil"/>
          <w:left w:val="nil"/>
          <w:bottom w:val="nil"/>
          <w:right w:val="nil"/>
          <w:insideH w:val="nil"/>
          <w:insideV w:val="nil"/>
        </w:tcBorders>
        <w:shd w:val="clear" w:color="auto" w:fill="929292" w:themeFill="accent6" w:themeFillShade="BF"/>
      </w:tcPr>
    </w:tblStylePr>
  </w:style>
  <w:style w:type="paragraph" w:styleId="Date">
    <w:name w:val="Date"/>
    <w:basedOn w:val="Normal"/>
    <w:next w:val="Normal"/>
    <w:link w:val="DateChar"/>
    <w:uiPriority w:val="99"/>
    <w:unhideWhenUsed/>
    <w:rsid w:val="00F978CE"/>
  </w:style>
  <w:style w:type="character" w:customStyle="1" w:styleId="DateChar">
    <w:name w:val="Date Char"/>
    <w:basedOn w:val="DefaultParagraphFont"/>
    <w:link w:val="Date"/>
    <w:uiPriority w:val="99"/>
    <w:rsid w:val="00FE583B"/>
    <w:rPr>
      <w:rFonts w:ascii="Arial" w:hAnsi="Arial"/>
      <w:sz w:val="20"/>
    </w:rPr>
  </w:style>
  <w:style w:type="paragraph" w:styleId="DocumentMap">
    <w:name w:val="Document Map"/>
    <w:basedOn w:val="Normal"/>
    <w:link w:val="DocumentMapChar"/>
    <w:uiPriority w:val="99"/>
    <w:unhideWhenUsed/>
    <w:rsid w:val="00F978CE"/>
    <w:rPr>
      <w:rFonts w:ascii="Segoe UI" w:hAnsi="Segoe UI" w:cs="Segoe UI"/>
      <w:sz w:val="16"/>
      <w:szCs w:val="16"/>
    </w:rPr>
  </w:style>
  <w:style w:type="character" w:customStyle="1" w:styleId="DocumentMapChar">
    <w:name w:val="Document Map Char"/>
    <w:basedOn w:val="DefaultParagraphFont"/>
    <w:link w:val="DocumentMap"/>
    <w:uiPriority w:val="99"/>
    <w:rsid w:val="00FE583B"/>
    <w:rPr>
      <w:rFonts w:ascii="Segoe UI" w:hAnsi="Segoe UI" w:cs="Segoe UI"/>
      <w:sz w:val="16"/>
      <w:szCs w:val="16"/>
    </w:rPr>
  </w:style>
  <w:style w:type="paragraph" w:styleId="E-mailSignature">
    <w:name w:val="E-mail Signature"/>
    <w:basedOn w:val="Normal"/>
    <w:link w:val="E-mailSignatureChar"/>
    <w:uiPriority w:val="99"/>
    <w:unhideWhenUsed/>
    <w:rsid w:val="00F978CE"/>
  </w:style>
  <w:style w:type="character" w:customStyle="1" w:styleId="E-mailSignatureChar">
    <w:name w:val="E-mail Signature Char"/>
    <w:basedOn w:val="DefaultParagraphFont"/>
    <w:link w:val="E-mailSignature"/>
    <w:uiPriority w:val="99"/>
    <w:rsid w:val="00FE583B"/>
    <w:rPr>
      <w:rFonts w:ascii="Arial" w:hAnsi="Arial"/>
      <w:sz w:val="20"/>
    </w:rPr>
  </w:style>
  <w:style w:type="character" w:styleId="Emphasis">
    <w:name w:val="Emphasis"/>
    <w:basedOn w:val="DefaultParagraphFont"/>
    <w:uiPriority w:val="99"/>
    <w:unhideWhenUsed/>
    <w:qFormat/>
    <w:rsid w:val="00F978CE"/>
    <w:rPr>
      <w:i/>
      <w:iCs/>
    </w:rPr>
  </w:style>
  <w:style w:type="character" w:styleId="EndnoteReference">
    <w:name w:val="endnote reference"/>
    <w:basedOn w:val="DefaultParagraphFont"/>
    <w:unhideWhenUsed/>
    <w:rsid w:val="00F978CE"/>
    <w:rPr>
      <w:vertAlign w:val="superscript"/>
    </w:rPr>
  </w:style>
  <w:style w:type="paragraph" w:styleId="EndnoteText">
    <w:name w:val="endnote text"/>
    <w:basedOn w:val="Normal"/>
    <w:link w:val="EndnoteTextChar"/>
    <w:unhideWhenUsed/>
    <w:rsid w:val="00F978CE"/>
    <w:rPr>
      <w:szCs w:val="20"/>
    </w:rPr>
  </w:style>
  <w:style w:type="character" w:customStyle="1" w:styleId="EndnoteTextChar">
    <w:name w:val="Endnote Text Char"/>
    <w:basedOn w:val="DefaultParagraphFont"/>
    <w:link w:val="EndnoteText"/>
    <w:rsid w:val="00FE583B"/>
    <w:rPr>
      <w:rFonts w:ascii="Arial" w:hAnsi="Arial"/>
      <w:sz w:val="20"/>
      <w:szCs w:val="20"/>
    </w:rPr>
  </w:style>
  <w:style w:type="paragraph" w:styleId="EnvelopeAddress">
    <w:name w:val="envelope address"/>
    <w:basedOn w:val="Normal"/>
    <w:uiPriority w:val="99"/>
    <w:unhideWhenUsed/>
    <w:rsid w:val="00F978C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unhideWhenUsed/>
    <w:rsid w:val="00F978CE"/>
    <w:rPr>
      <w:rFonts w:asciiTheme="majorHAnsi" w:eastAsiaTheme="majorEastAsia" w:hAnsiTheme="majorHAnsi" w:cstheme="majorBidi"/>
      <w:szCs w:val="20"/>
    </w:rPr>
  </w:style>
  <w:style w:type="character" w:styleId="FollowedHyperlink">
    <w:name w:val="FollowedHyperlink"/>
    <w:basedOn w:val="DefaultParagraphFont"/>
    <w:uiPriority w:val="99"/>
    <w:unhideWhenUsed/>
    <w:rsid w:val="00F978CE"/>
    <w:rPr>
      <w:color w:val="ECC4DA" w:themeColor="followedHyperlink"/>
      <w:u w:val="single"/>
    </w:rPr>
  </w:style>
  <w:style w:type="character" w:styleId="FootnoteReference">
    <w:name w:val="footnote reference"/>
    <w:basedOn w:val="DefaultParagraphFont"/>
    <w:unhideWhenUsed/>
    <w:rsid w:val="00F978CE"/>
    <w:rPr>
      <w:vertAlign w:val="superscript"/>
    </w:rPr>
  </w:style>
  <w:style w:type="table" w:styleId="GridTable1Light">
    <w:name w:val="Grid Table 1 Light"/>
    <w:basedOn w:val="TableNormal"/>
    <w:uiPriority w:val="46"/>
    <w:unhideWhenUsed/>
    <w:rsid w:val="00F978C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unhideWhenUsed/>
    <w:rsid w:val="00F978CE"/>
    <w:pPr>
      <w:spacing w:after="0" w:line="240" w:lineRule="auto"/>
    </w:pPr>
    <w:tblPr>
      <w:tblStyleRowBandSize w:val="1"/>
      <w:tblStyleColBandSize w:val="1"/>
      <w:tblBorders>
        <w:top w:val="single" w:sz="4" w:space="0" w:color="E8AACB" w:themeColor="accent2" w:themeTint="66"/>
        <w:left w:val="single" w:sz="4" w:space="0" w:color="E8AACB" w:themeColor="accent2" w:themeTint="66"/>
        <w:bottom w:val="single" w:sz="4" w:space="0" w:color="E8AACB" w:themeColor="accent2" w:themeTint="66"/>
        <w:right w:val="single" w:sz="4" w:space="0" w:color="E8AACB" w:themeColor="accent2" w:themeTint="66"/>
        <w:insideH w:val="single" w:sz="4" w:space="0" w:color="E8AACB" w:themeColor="accent2" w:themeTint="66"/>
        <w:insideV w:val="single" w:sz="4" w:space="0" w:color="E8AACB" w:themeColor="accent2" w:themeTint="66"/>
      </w:tblBorders>
    </w:tblPr>
    <w:tblStylePr w:type="firstRow">
      <w:rPr>
        <w:b/>
        <w:bCs/>
      </w:rPr>
      <w:tblPr/>
      <w:tcPr>
        <w:tcBorders>
          <w:bottom w:val="single" w:sz="12" w:space="0" w:color="DD7FB2" w:themeColor="accent2" w:themeTint="99"/>
        </w:tcBorders>
      </w:tcPr>
    </w:tblStylePr>
    <w:tblStylePr w:type="lastRow">
      <w:rPr>
        <w:b/>
        <w:bCs/>
      </w:rPr>
      <w:tblPr/>
      <w:tcPr>
        <w:tcBorders>
          <w:top w:val="double" w:sz="2" w:space="0" w:color="DD7FB2"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unhideWhenUsed/>
    <w:rsid w:val="00F978CE"/>
    <w:pPr>
      <w:spacing w:after="0" w:line="240" w:lineRule="auto"/>
    </w:pPr>
    <w:tblPr>
      <w:tblStyleRowBandSize w:val="1"/>
      <w:tblStyleColBandSize w:val="1"/>
      <w:tblBorders>
        <w:top w:val="single" w:sz="4" w:space="0" w:color="EABDD6" w:themeColor="accent3" w:themeTint="66"/>
        <w:left w:val="single" w:sz="4" w:space="0" w:color="EABDD6" w:themeColor="accent3" w:themeTint="66"/>
        <w:bottom w:val="single" w:sz="4" w:space="0" w:color="EABDD6" w:themeColor="accent3" w:themeTint="66"/>
        <w:right w:val="single" w:sz="4" w:space="0" w:color="EABDD6" w:themeColor="accent3" w:themeTint="66"/>
        <w:insideH w:val="single" w:sz="4" w:space="0" w:color="EABDD6" w:themeColor="accent3" w:themeTint="66"/>
        <w:insideV w:val="single" w:sz="4" w:space="0" w:color="EABDD6" w:themeColor="accent3" w:themeTint="66"/>
      </w:tblBorders>
    </w:tblPr>
    <w:tblStylePr w:type="firstRow">
      <w:rPr>
        <w:b/>
        <w:bCs/>
      </w:rPr>
      <w:tblPr/>
      <w:tcPr>
        <w:tcBorders>
          <w:bottom w:val="single" w:sz="12" w:space="0" w:color="E09DC1" w:themeColor="accent3" w:themeTint="99"/>
        </w:tcBorders>
      </w:tcPr>
    </w:tblStylePr>
    <w:tblStylePr w:type="lastRow">
      <w:rPr>
        <w:b/>
        <w:bCs/>
      </w:rPr>
      <w:tblPr/>
      <w:tcPr>
        <w:tcBorders>
          <w:top w:val="double" w:sz="2" w:space="0" w:color="E09DC1"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unhideWhenUsed/>
    <w:rsid w:val="00F978CE"/>
    <w:pPr>
      <w:spacing w:after="0" w:line="240" w:lineRule="auto"/>
    </w:pPr>
    <w:tblPr>
      <w:tblStyleRowBandSize w:val="1"/>
      <w:tblStyleColBandSize w:val="1"/>
      <w:tblBorders>
        <w:top w:val="single" w:sz="4" w:space="0" w:color="CCCCCC" w:themeColor="accent4" w:themeTint="66"/>
        <w:left w:val="single" w:sz="4" w:space="0" w:color="CCCCCC" w:themeColor="accent4" w:themeTint="66"/>
        <w:bottom w:val="single" w:sz="4" w:space="0" w:color="CCCCCC" w:themeColor="accent4" w:themeTint="66"/>
        <w:right w:val="single" w:sz="4" w:space="0" w:color="CCCCCC" w:themeColor="accent4" w:themeTint="66"/>
        <w:insideH w:val="single" w:sz="4" w:space="0" w:color="CCCCCC" w:themeColor="accent4" w:themeTint="66"/>
        <w:insideV w:val="single" w:sz="4" w:space="0" w:color="CCCCCC" w:themeColor="accent4" w:themeTint="66"/>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2" w:space="0" w:color="B2B2B2"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unhideWhenUsed/>
    <w:rsid w:val="00F978CE"/>
    <w:pPr>
      <w:spacing w:after="0" w:line="240" w:lineRule="auto"/>
    </w:pPr>
    <w:tblPr>
      <w:tblStyleRowBandSize w:val="1"/>
      <w:tblStyleColBandSize w:val="1"/>
      <w:tblBorders>
        <w:top w:val="single" w:sz="4" w:space="0" w:color="D5D5D5" w:themeColor="accent5" w:themeTint="66"/>
        <w:left w:val="single" w:sz="4" w:space="0" w:color="D5D5D5" w:themeColor="accent5" w:themeTint="66"/>
        <w:bottom w:val="single" w:sz="4" w:space="0" w:color="D5D5D5" w:themeColor="accent5" w:themeTint="66"/>
        <w:right w:val="single" w:sz="4" w:space="0" w:color="D5D5D5" w:themeColor="accent5" w:themeTint="66"/>
        <w:insideH w:val="single" w:sz="4" w:space="0" w:color="D5D5D5" w:themeColor="accent5" w:themeTint="66"/>
        <w:insideV w:val="single" w:sz="4" w:space="0" w:color="D5D5D5" w:themeColor="accent5" w:themeTint="66"/>
      </w:tblBorders>
    </w:tblPr>
    <w:tblStylePr w:type="firstRow">
      <w:rPr>
        <w:b/>
        <w:bCs/>
      </w:rPr>
      <w:tblPr/>
      <w:tcPr>
        <w:tcBorders>
          <w:bottom w:val="single" w:sz="12" w:space="0" w:color="C0C0C0" w:themeColor="accent5" w:themeTint="99"/>
        </w:tcBorders>
      </w:tcPr>
    </w:tblStylePr>
    <w:tblStylePr w:type="lastRow">
      <w:rPr>
        <w:b/>
        <w:bCs/>
      </w:rPr>
      <w:tblPr/>
      <w:tcPr>
        <w:tcBorders>
          <w:top w:val="double" w:sz="2" w:space="0" w:color="C0C0C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unhideWhenUsed/>
    <w:rsid w:val="00F978CE"/>
    <w:pPr>
      <w:spacing w:after="0" w:line="240" w:lineRule="auto"/>
    </w:pPr>
    <w:tblPr>
      <w:tblStyleRowBandSize w:val="1"/>
      <w:tblStyleColBandSize w:val="1"/>
      <w:tblBorders>
        <w:top w:val="single" w:sz="4" w:space="0" w:color="E7E7E7" w:themeColor="accent6" w:themeTint="66"/>
        <w:left w:val="single" w:sz="4" w:space="0" w:color="E7E7E7" w:themeColor="accent6" w:themeTint="66"/>
        <w:bottom w:val="single" w:sz="4" w:space="0" w:color="E7E7E7" w:themeColor="accent6" w:themeTint="66"/>
        <w:right w:val="single" w:sz="4" w:space="0" w:color="E7E7E7" w:themeColor="accent6" w:themeTint="66"/>
        <w:insideH w:val="single" w:sz="4" w:space="0" w:color="E7E7E7" w:themeColor="accent6" w:themeTint="66"/>
        <w:insideV w:val="single" w:sz="4" w:space="0" w:color="E7E7E7" w:themeColor="accent6" w:themeTint="66"/>
      </w:tblBorders>
    </w:tblPr>
    <w:tblStylePr w:type="firstRow">
      <w:rPr>
        <w:b/>
        <w:bCs/>
      </w:rPr>
      <w:tblPr/>
      <w:tcPr>
        <w:tcBorders>
          <w:bottom w:val="single" w:sz="12" w:space="0" w:color="DBDBDB" w:themeColor="accent6" w:themeTint="99"/>
        </w:tcBorders>
      </w:tcPr>
    </w:tblStylePr>
    <w:tblStylePr w:type="lastRow">
      <w:rPr>
        <w:b/>
        <w:bCs/>
      </w:rPr>
      <w:tblPr/>
      <w:tcPr>
        <w:tcBorders>
          <w:top w:val="double" w:sz="2" w:space="0" w:color="DBDBDB"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unhideWhenUsed/>
    <w:rsid w:val="00F978C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unhideWhenUsed/>
    <w:rsid w:val="00F978CE"/>
    <w:pPr>
      <w:spacing w:after="0" w:line="240" w:lineRule="auto"/>
    </w:pPr>
    <w:tblPr>
      <w:tblStyleRowBandSize w:val="1"/>
      <w:tblStyleColBandSize w:val="1"/>
      <w:tblBorders>
        <w:top w:val="single" w:sz="2" w:space="0" w:color="FF36A2" w:themeColor="accent1" w:themeTint="99"/>
        <w:bottom w:val="single" w:sz="2" w:space="0" w:color="FF36A2" w:themeColor="accent1" w:themeTint="99"/>
        <w:insideH w:val="single" w:sz="2" w:space="0" w:color="FF36A2" w:themeColor="accent1" w:themeTint="99"/>
        <w:insideV w:val="single" w:sz="2" w:space="0" w:color="FF36A2" w:themeColor="accent1" w:themeTint="99"/>
      </w:tblBorders>
    </w:tblPr>
    <w:tblStylePr w:type="firstRow">
      <w:rPr>
        <w:b/>
        <w:bCs/>
      </w:rPr>
      <w:tblPr/>
      <w:tcPr>
        <w:tcBorders>
          <w:top w:val="nil"/>
          <w:bottom w:val="single" w:sz="12" w:space="0" w:color="FF36A2" w:themeColor="accent1" w:themeTint="99"/>
          <w:insideH w:val="nil"/>
          <w:insideV w:val="nil"/>
        </w:tcBorders>
        <w:shd w:val="clear" w:color="auto" w:fill="FFFFFF" w:themeFill="background1"/>
      </w:tcPr>
    </w:tblStylePr>
    <w:tblStylePr w:type="lastRow">
      <w:rPr>
        <w:b/>
        <w:bCs/>
      </w:rPr>
      <w:tblPr/>
      <w:tcPr>
        <w:tcBorders>
          <w:top w:val="double" w:sz="2" w:space="0" w:color="FF36A2"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GridTable2-Accent2">
    <w:name w:val="Grid Table 2 Accent 2"/>
    <w:basedOn w:val="TableNormal"/>
    <w:uiPriority w:val="47"/>
    <w:unhideWhenUsed/>
    <w:rsid w:val="00F978CE"/>
    <w:pPr>
      <w:spacing w:after="0" w:line="240" w:lineRule="auto"/>
    </w:pPr>
    <w:tblPr>
      <w:tblStyleRowBandSize w:val="1"/>
      <w:tblStyleColBandSize w:val="1"/>
      <w:tblBorders>
        <w:top w:val="single" w:sz="2" w:space="0" w:color="DD7FB2" w:themeColor="accent2" w:themeTint="99"/>
        <w:bottom w:val="single" w:sz="2" w:space="0" w:color="DD7FB2" w:themeColor="accent2" w:themeTint="99"/>
        <w:insideH w:val="single" w:sz="2" w:space="0" w:color="DD7FB2" w:themeColor="accent2" w:themeTint="99"/>
        <w:insideV w:val="single" w:sz="2" w:space="0" w:color="DD7FB2" w:themeColor="accent2" w:themeTint="99"/>
      </w:tblBorders>
    </w:tblPr>
    <w:tblStylePr w:type="firstRow">
      <w:rPr>
        <w:b/>
        <w:bCs/>
      </w:rPr>
      <w:tblPr/>
      <w:tcPr>
        <w:tcBorders>
          <w:top w:val="nil"/>
          <w:bottom w:val="single" w:sz="12" w:space="0" w:color="DD7FB2" w:themeColor="accent2" w:themeTint="99"/>
          <w:insideH w:val="nil"/>
          <w:insideV w:val="nil"/>
        </w:tcBorders>
        <w:shd w:val="clear" w:color="auto" w:fill="FFFFFF" w:themeFill="background1"/>
      </w:tcPr>
    </w:tblStylePr>
    <w:tblStylePr w:type="lastRow">
      <w:rPr>
        <w:b/>
        <w:bCs/>
      </w:rPr>
      <w:tblPr/>
      <w:tcPr>
        <w:tcBorders>
          <w:top w:val="double" w:sz="2" w:space="0" w:color="DD7F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GridTable2-Accent3">
    <w:name w:val="Grid Table 2 Accent 3"/>
    <w:basedOn w:val="TableNormal"/>
    <w:uiPriority w:val="47"/>
    <w:unhideWhenUsed/>
    <w:rsid w:val="00F978CE"/>
    <w:pPr>
      <w:spacing w:after="0" w:line="240" w:lineRule="auto"/>
    </w:pPr>
    <w:tblPr>
      <w:tblStyleRowBandSize w:val="1"/>
      <w:tblStyleColBandSize w:val="1"/>
      <w:tblBorders>
        <w:top w:val="single" w:sz="2" w:space="0" w:color="E09DC1" w:themeColor="accent3" w:themeTint="99"/>
        <w:bottom w:val="single" w:sz="2" w:space="0" w:color="E09DC1" w:themeColor="accent3" w:themeTint="99"/>
        <w:insideH w:val="single" w:sz="2" w:space="0" w:color="E09DC1" w:themeColor="accent3" w:themeTint="99"/>
        <w:insideV w:val="single" w:sz="2" w:space="0" w:color="E09DC1" w:themeColor="accent3" w:themeTint="99"/>
      </w:tblBorders>
    </w:tblPr>
    <w:tblStylePr w:type="firstRow">
      <w:rPr>
        <w:b/>
        <w:bCs/>
      </w:rPr>
      <w:tblPr/>
      <w:tcPr>
        <w:tcBorders>
          <w:top w:val="nil"/>
          <w:bottom w:val="single" w:sz="12" w:space="0" w:color="E09DC1" w:themeColor="accent3" w:themeTint="99"/>
          <w:insideH w:val="nil"/>
          <w:insideV w:val="nil"/>
        </w:tcBorders>
        <w:shd w:val="clear" w:color="auto" w:fill="FFFFFF" w:themeFill="background1"/>
      </w:tcPr>
    </w:tblStylePr>
    <w:tblStylePr w:type="lastRow">
      <w:rPr>
        <w:b/>
        <w:bCs/>
      </w:rPr>
      <w:tblPr/>
      <w:tcPr>
        <w:tcBorders>
          <w:top w:val="double" w:sz="2" w:space="0" w:color="E09DC1"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GridTable2-Accent4">
    <w:name w:val="Grid Table 2 Accent 4"/>
    <w:basedOn w:val="TableNormal"/>
    <w:uiPriority w:val="47"/>
    <w:unhideWhenUsed/>
    <w:rsid w:val="00F978CE"/>
    <w:pPr>
      <w:spacing w:after="0" w:line="240" w:lineRule="auto"/>
    </w:pPr>
    <w:tblPr>
      <w:tblStyleRowBandSize w:val="1"/>
      <w:tblStyleColBandSize w:val="1"/>
      <w:tblBorders>
        <w:top w:val="single" w:sz="2" w:space="0" w:color="B2B2B2" w:themeColor="accent4" w:themeTint="99"/>
        <w:bottom w:val="single" w:sz="2" w:space="0" w:color="B2B2B2" w:themeColor="accent4" w:themeTint="99"/>
        <w:insideH w:val="single" w:sz="2" w:space="0" w:color="B2B2B2" w:themeColor="accent4" w:themeTint="99"/>
        <w:insideV w:val="single" w:sz="2" w:space="0" w:color="B2B2B2" w:themeColor="accent4" w:themeTint="99"/>
      </w:tblBorders>
    </w:tblPr>
    <w:tblStylePr w:type="firstRow">
      <w:rPr>
        <w:b/>
        <w:bCs/>
      </w:rPr>
      <w:tblPr/>
      <w:tcPr>
        <w:tcBorders>
          <w:top w:val="nil"/>
          <w:bottom w:val="single" w:sz="12" w:space="0" w:color="B2B2B2" w:themeColor="accent4" w:themeTint="99"/>
          <w:insideH w:val="nil"/>
          <w:insideV w:val="nil"/>
        </w:tcBorders>
        <w:shd w:val="clear" w:color="auto" w:fill="FFFFFF" w:themeFill="background1"/>
      </w:tcPr>
    </w:tblStylePr>
    <w:tblStylePr w:type="lastRow">
      <w:rPr>
        <w:b/>
        <w:bCs/>
      </w:rPr>
      <w:tblPr/>
      <w:tcPr>
        <w:tcBorders>
          <w:top w:val="double" w:sz="2" w:space="0" w:color="B2B2B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2-Accent5">
    <w:name w:val="Grid Table 2 Accent 5"/>
    <w:basedOn w:val="TableNormal"/>
    <w:uiPriority w:val="47"/>
    <w:unhideWhenUsed/>
    <w:rsid w:val="00F978CE"/>
    <w:pPr>
      <w:spacing w:after="0" w:line="240" w:lineRule="auto"/>
    </w:pPr>
    <w:tblPr>
      <w:tblStyleRowBandSize w:val="1"/>
      <w:tblStyleColBandSize w:val="1"/>
      <w:tblBorders>
        <w:top w:val="single" w:sz="2" w:space="0" w:color="C0C0C0" w:themeColor="accent5" w:themeTint="99"/>
        <w:bottom w:val="single" w:sz="2" w:space="0" w:color="C0C0C0" w:themeColor="accent5" w:themeTint="99"/>
        <w:insideH w:val="single" w:sz="2" w:space="0" w:color="C0C0C0" w:themeColor="accent5" w:themeTint="99"/>
        <w:insideV w:val="single" w:sz="2" w:space="0" w:color="C0C0C0" w:themeColor="accent5" w:themeTint="99"/>
      </w:tblBorders>
    </w:tblPr>
    <w:tblStylePr w:type="firstRow">
      <w:rPr>
        <w:b/>
        <w:bCs/>
      </w:rPr>
      <w:tblPr/>
      <w:tcPr>
        <w:tcBorders>
          <w:top w:val="nil"/>
          <w:bottom w:val="single" w:sz="12" w:space="0" w:color="C0C0C0" w:themeColor="accent5" w:themeTint="99"/>
          <w:insideH w:val="nil"/>
          <w:insideV w:val="nil"/>
        </w:tcBorders>
        <w:shd w:val="clear" w:color="auto" w:fill="FFFFFF" w:themeFill="background1"/>
      </w:tcPr>
    </w:tblStylePr>
    <w:tblStylePr w:type="lastRow">
      <w:rPr>
        <w:b/>
        <w:bCs/>
      </w:rPr>
      <w:tblPr/>
      <w:tcPr>
        <w:tcBorders>
          <w:top w:val="double" w:sz="2" w:space="0" w:color="C0C0C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GridTable2-Accent6">
    <w:name w:val="Grid Table 2 Accent 6"/>
    <w:basedOn w:val="TableNormal"/>
    <w:uiPriority w:val="47"/>
    <w:unhideWhenUsed/>
    <w:rsid w:val="00F978CE"/>
    <w:pPr>
      <w:spacing w:after="0" w:line="240" w:lineRule="auto"/>
    </w:pPr>
    <w:tblPr>
      <w:tblStyleRowBandSize w:val="1"/>
      <w:tblStyleColBandSize w:val="1"/>
      <w:tblBorders>
        <w:top w:val="single" w:sz="2" w:space="0" w:color="DBDBDB" w:themeColor="accent6" w:themeTint="99"/>
        <w:bottom w:val="single" w:sz="2" w:space="0" w:color="DBDBDB" w:themeColor="accent6" w:themeTint="99"/>
        <w:insideH w:val="single" w:sz="2" w:space="0" w:color="DBDBDB" w:themeColor="accent6" w:themeTint="99"/>
        <w:insideV w:val="single" w:sz="2" w:space="0" w:color="DBDBDB" w:themeColor="accent6" w:themeTint="99"/>
      </w:tblBorders>
    </w:tblPr>
    <w:tblStylePr w:type="firstRow">
      <w:rPr>
        <w:b/>
        <w:bCs/>
      </w:rPr>
      <w:tblPr/>
      <w:tcPr>
        <w:tcBorders>
          <w:top w:val="nil"/>
          <w:bottom w:val="single" w:sz="12" w:space="0" w:color="DBDBDB" w:themeColor="accent6" w:themeTint="99"/>
          <w:insideH w:val="nil"/>
          <w:insideV w:val="nil"/>
        </w:tcBorders>
        <w:shd w:val="clear" w:color="auto" w:fill="FFFFFF" w:themeFill="background1"/>
      </w:tcPr>
    </w:tblStylePr>
    <w:tblStylePr w:type="lastRow">
      <w:rPr>
        <w:b/>
        <w:bCs/>
      </w:rPr>
      <w:tblPr/>
      <w:tcPr>
        <w:tcBorders>
          <w:top w:val="double" w:sz="2" w:space="0" w:color="DBDBDB"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GridTable3">
    <w:name w:val="Grid Table 3"/>
    <w:basedOn w:val="TableNormal"/>
    <w:uiPriority w:val="48"/>
    <w:unhideWhenUsed/>
    <w:rsid w:val="00F978C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unhideWhenUsed/>
    <w:rsid w:val="00F978CE"/>
    <w:pPr>
      <w:spacing w:after="0" w:line="240" w:lineRule="auto"/>
    </w:pPr>
    <w:tblPr>
      <w:tblStyleRowBandSize w:val="1"/>
      <w:tblStyleColBandSize w:val="1"/>
      <w:tblBorders>
        <w:top w:val="single" w:sz="4" w:space="0" w:color="FF36A2" w:themeColor="accent1" w:themeTint="99"/>
        <w:left w:val="single" w:sz="4" w:space="0" w:color="FF36A2" w:themeColor="accent1" w:themeTint="99"/>
        <w:bottom w:val="single" w:sz="4" w:space="0" w:color="FF36A2" w:themeColor="accent1" w:themeTint="99"/>
        <w:right w:val="single" w:sz="4" w:space="0" w:color="FF36A2" w:themeColor="accent1" w:themeTint="99"/>
        <w:insideH w:val="single" w:sz="4" w:space="0" w:color="FF36A2" w:themeColor="accent1" w:themeTint="99"/>
        <w:insideV w:val="single" w:sz="4" w:space="0" w:color="FF36A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BCE0" w:themeFill="accent1" w:themeFillTint="33"/>
      </w:tcPr>
    </w:tblStylePr>
    <w:tblStylePr w:type="band1Horz">
      <w:tblPr/>
      <w:tcPr>
        <w:shd w:val="clear" w:color="auto" w:fill="FFBCE0" w:themeFill="accent1" w:themeFillTint="33"/>
      </w:tcPr>
    </w:tblStylePr>
    <w:tblStylePr w:type="neCell">
      <w:tblPr/>
      <w:tcPr>
        <w:tcBorders>
          <w:bottom w:val="single" w:sz="4" w:space="0" w:color="FF36A2" w:themeColor="accent1" w:themeTint="99"/>
        </w:tcBorders>
      </w:tcPr>
    </w:tblStylePr>
    <w:tblStylePr w:type="nwCell">
      <w:tblPr/>
      <w:tcPr>
        <w:tcBorders>
          <w:bottom w:val="single" w:sz="4" w:space="0" w:color="FF36A2" w:themeColor="accent1" w:themeTint="99"/>
        </w:tcBorders>
      </w:tcPr>
    </w:tblStylePr>
    <w:tblStylePr w:type="seCell">
      <w:tblPr/>
      <w:tcPr>
        <w:tcBorders>
          <w:top w:val="single" w:sz="4" w:space="0" w:color="FF36A2" w:themeColor="accent1" w:themeTint="99"/>
        </w:tcBorders>
      </w:tcPr>
    </w:tblStylePr>
    <w:tblStylePr w:type="swCell">
      <w:tblPr/>
      <w:tcPr>
        <w:tcBorders>
          <w:top w:val="single" w:sz="4" w:space="0" w:color="FF36A2" w:themeColor="accent1" w:themeTint="99"/>
        </w:tcBorders>
      </w:tcPr>
    </w:tblStylePr>
  </w:style>
  <w:style w:type="table" w:styleId="GridTable3-Accent2">
    <w:name w:val="Grid Table 3 Accent 2"/>
    <w:basedOn w:val="TableNormal"/>
    <w:uiPriority w:val="48"/>
    <w:unhideWhenUsed/>
    <w:rsid w:val="00F978CE"/>
    <w:pPr>
      <w:spacing w:after="0" w:line="240" w:lineRule="auto"/>
    </w:pPr>
    <w:tblPr>
      <w:tblStyleRowBandSize w:val="1"/>
      <w:tblStyleColBandSize w:val="1"/>
      <w:tblBorders>
        <w:top w:val="single" w:sz="4" w:space="0" w:color="DD7FB2" w:themeColor="accent2" w:themeTint="99"/>
        <w:left w:val="single" w:sz="4" w:space="0" w:color="DD7FB2" w:themeColor="accent2" w:themeTint="99"/>
        <w:bottom w:val="single" w:sz="4" w:space="0" w:color="DD7FB2" w:themeColor="accent2" w:themeTint="99"/>
        <w:right w:val="single" w:sz="4" w:space="0" w:color="DD7FB2" w:themeColor="accent2" w:themeTint="99"/>
        <w:insideH w:val="single" w:sz="4" w:space="0" w:color="DD7FB2" w:themeColor="accent2" w:themeTint="99"/>
        <w:insideV w:val="single" w:sz="4" w:space="0" w:color="DD7F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D4E5" w:themeFill="accent2" w:themeFillTint="33"/>
      </w:tcPr>
    </w:tblStylePr>
    <w:tblStylePr w:type="band1Horz">
      <w:tblPr/>
      <w:tcPr>
        <w:shd w:val="clear" w:color="auto" w:fill="F3D4E5" w:themeFill="accent2" w:themeFillTint="33"/>
      </w:tcPr>
    </w:tblStylePr>
    <w:tblStylePr w:type="neCell">
      <w:tblPr/>
      <w:tcPr>
        <w:tcBorders>
          <w:bottom w:val="single" w:sz="4" w:space="0" w:color="DD7FB2" w:themeColor="accent2" w:themeTint="99"/>
        </w:tcBorders>
      </w:tcPr>
    </w:tblStylePr>
    <w:tblStylePr w:type="nwCell">
      <w:tblPr/>
      <w:tcPr>
        <w:tcBorders>
          <w:bottom w:val="single" w:sz="4" w:space="0" w:color="DD7FB2" w:themeColor="accent2" w:themeTint="99"/>
        </w:tcBorders>
      </w:tcPr>
    </w:tblStylePr>
    <w:tblStylePr w:type="seCell">
      <w:tblPr/>
      <w:tcPr>
        <w:tcBorders>
          <w:top w:val="single" w:sz="4" w:space="0" w:color="DD7FB2" w:themeColor="accent2" w:themeTint="99"/>
        </w:tcBorders>
      </w:tcPr>
    </w:tblStylePr>
    <w:tblStylePr w:type="swCell">
      <w:tblPr/>
      <w:tcPr>
        <w:tcBorders>
          <w:top w:val="single" w:sz="4" w:space="0" w:color="DD7FB2" w:themeColor="accent2" w:themeTint="99"/>
        </w:tcBorders>
      </w:tcPr>
    </w:tblStylePr>
  </w:style>
  <w:style w:type="table" w:styleId="GridTable3-Accent3">
    <w:name w:val="Grid Table 3 Accent 3"/>
    <w:basedOn w:val="TableNormal"/>
    <w:uiPriority w:val="48"/>
    <w:unhideWhenUsed/>
    <w:rsid w:val="00F978CE"/>
    <w:pPr>
      <w:spacing w:after="0" w:line="240" w:lineRule="auto"/>
    </w:pPr>
    <w:tblPr>
      <w:tblStyleRowBandSize w:val="1"/>
      <w:tblStyleColBandSize w:val="1"/>
      <w:tblBorders>
        <w:top w:val="single" w:sz="4" w:space="0" w:color="E09DC1" w:themeColor="accent3" w:themeTint="99"/>
        <w:left w:val="single" w:sz="4" w:space="0" w:color="E09DC1" w:themeColor="accent3" w:themeTint="99"/>
        <w:bottom w:val="single" w:sz="4" w:space="0" w:color="E09DC1" w:themeColor="accent3" w:themeTint="99"/>
        <w:right w:val="single" w:sz="4" w:space="0" w:color="E09DC1" w:themeColor="accent3" w:themeTint="99"/>
        <w:insideH w:val="single" w:sz="4" w:space="0" w:color="E09DC1" w:themeColor="accent3" w:themeTint="99"/>
        <w:insideV w:val="single" w:sz="4" w:space="0" w:color="E09DC1"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DEEA" w:themeFill="accent3" w:themeFillTint="33"/>
      </w:tcPr>
    </w:tblStylePr>
    <w:tblStylePr w:type="band1Horz">
      <w:tblPr/>
      <w:tcPr>
        <w:shd w:val="clear" w:color="auto" w:fill="F4DEEA" w:themeFill="accent3" w:themeFillTint="33"/>
      </w:tcPr>
    </w:tblStylePr>
    <w:tblStylePr w:type="neCell">
      <w:tblPr/>
      <w:tcPr>
        <w:tcBorders>
          <w:bottom w:val="single" w:sz="4" w:space="0" w:color="E09DC1" w:themeColor="accent3" w:themeTint="99"/>
        </w:tcBorders>
      </w:tcPr>
    </w:tblStylePr>
    <w:tblStylePr w:type="nwCell">
      <w:tblPr/>
      <w:tcPr>
        <w:tcBorders>
          <w:bottom w:val="single" w:sz="4" w:space="0" w:color="E09DC1" w:themeColor="accent3" w:themeTint="99"/>
        </w:tcBorders>
      </w:tcPr>
    </w:tblStylePr>
    <w:tblStylePr w:type="seCell">
      <w:tblPr/>
      <w:tcPr>
        <w:tcBorders>
          <w:top w:val="single" w:sz="4" w:space="0" w:color="E09DC1" w:themeColor="accent3" w:themeTint="99"/>
        </w:tcBorders>
      </w:tcPr>
    </w:tblStylePr>
    <w:tblStylePr w:type="swCell">
      <w:tblPr/>
      <w:tcPr>
        <w:tcBorders>
          <w:top w:val="single" w:sz="4" w:space="0" w:color="E09DC1" w:themeColor="accent3" w:themeTint="99"/>
        </w:tcBorders>
      </w:tcPr>
    </w:tblStylePr>
  </w:style>
  <w:style w:type="table" w:styleId="GridTable3-Accent4">
    <w:name w:val="Grid Table 3 Accent 4"/>
    <w:basedOn w:val="TableNormal"/>
    <w:uiPriority w:val="48"/>
    <w:unhideWhenUsed/>
    <w:rsid w:val="00F978CE"/>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3-Accent5">
    <w:name w:val="Grid Table 3 Accent 5"/>
    <w:basedOn w:val="TableNormal"/>
    <w:uiPriority w:val="48"/>
    <w:unhideWhenUsed/>
    <w:rsid w:val="00F978CE"/>
    <w:pPr>
      <w:spacing w:after="0" w:line="240" w:lineRule="auto"/>
    </w:pPr>
    <w:tblPr>
      <w:tblStyleRowBandSize w:val="1"/>
      <w:tblStyleColBandSize w:val="1"/>
      <w:tblBorders>
        <w:top w:val="single" w:sz="4" w:space="0" w:color="C0C0C0" w:themeColor="accent5" w:themeTint="99"/>
        <w:left w:val="single" w:sz="4" w:space="0" w:color="C0C0C0" w:themeColor="accent5" w:themeTint="99"/>
        <w:bottom w:val="single" w:sz="4" w:space="0" w:color="C0C0C0" w:themeColor="accent5" w:themeTint="99"/>
        <w:right w:val="single" w:sz="4" w:space="0" w:color="C0C0C0" w:themeColor="accent5" w:themeTint="99"/>
        <w:insideH w:val="single" w:sz="4" w:space="0" w:color="C0C0C0" w:themeColor="accent5" w:themeTint="99"/>
        <w:insideV w:val="single" w:sz="4" w:space="0" w:color="C0C0C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5" w:themeFillTint="33"/>
      </w:tcPr>
    </w:tblStylePr>
    <w:tblStylePr w:type="band1Horz">
      <w:tblPr/>
      <w:tcPr>
        <w:shd w:val="clear" w:color="auto" w:fill="EAEAEA" w:themeFill="accent5" w:themeFillTint="33"/>
      </w:tcPr>
    </w:tblStylePr>
    <w:tblStylePr w:type="neCell">
      <w:tblPr/>
      <w:tcPr>
        <w:tcBorders>
          <w:bottom w:val="single" w:sz="4" w:space="0" w:color="C0C0C0" w:themeColor="accent5" w:themeTint="99"/>
        </w:tcBorders>
      </w:tcPr>
    </w:tblStylePr>
    <w:tblStylePr w:type="nwCell">
      <w:tblPr/>
      <w:tcPr>
        <w:tcBorders>
          <w:bottom w:val="single" w:sz="4" w:space="0" w:color="C0C0C0" w:themeColor="accent5" w:themeTint="99"/>
        </w:tcBorders>
      </w:tcPr>
    </w:tblStylePr>
    <w:tblStylePr w:type="seCell">
      <w:tblPr/>
      <w:tcPr>
        <w:tcBorders>
          <w:top w:val="single" w:sz="4" w:space="0" w:color="C0C0C0" w:themeColor="accent5" w:themeTint="99"/>
        </w:tcBorders>
      </w:tcPr>
    </w:tblStylePr>
    <w:tblStylePr w:type="swCell">
      <w:tblPr/>
      <w:tcPr>
        <w:tcBorders>
          <w:top w:val="single" w:sz="4" w:space="0" w:color="C0C0C0" w:themeColor="accent5" w:themeTint="99"/>
        </w:tcBorders>
      </w:tcPr>
    </w:tblStylePr>
  </w:style>
  <w:style w:type="table" w:styleId="GridTable3-Accent6">
    <w:name w:val="Grid Table 3 Accent 6"/>
    <w:basedOn w:val="TableNormal"/>
    <w:uiPriority w:val="48"/>
    <w:unhideWhenUsed/>
    <w:rsid w:val="00F978CE"/>
    <w:pPr>
      <w:spacing w:after="0" w:line="240" w:lineRule="auto"/>
    </w:pPr>
    <w:tblPr>
      <w:tblStyleRowBandSize w:val="1"/>
      <w:tblStyleColBandSize w:val="1"/>
      <w:tblBorders>
        <w:top w:val="single" w:sz="4" w:space="0" w:color="DBDBDB" w:themeColor="accent6" w:themeTint="99"/>
        <w:left w:val="single" w:sz="4" w:space="0" w:color="DBDBDB" w:themeColor="accent6" w:themeTint="99"/>
        <w:bottom w:val="single" w:sz="4" w:space="0" w:color="DBDBDB" w:themeColor="accent6" w:themeTint="99"/>
        <w:right w:val="single" w:sz="4" w:space="0" w:color="DBDBDB" w:themeColor="accent6" w:themeTint="99"/>
        <w:insideH w:val="single" w:sz="4" w:space="0" w:color="DBDBDB" w:themeColor="accent6" w:themeTint="99"/>
        <w:insideV w:val="single" w:sz="4" w:space="0" w:color="DBDBDB"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F3F3" w:themeFill="accent6" w:themeFillTint="33"/>
      </w:tcPr>
    </w:tblStylePr>
    <w:tblStylePr w:type="band1Horz">
      <w:tblPr/>
      <w:tcPr>
        <w:shd w:val="clear" w:color="auto" w:fill="F3F3F3" w:themeFill="accent6" w:themeFillTint="33"/>
      </w:tcPr>
    </w:tblStylePr>
    <w:tblStylePr w:type="neCell">
      <w:tblPr/>
      <w:tcPr>
        <w:tcBorders>
          <w:bottom w:val="single" w:sz="4" w:space="0" w:color="DBDBDB" w:themeColor="accent6" w:themeTint="99"/>
        </w:tcBorders>
      </w:tcPr>
    </w:tblStylePr>
    <w:tblStylePr w:type="nwCell">
      <w:tblPr/>
      <w:tcPr>
        <w:tcBorders>
          <w:bottom w:val="single" w:sz="4" w:space="0" w:color="DBDBDB" w:themeColor="accent6" w:themeTint="99"/>
        </w:tcBorders>
      </w:tcPr>
    </w:tblStylePr>
    <w:tblStylePr w:type="seCell">
      <w:tblPr/>
      <w:tcPr>
        <w:tcBorders>
          <w:top w:val="single" w:sz="4" w:space="0" w:color="DBDBDB" w:themeColor="accent6" w:themeTint="99"/>
        </w:tcBorders>
      </w:tcPr>
    </w:tblStylePr>
    <w:tblStylePr w:type="swCell">
      <w:tblPr/>
      <w:tcPr>
        <w:tcBorders>
          <w:top w:val="single" w:sz="4" w:space="0" w:color="DBDBDB" w:themeColor="accent6" w:themeTint="99"/>
        </w:tcBorders>
      </w:tcPr>
    </w:tblStylePr>
  </w:style>
  <w:style w:type="table" w:styleId="GridTable4">
    <w:name w:val="Grid Table 4"/>
    <w:basedOn w:val="TableNormal"/>
    <w:uiPriority w:val="49"/>
    <w:unhideWhenUsed/>
    <w:rsid w:val="00F978C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unhideWhenUsed/>
    <w:rsid w:val="00F978CE"/>
    <w:pPr>
      <w:spacing w:after="0" w:line="240" w:lineRule="auto"/>
    </w:pPr>
    <w:tblPr>
      <w:tblStyleRowBandSize w:val="1"/>
      <w:tblStyleColBandSize w:val="1"/>
      <w:tblBorders>
        <w:top w:val="single" w:sz="4" w:space="0" w:color="FF36A2" w:themeColor="accent1" w:themeTint="99"/>
        <w:left w:val="single" w:sz="4" w:space="0" w:color="FF36A2" w:themeColor="accent1" w:themeTint="99"/>
        <w:bottom w:val="single" w:sz="4" w:space="0" w:color="FF36A2" w:themeColor="accent1" w:themeTint="99"/>
        <w:right w:val="single" w:sz="4" w:space="0" w:color="FF36A2" w:themeColor="accent1" w:themeTint="99"/>
        <w:insideH w:val="single" w:sz="4" w:space="0" w:color="FF36A2" w:themeColor="accent1" w:themeTint="99"/>
        <w:insideV w:val="single" w:sz="4" w:space="0" w:color="FF36A2" w:themeColor="accent1" w:themeTint="99"/>
      </w:tblBorders>
    </w:tblPr>
    <w:tblStylePr w:type="firstRow">
      <w:rPr>
        <w:b/>
        <w:bCs/>
        <w:color w:val="FFFFFF" w:themeColor="background1"/>
      </w:rPr>
      <w:tblPr/>
      <w:tcPr>
        <w:tcBorders>
          <w:top w:val="single" w:sz="4" w:space="0" w:color="AF005F" w:themeColor="accent1"/>
          <w:left w:val="single" w:sz="4" w:space="0" w:color="AF005F" w:themeColor="accent1"/>
          <w:bottom w:val="single" w:sz="4" w:space="0" w:color="AF005F" w:themeColor="accent1"/>
          <w:right w:val="single" w:sz="4" w:space="0" w:color="AF005F" w:themeColor="accent1"/>
          <w:insideH w:val="nil"/>
          <w:insideV w:val="nil"/>
        </w:tcBorders>
        <w:shd w:val="clear" w:color="auto" w:fill="AF005F" w:themeFill="accent1"/>
      </w:tcPr>
    </w:tblStylePr>
    <w:tblStylePr w:type="lastRow">
      <w:rPr>
        <w:b/>
        <w:bCs/>
      </w:rPr>
      <w:tblPr/>
      <w:tcPr>
        <w:tcBorders>
          <w:top w:val="double" w:sz="4" w:space="0" w:color="AF005F" w:themeColor="accent1"/>
        </w:tcBorders>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GridTable4-Accent2">
    <w:name w:val="Grid Table 4 Accent 2"/>
    <w:basedOn w:val="TableNormal"/>
    <w:uiPriority w:val="49"/>
    <w:unhideWhenUsed/>
    <w:rsid w:val="00F978CE"/>
    <w:pPr>
      <w:spacing w:after="0" w:line="240" w:lineRule="auto"/>
    </w:pPr>
    <w:tblPr>
      <w:tblStyleRowBandSize w:val="1"/>
      <w:tblStyleColBandSize w:val="1"/>
      <w:tblBorders>
        <w:top w:val="single" w:sz="4" w:space="0" w:color="DD7FB2" w:themeColor="accent2" w:themeTint="99"/>
        <w:left w:val="single" w:sz="4" w:space="0" w:color="DD7FB2" w:themeColor="accent2" w:themeTint="99"/>
        <w:bottom w:val="single" w:sz="4" w:space="0" w:color="DD7FB2" w:themeColor="accent2" w:themeTint="99"/>
        <w:right w:val="single" w:sz="4" w:space="0" w:color="DD7FB2" w:themeColor="accent2" w:themeTint="99"/>
        <w:insideH w:val="single" w:sz="4" w:space="0" w:color="DD7FB2" w:themeColor="accent2" w:themeTint="99"/>
        <w:insideV w:val="single" w:sz="4" w:space="0" w:color="DD7FB2" w:themeColor="accent2" w:themeTint="99"/>
      </w:tblBorders>
    </w:tblPr>
    <w:tblStylePr w:type="firstRow">
      <w:rPr>
        <w:b/>
        <w:bCs/>
        <w:color w:val="FFFFFF" w:themeColor="background1"/>
      </w:rPr>
      <w:tblPr/>
      <w:tcPr>
        <w:tcBorders>
          <w:top w:val="single" w:sz="4" w:space="0" w:color="BF337F" w:themeColor="accent2"/>
          <w:left w:val="single" w:sz="4" w:space="0" w:color="BF337F" w:themeColor="accent2"/>
          <w:bottom w:val="single" w:sz="4" w:space="0" w:color="BF337F" w:themeColor="accent2"/>
          <w:right w:val="single" w:sz="4" w:space="0" w:color="BF337F" w:themeColor="accent2"/>
          <w:insideH w:val="nil"/>
          <w:insideV w:val="nil"/>
        </w:tcBorders>
        <w:shd w:val="clear" w:color="auto" w:fill="BF337F" w:themeFill="accent2"/>
      </w:tcPr>
    </w:tblStylePr>
    <w:tblStylePr w:type="lastRow">
      <w:rPr>
        <w:b/>
        <w:bCs/>
      </w:rPr>
      <w:tblPr/>
      <w:tcPr>
        <w:tcBorders>
          <w:top w:val="double" w:sz="4" w:space="0" w:color="BF337F" w:themeColor="accent2"/>
        </w:tcBorders>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GridTable4-Accent3">
    <w:name w:val="Grid Table 4 Accent 3"/>
    <w:basedOn w:val="TableNormal"/>
    <w:uiPriority w:val="49"/>
    <w:unhideWhenUsed/>
    <w:rsid w:val="00F978CE"/>
    <w:pPr>
      <w:spacing w:after="0" w:line="240" w:lineRule="auto"/>
    </w:pPr>
    <w:tblPr>
      <w:tblStyleRowBandSize w:val="1"/>
      <w:tblStyleColBandSize w:val="1"/>
      <w:tblBorders>
        <w:top w:val="single" w:sz="4" w:space="0" w:color="E09DC1" w:themeColor="accent3" w:themeTint="99"/>
        <w:left w:val="single" w:sz="4" w:space="0" w:color="E09DC1" w:themeColor="accent3" w:themeTint="99"/>
        <w:bottom w:val="single" w:sz="4" w:space="0" w:color="E09DC1" w:themeColor="accent3" w:themeTint="99"/>
        <w:right w:val="single" w:sz="4" w:space="0" w:color="E09DC1" w:themeColor="accent3" w:themeTint="99"/>
        <w:insideH w:val="single" w:sz="4" w:space="0" w:color="E09DC1" w:themeColor="accent3" w:themeTint="99"/>
        <w:insideV w:val="single" w:sz="4" w:space="0" w:color="E09DC1" w:themeColor="accent3" w:themeTint="99"/>
      </w:tblBorders>
    </w:tblPr>
    <w:tblStylePr w:type="firstRow">
      <w:rPr>
        <w:b/>
        <w:bCs/>
        <w:color w:val="FFFFFF" w:themeColor="background1"/>
      </w:rPr>
      <w:tblPr/>
      <w:tcPr>
        <w:tcBorders>
          <w:top w:val="single" w:sz="4" w:space="0" w:color="CC5C99" w:themeColor="accent3"/>
          <w:left w:val="single" w:sz="4" w:space="0" w:color="CC5C99" w:themeColor="accent3"/>
          <w:bottom w:val="single" w:sz="4" w:space="0" w:color="CC5C99" w:themeColor="accent3"/>
          <w:right w:val="single" w:sz="4" w:space="0" w:color="CC5C99" w:themeColor="accent3"/>
          <w:insideH w:val="nil"/>
          <w:insideV w:val="nil"/>
        </w:tcBorders>
        <w:shd w:val="clear" w:color="auto" w:fill="CC5C99" w:themeFill="accent3"/>
      </w:tcPr>
    </w:tblStylePr>
    <w:tblStylePr w:type="lastRow">
      <w:rPr>
        <w:b/>
        <w:bCs/>
      </w:rPr>
      <w:tblPr/>
      <w:tcPr>
        <w:tcBorders>
          <w:top w:val="double" w:sz="4" w:space="0" w:color="CC5C99" w:themeColor="accent3"/>
        </w:tcBorders>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GridTable4-Accent4">
    <w:name w:val="Grid Table 4 Accent 4"/>
    <w:basedOn w:val="TableNormal"/>
    <w:uiPriority w:val="49"/>
    <w:unhideWhenUsed/>
    <w:rsid w:val="00F978CE"/>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insideV w:val="nil"/>
        </w:tcBorders>
        <w:shd w:val="clear" w:color="auto" w:fill="808080" w:themeFill="accent4"/>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4-Accent5">
    <w:name w:val="Grid Table 4 Accent 5"/>
    <w:basedOn w:val="TableNormal"/>
    <w:uiPriority w:val="49"/>
    <w:unhideWhenUsed/>
    <w:rsid w:val="00F978CE"/>
    <w:pPr>
      <w:spacing w:after="0" w:line="240" w:lineRule="auto"/>
    </w:pPr>
    <w:tblPr>
      <w:tblStyleRowBandSize w:val="1"/>
      <w:tblStyleColBandSize w:val="1"/>
      <w:tblBorders>
        <w:top w:val="single" w:sz="4" w:space="0" w:color="C0C0C0" w:themeColor="accent5" w:themeTint="99"/>
        <w:left w:val="single" w:sz="4" w:space="0" w:color="C0C0C0" w:themeColor="accent5" w:themeTint="99"/>
        <w:bottom w:val="single" w:sz="4" w:space="0" w:color="C0C0C0" w:themeColor="accent5" w:themeTint="99"/>
        <w:right w:val="single" w:sz="4" w:space="0" w:color="C0C0C0" w:themeColor="accent5" w:themeTint="99"/>
        <w:insideH w:val="single" w:sz="4" w:space="0" w:color="C0C0C0" w:themeColor="accent5" w:themeTint="99"/>
        <w:insideV w:val="single" w:sz="4" w:space="0" w:color="C0C0C0" w:themeColor="accent5" w:themeTint="99"/>
      </w:tblBorders>
    </w:tblPr>
    <w:tblStylePr w:type="firstRow">
      <w:rPr>
        <w:b/>
        <w:bCs/>
        <w:color w:val="FFFFFF" w:themeColor="background1"/>
      </w:rPr>
      <w:tblPr/>
      <w:tcPr>
        <w:tcBorders>
          <w:top w:val="single" w:sz="4" w:space="0" w:color="969696" w:themeColor="accent5"/>
          <w:left w:val="single" w:sz="4" w:space="0" w:color="969696" w:themeColor="accent5"/>
          <w:bottom w:val="single" w:sz="4" w:space="0" w:color="969696" w:themeColor="accent5"/>
          <w:right w:val="single" w:sz="4" w:space="0" w:color="969696" w:themeColor="accent5"/>
          <w:insideH w:val="nil"/>
          <w:insideV w:val="nil"/>
        </w:tcBorders>
        <w:shd w:val="clear" w:color="auto" w:fill="969696" w:themeFill="accent5"/>
      </w:tcPr>
    </w:tblStylePr>
    <w:tblStylePr w:type="lastRow">
      <w:rPr>
        <w:b/>
        <w:bCs/>
      </w:rPr>
      <w:tblPr/>
      <w:tcPr>
        <w:tcBorders>
          <w:top w:val="double" w:sz="4" w:space="0" w:color="969696" w:themeColor="accent5"/>
        </w:tcBorders>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GridTable4-Accent6">
    <w:name w:val="Grid Table 4 Accent 6"/>
    <w:basedOn w:val="TableNormal"/>
    <w:uiPriority w:val="49"/>
    <w:unhideWhenUsed/>
    <w:rsid w:val="00F978CE"/>
    <w:pPr>
      <w:spacing w:after="0" w:line="240" w:lineRule="auto"/>
    </w:pPr>
    <w:tblPr>
      <w:tblStyleRowBandSize w:val="1"/>
      <w:tblStyleColBandSize w:val="1"/>
      <w:tblBorders>
        <w:top w:val="single" w:sz="4" w:space="0" w:color="DBDBDB" w:themeColor="accent6" w:themeTint="99"/>
        <w:left w:val="single" w:sz="4" w:space="0" w:color="DBDBDB" w:themeColor="accent6" w:themeTint="99"/>
        <w:bottom w:val="single" w:sz="4" w:space="0" w:color="DBDBDB" w:themeColor="accent6" w:themeTint="99"/>
        <w:right w:val="single" w:sz="4" w:space="0" w:color="DBDBDB" w:themeColor="accent6" w:themeTint="99"/>
        <w:insideH w:val="single" w:sz="4" w:space="0" w:color="DBDBDB" w:themeColor="accent6" w:themeTint="99"/>
        <w:insideV w:val="single" w:sz="4" w:space="0" w:color="DBDBDB" w:themeColor="accent6" w:themeTint="99"/>
      </w:tblBorders>
    </w:tblPr>
    <w:tblStylePr w:type="firstRow">
      <w:rPr>
        <w:b/>
        <w:bCs/>
        <w:color w:val="FFFFFF" w:themeColor="background1"/>
      </w:rPr>
      <w:tblPr/>
      <w:tcPr>
        <w:tcBorders>
          <w:top w:val="single" w:sz="4" w:space="0" w:color="C3C3C3" w:themeColor="accent6"/>
          <w:left w:val="single" w:sz="4" w:space="0" w:color="C3C3C3" w:themeColor="accent6"/>
          <w:bottom w:val="single" w:sz="4" w:space="0" w:color="C3C3C3" w:themeColor="accent6"/>
          <w:right w:val="single" w:sz="4" w:space="0" w:color="C3C3C3" w:themeColor="accent6"/>
          <w:insideH w:val="nil"/>
          <w:insideV w:val="nil"/>
        </w:tcBorders>
        <w:shd w:val="clear" w:color="auto" w:fill="C3C3C3" w:themeFill="accent6"/>
      </w:tcPr>
    </w:tblStylePr>
    <w:tblStylePr w:type="lastRow">
      <w:rPr>
        <w:b/>
        <w:bCs/>
      </w:rPr>
      <w:tblPr/>
      <w:tcPr>
        <w:tcBorders>
          <w:top w:val="double" w:sz="4" w:space="0" w:color="C3C3C3" w:themeColor="accent6"/>
        </w:tcBorders>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GridTable5Dark">
    <w:name w:val="Grid Table 5 Dark"/>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BCE0"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F005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F005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F005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F005F" w:themeFill="accent1"/>
      </w:tcPr>
    </w:tblStylePr>
    <w:tblStylePr w:type="band1Vert">
      <w:tblPr/>
      <w:tcPr>
        <w:shd w:val="clear" w:color="auto" w:fill="FF79C1" w:themeFill="accent1" w:themeFillTint="66"/>
      </w:tcPr>
    </w:tblStylePr>
    <w:tblStylePr w:type="band1Horz">
      <w:tblPr/>
      <w:tcPr>
        <w:shd w:val="clear" w:color="auto" w:fill="FF79C1" w:themeFill="accent1" w:themeFillTint="66"/>
      </w:tcPr>
    </w:tblStylePr>
  </w:style>
  <w:style w:type="table" w:styleId="GridTable5Dark-Accent2">
    <w:name w:val="Grid Table 5 Dark Accent 2"/>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3D4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F337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F337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F337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F337F" w:themeFill="accent2"/>
      </w:tcPr>
    </w:tblStylePr>
    <w:tblStylePr w:type="band1Vert">
      <w:tblPr/>
      <w:tcPr>
        <w:shd w:val="clear" w:color="auto" w:fill="E8AACB" w:themeFill="accent2" w:themeFillTint="66"/>
      </w:tcPr>
    </w:tblStylePr>
    <w:tblStylePr w:type="band1Horz">
      <w:tblPr/>
      <w:tcPr>
        <w:shd w:val="clear" w:color="auto" w:fill="E8AACB" w:themeFill="accent2" w:themeFillTint="66"/>
      </w:tcPr>
    </w:tblStylePr>
  </w:style>
  <w:style w:type="table" w:styleId="GridTable5Dark-Accent3">
    <w:name w:val="Grid Table 5 Dark Accent 3"/>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DE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C5C9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C5C9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C5C9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C5C99" w:themeFill="accent3"/>
      </w:tcPr>
    </w:tblStylePr>
    <w:tblStylePr w:type="band1Vert">
      <w:tblPr/>
      <w:tcPr>
        <w:shd w:val="clear" w:color="auto" w:fill="EABDD6" w:themeFill="accent3" w:themeFillTint="66"/>
      </w:tcPr>
    </w:tblStylePr>
    <w:tblStylePr w:type="band1Horz">
      <w:tblPr/>
      <w:tcPr>
        <w:shd w:val="clear" w:color="auto" w:fill="EABDD6" w:themeFill="accent3" w:themeFillTint="66"/>
      </w:tcPr>
    </w:tblStylePr>
  </w:style>
  <w:style w:type="table" w:styleId="GridTable5Dark-Accent4">
    <w:name w:val="Grid Table 5 Dark Accent 4"/>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4"/>
      </w:tcPr>
    </w:tblStylePr>
    <w:tblStylePr w:type="band1Vert">
      <w:tblPr/>
      <w:tcPr>
        <w:shd w:val="clear" w:color="auto" w:fill="CCCCCC" w:themeFill="accent4" w:themeFillTint="66"/>
      </w:tcPr>
    </w:tblStylePr>
    <w:tblStylePr w:type="band1Horz">
      <w:tblPr/>
      <w:tcPr>
        <w:shd w:val="clear" w:color="auto" w:fill="CCCCCC" w:themeFill="accent4" w:themeFillTint="66"/>
      </w:tcPr>
    </w:tblStylePr>
  </w:style>
  <w:style w:type="table" w:styleId="GridTable5Dark-Accent5">
    <w:name w:val="Grid Table 5 Dark Accent 5"/>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969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969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969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9696" w:themeFill="accent5"/>
      </w:tcPr>
    </w:tblStylePr>
    <w:tblStylePr w:type="band1Vert">
      <w:tblPr/>
      <w:tcPr>
        <w:shd w:val="clear" w:color="auto" w:fill="D5D5D5" w:themeFill="accent5" w:themeFillTint="66"/>
      </w:tcPr>
    </w:tblStylePr>
    <w:tblStylePr w:type="band1Horz">
      <w:tblPr/>
      <w:tcPr>
        <w:shd w:val="clear" w:color="auto" w:fill="D5D5D5" w:themeFill="accent5" w:themeFillTint="66"/>
      </w:tcPr>
    </w:tblStylePr>
  </w:style>
  <w:style w:type="table" w:styleId="GridTable5Dark-Accent6">
    <w:name w:val="Grid Table 5 Dark Accent 6"/>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3F3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3C3C3"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3C3C3"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3C3C3"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3C3C3" w:themeFill="accent6"/>
      </w:tcPr>
    </w:tblStylePr>
    <w:tblStylePr w:type="band1Vert">
      <w:tblPr/>
      <w:tcPr>
        <w:shd w:val="clear" w:color="auto" w:fill="E7E7E7" w:themeFill="accent6" w:themeFillTint="66"/>
      </w:tcPr>
    </w:tblStylePr>
    <w:tblStylePr w:type="band1Horz">
      <w:tblPr/>
      <w:tcPr>
        <w:shd w:val="clear" w:color="auto" w:fill="E7E7E7" w:themeFill="accent6" w:themeFillTint="66"/>
      </w:tcPr>
    </w:tblStylePr>
  </w:style>
  <w:style w:type="table" w:styleId="GridTable6Colorful">
    <w:name w:val="Grid Table 6 Colorful"/>
    <w:basedOn w:val="TableNormal"/>
    <w:uiPriority w:val="51"/>
    <w:unhideWhenUsed/>
    <w:rsid w:val="00F978C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unhideWhenUsed/>
    <w:rsid w:val="00F978CE"/>
    <w:pPr>
      <w:spacing w:after="0" w:line="240" w:lineRule="auto"/>
    </w:pPr>
    <w:rPr>
      <w:color w:val="830046" w:themeColor="accent1" w:themeShade="BF"/>
    </w:rPr>
    <w:tblPr>
      <w:tblStyleRowBandSize w:val="1"/>
      <w:tblStyleColBandSize w:val="1"/>
      <w:tblBorders>
        <w:top w:val="single" w:sz="4" w:space="0" w:color="FF36A2" w:themeColor="accent1" w:themeTint="99"/>
        <w:left w:val="single" w:sz="4" w:space="0" w:color="FF36A2" w:themeColor="accent1" w:themeTint="99"/>
        <w:bottom w:val="single" w:sz="4" w:space="0" w:color="FF36A2" w:themeColor="accent1" w:themeTint="99"/>
        <w:right w:val="single" w:sz="4" w:space="0" w:color="FF36A2" w:themeColor="accent1" w:themeTint="99"/>
        <w:insideH w:val="single" w:sz="4" w:space="0" w:color="FF36A2" w:themeColor="accent1" w:themeTint="99"/>
        <w:insideV w:val="single" w:sz="4" w:space="0" w:color="FF36A2" w:themeColor="accent1" w:themeTint="99"/>
      </w:tblBorders>
    </w:tblPr>
    <w:tblStylePr w:type="firstRow">
      <w:rPr>
        <w:b/>
        <w:bCs/>
      </w:rPr>
      <w:tblPr/>
      <w:tcPr>
        <w:tcBorders>
          <w:bottom w:val="single" w:sz="12" w:space="0" w:color="FF36A2" w:themeColor="accent1" w:themeTint="99"/>
        </w:tcBorders>
      </w:tcPr>
    </w:tblStylePr>
    <w:tblStylePr w:type="lastRow">
      <w:rPr>
        <w:b/>
        <w:bCs/>
      </w:rPr>
      <w:tblPr/>
      <w:tcPr>
        <w:tcBorders>
          <w:top w:val="double" w:sz="4" w:space="0" w:color="FF36A2" w:themeColor="accent1" w:themeTint="99"/>
        </w:tcBorders>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GridTable6Colorful-Accent2">
    <w:name w:val="Grid Table 6 Colorful Accent 2"/>
    <w:basedOn w:val="TableNormal"/>
    <w:uiPriority w:val="51"/>
    <w:unhideWhenUsed/>
    <w:rsid w:val="00F978CE"/>
    <w:pPr>
      <w:spacing w:after="0" w:line="240" w:lineRule="auto"/>
    </w:pPr>
    <w:rPr>
      <w:color w:val="8E265E" w:themeColor="accent2" w:themeShade="BF"/>
    </w:rPr>
    <w:tblPr>
      <w:tblStyleRowBandSize w:val="1"/>
      <w:tblStyleColBandSize w:val="1"/>
      <w:tblBorders>
        <w:top w:val="single" w:sz="4" w:space="0" w:color="DD7FB2" w:themeColor="accent2" w:themeTint="99"/>
        <w:left w:val="single" w:sz="4" w:space="0" w:color="DD7FB2" w:themeColor="accent2" w:themeTint="99"/>
        <w:bottom w:val="single" w:sz="4" w:space="0" w:color="DD7FB2" w:themeColor="accent2" w:themeTint="99"/>
        <w:right w:val="single" w:sz="4" w:space="0" w:color="DD7FB2" w:themeColor="accent2" w:themeTint="99"/>
        <w:insideH w:val="single" w:sz="4" w:space="0" w:color="DD7FB2" w:themeColor="accent2" w:themeTint="99"/>
        <w:insideV w:val="single" w:sz="4" w:space="0" w:color="DD7FB2" w:themeColor="accent2" w:themeTint="99"/>
      </w:tblBorders>
    </w:tblPr>
    <w:tblStylePr w:type="firstRow">
      <w:rPr>
        <w:b/>
        <w:bCs/>
      </w:rPr>
      <w:tblPr/>
      <w:tcPr>
        <w:tcBorders>
          <w:bottom w:val="single" w:sz="12" w:space="0" w:color="DD7FB2" w:themeColor="accent2" w:themeTint="99"/>
        </w:tcBorders>
      </w:tcPr>
    </w:tblStylePr>
    <w:tblStylePr w:type="lastRow">
      <w:rPr>
        <w:b/>
        <w:bCs/>
      </w:rPr>
      <w:tblPr/>
      <w:tcPr>
        <w:tcBorders>
          <w:top w:val="double" w:sz="4" w:space="0" w:color="DD7FB2" w:themeColor="accent2" w:themeTint="99"/>
        </w:tcBorders>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GridTable6Colorful-Accent3">
    <w:name w:val="Grid Table 6 Colorful Accent 3"/>
    <w:basedOn w:val="TableNormal"/>
    <w:uiPriority w:val="51"/>
    <w:unhideWhenUsed/>
    <w:rsid w:val="00F978CE"/>
    <w:pPr>
      <w:spacing w:after="0" w:line="240" w:lineRule="auto"/>
    </w:pPr>
    <w:rPr>
      <w:color w:val="A83573" w:themeColor="accent3" w:themeShade="BF"/>
    </w:rPr>
    <w:tblPr>
      <w:tblStyleRowBandSize w:val="1"/>
      <w:tblStyleColBandSize w:val="1"/>
      <w:tblBorders>
        <w:top w:val="single" w:sz="4" w:space="0" w:color="E09DC1" w:themeColor="accent3" w:themeTint="99"/>
        <w:left w:val="single" w:sz="4" w:space="0" w:color="E09DC1" w:themeColor="accent3" w:themeTint="99"/>
        <w:bottom w:val="single" w:sz="4" w:space="0" w:color="E09DC1" w:themeColor="accent3" w:themeTint="99"/>
        <w:right w:val="single" w:sz="4" w:space="0" w:color="E09DC1" w:themeColor="accent3" w:themeTint="99"/>
        <w:insideH w:val="single" w:sz="4" w:space="0" w:color="E09DC1" w:themeColor="accent3" w:themeTint="99"/>
        <w:insideV w:val="single" w:sz="4" w:space="0" w:color="E09DC1" w:themeColor="accent3" w:themeTint="99"/>
      </w:tblBorders>
    </w:tblPr>
    <w:tblStylePr w:type="firstRow">
      <w:rPr>
        <w:b/>
        <w:bCs/>
      </w:rPr>
      <w:tblPr/>
      <w:tcPr>
        <w:tcBorders>
          <w:bottom w:val="single" w:sz="12" w:space="0" w:color="E09DC1" w:themeColor="accent3" w:themeTint="99"/>
        </w:tcBorders>
      </w:tcPr>
    </w:tblStylePr>
    <w:tblStylePr w:type="lastRow">
      <w:rPr>
        <w:b/>
        <w:bCs/>
      </w:rPr>
      <w:tblPr/>
      <w:tcPr>
        <w:tcBorders>
          <w:top w:val="double" w:sz="4" w:space="0" w:color="E09DC1" w:themeColor="accent3" w:themeTint="99"/>
        </w:tcBorders>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GridTable6Colorful-Accent4">
    <w:name w:val="Grid Table 6 Colorful Accent 4"/>
    <w:basedOn w:val="TableNormal"/>
    <w:uiPriority w:val="51"/>
    <w:unhideWhenUsed/>
    <w:rsid w:val="00F978CE"/>
    <w:pPr>
      <w:spacing w:after="0"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6Colorful-Accent5">
    <w:name w:val="Grid Table 6 Colorful Accent 5"/>
    <w:basedOn w:val="TableNormal"/>
    <w:uiPriority w:val="51"/>
    <w:unhideWhenUsed/>
    <w:rsid w:val="00F978CE"/>
    <w:pPr>
      <w:spacing w:after="0" w:line="240" w:lineRule="auto"/>
    </w:pPr>
    <w:rPr>
      <w:color w:val="707070" w:themeColor="accent5" w:themeShade="BF"/>
    </w:rPr>
    <w:tblPr>
      <w:tblStyleRowBandSize w:val="1"/>
      <w:tblStyleColBandSize w:val="1"/>
      <w:tblBorders>
        <w:top w:val="single" w:sz="4" w:space="0" w:color="C0C0C0" w:themeColor="accent5" w:themeTint="99"/>
        <w:left w:val="single" w:sz="4" w:space="0" w:color="C0C0C0" w:themeColor="accent5" w:themeTint="99"/>
        <w:bottom w:val="single" w:sz="4" w:space="0" w:color="C0C0C0" w:themeColor="accent5" w:themeTint="99"/>
        <w:right w:val="single" w:sz="4" w:space="0" w:color="C0C0C0" w:themeColor="accent5" w:themeTint="99"/>
        <w:insideH w:val="single" w:sz="4" w:space="0" w:color="C0C0C0" w:themeColor="accent5" w:themeTint="99"/>
        <w:insideV w:val="single" w:sz="4" w:space="0" w:color="C0C0C0" w:themeColor="accent5" w:themeTint="99"/>
      </w:tblBorders>
    </w:tblPr>
    <w:tblStylePr w:type="firstRow">
      <w:rPr>
        <w:b/>
        <w:bCs/>
      </w:rPr>
      <w:tblPr/>
      <w:tcPr>
        <w:tcBorders>
          <w:bottom w:val="single" w:sz="12" w:space="0" w:color="C0C0C0" w:themeColor="accent5" w:themeTint="99"/>
        </w:tcBorders>
      </w:tcPr>
    </w:tblStylePr>
    <w:tblStylePr w:type="lastRow">
      <w:rPr>
        <w:b/>
        <w:bCs/>
      </w:rPr>
      <w:tblPr/>
      <w:tcPr>
        <w:tcBorders>
          <w:top w:val="double" w:sz="4" w:space="0" w:color="C0C0C0" w:themeColor="accent5" w:themeTint="99"/>
        </w:tcBorders>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GridTable6Colorful-Accent6">
    <w:name w:val="Grid Table 6 Colorful Accent 6"/>
    <w:basedOn w:val="TableNormal"/>
    <w:uiPriority w:val="51"/>
    <w:unhideWhenUsed/>
    <w:rsid w:val="00F978CE"/>
    <w:pPr>
      <w:spacing w:after="0" w:line="240" w:lineRule="auto"/>
    </w:pPr>
    <w:rPr>
      <w:color w:val="929292" w:themeColor="accent6" w:themeShade="BF"/>
    </w:rPr>
    <w:tblPr>
      <w:tblStyleRowBandSize w:val="1"/>
      <w:tblStyleColBandSize w:val="1"/>
      <w:tblBorders>
        <w:top w:val="single" w:sz="4" w:space="0" w:color="DBDBDB" w:themeColor="accent6" w:themeTint="99"/>
        <w:left w:val="single" w:sz="4" w:space="0" w:color="DBDBDB" w:themeColor="accent6" w:themeTint="99"/>
        <w:bottom w:val="single" w:sz="4" w:space="0" w:color="DBDBDB" w:themeColor="accent6" w:themeTint="99"/>
        <w:right w:val="single" w:sz="4" w:space="0" w:color="DBDBDB" w:themeColor="accent6" w:themeTint="99"/>
        <w:insideH w:val="single" w:sz="4" w:space="0" w:color="DBDBDB" w:themeColor="accent6" w:themeTint="99"/>
        <w:insideV w:val="single" w:sz="4" w:space="0" w:color="DBDBDB" w:themeColor="accent6" w:themeTint="99"/>
      </w:tblBorders>
    </w:tblPr>
    <w:tblStylePr w:type="firstRow">
      <w:rPr>
        <w:b/>
        <w:bCs/>
      </w:rPr>
      <w:tblPr/>
      <w:tcPr>
        <w:tcBorders>
          <w:bottom w:val="single" w:sz="12" w:space="0" w:color="DBDBDB" w:themeColor="accent6" w:themeTint="99"/>
        </w:tcBorders>
      </w:tcPr>
    </w:tblStylePr>
    <w:tblStylePr w:type="lastRow">
      <w:rPr>
        <w:b/>
        <w:bCs/>
      </w:rPr>
      <w:tblPr/>
      <w:tcPr>
        <w:tcBorders>
          <w:top w:val="double" w:sz="4" w:space="0" w:color="DBDBDB" w:themeColor="accent6" w:themeTint="99"/>
        </w:tcBorders>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GridTable7Colorful">
    <w:name w:val="Grid Table 7 Colorful"/>
    <w:basedOn w:val="TableNormal"/>
    <w:uiPriority w:val="52"/>
    <w:unhideWhenUsed/>
    <w:rsid w:val="00F978C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unhideWhenUsed/>
    <w:rsid w:val="00F978CE"/>
    <w:pPr>
      <w:spacing w:after="0" w:line="240" w:lineRule="auto"/>
    </w:pPr>
    <w:rPr>
      <w:color w:val="830046" w:themeColor="accent1" w:themeShade="BF"/>
    </w:rPr>
    <w:tblPr>
      <w:tblStyleRowBandSize w:val="1"/>
      <w:tblStyleColBandSize w:val="1"/>
      <w:tblBorders>
        <w:top w:val="single" w:sz="4" w:space="0" w:color="FF36A2" w:themeColor="accent1" w:themeTint="99"/>
        <w:left w:val="single" w:sz="4" w:space="0" w:color="FF36A2" w:themeColor="accent1" w:themeTint="99"/>
        <w:bottom w:val="single" w:sz="4" w:space="0" w:color="FF36A2" w:themeColor="accent1" w:themeTint="99"/>
        <w:right w:val="single" w:sz="4" w:space="0" w:color="FF36A2" w:themeColor="accent1" w:themeTint="99"/>
        <w:insideH w:val="single" w:sz="4" w:space="0" w:color="FF36A2" w:themeColor="accent1" w:themeTint="99"/>
        <w:insideV w:val="single" w:sz="4" w:space="0" w:color="FF36A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BCE0" w:themeFill="accent1" w:themeFillTint="33"/>
      </w:tcPr>
    </w:tblStylePr>
    <w:tblStylePr w:type="band1Horz">
      <w:tblPr/>
      <w:tcPr>
        <w:shd w:val="clear" w:color="auto" w:fill="FFBCE0" w:themeFill="accent1" w:themeFillTint="33"/>
      </w:tcPr>
    </w:tblStylePr>
    <w:tblStylePr w:type="neCell">
      <w:tblPr/>
      <w:tcPr>
        <w:tcBorders>
          <w:bottom w:val="single" w:sz="4" w:space="0" w:color="FF36A2" w:themeColor="accent1" w:themeTint="99"/>
        </w:tcBorders>
      </w:tcPr>
    </w:tblStylePr>
    <w:tblStylePr w:type="nwCell">
      <w:tblPr/>
      <w:tcPr>
        <w:tcBorders>
          <w:bottom w:val="single" w:sz="4" w:space="0" w:color="FF36A2" w:themeColor="accent1" w:themeTint="99"/>
        </w:tcBorders>
      </w:tcPr>
    </w:tblStylePr>
    <w:tblStylePr w:type="seCell">
      <w:tblPr/>
      <w:tcPr>
        <w:tcBorders>
          <w:top w:val="single" w:sz="4" w:space="0" w:color="FF36A2" w:themeColor="accent1" w:themeTint="99"/>
        </w:tcBorders>
      </w:tcPr>
    </w:tblStylePr>
    <w:tblStylePr w:type="swCell">
      <w:tblPr/>
      <w:tcPr>
        <w:tcBorders>
          <w:top w:val="single" w:sz="4" w:space="0" w:color="FF36A2" w:themeColor="accent1" w:themeTint="99"/>
        </w:tcBorders>
      </w:tcPr>
    </w:tblStylePr>
  </w:style>
  <w:style w:type="table" w:styleId="GridTable7Colorful-Accent2">
    <w:name w:val="Grid Table 7 Colorful Accent 2"/>
    <w:basedOn w:val="TableNormal"/>
    <w:uiPriority w:val="52"/>
    <w:unhideWhenUsed/>
    <w:rsid w:val="00F978CE"/>
    <w:pPr>
      <w:spacing w:after="0" w:line="240" w:lineRule="auto"/>
    </w:pPr>
    <w:rPr>
      <w:color w:val="8E265E" w:themeColor="accent2" w:themeShade="BF"/>
    </w:rPr>
    <w:tblPr>
      <w:tblStyleRowBandSize w:val="1"/>
      <w:tblStyleColBandSize w:val="1"/>
      <w:tblBorders>
        <w:top w:val="single" w:sz="4" w:space="0" w:color="DD7FB2" w:themeColor="accent2" w:themeTint="99"/>
        <w:left w:val="single" w:sz="4" w:space="0" w:color="DD7FB2" w:themeColor="accent2" w:themeTint="99"/>
        <w:bottom w:val="single" w:sz="4" w:space="0" w:color="DD7FB2" w:themeColor="accent2" w:themeTint="99"/>
        <w:right w:val="single" w:sz="4" w:space="0" w:color="DD7FB2" w:themeColor="accent2" w:themeTint="99"/>
        <w:insideH w:val="single" w:sz="4" w:space="0" w:color="DD7FB2" w:themeColor="accent2" w:themeTint="99"/>
        <w:insideV w:val="single" w:sz="4" w:space="0" w:color="DD7F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D4E5" w:themeFill="accent2" w:themeFillTint="33"/>
      </w:tcPr>
    </w:tblStylePr>
    <w:tblStylePr w:type="band1Horz">
      <w:tblPr/>
      <w:tcPr>
        <w:shd w:val="clear" w:color="auto" w:fill="F3D4E5" w:themeFill="accent2" w:themeFillTint="33"/>
      </w:tcPr>
    </w:tblStylePr>
    <w:tblStylePr w:type="neCell">
      <w:tblPr/>
      <w:tcPr>
        <w:tcBorders>
          <w:bottom w:val="single" w:sz="4" w:space="0" w:color="DD7FB2" w:themeColor="accent2" w:themeTint="99"/>
        </w:tcBorders>
      </w:tcPr>
    </w:tblStylePr>
    <w:tblStylePr w:type="nwCell">
      <w:tblPr/>
      <w:tcPr>
        <w:tcBorders>
          <w:bottom w:val="single" w:sz="4" w:space="0" w:color="DD7FB2" w:themeColor="accent2" w:themeTint="99"/>
        </w:tcBorders>
      </w:tcPr>
    </w:tblStylePr>
    <w:tblStylePr w:type="seCell">
      <w:tblPr/>
      <w:tcPr>
        <w:tcBorders>
          <w:top w:val="single" w:sz="4" w:space="0" w:color="DD7FB2" w:themeColor="accent2" w:themeTint="99"/>
        </w:tcBorders>
      </w:tcPr>
    </w:tblStylePr>
    <w:tblStylePr w:type="swCell">
      <w:tblPr/>
      <w:tcPr>
        <w:tcBorders>
          <w:top w:val="single" w:sz="4" w:space="0" w:color="DD7FB2" w:themeColor="accent2" w:themeTint="99"/>
        </w:tcBorders>
      </w:tcPr>
    </w:tblStylePr>
  </w:style>
  <w:style w:type="table" w:styleId="GridTable7Colorful-Accent3">
    <w:name w:val="Grid Table 7 Colorful Accent 3"/>
    <w:basedOn w:val="TableNormal"/>
    <w:uiPriority w:val="52"/>
    <w:unhideWhenUsed/>
    <w:rsid w:val="00F978CE"/>
    <w:pPr>
      <w:spacing w:after="0" w:line="240" w:lineRule="auto"/>
    </w:pPr>
    <w:rPr>
      <w:color w:val="A83573" w:themeColor="accent3" w:themeShade="BF"/>
    </w:rPr>
    <w:tblPr>
      <w:tblStyleRowBandSize w:val="1"/>
      <w:tblStyleColBandSize w:val="1"/>
      <w:tblBorders>
        <w:top w:val="single" w:sz="4" w:space="0" w:color="E09DC1" w:themeColor="accent3" w:themeTint="99"/>
        <w:left w:val="single" w:sz="4" w:space="0" w:color="E09DC1" w:themeColor="accent3" w:themeTint="99"/>
        <w:bottom w:val="single" w:sz="4" w:space="0" w:color="E09DC1" w:themeColor="accent3" w:themeTint="99"/>
        <w:right w:val="single" w:sz="4" w:space="0" w:color="E09DC1" w:themeColor="accent3" w:themeTint="99"/>
        <w:insideH w:val="single" w:sz="4" w:space="0" w:color="E09DC1" w:themeColor="accent3" w:themeTint="99"/>
        <w:insideV w:val="single" w:sz="4" w:space="0" w:color="E09DC1"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DEEA" w:themeFill="accent3" w:themeFillTint="33"/>
      </w:tcPr>
    </w:tblStylePr>
    <w:tblStylePr w:type="band1Horz">
      <w:tblPr/>
      <w:tcPr>
        <w:shd w:val="clear" w:color="auto" w:fill="F4DEEA" w:themeFill="accent3" w:themeFillTint="33"/>
      </w:tcPr>
    </w:tblStylePr>
    <w:tblStylePr w:type="neCell">
      <w:tblPr/>
      <w:tcPr>
        <w:tcBorders>
          <w:bottom w:val="single" w:sz="4" w:space="0" w:color="E09DC1" w:themeColor="accent3" w:themeTint="99"/>
        </w:tcBorders>
      </w:tcPr>
    </w:tblStylePr>
    <w:tblStylePr w:type="nwCell">
      <w:tblPr/>
      <w:tcPr>
        <w:tcBorders>
          <w:bottom w:val="single" w:sz="4" w:space="0" w:color="E09DC1" w:themeColor="accent3" w:themeTint="99"/>
        </w:tcBorders>
      </w:tcPr>
    </w:tblStylePr>
    <w:tblStylePr w:type="seCell">
      <w:tblPr/>
      <w:tcPr>
        <w:tcBorders>
          <w:top w:val="single" w:sz="4" w:space="0" w:color="E09DC1" w:themeColor="accent3" w:themeTint="99"/>
        </w:tcBorders>
      </w:tcPr>
    </w:tblStylePr>
    <w:tblStylePr w:type="swCell">
      <w:tblPr/>
      <w:tcPr>
        <w:tcBorders>
          <w:top w:val="single" w:sz="4" w:space="0" w:color="E09DC1" w:themeColor="accent3" w:themeTint="99"/>
        </w:tcBorders>
      </w:tcPr>
    </w:tblStylePr>
  </w:style>
  <w:style w:type="table" w:styleId="GridTable7Colorful-Accent4">
    <w:name w:val="Grid Table 7 Colorful Accent 4"/>
    <w:basedOn w:val="TableNormal"/>
    <w:uiPriority w:val="52"/>
    <w:unhideWhenUsed/>
    <w:rsid w:val="00F978CE"/>
    <w:pPr>
      <w:spacing w:after="0"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7Colorful-Accent5">
    <w:name w:val="Grid Table 7 Colorful Accent 5"/>
    <w:basedOn w:val="TableNormal"/>
    <w:uiPriority w:val="52"/>
    <w:unhideWhenUsed/>
    <w:rsid w:val="00F978CE"/>
    <w:pPr>
      <w:spacing w:after="0" w:line="240" w:lineRule="auto"/>
    </w:pPr>
    <w:rPr>
      <w:color w:val="707070" w:themeColor="accent5" w:themeShade="BF"/>
    </w:rPr>
    <w:tblPr>
      <w:tblStyleRowBandSize w:val="1"/>
      <w:tblStyleColBandSize w:val="1"/>
      <w:tblBorders>
        <w:top w:val="single" w:sz="4" w:space="0" w:color="C0C0C0" w:themeColor="accent5" w:themeTint="99"/>
        <w:left w:val="single" w:sz="4" w:space="0" w:color="C0C0C0" w:themeColor="accent5" w:themeTint="99"/>
        <w:bottom w:val="single" w:sz="4" w:space="0" w:color="C0C0C0" w:themeColor="accent5" w:themeTint="99"/>
        <w:right w:val="single" w:sz="4" w:space="0" w:color="C0C0C0" w:themeColor="accent5" w:themeTint="99"/>
        <w:insideH w:val="single" w:sz="4" w:space="0" w:color="C0C0C0" w:themeColor="accent5" w:themeTint="99"/>
        <w:insideV w:val="single" w:sz="4" w:space="0" w:color="C0C0C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5" w:themeFillTint="33"/>
      </w:tcPr>
    </w:tblStylePr>
    <w:tblStylePr w:type="band1Horz">
      <w:tblPr/>
      <w:tcPr>
        <w:shd w:val="clear" w:color="auto" w:fill="EAEAEA" w:themeFill="accent5" w:themeFillTint="33"/>
      </w:tcPr>
    </w:tblStylePr>
    <w:tblStylePr w:type="neCell">
      <w:tblPr/>
      <w:tcPr>
        <w:tcBorders>
          <w:bottom w:val="single" w:sz="4" w:space="0" w:color="C0C0C0" w:themeColor="accent5" w:themeTint="99"/>
        </w:tcBorders>
      </w:tcPr>
    </w:tblStylePr>
    <w:tblStylePr w:type="nwCell">
      <w:tblPr/>
      <w:tcPr>
        <w:tcBorders>
          <w:bottom w:val="single" w:sz="4" w:space="0" w:color="C0C0C0" w:themeColor="accent5" w:themeTint="99"/>
        </w:tcBorders>
      </w:tcPr>
    </w:tblStylePr>
    <w:tblStylePr w:type="seCell">
      <w:tblPr/>
      <w:tcPr>
        <w:tcBorders>
          <w:top w:val="single" w:sz="4" w:space="0" w:color="C0C0C0" w:themeColor="accent5" w:themeTint="99"/>
        </w:tcBorders>
      </w:tcPr>
    </w:tblStylePr>
    <w:tblStylePr w:type="swCell">
      <w:tblPr/>
      <w:tcPr>
        <w:tcBorders>
          <w:top w:val="single" w:sz="4" w:space="0" w:color="C0C0C0" w:themeColor="accent5" w:themeTint="99"/>
        </w:tcBorders>
      </w:tcPr>
    </w:tblStylePr>
  </w:style>
  <w:style w:type="table" w:styleId="GridTable7Colorful-Accent6">
    <w:name w:val="Grid Table 7 Colorful Accent 6"/>
    <w:basedOn w:val="TableNormal"/>
    <w:uiPriority w:val="52"/>
    <w:unhideWhenUsed/>
    <w:rsid w:val="00F978CE"/>
    <w:pPr>
      <w:spacing w:after="0" w:line="240" w:lineRule="auto"/>
    </w:pPr>
    <w:rPr>
      <w:color w:val="929292" w:themeColor="accent6" w:themeShade="BF"/>
    </w:rPr>
    <w:tblPr>
      <w:tblStyleRowBandSize w:val="1"/>
      <w:tblStyleColBandSize w:val="1"/>
      <w:tblBorders>
        <w:top w:val="single" w:sz="4" w:space="0" w:color="DBDBDB" w:themeColor="accent6" w:themeTint="99"/>
        <w:left w:val="single" w:sz="4" w:space="0" w:color="DBDBDB" w:themeColor="accent6" w:themeTint="99"/>
        <w:bottom w:val="single" w:sz="4" w:space="0" w:color="DBDBDB" w:themeColor="accent6" w:themeTint="99"/>
        <w:right w:val="single" w:sz="4" w:space="0" w:color="DBDBDB" w:themeColor="accent6" w:themeTint="99"/>
        <w:insideH w:val="single" w:sz="4" w:space="0" w:color="DBDBDB" w:themeColor="accent6" w:themeTint="99"/>
        <w:insideV w:val="single" w:sz="4" w:space="0" w:color="DBDBDB"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F3F3" w:themeFill="accent6" w:themeFillTint="33"/>
      </w:tcPr>
    </w:tblStylePr>
    <w:tblStylePr w:type="band1Horz">
      <w:tblPr/>
      <w:tcPr>
        <w:shd w:val="clear" w:color="auto" w:fill="F3F3F3" w:themeFill="accent6" w:themeFillTint="33"/>
      </w:tcPr>
    </w:tblStylePr>
    <w:tblStylePr w:type="neCell">
      <w:tblPr/>
      <w:tcPr>
        <w:tcBorders>
          <w:bottom w:val="single" w:sz="4" w:space="0" w:color="DBDBDB" w:themeColor="accent6" w:themeTint="99"/>
        </w:tcBorders>
      </w:tcPr>
    </w:tblStylePr>
    <w:tblStylePr w:type="nwCell">
      <w:tblPr/>
      <w:tcPr>
        <w:tcBorders>
          <w:bottom w:val="single" w:sz="4" w:space="0" w:color="DBDBDB" w:themeColor="accent6" w:themeTint="99"/>
        </w:tcBorders>
      </w:tcPr>
    </w:tblStylePr>
    <w:tblStylePr w:type="seCell">
      <w:tblPr/>
      <w:tcPr>
        <w:tcBorders>
          <w:top w:val="single" w:sz="4" w:space="0" w:color="DBDBDB" w:themeColor="accent6" w:themeTint="99"/>
        </w:tcBorders>
      </w:tcPr>
    </w:tblStylePr>
    <w:tblStylePr w:type="swCell">
      <w:tblPr/>
      <w:tcPr>
        <w:tcBorders>
          <w:top w:val="single" w:sz="4" w:space="0" w:color="DBDBDB" w:themeColor="accent6" w:themeTint="99"/>
        </w:tcBorders>
      </w:tcPr>
    </w:tblStylePr>
  </w:style>
  <w:style w:type="character" w:styleId="Hashtag">
    <w:name w:val="Hashtag"/>
    <w:basedOn w:val="DefaultParagraphFont"/>
    <w:uiPriority w:val="99"/>
    <w:unhideWhenUsed/>
    <w:rsid w:val="00F978CE"/>
    <w:rPr>
      <w:color w:val="2B579A"/>
      <w:shd w:val="clear" w:color="auto" w:fill="E6E6E6"/>
    </w:rPr>
  </w:style>
  <w:style w:type="character" w:styleId="HTMLAcronym">
    <w:name w:val="HTML Acronym"/>
    <w:basedOn w:val="DefaultParagraphFont"/>
    <w:uiPriority w:val="99"/>
    <w:unhideWhenUsed/>
    <w:rsid w:val="00F978CE"/>
  </w:style>
  <w:style w:type="paragraph" w:styleId="HTMLAddress">
    <w:name w:val="HTML Address"/>
    <w:basedOn w:val="Normal"/>
    <w:link w:val="HTMLAddressChar"/>
    <w:uiPriority w:val="99"/>
    <w:unhideWhenUsed/>
    <w:rsid w:val="00F978CE"/>
    <w:rPr>
      <w:i/>
      <w:iCs/>
    </w:rPr>
  </w:style>
  <w:style w:type="character" w:customStyle="1" w:styleId="HTMLAddressChar">
    <w:name w:val="HTML Address Char"/>
    <w:basedOn w:val="DefaultParagraphFont"/>
    <w:link w:val="HTMLAddress"/>
    <w:uiPriority w:val="99"/>
    <w:rsid w:val="00FE583B"/>
    <w:rPr>
      <w:rFonts w:ascii="Arial" w:hAnsi="Arial"/>
      <w:i/>
      <w:iCs/>
      <w:sz w:val="20"/>
    </w:rPr>
  </w:style>
  <w:style w:type="character" w:styleId="HTMLCite">
    <w:name w:val="HTML Cite"/>
    <w:basedOn w:val="DefaultParagraphFont"/>
    <w:uiPriority w:val="99"/>
    <w:unhideWhenUsed/>
    <w:rsid w:val="00F978CE"/>
    <w:rPr>
      <w:i/>
      <w:iCs/>
    </w:rPr>
  </w:style>
  <w:style w:type="character" w:styleId="HTMLCode">
    <w:name w:val="HTML Code"/>
    <w:basedOn w:val="DefaultParagraphFont"/>
    <w:uiPriority w:val="99"/>
    <w:unhideWhenUsed/>
    <w:rsid w:val="00F978CE"/>
    <w:rPr>
      <w:rFonts w:ascii="Consolas" w:hAnsi="Consolas"/>
      <w:sz w:val="20"/>
      <w:szCs w:val="20"/>
    </w:rPr>
  </w:style>
  <w:style w:type="character" w:styleId="HTMLDefinition">
    <w:name w:val="HTML Definition"/>
    <w:basedOn w:val="DefaultParagraphFont"/>
    <w:uiPriority w:val="99"/>
    <w:unhideWhenUsed/>
    <w:rsid w:val="00F978CE"/>
    <w:rPr>
      <w:i/>
      <w:iCs/>
    </w:rPr>
  </w:style>
  <w:style w:type="character" w:styleId="HTMLKeyboard">
    <w:name w:val="HTML Keyboard"/>
    <w:basedOn w:val="DefaultParagraphFont"/>
    <w:uiPriority w:val="99"/>
    <w:unhideWhenUsed/>
    <w:rsid w:val="00F978CE"/>
    <w:rPr>
      <w:rFonts w:ascii="Consolas" w:hAnsi="Consolas"/>
      <w:sz w:val="20"/>
      <w:szCs w:val="20"/>
    </w:rPr>
  </w:style>
  <w:style w:type="paragraph" w:styleId="HTMLPreformatted">
    <w:name w:val="HTML Preformatted"/>
    <w:basedOn w:val="Normal"/>
    <w:link w:val="HTMLPreformattedChar"/>
    <w:uiPriority w:val="99"/>
    <w:unhideWhenUsed/>
    <w:rsid w:val="00F978CE"/>
    <w:rPr>
      <w:rFonts w:ascii="Consolas" w:hAnsi="Consolas"/>
      <w:szCs w:val="20"/>
    </w:rPr>
  </w:style>
  <w:style w:type="character" w:customStyle="1" w:styleId="HTMLPreformattedChar">
    <w:name w:val="HTML Preformatted Char"/>
    <w:basedOn w:val="DefaultParagraphFont"/>
    <w:link w:val="HTMLPreformatted"/>
    <w:uiPriority w:val="99"/>
    <w:rsid w:val="00FE583B"/>
    <w:rPr>
      <w:rFonts w:ascii="Consolas" w:hAnsi="Consolas"/>
      <w:sz w:val="20"/>
      <w:szCs w:val="20"/>
    </w:rPr>
  </w:style>
  <w:style w:type="character" w:styleId="HTMLSample">
    <w:name w:val="HTML Sample"/>
    <w:basedOn w:val="DefaultParagraphFont"/>
    <w:uiPriority w:val="99"/>
    <w:unhideWhenUsed/>
    <w:rsid w:val="00F978CE"/>
    <w:rPr>
      <w:rFonts w:ascii="Consolas" w:hAnsi="Consolas"/>
      <w:sz w:val="24"/>
      <w:szCs w:val="24"/>
    </w:rPr>
  </w:style>
  <w:style w:type="character" w:styleId="HTMLTypewriter">
    <w:name w:val="HTML Typewriter"/>
    <w:basedOn w:val="DefaultParagraphFont"/>
    <w:uiPriority w:val="99"/>
    <w:unhideWhenUsed/>
    <w:rsid w:val="00F978CE"/>
    <w:rPr>
      <w:rFonts w:ascii="Consolas" w:hAnsi="Consolas"/>
      <w:sz w:val="20"/>
      <w:szCs w:val="20"/>
    </w:rPr>
  </w:style>
  <w:style w:type="character" w:styleId="HTMLVariable">
    <w:name w:val="HTML Variable"/>
    <w:basedOn w:val="DefaultParagraphFont"/>
    <w:uiPriority w:val="99"/>
    <w:unhideWhenUsed/>
    <w:rsid w:val="00F978CE"/>
    <w:rPr>
      <w:i/>
      <w:iCs/>
    </w:rPr>
  </w:style>
  <w:style w:type="character" w:styleId="Hyperlink">
    <w:name w:val="Hyperlink"/>
    <w:basedOn w:val="DefaultParagraphFont"/>
    <w:uiPriority w:val="99"/>
    <w:unhideWhenUsed/>
    <w:rsid w:val="00F978CE"/>
    <w:rPr>
      <w:color w:val="D985B2" w:themeColor="hyperlink"/>
      <w:u w:val="single"/>
    </w:rPr>
  </w:style>
  <w:style w:type="paragraph" w:styleId="Index1">
    <w:name w:val="index 1"/>
    <w:basedOn w:val="Normal"/>
    <w:next w:val="Normal"/>
    <w:autoRedefine/>
    <w:uiPriority w:val="99"/>
    <w:unhideWhenUsed/>
    <w:rsid w:val="00F978CE"/>
    <w:pPr>
      <w:ind w:left="200" w:hanging="200"/>
    </w:pPr>
  </w:style>
  <w:style w:type="paragraph" w:styleId="Index2">
    <w:name w:val="index 2"/>
    <w:basedOn w:val="Normal"/>
    <w:next w:val="Normal"/>
    <w:autoRedefine/>
    <w:uiPriority w:val="99"/>
    <w:unhideWhenUsed/>
    <w:rsid w:val="00F978CE"/>
    <w:pPr>
      <w:ind w:left="400" w:hanging="200"/>
    </w:pPr>
  </w:style>
  <w:style w:type="paragraph" w:styleId="Index3">
    <w:name w:val="index 3"/>
    <w:basedOn w:val="Normal"/>
    <w:next w:val="Normal"/>
    <w:autoRedefine/>
    <w:uiPriority w:val="99"/>
    <w:unhideWhenUsed/>
    <w:rsid w:val="00F978CE"/>
    <w:pPr>
      <w:ind w:left="600" w:hanging="200"/>
    </w:pPr>
  </w:style>
  <w:style w:type="paragraph" w:styleId="Index4">
    <w:name w:val="index 4"/>
    <w:basedOn w:val="Normal"/>
    <w:next w:val="Normal"/>
    <w:autoRedefine/>
    <w:uiPriority w:val="99"/>
    <w:unhideWhenUsed/>
    <w:rsid w:val="00F978CE"/>
    <w:pPr>
      <w:ind w:left="800" w:hanging="200"/>
    </w:pPr>
  </w:style>
  <w:style w:type="paragraph" w:styleId="Index5">
    <w:name w:val="index 5"/>
    <w:basedOn w:val="Normal"/>
    <w:next w:val="Normal"/>
    <w:autoRedefine/>
    <w:uiPriority w:val="99"/>
    <w:unhideWhenUsed/>
    <w:rsid w:val="00F978CE"/>
    <w:pPr>
      <w:ind w:left="1000" w:hanging="200"/>
    </w:pPr>
  </w:style>
  <w:style w:type="paragraph" w:styleId="Index6">
    <w:name w:val="index 6"/>
    <w:basedOn w:val="Normal"/>
    <w:next w:val="Normal"/>
    <w:autoRedefine/>
    <w:uiPriority w:val="99"/>
    <w:unhideWhenUsed/>
    <w:rsid w:val="00F978CE"/>
    <w:pPr>
      <w:ind w:left="1200" w:hanging="200"/>
    </w:pPr>
  </w:style>
  <w:style w:type="paragraph" w:styleId="Index7">
    <w:name w:val="index 7"/>
    <w:basedOn w:val="Normal"/>
    <w:next w:val="Normal"/>
    <w:autoRedefine/>
    <w:uiPriority w:val="99"/>
    <w:unhideWhenUsed/>
    <w:rsid w:val="00F978CE"/>
    <w:pPr>
      <w:ind w:left="1400" w:hanging="200"/>
    </w:pPr>
  </w:style>
  <w:style w:type="paragraph" w:styleId="Index8">
    <w:name w:val="index 8"/>
    <w:basedOn w:val="Normal"/>
    <w:next w:val="Normal"/>
    <w:autoRedefine/>
    <w:uiPriority w:val="99"/>
    <w:unhideWhenUsed/>
    <w:rsid w:val="00F978CE"/>
    <w:pPr>
      <w:ind w:left="1600" w:hanging="200"/>
    </w:pPr>
  </w:style>
  <w:style w:type="paragraph" w:styleId="Index9">
    <w:name w:val="index 9"/>
    <w:basedOn w:val="Normal"/>
    <w:next w:val="Normal"/>
    <w:autoRedefine/>
    <w:uiPriority w:val="99"/>
    <w:unhideWhenUsed/>
    <w:rsid w:val="00F978CE"/>
    <w:pPr>
      <w:ind w:left="1800" w:hanging="200"/>
    </w:pPr>
  </w:style>
  <w:style w:type="paragraph" w:styleId="IndexHeading">
    <w:name w:val="index heading"/>
    <w:basedOn w:val="Normal"/>
    <w:next w:val="Index1"/>
    <w:uiPriority w:val="99"/>
    <w:unhideWhenUsed/>
    <w:rsid w:val="00F978CE"/>
    <w:rPr>
      <w:rFonts w:asciiTheme="majorHAnsi" w:eastAsiaTheme="majorEastAsia" w:hAnsiTheme="majorHAnsi" w:cstheme="majorBidi"/>
      <w:b/>
      <w:bCs/>
    </w:rPr>
  </w:style>
  <w:style w:type="character" w:styleId="IntenseEmphasis">
    <w:name w:val="Intense Emphasis"/>
    <w:basedOn w:val="DefaultParagraphFont"/>
    <w:uiPriority w:val="99"/>
    <w:unhideWhenUsed/>
    <w:qFormat/>
    <w:rsid w:val="00F978CE"/>
    <w:rPr>
      <w:i/>
      <w:iCs/>
      <w:color w:val="AF005F" w:themeColor="accent1"/>
    </w:rPr>
  </w:style>
  <w:style w:type="paragraph" w:styleId="IntenseQuote">
    <w:name w:val="Intense Quote"/>
    <w:basedOn w:val="Normal"/>
    <w:next w:val="Normal"/>
    <w:link w:val="IntenseQuoteChar"/>
    <w:uiPriority w:val="99"/>
    <w:unhideWhenUsed/>
    <w:qFormat/>
    <w:rsid w:val="00F978CE"/>
    <w:pPr>
      <w:pBdr>
        <w:top w:val="single" w:sz="4" w:space="10" w:color="AF005F" w:themeColor="accent1"/>
        <w:bottom w:val="single" w:sz="4" w:space="10" w:color="AF005F" w:themeColor="accent1"/>
      </w:pBdr>
      <w:spacing w:before="360" w:after="360"/>
      <w:ind w:left="864" w:right="864"/>
      <w:jc w:val="center"/>
    </w:pPr>
    <w:rPr>
      <w:i/>
      <w:iCs/>
      <w:color w:val="AF005F" w:themeColor="accent1"/>
    </w:rPr>
  </w:style>
  <w:style w:type="character" w:customStyle="1" w:styleId="IntenseQuoteChar">
    <w:name w:val="Intense Quote Char"/>
    <w:basedOn w:val="DefaultParagraphFont"/>
    <w:link w:val="IntenseQuote"/>
    <w:uiPriority w:val="99"/>
    <w:rsid w:val="00FE583B"/>
    <w:rPr>
      <w:rFonts w:ascii="Arial" w:hAnsi="Arial"/>
      <w:i/>
      <w:iCs/>
      <w:color w:val="AF005F" w:themeColor="accent1"/>
      <w:sz w:val="20"/>
    </w:rPr>
  </w:style>
  <w:style w:type="character" w:styleId="IntenseReference">
    <w:name w:val="Intense Reference"/>
    <w:basedOn w:val="DefaultParagraphFont"/>
    <w:uiPriority w:val="99"/>
    <w:unhideWhenUsed/>
    <w:qFormat/>
    <w:rsid w:val="00F978CE"/>
    <w:rPr>
      <w:b/>
      <w:bCs/>
      <w:smallCaps/>
      <w:color w:val="AF005F" w:themeColor="accent1"/>
      <w:spacing w:val="5"/>
    </w:rPr>
  </w:style>
  <w:style w:type="table" w:styleId="LightGrid">
    <w:name w:val="Light Grid"/>
    <w:basedOn w:val="TableNormal"/>
    <w:uiPriority w:val="62"/>
    <w:unhideWhenUsed/>
    <w:rsid w:val="00F978C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unhideWhenUsed/>
    <w:rsid w:val="00F978CE"/>
    <w:pPr>
      <w:spacing w:after="0" w:line="240" w:lineRule="auto"/>
    </w:pPr>
    <w:tblPr>
      <w:tblStyleRowBandSize w:val="1"/>
      <w:tblStyleColBandSize w:val="1"/>
      <w:tblBorders>
        <w:top w:val="single" w:sz="8" w:space="0" w:color="AF005F" w:themeColor="accent1"/>
        <w:left w:val="single" w:sz="8" w:space="0" w:color="AF005F" w:themeColor="accent1"/>
        <w:bottom w:val="single" w:sz="8" w:space="0" w:color="AF005F" w:themeColor="accent1"/>
        <w:right w:val="single" w:sz="8" w:space="0" w:color="AF005F" w:themeColor="accent1"/>
        <w:insideH w:val="single" w:sz="8" w:space="0" w:color="AF005F" w:themeColor="accent1"/>
        <w:insideV w:val="single" w:sz="8" w:space="0" w:color="AF005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F005F" w:themeColor="accent1"/>
          <w:left w:val="single" w:sz="8" w:space="0" w:color="AF005F" w:themeColor="accent1"/>
          <w:bottom w:val="single" w:sz="18" w:space="0" w:color="AF005F" w:themeColor="accent1"/>
          <w:right w:val="single" w:sz="8" w:space="0" w:color="AF005F" w:themeColor="accent1"/>
          <w:insideH w:val="nil"/>
          <w:insideV w:val="single" w:sz="8" w:space="0" w:color="AF005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F005F" w:themeColor="accent1"/>
          <w:left w:val="single" w:sz="8" w:space="0" w:color="AF005F" w:themeColor="accent1"/>
          <w:bottom w:val="single" w:sz="8" w:space="0" w:color="AF005F" w:themeColor="accent1"/>
          <w:right w:val="single" w:sz="8" w:space="0" w:color="AF005F" w:themeColor="accent1"/>
          <w:insideH w:val="nil"/>
          <w:insideV w:val="single" w:sz="8" w:space="0" w:color="AF005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F005F" w:themeColor="accent1"/>
          <w:left w:val="single" w:sz="8" w:space="0" w:color="AF005F" w:themeColor="accent1"/>
          <w:bottom w:val="single" w:sz="8" w:space="0" w:color="AF005F" w:themeColor="accent1"/>
          <w:right w:val="single" w:sz="8" w:space="0" w:color="AF005F" w:themeColor="accent1"/>
        </w:tcBorders>
      </w:tcPr>
    </w:tblStylePr>
    <w:tblStylePr w:type="band1Vert">
      <w:tblPr/>
      <w:tcPr>
        <w:tcBorders>
          <w:top w:val="single" w:sz="8" w:space="0" w:color="AF005F" w:themeColor="accent1"/>
          <w:left w:val="single" w:sz="8" w:space="0" w:color="AF005F" w:themeColor="accent1"/>
          <w:bottom w:val="single" w:sz="8" w:space="0" w:color="AF005F" w:themeColor="accent1"/>
          <w:right w:val="single" w:sz="8" w:space="0" w:color="AF005F" w:themeColor="accent1"/>
        </w:tcBorders>
        <w:shd w:val="clear" w:color="auto" w:fill="FFACD8" w:themeFill="accent1" w:themeFillTint="3F"/>
      </w:tcPr>
    </w:tblStylePr>
    <w:tblStylePr w:type="band1Horz">
      <w:tblPr/>
      <w:tcPr>
        <w:tcBorders>
          <w:top w:val="single" w:sz="8" w:space="0" w:color="AF005F" w:themeColor="accent1"/>
          <w:left w:val="single" w:sz="8" w:space="0" w:color="AF005F" w:themeColor="accent1"/>
          <w:bottom w:val="single" w:sz="8" w:space="0" w:color="AF005F" w:themeColor="accent1"/>
          <w:right w:val="single" w:sz="8" w:space="0" w:color="AF005F" w:themeColor="accent1"/>
          <w:insideV w:val="single" w:sz="8" w:space="0" w:color="AF005F" w:themeColor="accent1"/>
        </w:tcBorders>
        <w:shd w:val="clear" w:color="auto" w:fill="FFACD8" w:themeFill="accent1" w:themeFillTint="3F"/>
      </w:tcPr>
    </w:tblStylePr>
    <w:tblStylePr w:type="band2Horz">
      <w:tblPr/>
      <w:tcPr>
        <w:tcBorders>
          <w:top w:val="single" w:sz="8" w:space="0" w:color="AF005F" w:themeColor="accent1"/>
          <w:left w:val="single" w:sz="8" w:space="0" w:color="AF005F" w:themeColor="accent1"/>
          <w:bottom w:val="single" w:sz="8" w:space="0" w:color="AF005F" w:themeColor="accent1"/>
          <w:right w:val="single" w:sz="8" w:space="0" w:color="AF005F" w:themeColor="accent1"/>
          <w:insideV w:val="single" w:sz="8" w:space="0" w:color="AF005F" w:themeColor="accent1"/>
        </w:tcBorders>
      </w:tcPr>
    </w:tblStylePr>
  </w:style>
  <w:style w:type="table" w:styleId="LightGrid-Accent2">
    <w:name w:val="Light Grid Accent 2"/>
    <w:basedOn w:val="TableNormal"/>
    <w:uiPriority w:val="62"/>
    <w:unhideWhenUsed/>
    <w:rsid w:val="00F978CE"/>
    <w:pPr>
      <w:spacing w:after="0" w:line="240" w:lineRule="auto"/>
    </w:pPr>
    <w:tblPr>
      <w:tblStyleRowBandSize w:val="1"/>
      <w:tblStyleColBandSize w:val="1"/>
      <w:tblBorders>
        <w:top w:val="single" w:sz="8" w:space="0" w:color="BF337F" w:themeColor="accent2"/>
        <w:left w:val="single" w:sz="8" w:space="0" w:color="BF337F" w:themeColor="accent2"/>
        <w:bottom w:val="single" w:sz="8" w:space="0" w:color="BF337F" w:themeColor="accent2"/>
        <w:right w:val="single" w:sz="8" w:space="0" w:color="BF337F" w:themeColor="accent2"/>
        <w:insideH w:val="single" w:sz="8" w:space="0" w:color="BF337F" w:themeColor="accent2"/>
        <w:insideV w:val="single" w:sz="8" w:space="0" w:color="BF337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F337F" w:themeColor="accent2"/>
          <w:left w:val="single" w:sz="8" w:space="0" w:color="BF337F" w:themeColor="accent2"/>
          <w:bottom w:val="single" w:sz="18" w:space="0" w:color="BF337F" w:themeColor="accent2"/>
          <w:right w:val="single" w:sz="8" w:space="0" w:color="BF337F" w:themeColor="accent2"/>
          <w:insideH w:val="nil"/>
          <w:insideV w:val="single" w:sz="8" w:space="0" w:color="BF337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F337F" w:themeColor="accent2"/>
          <w:left w:val="single" w:sz="8" w:space="0" w:color="BF337F" w:themeColor="accent2"/>
          <w:bottom w:val="single" w:sz="8" w:space="0" w:color="BF337F" w:themeColor="accent2"/>
          <w:right w:val="single" w:sz="8" w:space="0" w:color="BF337F" w:themeColor="accent2"/>
          <w:insideH w:val="nil"/>
          <w:insideV w:val="single" w:sz="8" w:space="0" w:color="BF337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F337F" w:themeColor="accent2"/>
          <w:left w:val="single" w:sz="8" w:space="0" w:color="BF337F" w:themeColor="accent2"/>
          <w:bottom w:val="single" w:sz="8" w:space="0" w:color="BF337F" w:themeColor="accent2"/>
          <w:right w:val="single" w:sz="8" w:space="0" w:color="BF337F" w:themeColor="accent2"/>
        </w:tcBorders>
      </w:tcPr>
    </w:tblStylePr>
    <w:tblStylePr w:type="band1Vert">
      <w:tblPr/>
      <w:tcPr>
        <w:tcBorders>
          <w:top w:val="single" w:sz="8" w:space="0" w:color="BF337F" w:themeColor="accent2"/>
          <w:left w:val="single" w:sz="8" w:space="0" w:color="BF337F" w:themeColor="accent2"/>
          <w:bottom w:val="single" w:sz="8" w:space="0" w:color="BF337F" w:themeColor="accent2"/>
          <w:right w:val="single" w:sz="8" w:space="0" w:color="BF337F" w:themeColor="accent2"/>
        </w:tcBorders>
        <w:shd w:val="clear" w:color="auto" w:fill="F1CADF" w:themeFill="accent2" w:themeFillTint="3F"/>
      </w:tcPr>
    </w:tblStylePr>
    <w:tblStylePr w:type="band1Horz">
      <w:tblPr/>
      <w:tcPr>
        <w:tcBorders>
          <w:top w:val="single" w:sz="8" w:space="0" w:color="BF337F" w:themeColor="accent2"/>
          <w:left w:val="single" w:sz="8" w:space="0" w:color="BF337F" w:themeColor="accent2"/>
          <w:bottom w:val="single" w:sz="8" w:space="0" w:color="BF337F" w:themeColor="accent2"/>
          <w:right w:val="single" w:sz="8" w:space="0" w:color="BF337F" w:themeColor="accent2"/>
          <w:insideV w:val="single" w:sz="8" w:space="0" w:color="BF337F" w:themeColor="accent2"/>
        </w:tcBorders>
        <w:shd w:val="clear" w:color="auto" w:fill="F1CADF" w:themeFill="accent2" w:themeFillTint="3F"/>
      </w:tcPr>
    </w:tblStylePr>
    <w:tblStylePr w:type="band2Horz">
      <w:tblPr/>
      <w:tcPr>
        <w:tcBorders>
          <w:top w:val="single" w:sz="8" w:space="0" w:color="BF337F" w:themeColor="accent2"/>
          <w:left w:val="single" w:sz="8" w:space="0" w:color="BF337F" w:themeColor="accent2"/>
          <w:bottom w:val="single" w:sz="8" w:space="0" w:color="BF337F" w:themeColor="accent2"/>
          <w:right w:val="single" w:sz="8" w:space="0" w:color="BF337F" w:themeColor="accent2"/>
          <w:insideV w:val="single" w:sz="8" w:space="0" w:color="BF337F" w:themeColor="accent2"/>
        </w:tcBorders>
      </w:tcPr>
    </w:tblStylePr>
  </w:style>
  <w:style w:type="table" w:styleId="LightGrid-Accent3">
    <w:name w:val="Light Grid Accent 3"/>
    <w:basedOn w:val="TableNormal"/>
    <w:uiPriority w:val="62"/>
    <w:unhideWhenUsed/>
    <w:rsid w:val="00F978CE"/>
    <w:pPr>
      <w:spacing w:after="0" w:line="240" w:lineRule="auto"/>
    </w:pPr>
    <w:tblPr>
      <w:tblStyleRowBandSize w:val="1"/>
      <w:tblStyleColBandSize w:val="1"/>
      <w:tblBorders>
        <w:top w:val="single" w:sz="8" w:space="0" w:color="CC5C99" w:themeColor="accent3"/>
        <w:left w:val="single" w:sz="8" w:space="0" w:color="CC5C99" w:themeColor="accent3"/>
        <w:bottom w:val="single" w:sz="8" w:space="0" w:color="CC5C99" w:themeColor="accent3"/>
        <w:right w:val="single" w:sz="8" w:space="0" w:color="CC5C99" w:themeColor="accent3"/>
        <w:insideH w:val="single" w:sz="8" w:space="0" w:color="CC5C99" w:themeColor="accent3"/>
        <w:insideV w:val="single" w:sz="8" w:space="0" w:color="CC5C9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C5C99" w:themeColor="accent3"/>
          <w:left w:val="single" w:sz="8" w:space="0" w:color="CC5C99" w:themeColor="accent3"/>
          <w:bottom w:val="single" w:sz="18" w:space="0" w:color="CC5C99" w:themeColor="accent3"/>
          <w:right w:val="single" w:sz="8" w:space="0" w:color="CC5C99" w:themeColor="accent3"/>
          <w:insideH w:val="nil"/>
          <w:insideV w:val="single" w:sz="8" w:space="0" w:color="CC5C9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C5C99" w:themeColor="accent3"/>
          <w:left w:val="single" w:sz="8" w:space="0" w:color="CC5C99" w:themeColor="accent3"/>
          <w:bottom w:val="single" w:sz="8" w:space="0" w:color="CC5C99" w:themeColor="accent3"/>
          <w:right w:val="single" w:sz="8" w:space="0" w:color="CC5C99" w:themeColor="accent3"/>
          <w:insideH w:val="nil"/>
          <w:insideV w:val="single" w:sz="8" w:space="0" w:color="CC5C9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C5C99" w:themeColor="accent3"/>
          <w:left w:val="single" w:sz="8" w:space="0" w:color="CC5C99" w:themeColor="accent3"/>
          <w:bottom w:val="single" w:sz="8" w:space="0" w:color="CC5C99" w:themeColor="accent3"/>
          <w:right w:val="single" w:sz="8" w:space="0" w:color="CC5C99" w:themeColor="accent3"/>
        </w:tcBorders>
      </w:tcPr>
    </w:tblStylePr>
    <w:tblStylePr w:type="band1Vert">
      <w:tblPr/>
      <w:tcPr>
        <w:tcBorders>
          <w:top w:val="single" w:sz="8" w:space="0" w:color="CC5C99" w:themeColor="accent3"/>
          <w:left w:val="single" w:sz="8" w:space="0" w:color="CC5C99" w:themeColor="accent3"/>
          <w:bottom w:val="single" w:sz="8" w:space="0" w:color="CC5C99" w:themeColor="accent3"/>
          <w:right w:val="single" w:sz="8" w:space="0" w:color="CC5C99" w:themeColor="accent3"/>
        </w:tcBorders>
        <w:shd w:val="clear" w:color="auto" w:fill="F2D6E5" w:themeFill="accent3" w:themeFillTint="3F"/>
      </w:tcPr>
    </w:tblStylePr>
    <w:tblStylePr w:type="band1Horz">
      <w:tblPr/>
      <w:tcPr>
        <w:tcBorders>
          <w:top w:val="single" w:sz="8" w:space="0" w:color="CC5C99" w:themeColor="accent3"/>
          <w:left w:val="single" w:sz="8" w:space="0" w:color="CC5C99" w:themeColor="accent3"/>
          <w:bottom w:val="single" w:sz="8" w:space="0" w:color="CC5C99" w:themeColor="accent3"/>
          <w:right w:val="single" w:sz="8" w:space="0" w:color="CC5C99" w:themeColor="accent3"/>
          <w:insideV w:val="single" w:sz="8" w:space="0" w:color="CC5C99" w:themeColor="accent3"/>
        </w:tcBorders>
        <w:shd w:val="clear" w:color="auto" w:fill="F2D6E5" w:themeFill="accent3" w:themeFillTint="3F"/>
      </w:tcPr>
    </w:tblStylePr>
    <w:tblStylePr w:type="band2Horz">
      <w:tblPr/>
      <w:tcPr>
        <w:tcBorders>
          <w:top w:val="single" w:sz="8" w:space="0" w:color="CC5C99" w:themeColor="accent3"/>
          <w:left w:val="single" w:sz="8" w:space="0" w:color="CC5C99" w:themeColor="accent3"/>
          <w:bottom w:val="single" w:sz="8" w:space="0" w:color="CC5C99" w:themeColor="accent3"/>
          <w:right w:val="single" w:sz="8" w:space="0" w:color="CC5C99" w:themeColor="accent3"/>
          <w:insideV w:val="single" w:sz="8" w:space="0" w:color="CC5C99" w:themeColor="accent3"/>
        </w:tcBorders>
      </w:tcPr>
    </w:tblStylePr>
  </w:style>
  <w:style w:type="table" w:styleId="LightGrid-Accent4">
    <w:name w:val="Light Grid Accent 4"/>
    <w:basedOn w:val="TableNormal"/>
    <w:uiPriority w:val="62"/>
    <w:unhideWhenUsed/>
    <w:rsid w:val="00F978CE"/>
    <w:pPr>
      <w:spacing w:after="0"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unhideWhenUsed/>
    <w:rsid w:val="00F978CE"/>
    <w:pPr>
      <w:spacing w:after="0" w:line="240" w:lineRule="auto"/>
    </w:pPr>
    <w:tblPr>
      <w:tblStyleRowBandSize w:val="1"/>
      <w:tblStyleColBandSize w:val="1"/>
      <w:tblBorders>
        <w:top w:val="single" w:sz="8" w:space="0" w:color="969696" w:themeColor="accent5"/>
        <w:left w:val="single" w:sz="8" w:space="0" w:color="969696" w:themeColor="accent5"/>
        <w:bottom w:val="single" w:sz="8" w:space="0" w:color="969696" w:themeColor="accent5"/>
        <w:right w:val="single" w:sz="8" w:space="0" w:color="969696" w:themeColor="accent5"/>
        <w:insideH w:val="single" w:sz="8" w:space="0" w:color="969696" w:themeColor="accent5"/>
        <w:insideV w:val="single" w:sz="8" w:space="0" w:color="96969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5"/>
          <w:left w:val="single" w:sz="8" w:space="0" w:color="969696" w:themeColor="accent5"/>
          <w:bottom w:val="single" w:sz="18" w:space="0" w:color="969696" w:themeColor="accent5"/>
          <w:right w:val="single" w:sz="8" w:space="0" w:color="969696" w:themeColor="accent5"/>
          <w:insideH w:val="nil"/>
          <w:insideV w:val="single" w:sz="8" w:space="0" w:color="96969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5"/>
          <w:left w:val="single" w:sz="8" w:space="0" w:color="969696" w:themeColor="accent5"/>
          <w:bottom w:val="single" w:sz="8" w:space="0" w:color="969696" w:themeColor="accent5"/>
          <w:right w:val="single" w:sz="8" w:space="0" w:color="969696" w:themeColor="accent5"/>
          <w:insideH w:val="nil"/>
          <w:insideV w:val="single" w:sz="8" w:space="0" w:color="96969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5"/>
          <w:left w:val="single" w:sz="8" w:space="0" w:color="969696" w:themeColor="accent5"/>
          <w:bottom w:val="single" w:sz="8" w:space="0" w:color="969696" w:themeColor="accent5"/>
          <w:right w:val="single" w:sz="8" w:space="0" w:color="969696" w:themeColor="accent5"/>
        </w:tcBorders>
      </w:tcPr>
    </w:tblStylePr>
    <w:tblStylePr w:type="band1Vert">
      <w:tblPr/>
      <w:tcPr>
        <w:tcBorders>
          <w:top w:val="single" w:sz="8" w:space="0" w:color="969696" w:themeColor="accent5"/>
          <w:left w:val="single" w:sz="8" w:space="0" w:color="969696" w:themeColor="accent5"/>
          <w:bottom w:val="single" w:sz="8" w:space="0" w:color="969696" w:themeColor="accent5"/>
          <w:right w:val="single" w:sz="8" w:space="0" w:color="969696" w:themeColor="accent5"/>
        </w:tcBorders>
        <w:shd w:val="clear" w:color="auto" w:fill="E5E5E5" w:themeFill="accent5" w:themeFillTint="3F"/>
      </w:tcPr>
    </w:tblStylePr>
    <w:tblStylePr w:type="band1Horz">
      <w:tblPr/>
      <w:tcPr>
        <w:tcBorders>
          <w:top w:val="single" w:sz="8" w:space="0" w:color="969696" w:themeColor="accent5"/>
          <w:left w:val="single" w:sz="8" w:space="0" w:color="969696" w:themeColor="accent5"/>
          <w:bottom w:val="single" w:sz="8" w:space="0" w:color="969696" w:themeColor="accent5"/>
          <w:right w:val="single" w:sz="8" w:space="0" w:color="969696" w:themeColor="accent5"/>
          <w:insideV w:val="single" w:sz="8" w:space="0" w:color="969696" w:themeColor="accent5"/>
        </w:tcBorders>
        <w:shd w:val="clear" w:color="auto" w:fill="E5E5E5" w:themeFill="accent5" w:themeFillTint="3F"/>
      </w:tcPr>
    </w:tblStylePr>
    <w:tblStylePr w:type="band2Horz">
      <w:tblPr/>
      <w:tcPr>
        <w:tcBorders>
          <w:top w:val="single" w:sz="8" w:space="0" w:color="969696" w:themeColor="accent5"/>
          <w:left w:val="single" w:sz="8" w:space="0" w:color="969696" w:themeColor="accent5"/>
          <w:bottom w:val="single" w:sz="8" w:space="0" w:color="969696" w:themeColor="accent5"/>
          <w:right w:val="single" w:sz="8" w:space="0" w:color="969696" w:themeColor="accent5"/>
          <w:insideV w:val="single" w:sz="8" w:space="0" w:color="969696" w:themeColor="accent5"/>
        </w:tcBorders>
      </w:tcPr>
    </w:tblStylePr>
  </w:style>
  <w:style w:type="table" w:styleId="LightGrid-Accent6">
    <w:name w:val="Light Grid Accent 6"/>
    <w:basedOn w:val="TableNormal"/>
    <w:uiPriority w:val="62"/>
    <w:unhideWhenUsed/>
    <w:rsid w:val="00F978CE"/>
    <w:pPr>
      <w:spacing w:after="0" w:line="240" w:lineRule="auto"/>
    </w:pPr>
    <w:tblPr>
      <w:tblStyleRowBandSize w:val="1"/>
      <w:tblStyleColBandSize w:val="1"/>
      <w:tblBorders>
        <w:top w:val="single" w:sz="8" w:space="0" w:color="C3C3C3" w:themeColor="accent6"/>
        <w:left w:val="single" w:sz="8" w:space="0" w:color="C3C3C3" w:themeColor="accent6"/>
        <w:bottom w:val="single" w:sz="8" w:space="0" w:color="C3C3C3" w:themeColor="accent6"/>
        <w:right w:val="single" w:sz="8" w:space="0" w:color="C3C3C3" w:themeColor="accent6"/>
        <w:insideH w:val="single" w:sz="8" w:space="0" w:color="C3C3C3" w:themeColor="accent6"/>
        <w:insideV w:val="single" w:sz="8" w:space="0" w:color="C3C3C3"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3C3C3" w:themeColor="accent6"/>
          <w:left w:val="single" w:sz="8" w:space="0" w:color="C3C3C3" w:themeColor="accent6"/>
          <w:bottom w:val="single" w:sz="18" w:space="0" w:color="C3C3C3" w:themeColor="accent6"/>
          <w:right w:val="single" w:sz="8" w:space="0" w:color="C3C3C3" w:themeColor="accent6"/>
          <w:insideH w:val="nil"/>
          <w:insideV w:val="single" w:sz="8" w:space="0" w:color="C3C3C3"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3C3C3" w:themeColor="accent6"/>
          <w:left w:val="single" w:sz="8" w:space="0" w:color="C3C3C3" w:themeColor="accent6"/>
          <w:bottom w:val="single" w:sz="8" w:space="0" w:color="C3C3C3" w:themeColor="accent6"/>
          <w:right w:val="single" w:sz="8" w:space="0" w:color="C3C3C3" w:themeColor="accent6"/>
          <w:insideH w:val="nil"/>
          <w:insideV w:val="single" w:sz="8" w:space="0" w:color="C3C3C3"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3C3C3" w:themeColor="accent6"/>
          <w:left w:val="single" w:sz="8" w:space="0" w:color="C3C3C3" w:themeColor="accent6"/>
          <w:bottom w:val="single" w:sz="8" w:space="0" w:color="C3C3C3" w:themeColor="accent6"/>
          <w:right w:val="single" w:sz="8" w:space="0" w:color="C3C3C3" w:themeColor="accent6"/>
        </w:tcBorders>
      </w:tcPr>
    </w:tblStylePr>
    <w:tblStylePr w:type="band1Vert">
      <w:tblPr/>
      <w:tcPr>
        <w:tcBorders>
          <w:top w:val="single" w:sz="8" w:space="0" w:color="C3C3C3" w:themeColor="accent6"/>
          <w:left w:val="single" w:sz="8" w:space="0" w:color="C3C3C3" w:themeColor="accent6"/>
          <w:bottom w:val="single" w:sz="8" w:space="0" w:color="C3C3C3" w:themeColor="accent6"/>
          <w:right w:val="single" w:sz="8" w:space="0" w:color="C3C3C3" w:themeColor="accent6"/>
        </w:tcBorders>
        <w:shd w:val="clear" w:color="auto" w:fill="F0F0F0" w:themeFill="accent6" w:themeFillTint="3F"/>
      </w:tcPr>
    </w:tblStylePr>
    <w:tblStylePr w:type="band1Horz">
      <w:tblPr/>
      <w:tcPr>
        <w:tcBorders>
          <w:top w:val="single" w:sz="8" w:space="0" w:color="C3C3C3" w:themeColor="accent6"/>
          <w:left w:val="single" w:sz="8" w:space="0" w:color="C3C3C3" w:themeColor="accent6"/>
          <w:bottom w:val="single" w:sz="8" w:space="0" w:color="C3C3C3" w:themeColor="accent6"/>
          <w:right w:val="single" w:sz="8" w:space="0" w:color="C3C3C3" w:themeColor="accent6"/>
          <w:insideV w:val="single" w:sz="8" w:space="0" w:color="C3C3C3" w:themeColor="accent6"/>
        </w:tcBorders>
        <w:shd w:val="clear" w:color="auto" w:fill="F0F0F0" w:themeFill="accent6" w:themeFillTint="3F"/>
      </w:tcPr>
    </w:tblStylePr>
    <w:tblStylePr w:type="band2Horz">
      <w:tblPr/>
      <w:tcPr>
        <w:tcBorders>
          <w:top w:val="single" w:sz="8" w:space="0" w:color="C3C3C3" w:themeColor="accent6"/>
          <w:left w:val="single" w:sz="8" w:space="0" w:color="C3C3C3" w:themeColor="accent6"/>
          <w:bottom w:val="single" w:sz="8" w:space="0" w:color="C3C3C3" w:themeColor="accent6"/>
          <w:right w:val="single" w:sz="8" w:space="0" w:color="C3C3C3" w:themeColor="accent6"/>
          <w:insideV w:val="single" w:sz="8" w:space="0" w:color="C3C3C3" w:themeColor="accent6"/>
        </w:tcBorders>
      </w:tcPr>
    </w:tblStylePr>
  </w:style>
  <w:style w:type="table" w:styleId="LightList">
    <w:name w:val="Light List"/>
    <w:basedOn w:val="TableNormal"/>
    <w:uiPriority w:val="61"/>
    <w:unhideWhenUsed/>
    <w:rsid w:val="00F978C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unhideWhenUsed/>
    <w:rsid w:val="00F978CE"/>
    <w:pPr>
      <w:spacing w:after="0" w:line="240" w:lineRule="auto"/>
    </w:pPr>
    <w:tblPr>
      <w:tblStyleRowBandSize w:val="1"/>
      <w:tblStyleColBandSize w:val="1"/>
      <w:tblBorders>
        <w:top w:val="single" w:sz="8" w:space="0" w:color="AF005F" w:themeColor="accent1"/>
        <w:left w:val="single" w:sz="8" w:space="0" w:color="AF005F" w:themeColor="accent1"/>
        <w:bottom w:val="single" w:sz="8" w:space="0" w:color="AF005F" w:themeColor="accent1"/>
        <w:right w:val="single" w:sz="8" w:space="0" w:color="AF005F" w:themeColor="accent1"/>
      </w:tblBorders>
    </w:tblPr>
    <w:tblStylePr w:type="firstRow">
      <w:pPr>
        <w:spacing w:before="0" w:after="0" w:line="240" w:lineRule="auto"/>
      </w:pPr>
      <w:rPr>
        <w:b/>
        <w:bCs/>
        <w:color w:val="FFFFFF" w:themeColor="background1"/>
      </w:rPr>
      <w:tblPr/>
      <w:tcPr>
        <w:shd w:val="clear" w:color="auto" w:fill="AF005F" w:themeFill="accent1"/>
      </w:tcPr>
    </w:tblStylePr>
    <w:tblStylePr w:type="lastRow">
      <w:pPr>
        <w:spacing w:before="0" w:after="0" w:line="240" w:lineRule="auto"/>
      </w:pPr>
      <w:rPr>
        <w:b/>
        <w:bCs/>
      </w:rPr>
      <w:tblPr/>
      <w:tcPr>
        <w:tcBorders>
          <w:top w:val="double" w:sz="6" w:space="0" w:color="AF005F" w:themeColor="accent1"/>
          <w:left w:val="single" w:sz="8" w:space="0" w:color="AF005F" w:themeColor="accent1"/>
          <w:bottom w:val="single" w:sz="8" w:space="0" w:color="AF005F" w:themeColor="accent1"/>
          <w:right w:val="single" w:sz="8" w:space="0" w:color="AF005F" w:themeColor="accent1"/>
        </w:tcBorders>
      </w:tcPr>
    </w:tblStylePr>
    <w:tblStylePr w:type="firstCol">
      <w:rPr>
        <w:b/>
        <w:bCs/>
      </w:rPr>
    </w:tblStylePr>
    <w:tblStylePr w:type="lastCol">
      <w:rPr>
        <w:b/>
        <w:bCs/>
      </w:rPr>
    </w:tblStylePr>
    <w:tblStylePr w:type="band1Vert">
      <w:tblPr/>
      <w:tcPr>
        <w:tcBorders>
          <w:top w:val="single" w:sz="8" w:space="0" w:color="AF005F" w:themeColor="accent1"/>
          <w:left w:val="single" w:sz="8" w:space="0" w:color="AF005F" w:themeColor="accent1"/>
          <w:bottom w:val="single" w:sz="8" w:space="0" w:color="AF005F" w:themeColor="accent1"/>
          <w:right w:val="single" w:sz="8" w:space="0" w:color="AF005F" w:themeColor="accent1"/>
        </w:tcBorders>
      </w:tcPr>
    </w:tblStylePr>
    <w:tblStylePr w:type="band1Horz">
      <w:tblPr/>
      <w:tcPr>
        <w:tcBorders>
          <w:top w:val="single" w:sz="8" w:space="0" w:color="AF005F" w:themeColor="accent1"/>
          <w:left w:val="single" w:sz="8" w:space="0" w:color="AF005F" w:themeColor="accent1"/>
          <w:bottom w:val="single" w:sz="8" w:space="0" w:color="AF005F" w:themeColor="accent1"/>
          <w:right w:val="single" w:sz="8" w:space="0" w:color="AF005F" w:themeColor="accent1"/>
        </w:tcBorders>
      </w:tcPr>
    </w:tblStylePr>
  </w:style>
  <w:style w:type="table" w:styleId="LightList-Accent2">
    <w:name w:val="Light List Accent 2"/>
    <w:basedOn w:val="TableNormal"/>
    <w:uiPriority w:val="61"/>
    <w:unhideWhenUsed/>
    <w:rsid w:val="00F978CE"/>
    <w:pPr>
      <w:spacing w:after="0" w:line="240" w:lineRule="auto"/>
    </w:pPr>
    <w:tblPr>
      <w:tblStyleRowBandSize w:val="1"/>
      <w:tblStyleColBandSize w:val="1"/>
      <w:tblBorders>
        <w:top w:val="single" w:sz="8" w:space="0" w:color="BF337F" w:themeColor="accent2"/>
        <w:left w:val="single" w:sz="8" w:space="0" w:color="BF337F" w:themeColor="accent2"/>
        <w:bottom w:val="single" w:sz="8" w:space="0" w:color="BF337F" w:themeColor="accent2"/>
        <w:right w:val="single" w:sz="8" w:space="0" w:color="BF337F" w:themeColor="accent2"/>
      </w:tblBorders>
    </w:tblPr>
    <w:tblStylePr w:type="firstRow">
      <w:pPr>
        <w:spacing w:before="0" w:after="0" w:line="240" w:lineRule="auto"/>
      </w:pPr>
      <w:rPr>
        <w:b/>
        <w:bCs/>
        <w:color w:val="FFFFFF" w:themeColor="background1"/>
      </w:rPr>
      <w:tblPr/>
      <w:tcPr>
        <w:shd w:val="clear" w:color="auto" w:fill="BF337F" w:themeFill="accent2"/>
      </w:tcPr>
    </w:tblStylePr>
    <w:tblStylePr w:type="lastRow">
      <w:pPr>
        <w:spacing w:before="0" w:after="0" w:line="240" w:lineRule="auto"/>
      </w:pPr>
      <w:rPr>
        <w:b/>
        <w:bCs/>
      </w:rPr>
      <w:tblPr/>
      <w:tcPr>
        <w:tcBorders>
          <w:top w:val="double" w:sz="6" w:space="0" w:color="BF337F" w:themeColor="accent2"/>
          <w:left w:val="single" w:sz="8" w:space="0" w:color="BF337F" w:themeColor="accent2"/>
          <w:bottom w:val="single" w:sz="8" w:space="0" w:color="BF337F" w:themeColor="accent2"/>
          <w:right w:val="single" w:sz="8" w:space="0" w:color="BF337F" w:themeColor="accent2"/>
        </w:tcBorders>
      </w:tcPr>
    </w:tblStylePr>
    <w:tblStylePr w:type="firstCol">
      <w:rPr>
        <w:b/>
        <w:bCs/>
      </w:rPr>
    </w:tblStylePr>
    <w:tblStylePr w:type="lastCol">
      <w:rPr>
        <w:b/>
        <w:bCs/>
      </w:rPr>
    </w:tblStylePr>
    <w:tblStylePr w:type="band1Vert">
      <w:tblPr/>
      <w:tcPr>
        <w:tcBorders>
          <w:top w:val="single" w:sz="8" w:space="0" w:color="BF337F" w:themeColor="accent2"/>
          <w:left w:val="single" w:sz="8" w:space="0" w:color="BF337F" w:themeColor="accent2"/>
          <w:bottom w:val="single" w:sz="8" w:space="0" w:color="BF337F" w:themeColor="accent2"/>
          <w:right w:val="single" w:sz="8" w:space="0" w:color="BF337F" w:themeColor="accent2"/>
        </w:tcBorders>
      </w:tcPr>
    </w:tblStylePr>
    <w:tblStylePr w:type="band1Horz">
      <w:tblPr/>
      <w:tcPr>
        <w:tcBorders>
          <w:top w:val="single" w:sz="8" w:space="0" w:color="BF337F" w:themeColor="accent2"/>
          <w:left w:val="single" w:sz="8" w:space="0" w:color="BF337F" w:themeColor="accent2"/>
          <w:bottom w:val="single" w:sz="8" w:space="0" w:color="BF337F" w:themeColor="accent2"/>
          <w:right w:val="single" w:sz="8" w:space="0" w:color="BF337F" w:themeColor="accent2"/>
        </w:tcBorders>
      </w:tcPr>
    </w:tblStylePr>
  </w:style>
  <w:style w:type="table" w:styleId="LightList-Accent3">
    <w:name w:val="Light List Accent 3"/>
    <w:basedOn w:val="TableNormal"/>
    <w:uiPriority w:val="61"/>
    <w:unhideWhenUsed/>
    <w:rsid w:val="00F978CE"/>
    <w:pPr>
      <w:spacing w:after="0" w:line="240" w:lineRule="auto"/>
    </w:pPr>
    <w:tblPr>
      <w:tblStyleRowBandSize w:val="1"/>
      <w:tblStyleColBandSize w:val="1"/>
      <w:tblBorders>
        <w:top w:val="single" w:sz="8" w:space="0" w:color="CC5C99" w:themeColor="accent3"/>
        <w:left w:val="single" w:sz="8" w:space="0" w:color="CC5C99" w:themeColor="accent3"/>
        <w:bottom w:val="single" w:sz="8" w:space="0" w:color="CC5C99" w:themeColor="accent3"/>
        <w:right w:val="single" w:sz="8" w:space="0" w:color="CC5C99" w:themeColor="accent3"/>
      </w:tblBorders>
    </w:tblPr>
    <w:tblStylePr w:type="firstRow">
      <w:pPr>
        <w:spacing w:before="0" w:after="0" w:line="240" w:lineRule="auto"/>
      </w:pPr>
      <w:rPr>
        <w:b/>
        <w:bCs/>
        <w:color w:val="FFFFFF" w:themeColor="background1"/>
      </w:rPr>
      <w:tblPr/>
      <w:tcPr>
        <w:shd w:val="clear" w:color="auto" w:fill="CC5C99" w:themeFill="accent3"/>
      </w:tcPr>
    </w:tblStylePr>
    <w:tblStylePr w:type="lastRow">
      <w:pPr>
        <w:spacing w:before="0" w:after="0" w:line="240" w:lineRule="auto"/>
      </w:pPr>
      <w:rPr>
        <w:b/>
        <w:bCs/>
      </w:rPr>
      <w:tblPr/>
      <w:tcPr>
        <w:tcBorders>
          <w:top w:val="double" w:sz="6" w:space="0" w:color="CC5C99" w:themeColor="accent3"/>
          <w:left w:val="single" w:sz="8" w:space="0" w:color="CC5C99" w:themeColor="accent3"/>
          <w:bottom w:val="single" w:sz="8" w:space="0" w:color="CC5C99" w:themeColor="accent3"/>
          <w:right w:val="single" w:sz="8" w:space="0" w:color="CC5C99" w:themeColor="accent3"/>
        </w:tcBorders>
      </w:tcPr>
    </w:tblStylePr>
    <w:tblStylePr w:type="firstCol">
      <w:rPr>
        <w:b/>
        <w:bCs/>
      </w:rPr>
    </w:tblStylePr>
    <w:tblStylePr w:type="lastCol">
      <w:rPr>
        <w:b/>
        <w:bCs/>
      </w:rPr>
    </w:tblStylePr>
    <w:tblStylePr w:type="band1Vert">
      <w:tblPr/>
      <w:tcPr>
        <w:tcBorders>
          <w:top w:val="single" w:sz="8" w:space="0" w:color="CC5C99" w:themeColor="accent3"/>
          <w:left w:val="single" w:sz="8" w:space="0" w:color="CC5C99" w:themeColor="accent3"/>
          <w:bottom w:val="single" w:sz="8" w:space="0" w:color="CC5C99" w:themeColor="accent3"/>
          <w:right w:val="single" w:sz="8" w:space="0" w:color="CC5C99" w:themeColor="accent3"/>
        </w:tcBorders>
      </w:tcPr>
    </w:tblStylePr>
    <w:tblStylePr w:type="band1Horz">
      <w:tblPr/>
      <w:tcPr>
        <w:tcBorders>
          <w:top w:val="single" w:sz="8" w:space="0" w:color="CC5C99" w:themeColor="accent3"/>
          <w:left w:val="single" w:sz="8" w:space="0" w:color="CC5C99" w:themeColor="accent3"/>
          <w:bottom w:val="single" w:sz="8" w:space="0" w:color="CC5C99" w:themeColor="accent3"/>
          <w:right w:val="single" w:sz="8" w:space="0" w:color="CC5C99" w:themeColor="accent3"/>
        </w:tcBorders>
      </w:tcPr>
    </w:tblStylePr>
  </w:style>
  <w:style w:type="table" w:styleId="LightList-Accent4">
    <w:name w:val="Light List Accent 4"/>
    <w:basedOn w:val="TableNormal"/>
    <w:uiPriority w:val="61"/>
    <w:unhideWhenUsed/>
    <w:rsid w:val="00F978CE"/>
    <w:pPr>
      <w:spacing w:after="0"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unhideWhenUsed/>
    <w:rsid w:val="00F978CE"/>
    <w:pPr>
      <w:spacing w:after="0" w:line="240" w:lineRule="auto"/>
    </w:pPr>
    <w:tblPr>
      <w:tblStyleRowBandSize w:val="1"/>
      <w:tblStyleColBandSize w:val="1"/>
      <w:tblBorders>
        <w:top w:val="single" w:sz="8" w:space="0" w:color="969696" w:themeColor="accent5"/>
        <w:left w:val="single" w:sz="8" w:space="0" w:color="969696" w:themeColor="accent5"/>
        <w:bottom w:val="single" w:sz="8" w:space="0" w:color="969696" w:themeColor="accent5"/>
        <w:right w:val="single" w:sz="8" w:space="0" w:color="969696" w:themeColor="accent5"/>
      </w:tblBorders>
    </w:tblPr>
    <w:tblStylePr w:type="firstRow">
      <w:pPr>
        <w:spacing w:before="0" w:after="0" w:line="240" w:lineRule="auto"/>
      </w:pPr>
      <w:rPr>
        <w:b/>
        <w:bCs/>
        <w:color w:val="FFFFFF" w:themeColor="background1"/>
      </w:rPr>
      <w:tblPr/>
      <w:tcPr>
        <w:shd w:val="clear" w:color="auto" w:fill="969696" w:themeFill="accent5"/>
      </w:tcPr>
    </w:tblStylePr>
    <w:tblStylePr w:type="lastRow">
      <w:pPr>
        <w:spacing w:before="0" w:after="0" w:line="240" w:lineRule="auto"/>
      </w:pPr>
      <w:rPr>
        <w:b/>
        <w:bCs/>
      </w:rPr>
      <w:tblPr/>
      <w:tcPr>
        <w:tcBorders>
          <w:top w:val="double" w:sz="6" w:space="0" w:color="969696" w:themeColor="accent5"/>
          <w:left w:val="single" w:sz="8" w:space="0" w:color="969696" w:themeColor="accent5"/>
          <w:bottom w:val="single" w:sz="8" w:space="0" w:color="969696" w:themeColor="accent5"/>
          <w:right w:val="single" w:sz="8" w:space="0" w:color="969696" w:themeColor="accent5"/>
        </w:tcBorders>
      </w:tcPr>
    </w:tblStylePr>
    <w:tblStylePr w:type="firstCol">
      <w:rPr>
        <w:b/>
        <w:bCs/>
      </w:rPr>
    </w:tblStylePr>
    <w:tblStylePr w:type="lastCol">
      <w:rPr>
        <w:b/>
        <w:bCs/>
      </w:rPr>
    </w:tblStylePr>
    <w:tblStylePr w:type="band1Vert">
      <w:tblPr/>
      <w:tcPr>
        <w:tcBorders>
          <w:top w:val="single" w:sz="8" w:space="0" w:color="969696" w:themeColor="accent5"/>
          <w:left w:val="single" w:sz="8" w:space="0" w:color="969696" w:themeColor="accent5"/>
          <w:bottom w:val="single" w:sz="8" w:space="0" w:color="969696" w:themeColor="accent5"/>
          <w:right w:val="single" w:sz="8" w:space="0" w:color="969696" w:themeColor="accent5"/>
        </w:tcBorders>
      </w:tcPr>
    </w:tblStylePr>
    <w:tblStylePr w:type="band1Horz">
      <w:tblPr/>
      <w:tcPr>
        <w:tcBorders>
          <w:top w:val="single" w:sz="8" w:space="0" w:color="969696" w:themeColor="accent5"/>
          <w:left w:val="single" w:sz="8" w:space="0" w:color="969696" w:themeColor="accent5"/>
          <w:bottom w:val="single" w:sz="8" w:space="0" w:color="969696" w:themeColor="accent5"/>
          <w:right w:val="single" w:sz="8" w:space="0" w:color="969696" w:themeColor="accent5"/>
        </w:tcBorders>
      </w:tcPr>
    </w:tblStylePr>
  </w:style>
  <w:style w:type="table" w:styleId="LightList-Accent6">
    <w:name w:val="Light List Accent 6"/>
    <w:basedOn w:val="TableNormal"/>
    <w:uiPriority w:val="61"/>
    <w:unhideWhenUsed/>
    <w:rsid w:val="00F978CE"/>
    <w:pPr>
      <w:spacing w:after="0" w:line="240" w:lineRule="auto"/>
    </w:pPr>
    <w:tblPr>
      <w:tblStyleRowBandSize w:val="1"/>
      <w:tblStyleColBandSize w:val="1"/>
      <w:tblBorders>
        <w:top w:val="single" w:sz="8" w:space="0" w:color="C3C3C3" w:themeColor="accent6"/>
        <w:left w:val="single" w:sz="8" w:space="0" w:color="C3C3C3" w:themeColor="accent6"/>
        <w:bottom w:val="single" w:sz="8" w:space="0" w:color="C3C3C3" w:themeColor="accent6"/>
        <w:right w:val="single" w:sz="8" w:space="0" w:color="C3C3C3" w:themeColor="accent6"/>
      </w:tblBorders>
    </w:tblPr>
    <w:tblStylePr w:type="firstRow">
      <w:pPr>
        <w:spacing w:before="0" w:after="0" w:line="240" w:lineRule="auto"/>
      </w:pPr>
      <w:rPr>
        <w:b/>
        <w:bCs/>
        <w:color w:val="FFFFFF" w:themeColor="background1"/>
      </w:rPr>
      <w:tblPr/>
      <w:tcPr>
        <w:shd w:val="clear" w:color="auto" w:fill="C3C3C3" w:themeFill="accent6"/>
      </w:tcPr>
    </w:tblStylePr>
    <w:tblStylePr w:type="lastRow">
      <w:pPr>
        <w:spacing w:before="0" w:after="0" w:line="240" w:lineRule="auto"/>
      </w:pPr>
      <w:rPr>
        <w:b/>
        <w:bCs/>
      </w:rPr>
      <w:tblPr/>
      <w:tcPr>
        <w:tcBorders>
          <w:top w:val="double" w:sz="6" w:space="0" w:color="C3C3C3" w:themeColor="accent6"/>
          <w:left w:val="single" w:sz="8" w:space="0" w:color="C3C3C3" w:themeColor="accent6"/>
          <w:bottom w:val="single" w:sz="8" w:space="0" w:color="C3C3C3" w:themeColor="accent6"/>
          <w:right w:val="single" w:sz="8" w:space="0" w:color="C3C3C3" w:themeColor="accent6"/>
        </w:tcBorders>
      </w:tcPr>
    </w:tblStylePr>
    <w:tblStylePr w:type="firstCol">
      <w:rPr>
        <w:b/>
        <w:bCs/>
      </w:rPr>
    </w:tblStylePr>
    <w:tblStylePr w:type="lastCol">
      <w:rPr>
        <w:b/>
        <w:bCs/>
      </w:rPr>
    </w:tblStylePr>
    <w:tblStylePr w:type="band1Vert">
      <w:tblPr/>
      <w:tcPr>
        <w:tcBorders>
          <w:top w:val="single" w:sz="8" w:space="0" w:color="C3C3C3" w:themeColor="accent6"/>
          <w:left w:val="single" w:sz="8" w:space="0" w:color="C3C3C3" w:themeColor="accent6"/>
          <w:bottom w:val="single" w:sz="8" w:space="0" w:color="C3C3C3" w:themeColor="accent6"/>
          <w:right w:val="single" w:sz="8" w:space="0" w:color="C3C3C3" w:themeColor="accent6"/>
        </w:tcBorders>
      </w:tcPr>
    </w:tblStylePr>
    <w:tblStylePr w:type="band1Horz">
      <w:tblPr/>
      <w:tcPr>
        <w:tcBorders>
          <w:top w:val="single" w:sz="8" w:space="0" w:color="C3C3C3" w:themeColor="accent6"/>
          <w:left w:val="single" w:sz="8" w:space="0" w:color="C3C3C3" w:themeColor="accent6"/>
          <w:bottom w:val="single" w:sz="8" w:space="0" w:color="C3C3C3" w:themeColor="accent6"/>
          <w:right w:val="single" w:sz="8" w:space="0" w:color="C3C3C3" w:themeColor="accent6"/>
        </w:tcBorders>
      </w:tcPr>
    </w:tblStylePr>
  </w:style>
  <w:style w:type="table" w:styleId="LightShading">
    <w:name w:val="Light Shading"/>
    <w:basedOn w:val="TableNormal"/>
    <w:uiPriority w:val="60"/>
    <w:unhideWhenUsed/>
    <w:rsid w:val="00F978C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unhideWhenUsed/>
    <w:rsid w:val="00F978CE"/>
    <w:pPr>
      <w:spacing w:after="0" w:line="240" w:lineRule="auto"/>
    </w:pPr>
    <w:rPr>
      <w:color w:val="830046" w:themeColor="accent1" w:themeShade="BF"/>
    </w:rPr>
    <w:tblPr>
      <w:tblStyleRowBandSize w:val="1"/>
      <w:tblStyleColBandSize w:val="1"/>
      <w:tblBorders>
        <w:top w:val="single" w:sz="8" w:space="0" w:color="AF005F" w:themeColor="accent1"/>
        <w:bottom w:val="single" w:sz="8" w:space="0" w:color="AF005F" w:themeColor="accent1"/>
      </w:tblBorders>
    </w:tblPr>
    <w:tblStylePr w:type="firstRow">
      <w:pPr>
        <w:spacing w:before="0" w:after="0" w:line="240" w:lineRule="auto"/>
      </w:pPr>
      <w:rPr>
        <w:b/>
        <w:bCs/>
      </w:rPr>
      <w:tblPr/>
      <w:tcPr>
        <w:tcBorders>
          <w:top w:val="single" w:sz="8" w:space="0" w:color="AF005F" w:themeColor="accent1"/>
          <w:left w:val="nil"/>
          <w:bottom w:val="single" w:sz="8" w:space="0" w:color="AF005F" w:themeColor="accent1"/>
          <w:right w:val="nil"/>
          <w:insideH w:val="nil"/>
          <w:insideV w:val="nil"/>
        </w:tcBorders>
      </w:tcPr>
    </w:tblStylePr>
    <w:tblStylePr w:type="lastRow">
      <w:pPr>
        <w:spacing w:before="0" w:after="0" w:line="240" w:lineRule="auto"/>
      </w:pPr>
      <w:rPr>
        <w:b/>
        <w:bCs/>
      </w:rPr>
      <w:tblPr/>
      <w:tcPr>
        <w:tcBorders>
          <w:top w:val="single" w:sz="8" w:space="0" w:color="AF005F" w:themeColor="accent1"/>
          <w:left w:val="nil"/>
          <w:bottom w:val="single" w:sz="8" w:space="0" w:color="AF005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ACD8" w:themeFill="accent1" w:themeFillTint="3F"/>
      </w:tcPr>
    </w:tblStylePr>
    <w:tblStylePr w:type="band1Horz">
      <w:tblPr/>
      <w:tcPr>
        <w:tcBorders>
          <w:left w:val="nil"/>
          <w:right w:val="nil"/>
          <w:insideH w:val="nil"/>
          <w:insideV w:val="nil"/>
        </w:tcBorders>
        <w:shd w:val="clear" w:color="auto" w:fill="FFACD8" w:themeFill="accent1" w:themeFillTint="3F"/>
      </w:tcPr>
    </w:tblStylePr>
  </w:style>
  <w:style w:type="table" w:styleId="LightShading-Accent2">
    <w:name w:val="Light Shading Accent 2"/>
    <w:basedOn w:val="TableNormal"/>
    <w:uiPriority w:val="60"/>
    <w:unhideWhenUsed/>
    <w:rsid w:val="00F978CE"/>
    <w:pPr>
      <w:spacing w:after="0" w:line="240" w:lineRule="auto"/>
    </w:pPr>
    <w:rPr>
      <w:color w:val="8E265E" w:themeColor="accent2" w:themeShade="BF"/>
    </w:rPr>
    <w:tblPr>
      <w:tblStyleRowBandSize w:val="1"/>
      <w:tblStyleColBandSize w:val="1"/>
      <w:tblBorders>
        <w:top w:val="single" w:sz="8" w:space="0" w:color="BF337F" w:themeColor="accent2"/>
        <w:bottom w:val="single" w:sz="8" w:space="0" w:color="BF337F" w:themeColor="accent2"/>
      </w:tblBorders>
    </w:tblPr>
    <w:tblStylePr w:type="firstRow">
      <w:pPr>
        <w:spacing w:before="0" w:after="0" w:line="240" w:lineRule="auto"/>
      </w:pPr>
      <w:rPr>
        <w:b/>
        <w:bCs/>
      </w:rPr>
      <w:tblPr/>
      <w:tcPr>
        <w:tcBorders>
          <w:top w:val="single" w:sz="8" w:space="0" w:color="BF337F" w:themeColor="accent2"/>
          <w:left w:val="nil"/>
          <w:bottom w:val="single" w:sz="8" w:space="0" w:color="BF337F" w:themeColor="accent2"/>
          <w:right w:val="nil"/>
          <w:insideH w:val="nil"/>
          <w:insideV w:val="nil"/>
        </w:tcBorders>
      </w:tcPr>
    </w:tblStylePr>
    <w:tblStylePr w:type="lastRow">
      <w:pPr>
        <w:spacing w:before="0" w:after="0" w:line="240" w:lineRule="auto"/>
      </w:pPr>
      <w:rPr>
        <w:b/>
        <w:bCs/>
      </w:rPr>
      <w:tblPr/>
      <w:tcPr>
        <w:tcBorders>
          <w:top w:val="single" w:sz="8" w:space="0" w:color="BF337F" w:themeColor="accent2"/>
          <w:left w:val="nil"/>
          <w:bottom w:val="single" w:sz="8" w:space="0" w:color="BF337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CADF" w:themeFill="accent2" w:themeFillTint="3F"/>
      </w:tcPr>
    </w:tblStylePr>
    <w:tblStylePr w:type="band1Horz">
      <w:tblPr/>
      <w:tcPr>
        <w:tcBorders>
          <w:left w:val="nil"/>
          <w:right w:val="nil"/>
          <w:insideH w:val="nil"/>
          <w:insideV w:val="nil"/>
        </w:tcBorders>
        <w:shd w:val="clear" w:color="auto" w:fill="F1CADF" w:themeFill="accent2" w:themeFillTint="3F"/>
      </w:tcPr>
    </w:tblStylePr>
  </w:style>
  <w:style w:type="table" w:styleId="LightShading-Accent3">
    <w:name w:val="Light Shading Accent 3"/>
    <w:basedOn w:val="TableNormal"/>
    <w:uiPriority w:val="60"/>
    <w:unhideWhenUsed/>
    <w:rsid w:val="00F978CE"/>
    <w:pPr>
      <w:spacing w:after="0" w:line="240" w:lineRule="auto"/>
    </w:pPr>
    <w:rPr>
      <w:color w:val="A83573" w:themeColor="accent3" w:themeShade="BF"/>
    </w:rPr>
    <w:tblPr>
      <w:tblStyleRowBandSize w:val="1"/>
      <w:tblStyleColBandSize w:val="1"/>
      <w:tblBorders>
        <w:top w:val="single" w:sz="8" w:space="0" w:color="CC5C99" w:themeColor="accent3"/>
        <w:bottom w:val="single" w:sz="8" w:space="0" w:color="CC5C99" w:themeColor="accent3"/>
      </w:tblBorders>
    </w:tblPr>
    <w:tblStylePr w:type="firstRow">
      <w:pPr>
        <w:spacing w:before="0" w:after="0" w:line="240" w:lineRule="auto"/>
      </w:pPr>
      <w:rPr>
        <w:b/>
        <w:bCs/>
      </w:rPr>
      <w:tblPr/>
      <w:tcPr>
        <w:tcBorders>
          <w:top w:val="single" w:sz="8" w:space="0" w:color="CC5C99" w:themeColor="accent3"/>
          <w:left w:val="nil"/>
          <w:bottom w:val="single" w:sz="8" w:space="0" w:color="CC5C99" w:themeColor="accent3"/>
          <w:right w:val="nil"/>
          <w:insideH w:val="nil"/>
          <w:insideV w:val="nil"/>
        </w:tcBorders>
      </w:tcPr>
    </w:tblStylePr>
    <w:tblStylePr w:type="lastRow">
      <w:pPr>
        <w:spacing w:before="0" w:after="0" w:line="240" w:lineRule="auto"/>
      </w:pPr>
      <w:rPr>
        <w:b/>
        <w:bCs/>
      </w:rPr>
      <w:tblPr/>
      <w:tcPr>
        <w:tcBorders>
          <w:top w:val="single" w:sz="8" w:space="0" w:color="CC5C99" w:themeColor="accent3"/>
          <w:left w:val="nil"/>
          <w:bottom w:val="single" w:sz="8" w:space="0" w:color="CC5C9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D6E5" w:themeFill="accent3" w:themeFillTint="3F"/>
      </w:tcPr>
    </w:tblStylePr>
    <w:tblStylePr w:type="band1Horz">
      <w:tblPr/>
      <w:tcPr>
        <w:tcBorders>
          <w:left w:val="nil"/>
          <w:right w:val="nil"/>
          <w:insideH w:val="nil"/>
          <w:insideV w:val="nil"/>
        </w:tcBorders>
        <w:shd w:val="clear" w:color="auto" w:fill="F2D6E5" w:themeFill="accent3" w:themeFillTint="3F"/>
      </w:tcPr>
    </w:tblStylePr>
  </w:style>
  <w:style w:type="table" w:styleId="LightShading-Accent4">
    <w:name w:val="Light Shading Accent 4"/>
    <w:basedOn w:val="TableNormal"/>
    <w:uiPriority w:val="60"/>
    <w:unhideWhenUsed/>
    <w:rsid w:val="00F978CE"/>
    <w:pPr>
      <w:spacing w:after="0" w:line="240" w:lineRule="auto"/>
    </w:pPr>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unhideWhenUsed/>
    <w:rsid w:val="00F978CE"/>
    <w:pPr>
      <w:spacing w:after="0" w:line="240" w:lineRule="auto"/>
    </w:pPr>
    <w:rPr>
      <w:color w:val="707070" w:themeColor="accent5" w:themeShade="BF"/>
    </w:rPr>
    <w:tblPr>
      <w:tblStyleRowBandSize w:val="1"/>
      <w:tblStyleColBandSize w:val="1"/>
      <w:tblBorders>
        <w:top w:val="single" w:sz="8" w:space="0" w:color="969696" w:themeColor="accent5"/>
        <w:bottom w:val="single" w:sz="8" w:space="0" w:color="969696" w:themeColor="accent5"/>
      </w:tblBorders>
    </w:tblPr>
    <w:tblStylePr w:type="firstRow">
      <w:pPr>
        <w:spacing w:before="0" w:after="0" w:line="240" w:lineRule="auto"/>
      </w:pPr>
      <w:rPr>
        <w:b/>
        <w:bCs/>
      </w:rPr>
      <w:tblPr/>
      <w:tcPr>
        <w:tcBorders>
          <w:top w:val="single" w:sz="8" w:space="0" w:color="969696" w:themeColor="accent5"/>
          <w:left w:val="nil"/>
          <w:bottom w:val="single" w:sz="8" w:space="0" w:color="969696" w:themeColor="accent5"/>
          <w:right w:val="nil"/>
          <w:insideH w:val="nil"/>
          <w:insideV w:val="nil"/>
        </w:tcBorders>
      </w:tcPr>
    </w:tblStylePr>
    <w:tblStylePr w:type="lastRow">
      <w:pPr>
        <w:spacing w:before="0" w:after="0" w:line="240" w:lineRule="auto"/>
      </w:pPr>
      <w:rPr>
        <w:b/>
        <w:bCs/>
      </w:rPr>
      <w:tblPr/>
      <w:tcPr>
        <w:tcBorders>
          <w:top w:val="single" w:sz="8" w:space="0" w:color="969696" w:themeColor="accent5"/>
          <w:left w:val="nil"/>
          <w:bottom w:val="single" w:sz="8" w:space="0" w:color="96969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5" w:themeFillTint="3F"/>
      </w:tcPr>
    </w:tblStylePr>
    <w:tblStylePr w:type="band1Horz">
      <w:tblPr/>
      <w:tcPr>
        <w:tcBorders>
          <w:left w:val="nil"/>
          <w:right w:val="nil"/>
          <w:insideH w:val="nil"/>
          <w:insideV w:val="nil"/>
        </w:tcBorders>
        <w:shd w:val="clear" w:color="auto" w:fill="E5E5E5" w:themeFill="accent5" w:themeFillTint="3F"/>
      </w:tcPr>
    </w:tblStylePr>
  </w:style>
  <w:style w:type="table" w:styleId="LightShading-Accent6">
    <w:name w:val="Light Shading Accent 6"/>
    <w:basedOn w:val="TableNormal"/>
    <w:uiPriority w:val="60"/>
    <w:unhideWhenUsed/>
    <w:rsid w:val="00F978CE"/>
    <w:pPr>
      <w:spacing w:after="0" w:line="240" w:lineRule="auto"/>
    </w:pPr>
    <w:rPr>
      <w:color w:val="929292" w:themeColor="accent6" w:themeShade="BF"/>
    </w:rPr>
    <w:tblPr>
      <w:tblStyleRowBandSize w:val="1"/>
      <w:tblStyleColBandSize w:val="1"/>
      <w:tblBorders>
        <w:top w:val="single" w:sz="8" w:space="0" w:color="C3C3C3" w:themeColor="accent6"/>
        <w:bottom w:val="single" w:sz="8" w:space="0" w:color="C3C3C3" w:themeColor="accent6"/>
      </w:tblBorders>
    </w:tblPr>
    <w:tblStylePr w:type="firstRow">
      <w:pPr>
        <w:spacing w:before="0" w:after="0" w:line="240" w:lineRule="auto"/>
      </w:pPr>
      <w:rPr>
        <w:b/>
        <w:bCs/>
      </w:rPr>
      <w:tblPr/>
      <w:tcPr>
        <w:tcBorders>
          <w:top w:val="single" w:sz="8" w:space="0" w:color="C3C3C3" w:themeColor="accent6"/>
          <w:left w:val="nil"/>
          <w:bottom w:val="single" w:sz="8" w:space="0" w:color="C3C3C3" w:themeColor="accent6"/>
          <w:right w:val="nil"/>
          <w:insideH w:val="nil"/>
          <w:insideV w:val="nil"/>
        </w:tcBorders>
      </w:tcPr>
    </w:tblStylePr>
    <w:tblStylePr w:type="lastRow">
      <w:pPr>
        <w:spacing w:before="0" w:after="0" w:line="240" w:lineRule="auto"/>
      </w:pPr>
      <w:rPr>
        <w:b/>
        <w:bCs/>
      </w:rPr>
      <w:tblPr/>
      <w:tcPr>
        <w:tcBorders>
          <w:top w:val="single" w:sz="8" w:space="0" w:color="C3C3C3" w:themeColor="accent6"/>
          <w:left w:val="nil"/>
          <w:bottom w:val="single" w:sz="8" w:space="0" w:color="C3C3C3"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0F0F0" w:themeFill="accent6" w:themeFillTint="3F"/>
      </w:tcPr>
    </w:tblStylePr>
    <w:tblStylePr w:type="band1Horz">
      <w:tblPr/>
      <w:tcPr>
        <w:tcBorders>
          <w:left w:val="nil"/>
          <w:right w:val="nil"/>
          <w:insideH w:val="nil"/>
          <w:insideV w:val="nil"/>
        </w:tcBorders>
        <w:shd w:val="clear" w:color="auto" w:fill="F0F0F0" w:themeFill="accent6" w:themeFillTint="3F"/>
      </w:tcPr>
    </w:tblStylePr>
  </w:style>
  <w:style w:type="character" w:styleId="LineNumber">
    <w:name w:val="line number"/>
    <w:basedOn w:val="DefaultParagraphFont"/>
    <w:uiPriority w:val="99"/>
    <w:unhideWhenUsed/>
    <w:rsid w:val="00F978CE"/>
  </w:style>
  <w:style w:type="paragraph" w:styleId="List">
    <w:name w:val="List"/>
    <w:basedOn w:val="Normal"/>
    <w:uiPriority w:val="99"/>
    <w:unhideWhenUsed/>
    <w:rsid w:val="00F978CE"/>
    <w:pPr>
      <w:ind w:left="283" w:hanging="283"/>
      <w:contextualSpacing/>
    </w:pPr>
  </w:style>
  <w:style w:type="paragraph" w:styleId="List2">
    <w:name w:val="List 2"/>
    <w:basedOn w:val="Normal"/>
    <w:uiPriority w:val="99"/>
    <w:unhideWhenUsed/>
    <w:rsid w:val="00F978CE"/>
    <w:pPr>
      <w:ind w:left="566" w:hanging="283"/>
      <w:contextualSpacing/>
    </w:pPr>
  </w:style>
  <w:style w:type="paragraph" w:styleId="List3">
    <w:name w:val="List 3"/>
    <w:basedOn w:val="Normal"/>
    <w:uiPriority w:val="99"/>
    <w:unhideWhenUsed/>
    <w:rsid w:val="00F978CE"/>
    <w:pPr>
      <w:ind w:left="849" w:hanging="283"/>
      <w:contextualSpacing/>
    </w:pPr>
  </w:style>
  <w:style w:type="paragraph" w:styleId="List4">
    <w:name w:val="List 4"/>
    <w:basedOn w:val="Normal"/>
    <w:uiPriority w:val="99"/>
    <w:unhideWhenUsed/>
    <w:rsid w:val="00F978CE"/>
    <w:pPr>
      <w:ind w:left="1132" w:hanging="283"/>
      <w:contextualSpacing/>
    </w:pPr>
  </w:style>
  <w:style w:type="paragraph" w:styleId="List5">
    <w:name w:val="List 5"/>
    <w:basedOn w:val="Normal"/>
    <w:uiPriority w:val="99"/>
    <w:unhideWhenUsed/>
    <w:rsid w:val="00F978CE"/>
    <w:pPr>
      <w:ind w:left="1415" w:hanging="283"/>
      <w:contextualSpacing/>
    </w:pPr>
  </w:style>
  <w:style w:type="paragraph" w:styleId="ListBullet">
    <w:name w:val="List Bullet"/>
    <w:basedOn w:val="Normal"/>
    <w:uiPriority w:val="99"/>
    <w:unhideWhenUsed/>
    <w:rsid w:val="00F978CE"/>
    <w:pPr>
      <w:numPr>
        <w:numId w:val="24"/>
      </w:numPr>
      <w:contextualSpacing/>
    </w:pPr>
  </w:style>
  <w:style w:type="paragraph" w:styleId="ListBullet2">
    <w:name w:val="List Bullet 2"/>
    <w:basedOn w:val="Normal"/>
    <w:uiPriority w:val="99"/>
    <w:unhideWhenUsed/>
    <w:rsid w:val="00F978CE"/>
    <w:pPr>
      <w:numPr>
        <w:numId w:val="25"/>
      </w:numPr>
      <w:contextualSpacing/>
    </w:pPr>
  </w:style>
  <w:style w:type="paragraph" w:styleId="ListBullet3">
    <w:name w:val="List Bullet 3"/>
    <w:basedOn w:val="Normal"/>
    <w:uiPriority w:val="99"/>
    <w:unhideWhenUsed/>
    <w:rsid w:val="00F978CE"/>
    <w:pPr>
      <w:numPr>
        <w:numId w:val="26"/>
      </w:numPr>
      <w:contextualSpacing/>
    </w:pPr>
  </w:style>
  <w:style w:type="paragraph" w:styleId="ListBullet4">
    <w:name w:val="List Bullet 4"/>
    <w:basedOn w:val="Normal"/>
    <w:uiPriority w:val="99"/>
    <w:unhideWhenUsed/>
    <w:rsid w:val="00F978CE"/>
    <w:pPr>
      <w:numPr>
        <w:numId w:val="27"/>
      </w:numPr>
      <w:contextualSpacing/>
    </w:pPr>
  </w:style>
  <w:style w:type="paragraph" w:styleId="ListBullet5">
    <w:name w:val="List Bullet 5"/>
    <w:basedOn w:val="Normal"/>
    <w:uiPriority w:val="99"/>
    <w:unhideWhenUsed/>
    <w:rsid w:val="00F978CE"/>
    <w:pPr>
      <w:numPr>
        <w:numId w:val="28"/>
      </w:numPr>
      <w:contextualSpacing/>
    </w:pPr>
  </w:style>
  <w:style w:type="paragraph" w:styleId="ListContinue">
    <w:name w:val="List Continue"/>
    <w:basedOn w:val="Normal"/>
    <w:uiPriority w:val="99"/>
    <w:unhideWhenUsed/>
    <w:rsid w:val="00F978CE"/>
    <w:pPr>
      <w:spacing w:after="120"/>
      <w:ind w:left="283"/>
      <w:contextualSpacing/>
    </w:pPr>
  </w:style>
  <w:style w:type="paragraph" w:styleId="ListContinue2">
    <w:name w:val="List Continue 2"/>
    <w:basedOn w:val="Normal"/>
    <w:uiPriority w:val="99"/>
    <w:unhideWhenUsed/>
    <w:rsid w:val="00F978CE"/>
    <w:pPr>
      <w:spacing w:after="120"/>
      <w:ind w:left="566"/>
      <w:contextualSpacing/>
    </w:pPr>
  </w:style>
  <w:style w:type="paragraph" w:styleId="ListContinue3">
    <w:name w:val="List Continue 3"/>
    <w:basedOn w:val="Normal"/>
    <w:uiPriority w:val="99"/>
    <w:unhideWhenUsed/>
    <w:rsid w:val="00F978CE"/>
    <w:pPr>
      <w:spacing w:after="120"/>
      <w:ind w:left="849"/>
      <w:contextualSpacing/>
    </w:pPr>
  </w:style>
  <w:style w:type="paragraph" w:styleId="ListContinue4">
    <w:name w:val="List Continue 4"/>
    <w:basedOn w:val="Normal"/>
    <w:uiPriority w:val="99"/>
    <w:unhideWhenUsed/>
    <w:rsid w:val="00F978CE"/>
    <w:pPr>
      <w:spacing w:after="120"/>
      <w:ind w:left="1132"/>
      <w:contextualSpacing/>
    </w:pPr>
  </w:style>
  <w:style w:type="paragraph" w:styleId="ListContinue5">
    <w:name w:val="List Continue 5"/>
    <w:basedOn w:val="Normal"/>
    <w:uiPriority w:val="99"/>
    <w:unhideWhenUsed/>
    <w:rsid w:val="00F978CE"/>
    <w:pPr>
      <w:spacing w:after="120"/>
      <w:ind w:left="1415"/>
      <w:contextualSpacing/>
    </w:pPr>
  </w:style>
  <w:style w:type="paragraph" w:styleId="ListNumber">
    <w:name w:val="List Number"/>
    <w:basedOn w:val="Normal"/>
    <w:uiPriority w:val="99"/>
    <w:unhideWhenUsed/>
    <w:rsid w:val="00F978CE"/>
    <w:pPr>
      <w:numPr>
        <w:numId w:val="29"/>
      </w:numPr>
      <w:contextualSpacing/>
    </w:pPr>
  </w:style>
  <w:style w:type="paragraph" w:styleId="ListNumber2">
    <w:name w:val="List Number 2"/>
    <w:basedOn w:val="Normal"/>
    <w:uiPriority w:val="99"/>
    <w:unhideWhenUsed/>
    <w:rsid w:val="00F978CE"/>
    <w:pPr>
      <w:numPr>
        <w:numId w:val="30"/>
      </w:numPr>
      <w:contextualSpacing/>
    </w:pPr>
  </w:style>
  <w:style w:type="paragraph" w:styleId="ListNumber3">
    <w:name w:val="List Number 3"/>
    <w:basedOn w:val="Normal"/>
    <w:uiPriority w:val="99"/>
    <w:unhideWhenUsed/>
    <w:rsid w:val="00F978CE"/>
    <w:pPr>
      <w:numPr>
        <w:numId w:val="31"/>
      </w:numPr>
      <w:contextualSpacing/>
    </w:pPr>
  </w:style>
  <w:style w:type="paragraph" w:styleId="ListNumber4">
    <w:name w:val="List Number 4"/>
    <w:basedOn w:val="Normal"/>
    <w:uiPriority w:val="99"/>
    <w:unhideWhenUsed/>
    <w:rsid w:val="00F978CE"/>
    <w:pPr>
      <w:numPr>
        <w:numId w:val="32"/>
      </w:numPr>
      <w:contextualSpacing/>
    </w:pPr>
  </w:style>
  <w:style w:type="paragraph" w:styleId="ListNumber5">
    <w:name w:val="List Number 5"/>
    <w:basedOn w:val="Normal"/>
    <w:uiPriority w:val="99"/>
    <w:unhideWhenUsed/>
    <w:rsid w:val="00F978CE"/>
    <w:pPr>
      <w:numPr>
        <w:numId w:val="33"/>
      </w:numPr>
      <w:contextualSpacing/>
    </w:pPr>
  </w:style>
  <w:style w:type="paragraph" w:styleId="ListParagraph">
    <w:name w:val="List Paragraph"/>
    <w:basedOn w:val="Normal"/>
    <w:uiPriority w:val="34"/>
    <w:unhideWhenUsed/>
    <w:qFormat/>
    <w:rsid w:val="00F978CE"/>
    <w:pPr>
      <w:ind w:left="720"/>
      <w:contextualSpacing/>
    </w:pPr>
  </w:style>
  <w:style w:type="table" w:styleId="ListTable1Light">
    <w:name w:val="List Table 1 Light"/>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FF36A2" w:themeColor="accent1" w:themeTint="99"/>
        </w:tcBorders>
      </w:tcPr>
    </w:tblStylePr>
    <w:tblStylePr w:type="lastRow">
      <w:rPr>
        <w:b/>
        <w:bCs/>
      </w:rPr>
      <w:tblPr/>
      <w:tcPr>
        <w:tcBorders>
          <w:top w:val="single" w:sz="4" w:space="0" w:color="FF36A2" w:themeColor="accent1" w:themeTint="99"/>
        </w:tcBorders>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ListTable1Light-Accent2">
    <w:name w:val="List Table 1 Light Accent 2"/>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DD7FB2" w:themeColor="accent2" w:themeTint="99"/>
        </w:tcBorders>
      </w:tcPr>
    </w:tblStylePr>
    <w:tblStylePr w:type="lastRow">
      <w:rPr>
        <w:b/>
        <w:bCs/>
      </w:rPr>
      <w:tblPr/>
      <w:tcPr>
        <w:tcBorders>
          <w:top w:val="single" w:sz="4" w:space="0" w:color="DD7FB2" w:themeColor="accent2" w:themeTint="99"/>
        </w:tcBorders>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ListTable1Light-Accent3">
    <w:name w:val="List Table 1 Light Accent 3"/>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E09DC1" w:themeColor="accent3" w:themeTint="99"/>
        </w:tcBorders>
      </w:tcPr>
    </w:tblStylePr>
    <w:tblStylePr w:type="lastRow">
      <w:rPr>
        <w:b/>
        <w:bCs/>
      </w:rPr>
      <w:tblPr/>
      <w:tcPr>
        <w:tcBorders>
          <w:top w:val="single" w:sz="4" w:space="0" w:color="E09DC1" w:themeColor="accent3" w:themeTint="99"/>
        </w:tcBorders>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ListTable1Light-Accent4">
    <w:name w:val="List Table 1 Light Accent 4"/>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B2B2B2" w:themeColor="accent4" w:themeTint="99"/>
        </w:tcBorders>
      </w:tcPr>
    </w:tblStylePr>
    <w:tblStylePr w:type="lastRow">
      <w:rPr>
        <w:b/>
        <w:bCs/>
      </w:rPr>
      <w:tblPr/>
      <w:tcPr>
        <w:tcBorders>
          <w:top w:val="sing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1Light-Accent5">
    <w:name w:val="List Table 1 Light Accent 5"/>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C0C0C0" w:themeColor="accent5" w:themeTint="99"/>
        </w:tcBorders>
      </w:tcPr>
    </w:tblStylePr>
    <w:tblStylePr w:type="lastRow">
      <w:rPr>
        <w:b/>
        <w:bCs/>
      </w:rPr>
      <w:tblPr/>
      <w:tcPr>
        <w:tcBorders>
          <w:top w:val="single" w:sz="4" w:space="0" w:color="C0C0C0" w:themeColor="accent5" w:themeTint="99"/>
        </w:tcBorders>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ListTable1Light-Accent6">
    <w:name w:val="List Table 1 Light Accent 6"/>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DBDBDB" w:themeColor="accent6" w:themeTint="99"/>
        </w:tcBorders>
      </w:tcPr>
    </w:tblStylePr>
    <w:tblStylePr w:type="lastRow">
      <w:rPr>
        <w:b/>
        <w:bCs/>
      </w:rPr>
      <w:tblPr/>
      <w:tcPr>
        <w:tcBorders>
          <w:top w:val="single" w:sz="4" w:space="0" w:color="DBDBDB" w:themeColor="accent6" w:themeTint="99"/>
        </w:tcBorders>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ListTable2">
    <w:name w:val="List Table 2"/>
    <w:basedOn w:val="TableNormal"/>
    <w:uiPriority w:val="47"/>
    <w:unhideWhenUsed/>
    <w:rsid w:val="00F978CE"/>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unhideWhenUsed/>
    <w:rsid w:val="00F978CE"/>
    <w:pPr>
      <w:spacing w:after="0" w:line="240" w:lineRule="auto"/>
    </w:pPr>
    <w:tblPr>
      <w:tblStyleRowBandSize w:val="1"/>
      <w:tblStyleColBandSize w:val="1"/>
      <w:tblBorders>
        <w:top w:val="single" w:sz="4" w:space="0" w:color="FF36A2" w:themeColor="accent1" w:themeTint="99"/>
        <w:bottom w:val="single" w:sz="4" w:space="0" w:color="FF36A2" w:themeColor="accent1" w:themeTint="99"/>
        <w:insideH w:val="single" w:sz="4" w:space="0" w:color="FF36A2"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ListTable2-Accent2">
    <w:name w:val="List Table 2 Accent 2"/>
    <w:basedOn w:val="TableNormal"/>
    <w:uiPriority w:val="47"/>
    <w:unhideWhenUsed/>
    <w:rsid w:val="00F978CE"/>
    <w:pPr>
      <w:spacing w:after="0" w:line="240" w:lineRule="auto"/>
    </w:pPr>
    <w:tblPr>
      <w:tblStyleRowBandSize w:val="1"/>
      <w:tblStyleColBandSize w:val="1"/>
      <w:tblBorders>
        <w:top w:val="single" w:sz="4" w:space="0" w:color="DD7FB2" w:themeColor="accent2" w:themeTint="99"/>
        <w:bottom w:val="single" w:sz="4" w:space="0" w:color="DD7FB2" w:themeColor="accent2" w:themeTint="99"/>
        <w:insideH w:val="single" w:sz="4" w:space="0" w:color="DD7FB2"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ListTable2-Accent3">
    <w:name w:val="List Table 2 Accent 3"/>
    <w:basedOn w:val="TableNormal"/>
    <w:uiPriority w:val="47"/>
    <w:unhideWhenUsed/>
    <w:rsid w:val="00F978CE"/>
    <w:pPr>
      <w:spacing w:after="0" w:line="240" w:lineRule="auto"/>
    </w:pPr>
    <w:tblPr>
      <w:tblStyleRowBandSize w:val="1"/>
      <w:tblStyleColBandSize w:val="1"/>
      <w:tblBorders>
        <w:top w:val="single" w:sz="4" w:space="0" w:color="E09DC1" w:themeColor="accent3" w:themeTint="99"/>
        <w:bottom w:val="single" w:sz="4" w:space="0" w:color="E09DC1" w:themeColor="accent3" w:themeTint="99"/>
        <w:insideH w:val="single" w:sz="4" w:space="0" w:color="E09DC1"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ListTable2-Accent4">
    <w:name w:val="List Table 2 Accent 4"/>
    <w:basedOn w:val="TableNormal"/>
    <w:uiPriority w:val="47"/>
    <w:unhideWhenUsed/>
    <w:rsid w:val="00F978CE"/>
    <w:pPr>
      <w:spacing w:after="0" w:line="240" w:lineRule="auto"/>
    </w:pPr>
    <w:tblPr>
      <w:tblStyleRowBandSize w:val="1"/>
      <w:tblStyleColBandSize w:val="1"/>
      <w:tblBorders>
        <w:top w:val="single" w:sz="4" w:space="0" w:color="B2B2B2" w:themeColor="accent4" w:themeTint="99"/>
        <w:bottom w:val="single" w:sz="4" w:space="0" w:color="B2B2B2" w:themeColor="accent4" w:themeTint="99"/>
        <w:insideH w:val="single" w:sz="4" w:space="0" w:color="B2B2B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2-Accent5">
    <w:name w:val="List Table 2 Accent 5"/>
    <w:basedOn w:val="TableNormal"/>
    <w:uiPriority w:val="47"/>
    <w:unhideWhenUsed/>
    <w:rsid w:val="00F978CE"/>
    <w:pPr>
      <w:spacing w:after="0" w:line="240" w:lineRule="auto"/>
    </w:pPr>
    <w:tblPr>
      <w:tblStyleRowBandSize w:val="1"/>
      <w:tblStyleColBandSize w:val="1"/>
      <w:tblBorders>
        <w:top w:val="single" w:sz="4" w:space="0" w:color="C0C0C0" w:themeColor="accent5" w:themeTint="99"/>
        <w:bottom w:val="single" w:sz="4" w:space="0" w:color="C0C0C0" w:themeColor="accent5" w:themeTint="99"/>
        <w:insideH w:val="single" w:sz="4" w:space="0" w:color="C0C0C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ListTable2-Accent6">
    <w:name w:val="List Table 2 Accent 6"/>
    <w:basedOn w:val="TableNormal"/>
    <w:uiPriority w:val="47"/>
    <w:unhideWhenUsed/>
    <w:rsid w:val="00F978CE"/>
    <w:pPr>
      <w:spacing w:after="0" w:line="240" w:lineRule="auto"/>
    </w:pPr>
    <w:tblPr>
      <w:tblStyleRowBandSize w:val="1"/>
      <w:tblStyleColBandSize w:val="1"/>
      <w:tblBorders>
        <w:top w:val="single" w:sz="4" w:space="0" w:color="DBDBDB" w:themeColor="accent6" w:themeTint="99"/>
        <w:bottom w:val="single" w:sz="4" w:space="0" w:color="DBDBDB" w:themeColor="accent6" w:themeTint="99"/>
        <w:insideH w:val="single" w:sz="4" w:space="0" w:color="DBDBDB"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ListTable3">
    <w:name w:val="List Table 3"/>
    <w:basedOn w:val="TableNormal"/>
    <w:uiPriority w:val="48"/>
    <w:unhideWhenUsed/>
    <w:rsid w:val="00F978CE"/>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unhideWhenUsed/>
    <w:rsid w:val="00F978CE"/>
    <w:pPr>
      <w:spacing w:after="0" w:line="240" w:lineRule="auto"/>
    </w:pPr>
    <w:tblPr>
      <w:tblStyleRowBandSize w:val="1"/>
      <w:tblStyleColBandSize w:val="1"/>
      <w:tblBorders>
        <w:top w:val="single" w:sz="4" w:space="0" w:color="AF005F" w:themeColor="accent1"/>
        <w:left w:val="single" w:sz="4" w:space="0" w:color="AF005F" w:themeColor="accent1"/>
        <w:bottom w:val="single" w:sz="4" w:space="0" w:color="AF005F" w:themeColor="accent1"/>
        <w:right w:val="single" w:sz="4" w:space="0" w:color="AF005F" w:themeColor="accent1"/>
      </w:tblBorders>
    </w:tblPr>
    <w:tblStylePr w:type="firstRow">
      <w:rPr>
        <w:b/>
        <w:bCs/>
        <w:color w:val="FFFFFF" w:themeColor="background1"/>
      </w:rPr>
      <w:tblPr/>
      <w:tcPr>
        <w:shd w:val="clear" w:color="auto" w:fill="AF005F" w:themeFill="accent1"/>
      </w:tcPr>
    </w:tblStylePr>
    <w:tblStylePr w:type="lastRow">
      <w:rPr>
        <w:b/>
        <w:bCs/>
      </w:rPr>
      <w:tblPr/>
      <w:tcPr>
        <w:tcBorders>
          <w:top w:val="double" w:sz="4" w:space="0" w:color="AF005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F005F" w:themeColor="accent1"/>
          <w:right w:val="single" w:sz="4" w:space="0" w:color="AF005F" w:themeColor="accent1"/>
        </w:tcBorders>
      </w:tcPr>
    </w:tblStylePr>
    <w:tblStylePr w:type="band1Horz">
      <w:tblPr/>
      <w:tcPr>
        <w:tcBorders>
          <w:top w:val="single" w:sz="4" w:space="0" w:color="AF005F" w:themeColor="accent1"/>
          <w:bottom w:val="single" w:sz="4" w:space="0" w:color="AF005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F005F" w:themeColor="accent1"/>
          <w:left w:val="nil"/>
        </w:tcBorders>
      </w:tcPr>
    </w:tblStylePr>
    <w:tblStylePr w:type="swCell">
      <w:tblPr/>
      <w:tcPr>
        <w:tcBorders>
          <w:top w:val="double" w:sz="4" w:space="0" w:color="AF005F" w:themeColor="accent1"/>
          <w:right w:val="nil"/>
        </w:tcBorders>
      </w:tcPr>
    </w:tblStylePr>
  </w:style>
  <w:style w:type="table" w:styleId="ListTable3-Accent2">
    <w:name w:val="List Table 3 Accent 2"/>
    <w:basedOn w:val="TableNormal"/>
    <w:uiPriority w:val="48"/>
    <w:unhideWhenUsed/>
    <w:rsid w:val="00F978CE"/>
    <w:pPr>
      <w:spacing w:after="0" w:line="240" w:lineRule="auto"/>
    </w:pPr>
    <w:tblPr>
      <w:tblStyleRowBandSize w:val="1"/>
      <w:tblStyleColBandSize w:val="1"/>
      <w:tblBorders>
        <w:top w:val="single" w:sz="4" w:space="0" w:color="BF337F" w:themeColor="accent2"/>
        <w:left w:val="single" w:sz="4" w:space="0" w:color="BF337F" w:themeColor="accent2"/>
        <w:bottom w:val="single" w:sz="4" w:space="0" w:color="BF337F" w:themeColor="accent2"/>
        <w:right w:val="single" w:sz="4" w:space="0" w:color="BF337F" w:themeColor="accent2"/>
      </w:tblBorders>
    </w:tblPr>
    <w:tblStylePr w:type="firstRow">
      <w:rPr>
        <w:b/>
        <w:bCs/>
        <w:color w:val="FFFFFF" w:themeColor="background1"/>
      </w:rPr>
      <w:tblPr/>
      <w:tcPr>
        <w:shd w:val="clear" w:color="auto" w:fill="BF337F" w:themeFill="accent2"/>
      </w:tcPr>
    </w:tblStylePr>
    <w:tblStylePr w:type="lastRow">
      <w:rPr>
        <w:b/>
        <w:bCs/>
      </w:rPr>
      <w:tblPr/>
      <w:tcPr>
        <w:tcBorders>
          <w:top w:val="double" w:sz="4" w:space="0" w:color="BF337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F337F" w:themeColor="accent2"/>
          <w:right w:val="single" w:sz="4" w:space="0" w:color="BF337F" w:themeColor="accent2"/>
        </w:tcBorders>
      </w:tcPr>
    </w:tblStylePr>
    <w:tblStylePr w:type="band1Horz">
      <w:tblPr/>
      <w:tcPr>
        <w:tcBorders>
          <w:top w:val="single" w:sz="4" w:space="0" w:color="BF337F" w:themeColor="accent2"/>
          <w:bottom w:val="single" w:sz="4" w:space="0" w:color="BF337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F337F" w:themeColor="accent2"/>
          <w:left w:val="nil"/>
        </w:tcBorders>
      </w:tcPr>
    </w:tblStylePr>
    <w:tblStylePr w:type="swCell">
      <w:tblPr/>
      <w:tcPr>
        <w:tcBorders>
          <w:top w:val="double" w:sz="4" w:space="0" w:color="BF337F" w:themeColor="accent2"/>
          <w:right w:val="nil"/>
        </w:tcBorders>
      </w:tcPr>
    </w:tblStylePr>
  </w:style>
  <w:style w:type="table" w:styleId="ListTable3-Accent3">
    <w:name w:val="List Table 3 Accent 3"/>
    <w:basedOn w:val="TableNormal"/>
    <w:uiPriority w:val="48"/>
    <w:unhideWhenUsed/>
    <w:rsid w:val="00F978CE"/>
    <w:pPr>
      <w:spacing w:after="0" w:line="240" w:lineRule="auto"/>
    </w:pPr>
    <w:tblPr>
      <w:tblStyleRowBandSize w:val="1"/>
      <w:tblStyleColBandSize w:val="1"/>
      <w:tblBorders>
        <w:top w:val="single" w:sz="4" w:space="0" w:color="CC5C99" w:themeColor="accent3"/>
        <w:left w:val="single" w:sz="4" w:space="0" w:color="CC5C99" w:themeColor="accent3"/>
        <w:bottom w:val="single" w:sz="4" w:space="0" w:color="CC5C99" w:themeColor="accent3"/>
        <w:right w:val="single" w:sz="4" w:space="0" w:color="CC5C99" w:themeColor="accent3"/>
      </w:tblBorders>
    </w:tblPr>
    <w:tblStylePr w:type="firstRow">
      <w:rPr>
        <w:b/>
        <w:bCs/>
        <w:color w:val="FFFFFF" w:themeColor="background1"/>
      </w:rPr>
      <w:tblPr/>
      <w:tcPr>
        <w:shd w:val="clear" w:color="auto" w:fill="CC5C99" w:themeFill="accent3"/>
      </w:tcPr>
    </w:tblStylePr>
    <w:tblStylePr w:type="lastRow">
      <w:rPr>
        <w:b/>
        <w:bCs/>
      </w:rPr>
      <w:tblPr/>
      <w:tcPr>
        <w:tcBorders>
          <w:top w:val="double" w:sz="4" w:space="0" w:color="CC5C9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C5C99" w:themeColor="accent3"/>
          <w:right w:val="single" w:sz="4" w:space="0" w:color="CC5C99" w:themeColor="accent3"/>
        </w:tcBorders>
      </w:tcPr>
    </w:tblStylePr>
    <w:tblStylePr w:type="band1Horz">
      <w:tblPr/>
      <w:tcPr>
        <w:tcBorders>
          <w:top w:val="single" w:sz="4" w:space="0" w:color="CC5C99" w:themeColor="accent3"/>
          <w:bottom w:val="single" w:sz="4" w:space="0" w:color="CC5C9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C5C99" w:themeColor="accent3"/>
          <w:left w:val="nil"/>
        </w:tcBorders>
      </w:tcPr>
    </w:tblStylePr>
    <w:tblStylePr w:type="swCell">
      <w:tblPr/>
      <w:tcPr>
        <w:tcBorders>
          <w:top w:val="double" w:sz="4" w:space="0" w:color="CC5C99" w:themeColor="accent3"/>
          <w:right w:val="nil"/>
        </w:tcBorders>
      </w:tcPr>
    </w:tblStylePr>
  </w:style>
  <w:style w:type="table" w:styleId="ListTable3-Accent4">
    <w:name w:val="List Table 3 Accent 4"/>
    <w:basedOn w:val="TableNormal"/>
    <w:uiPriority w:val="48"/>
    <w:unhideWhenUsed/>
    <w:rsid w:val="00F978CE"/>
    <w:pPr>
      <w:spacing w:after="0" w:line="240" w:lineRule="auto"/>
    </w:pPr>
    <w:tblPr>
      <w:tblStyleRowBandSize w:val="1"/>
      <w:tblStyleColBandSize w:val="1"/>
      <w:tblBorders>
        <w:top w:val="single" w:sz="4" w:space="0" w:color="808080" w:themeColor="accent4"/>
        <w:left w:val="single" w:sz="4" w:space="0" w:color="808080" w:themeColor="accent4"/>
        <w:bottom w:val="single" w:sz="4" w:space="0" w:color="808080" w:themeColor="accent4"/>
        <w:right w:val="single" w:sz="4" w:space="0" w:color="808080" w:themeColor="accent4"/>
      </w:tblBorders>
    </w:tblPr>
    <w:tblStylePr w:type="firstRow">
      <w:rPr>
        <w:b/>
        <w:bCs/>
        <w:color w:val="FFFFFF" w:themeColor="background1"/>
      </w:rPr>
      <w:tblPr/>
      <w:tcPr>
        <w:shd w:val="clear" w:color="auto" w:fill="808080" w:themeFill="accent4"/>
      </w:tcPr>
    </w:tblStylePr>
    <w:tblStylePr w:type="lastRow">
      <w:rPr>
        <w:b/>
        <w:bCs/>
      </w:rPr>
      <w:tblPr/>
      <w:tcPr>
        <w:tcBorders>
          <w:top w:val="double" w:sz="4" w:space="0" w:color="80808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8080" w:themeColor="accent4"/>
          <w:right w:val="single" w:sz="4" w:space="0" w:color="808080" w:themeColor="accent4"/>
        </w:tcBorders>
      </w:tcPr>
    </w:tblStylePr>
    <w:tblStylePr w:type="band1Horz">
      <w:tblPr/>
      <w:tcPr>
        <w:tcBorders>
          <w:top w:val="single" w:sz="4" w:space="0" w:color="808080" w:themeColor="accent4"/>
          <w:bottom w:val="single" w:sz="4" w:space="0" w:color="80808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8080" w:themeColor="accent4"/>
          <w:left w:val="nil"/>
        </w:tcBorders>
      </w:tcPr>
    </w:tblStylePr>
    <w:tblStylePr w:type="swCell">
      <w:tblPr/>
      <w:tcPr>
        <w:tcBorders>
          <w:top w:val="double" w:sz="4" w:space="0" w:color="808080" w:themeColor="accent4"/>
          <w:right w:val="nil"/>
        </w:tcBorders>
      </w:tcPr>
    </w:tblStylePr>
  </w:style>
  <w:style w:type="table" w:styleId="ListTable3-Accent5">
    <w:name w:val="List Table 3 Accent 5"/>
    <w:basedOn w:val="TableNormal"/>
    <w:uiPriority w:val="48"/>
    <w:unhideWhenUsed/>
    <w:rsid w:val="00F978CE"/>
    <w:pPr>
      <w:spacing w:after="0" w:line="240" w:lineRule="auto"/>
    </w:pPr>
    <w:tblPr>
      <w:tblStyleRowBandSize w:val="1"/>
      <w:tblStyleColBandSize w:val="1"/>
      <w:tblBorders>
        <w:top w:val="single" w:sz="4" w:space="0" w:color="969696" w:themeColor="accent5"/>
        <w:left w:val="single" w:sz="4" w:space="0" w:color="969696" w:themeColor="accent5"/>
        <w:bottom w:val="single" w:sz="4" w:space="0" w:color="969696" w:themeColor="accent5"/>
        <w:right w:val="single" w:sz="4" w:space="0" w:color="969696" w:themeColor="accent5"/>
      </w:tblBorders>
    </w:tblPr>
    <w:tblStylePr w:type="firstRow">
      <w:rPr>
        <w:b/>
        <w:bCs/>
        <w:color w:val="FFFFFF" w:themeColor="background1"/>
      </w:rPr>
      <w:tblPr/>
      <w:tcPr>
        <w:shd w:val="clear" w:color="auto" w:fill="969696" w:themeFill="accent5"/>
      </w:tcPr>
    </w:tblStylePr>
    <w:tblStylePr w:type="lastRow">
      <w:rPr>
        <w:b/>
        <w:bCs/>
      </w:rPr>
      <w:tblPr/>
      <w:tcPr>
        <w:tcBorders>
          <w:top w:val="double" w:sz="4" w:space="0" w:color="96969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9696" w:themeColor="accent5"/>
          <w:right w:val="single" w:sz="4" w:space="0" w:color="969696" w:themeColor="accent5"/>
        </w:tcBorders>
      </w:tcPr>
    </w:tblStylePr>
    <w:tblStylePr w:type="band1Horz">
      <w:tblPr/>
      <w:tcPr>
        <w:tcBorders>
          <w:top w:val="single" w:sz="4" w:space="0" w:color="969696" w:themeColor="accent5"/>
          <w:bottom w:val="single" w:sz="4" w:space="0" w:color="96969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9696" w:themeColor="accent5"/>
          <w:left w:val="nil"/>
        </w:tcBorders>
      </w:tcPr>
    </w:tblStylePr>
    <w:tblStylePr w:type="swCell">
      <w:tblPr/>
      <w:tcPr>
        <w:tcBorders>
          <w:top w:val="double" w:sz="4" w:space="0" w:color="969696" w:themeColor="accent5"/>
          <w:right w:val="nil"/>
        </w:tcBorders>
      </w:tcPr>
    </w:tblStylePr>
  </w:style>
  <w:style w:type="table" w:styleId="ListTable3-Accent6">
    <w:name w:val="List Table 3 Accent 6"/>
    <w:basedOn w:val="TableNormal"/>
    <w:uiPriority w:val="48"/>
    <w:unhideWhenUsed/>
    <w:rsid w:val="00F978CE"/>
    <w:pPr>
      <w:spacing w:after="0" w:line="240" w:lineRule="auto"/>
    </w:pPr>
    <w:tblPr>
      <w:tblStyleRowBandSize w:val="1"/>
      <w:tblStyleColBandSize w:val="1"/>
      <w:tblBorders>
        <w:top w:val="single" w:sz="4" w:space="0" w:color="C3C3C3" w:themeColor="accent6"/>
        <w:left w:val="single" w:sz="4" w:space="0" w:color="C3C3C3" w:themeColor="accent6"/>
        <w:bottom w:val="single" w:sz="4" w:space="0" w:color="C3C3C3" w:themeColor="accent6"/>
        <w:right w:val="single" w:sz="4" w:space="0" w:color="C3C3C3" w:themeColor="accent6"/>
      </w:tblBorders>
    </w:tblPr>
    <w:tblStylePr w:type="firstRow">
      <w:rPr>
        <w:b/>
        <w:bCs/>
        <w:color w:val="FFFFFF" w:themeColor="background1"/>
      </w:rPr>
      <w:tblPr/>
      <w:tcPr>
        <w:shd w:val="clear" w:color="auto" w:fill="C3C3C3" w:themeFill="accent6"/>
      </w:tcPr>
    </w:tblStylePr>
    <w:tblStylePr w:type="lastRow">
      <w:rPr>
        <w:b/>
        <w:bCs/>
      </w:rPr>
      <w:tblPr/>
      <w:tcPr>
        <w:tcBorders>
          <w:top w:val="double" w:sz="4" w:space="0" w:color="C3C3C3"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3C3C3" w:themeColor="accent6"/>
          <w:right w:val="single" w:sz="4" w:space="0" w:color="C3C3C3" w:themeColor="accent6"/>
        </w:tcBorders>
      </w:tcPr>
    </w:tblStylePr>
    <w:tblStylePr w:type="band1Horz">
      <w:tblPr/>
      <w:tcPr>
        <w:tcBorders>
          <w:top w:val="single" w:sz="4" w:space="0" w:color="C3C3C3" w:themeColor="accent6"/>
          <w:bottom w:val="single" w:sz="4" w:space="0" w:color="C3C3C3"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3C3C3" w:themeColor="accent6"/>
          <w:left w:val="nil"/>
        </w:tcBorders>
      </w:tcPr>
    </w:tblStylePr>
    <w:tblStylePr w:type="swCell">
      <w:tblPr/>
      <w:tcPr>
        <w:tcBorders>
          <w:top w:val="double" w:sz="4" w:space="0" w:color="C3C3C3" w:themeColor="accent6"/>
          <w:right w:val="nil"/>
        </w:tcBorders>
      </w:tcPr>
    </w:tblStylePr>
  </w:style>
  <w:style w:type="table" w:styleId="ListTable4">
    <w:name w:val="List Table 4"/>
    <w:basedOn w:val="TableNormal"/>
    <w:uiPriority w:val="49"/>
    <w:unhideWhenUsed/>
    <w:rsid w:val="00F978C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unhideWhenUsed/>
    <w:rsid w:val="00F978CE"/>
    <w:pPr>
      <w:spacing w:after="0" w:line="240" w:lineRule="auto"/>
    </w:pPr>
    <w:tblPr>
      <w:tblStyleRowBandSize w:val="1"/>
      <w:tblStyleColBandSize w:val="1"/>
      <w:tblBorders>
        <w:top w:val="single" w:sz="4" w:space="0" w:color="FF36A2" w:themeColor="accent1" w:themeTint="99"/>
        <w:left w:val="single" w:sz="4" w:space="0" w:color="FF36A2" w:themeColor="accent1" w:themeTint="99"/>
        <w:bottom w:val="single" w:sz="4" w:space="0" w:color="FF36A2" w:themeColor="accent1" w:themeTint="99"/>
        <w:right w:val="single" w:sz="4" w:space="0" w:color="FF36A2" w:themeColor="accent1" w:themeTint="99"/>
        <w:insideH w:val="single" w:sz="4" w:space="0" w:color="FF36A2" w:themeColor="accent1" w:themeTint="99"/>
      </w:tblBorders>
    </w:tblPr>
    <w:tblStylePr w:type="firstRow">
      <w:rPr>
        <w:b/>
        <w:bCs/>
        <w:color w:val="FFFFFF" w:themeColor="background1"/>
      </w:rPr>
      <w:tblPr/>
      <w:tcPr>
        <w:tcBorders>
          <w:top w:val="single" w:sz="4" w:space="0" w:color="AF005F" w:themeColor="accent1"/>
          <w:left w:val="single" w:sz="4" w:space="0" w:color="AF005F" w:themeColor="accent1"/>
          <w:bottom w:val="single" w:sz="4" w:space="0" w:color="AF005F" w:themeColor="accent1"/>
          <w:right w:val="single" w:sz="4" w:space="0" w:color="AF005F" w:themeColor="accent1"/>
          <w:insideH w:val="nil"/>
        </w:tcBorders>
        <w:shd w:val="clear" w:color="auto" w:fill="AF005F" w:themeFill="accent1"/>
      </w:tcPr>
    </w:tblStylePr>
    <w:tblStylePr w:type="lastRow">
      <w:rPr>
        <w:b/>
        <w:bCs/>
      </w:rPr>
      <w:tblPr/>
      <w:tcPr>
        <w:tcBorders>
          <w:top w:val="double" w:sz="4" w:space="0" w:color="FF36A2" w:themeColor="accent1" w:themeTint="99"/>
        </w:tcBorders>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ListTable4-Accent2">
    <w:name w:val="List Table 4 Accent 2"/>
    <w:basedOn w:val="TableNormal"/>
    <w:uiPriority w:val="49"/>
    <w:unhideWhenUsed/>
    <w:rsid w:val="00F978CE"/>
    <w:pPr>
      <w:spacing w:after="0" w:line="240" w:lineRule="auto"/>
    </w:pPr>
    <w:tblPr>
      <w:tblStyleRowBandSize w:val="1"/>
      <w:tblStyleColBandSize w:val="1"/>
      <w:tblBorders>
        <w:top w:val="single" w:sz="4" w:space="0" w:color="DD7FB2" w:themeColor="accent2" w:themeTint="99"/>
        <w:left w:val="single" w:sz="4" w:space="0" w:color="DD7FB2" w:themeColor="accent2" w:themeTint="99"/>
        <w:bottom w:val="single" w:sz="4" w:space="0" w:color="DD7FB2" w:themeColor="accent2" w:themeTint="99"/>
        <w:right w:val="single" w:sz="4" w:space="0" w:color="DD7FB2" w:themeColor="accent2" w:themeTint="99"/>
        <w:insideH w:val="single" w:sz="4" w:space="0" w:color="DD7FB2" w:themeColor="accent2" w:themeTint="99"/>
      </w:tblBorders>
    </w:tblPr>
    <w:tblStylePr w:type="firstRow">
      <w:rPr>
        <w:b/>
        <w:bCs/>
        <w:color w:val="FFFFFF" w:themeColor="background1"/>
      </w:rPr>
      <w:tblPr/>
      <w:tcPr>
        <w:tcBorders>
          <w:top w:val="single" w:sz="4" w:space="0" w:color="BF337F" w:themeColor="accent2"/>
          <w:left w:val="single" w:sz="4" w:space="0" w:color="BF337F" w:themeColor="accent2"/>
          <w:bottom w:val="single" w:sz="4" w:space="0" w:color="BF337F" w:themeColor="accent2"/>
          <w:right w:val="single" w:sz="4" w:space="0" w:color="BF337F" w:themeColor="accent2"/>
          <w:insideH w:val="nil"/>
        </w:tcBorders>
        <w:shd w:val="clear" w:color="auto" w:fill="BF337F" w:themeFill="accent2"/>
      </w:tcPr>
    </w:tblStylePr>
    <w:tblStylePr w:type="lastRow">
      <w:rPr>
        <w:b/>
        <w:bCs/>
      </w:rPr>
      <w:tblPr/>
      <w:tcPr>
        <w:tcBorders>
          <w:top w:val="double" w:sz="4" w:space="0" w:color="DD7FB2" w:themeColor="accent2" w:themeTint="99"/>
        </w:tcBorders>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ListTable4-Accent3">
    <w:name w:val="List Table 4 Accent 3"/>
    <w:basedOn w:val="TableNormal"/>
    <w:uiPriority w:val="49"/>
    <w:unhideWhenUsed/>
    <w:rsid w:val="00F978CE"/>
    <w:pPr>
      <w:spacing w:after="0" w:line="240" w:lineRule="auto"/>
    </w:pPr>
    <w:tblPr>
      <w:tblStyleRowBandSize w:val="1"/>
      <w:tblStyleColBandSize w:val="1"/>
      <w:tblBorders>
        <w:top w:val="single" w:sz="4" w:space="0" w:color="E09DC1" w:themeColor="accent3" w:themeTint="99"/>
        <w:left w:val="single" w:sz="4" w:space="0" w:color="E09DC1" w:themeColor="accent3" w:themeTint="99"/>
        <w:bottom w:val="single" w:sz="4" w:space="0" w:color="E09DC1" w:themeColor="accent3" w:themeTint="99"/>
        <w:right w:val="single" w:sz="4" w:space="0" w:color="E09DC1" w:themeColor="accent3" w:themeTint="99"/>
        <w:insideH w:val="single" w:sz="4" w:space="0" w:color="E09DC1" w:themeColor="accent3" w:themeTint="99"/>
      </w:tblBorders>
    </w:tblPr>
    <w:tblStylePr w:type="firstRow">
      <w:rPr>
        <w:b/>
        <w:bCs/>
        <w:color w:val="FFFFFF" w:themeColor="background1"/>
      </w:rPr>
      <w:tblPr/>
      <w:tcPr>
        <w:tcBorders>
          <w:top w:val="single" w:sz="4" w:space="0" w:color="CC5C99" w:themeColor="accent3"/>
          <w:left w:val="single" w:sz="4" w:space="0" w:color="CC5C99" w:themeColor="accent3"/>
          <w:bottom w:val="single" w:sz="4" w:space="0" w:color="CC5C99" w:themeColor="accent3"/>
          <w:right w:val="single" w:sz="4" w:space="0" w:color="CC5C99" w:themeColor="accent3"/>
          <w:insideH w:val="nil"/>
        </w:tcBorders>
        <w:shd w:val="clear" w:color="auto" w:fill="CC5C99" w:themeFill="accent3"/>
      </w:tcPr>
    </w:tblStylePr>
    <w:tblStylePr w:type="lastRow">
      <w:rPr>
        <w:b/>
        <w:bCs/>
      </w:rPr>
      <w:tblPr/>
      <w:tcPr>
        <w:tcBorders>
          <w:top w:val="double" w:sz="4" w:space="0" w:color="E09DC1" w:themeColor="accent3" w:themeTint="99"/>
        </w:tcBorders>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ListTable4-Accent4">
    <w:name w:val="List Table 4 Accent 4"/>
    <w:basedOn w:val="TableNormal"/>
    <w:uiPriority w:val="49"/>
    <w:unhideWhenUsed/>
    <w:rsid w:val="00F978CE"/>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tcBorders>
        <w:shd w:val="clear" w:color="auto" w:fill="808080" w:themeFill="accent4"/>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4-Accent5">
    <w:name w:val="List Table 4 Accent 5"/>
    <w:basedOn w:val="TableNormal"/>
    <w:uiPriority w:val="49"/>
    <w:unhideWhenUsed/>
    <w:rsid w:val="00F978CE"/>
    <w:pPr>
      <w:spacing w:after="0" w:line="240" w:lineRule="auto"/>
    </w:pPr>
    <w:tblPr>
      <w:tblStyleRowBandSize w:val="1"/>
      <w:tblStyleColBandSize w:val="1"/>
      <w:tblBorders>
        <w:top w:val="single" w:sz="4" w:space="0" w:color="C0C0C0" w:themeColor="accent5" w:themeTint="99"/>
        <w:left w:val="single" w:sz="4" w:space="0" w:color="C0C0C0" w:themeColor="accent5" w:themeTint="99"/>
        <w:bottom w:val="single" w:sz="4" w:space="0" w:color="C0C0C0" w:themeColor="accent5" w:themeTint="99"/>
        <w:right w:val="single" w:sz="4" w:space="0" w:color="C0C0C0" w:themeColor="accent5" w:themeTint="99"/>
        <w:insideH w:val="single" w:sz="4" w:space="0" w:color="C0C0C0" w:themeColor="accent5" w:themeTint="99"/>
      </w:tblBorders>
    </w:tblPr>
    <w:tblStylePr w:type="firstRow">
      <w:rPr>
        <w:b/>
        <w:bCs/>
        <w:color w:val="FFFFFF" w:themeColor="background1"/>
      </w:rPr>
      <w:tblPr/>
      <w:tcPr>
        <w:tcBorders>
          <w:top w:val="single" w:sz="4" w:space="0" w:color="969696" w:themeColor="accent5"/>
          <w:left w:val="single" w:sz="4" w:space="0" w:color="969696" w:themeColor="accent5"/>
          <w:bottom w:val="single" w:sz="4" w:space="0" w:color="969696" w:themeColor="accent5"/>
          <w:right w:val="single" w:sz="4" w:space="0" w:color="969696" w:themeColor="accent5"/>
          <w:insideH w:val="nil"/>
        </w:tcBorders>
        <w:shd w:val="clear" w:color="auto" w:fill="969696" w:themeFill="accent5"/>
      </w:tcPr>
    </w:tblStylePr>
    <w:tblStylePr w:type="lastRow">
      <w:rPr>
        <w:b/>
        <w:bCs/>
      </w:rPr>
      <w:tblPr/>
      <w:tcPr>
        <w:tcBorders>
          <w:top w:val="double" w:sz="4" w:space="0" w:color="C0C0C0" w:themeColor="accent5" w:themeTint="99"/>
        </w:tcBorders>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ListTable4-Accent6">
    <w:name w:val="List Table 4 Accent 6"/>
    <w:basedOn w:val="TableNormal"/>
    <w:uiPriority w:val="49"/>
    <w:unhideWhenUsed/>
    <w:rsid w:val="00F978CE"/>
    <w:pPr>
      <w:spacing w:after="0" w:line="240" w:lineRule="auto"/>
    </w:pPr>
    <w:tblPr>
      <w:tblStyleRowBandSize w:val="1"/>
      <w:tblStyleColBandSize w:val="1"/>
      <w:tblBorders>
        <w:top w:val="single" w:sz="4" w:space="0" w:color="DBDBDB" w:themeColor="accent6" w:themeTint="99"/>
        <w:left w:val="single" w:sz="4" w:space="0" w:color="DBDBDB" w:themeColor="accent6" w:themeTint="99"/>
        <w:bottom w:val="single" w:sz="4" w:space="0" w:color="DBDBDB" w:themeColor="accent6" w:themeTint="99"/>
        <w:right w:val="single" w:sz="4" w:space="0" w:color="DBDBDB" w:themeColor="accent6" w:themeTint="99"/>
        <w:insideH w:val="single" w:sz="4" w:space="0" w:color="DBDBDB" w:themeColor="accent6" w:themeTint="99"/>
      </w:tblBorders>
    </w:tblPr>
    <w:tblStylePr w:type="firstRow">
      <w:rPr>
        <w:b/>
        <w:bCs/>
        <w:color w:val="FFFFFF" w:themeColor="background1"/>
      </w:rPr>
      <w:tblPr/>
      <w:tcPr>
        <w:tcBorders>
          <w:top w:val="single" w:sz="4" w:space="0" w:color="C3C3C3" w:themeColor="accent6"/>
          <w:left w:val="single" w:sz="4" w:space="0" w:color="C3C3C3" w:themeColor="accent6"/>
          <w:bottom w:val="single" w:sz="4" w:space="0" w:color="C3C3C3" w:themeColor="accent6"/>
          <w:right w:val="single" w:sz="4" w:space="0" w:color="C3C3C3" w:themeColor="accent6"/>
          <w:insideH w:val="nil"/>
        </w:tcBorders>
        <w:shd w:val="clear" w:color="auto" w:fill="C3C3C3" w:themeFill="accent6"/>
      </w:tcPr>
    </w:tblStylePr>
    <w:tblStylePr w:type="lastRow">
      <w:rPr>
        <w:b/>
        <w:bCs/>
      </w:rPr>
      <w:tblPr/>
      <w:tcPr>
        <w:tcBorders>
          <w:top w:val="double" w:sz="4" w:space="0" w:color="DBDBDB" w:themeColor="accent6" w:themeTint="99"/>
        </w:tcBorders>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ListTable5Dark">
    <w:name w:val="List Table 5 Dark"/>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AF005F" w:themeColor="accent1"/>
        <w:left w:val="single" w:sz="24" w:space="0" w:color="AF005F" w:themeColor="accent1"/>
        <w:bottom w:val="single" w:sz="24" w:space="0" w:color="AF005F" w:themeColor="accent1"/>
        <w:right w:val="single" w:sz="24" w:space="0" w:color="AF005F" w:themeColor="accent1"/>
      </w:tblBorders>
    </w:tblPr>
    <w:tcPr>
      <w:shd w:val="clear" w:color="auto" w:fill="AF005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BF337F" w:themeColor="accent2"/>
        <w:left w:val="single" w:sz="24" w:space="0" w:color="BF337F" w:themeColor="accent2"/>
        <w:bottom w:val="single" w:sz="24" w:space="0" w:color="BF337F" w:themeColor="accent2"/>
        <w:right w:val="single" w:sz="24" w:space="0" w:color="BF337F" w:themeColor="accent2"/>
      </w:tblBorders>
    </w:tblPr>
    <w:tcPr>
      <w:shd w:val="clear" w:color="auto" w:fill="BF337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CC5C99" w:themeColor="accent3"/>
        <w:left w:val="single" w:sz="24" w:space="0" w:color="CC5C99" w:themeColor="accent3"/>
        <w:bottom w:val="single" w:sz="24" w:space="0" w:color="CC5C99" w:themeColor="accent3"/>
        <w:right w:val="single" w:sz="24" w:space="0" w:color="CC5C99" w:themeColor="accent3"/>
      </w:tblBorders>
    </w:tblPr>
    <w:tcPr>
      <w:shd w:val="clear" w:color="auto" w:fill="CC5C9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808080" w:themeColor="accent4"/>
        <w:left w:val="single" w:sz="24" w:space="0" w:color="808080" w:themeColor="accent4"/>
        <w:bottom w:val="single" w:sz="24" w:space="0" w:color="808080" w:themeColor="accent4"/>
        <w:right w:val="single" w:sz="24" w:space="0" w:color="808080" w:themeColor="accent4"/>
      </w:tblBorders>
    </w:tblPr>
    <w:tcPr>
      <w:shd w:val="clear" w:color="auto" w:fill="80808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969696" w:themeColor="accent5"/>
        <w:left w:val="single" w:sz="24" w:space="0" w:color="969696" w:themeColor="accent5"/>
        <w:bottom w:val="single" w:sz="24" w:space="0" w:color="969696" w:themeColor="accent5"/>
        <w:right w:val="single" w:sz="24" w:space="0" w:color="969696" w:themeColor="accent5"/>
      </w:tblBorders>
    </w:tblPr>
    <w:tcPr>
      <w:shd w:val="clear" w:color="auto" w:fill="96969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C3C3C3" w:themeColor="accent6"/>
        <w:left w:val="single" w:sz="24" w:space="0" w:color="C3C3C3" w:themeColor="accent6"/>
        <w:bottom w:val="single" w:sz="24" w:space="0" w:color="C3C3C3" w:themeColor="accent6"/>
        <w:right w:val="single" w:sz="24" w:space="0" w:color="C3C3C3" w:themeColor="accent6"/>
      </w:tblBorders>
    </w:tblPr>
    <w:tcPr>
      <w:shd w:val="clear" w:color="auto" w:fill="C3C3C3"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unhideWhenUsed/>
    <w:rsid w:val="00F978CE"/>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unhideWhenUsed/>
    <w:rsid w:val="00F978CE"/>
    <w:pPr>
      <w:spacing w:after="0" w:line="240" w:lineRule="auto"/>
    </w:pPr>
    <w:rPr>
      <w:color w:val="830046" w:themeColor="accent1" w:themeShade="BF"/>
    </w:rPr>
    <w:tblPr>
      <w:tblStyleRowBandSize w:val="1"/>
      <w:tblStyleColBandSize w:val="1"/>
      <w:tblBorders>
        <w:top w:val="single" w:sz="4" w:space="0" w:color="AF005F" w:themeColor="accent1"/>
        <w:bottom w:val="single" w:sz="4" w:space="0" w:color="AF005F" w:themeColor="accent1"/>
      </w:tblBorders>
    </w:tblPr>
    <w:tblStylePr w:type="firstRow">
      <w:rPr>
        <w:b/>
        <w:bCs/>
      </w:rPr>
      <w:tblPr/>
      <w:tcPr>
        <w:tcBorders>
          <w:bottom w:val="single" w:sz="4" w:space="0" w:color="AF005F" w:themeColor="accent1"/>
        </w:tcBorders>
      </w:tcPr>
    </w:tblStylePr>
    <w:tblStylePr w:type="lastRow">
      <w:rPr>
        <w:b/>
        <w:bCs/>
      </w:rPr>
      <w:tblPr/>
      <w:tcPr>
        <w:tcBorders>
          <w:top w:val="double" w:sz="4" w:space="0" w:color="AF005F" w:themeColor="accent1"/>
        </w:tcBorders>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ListTable6Colorful-Accent2">
    <w:name w:val="List Table 6 Colorful Accent 2"/>
    <w:basedOn w:val="TableNormal"/>
    <w:uiPriority w:val="51"/>
    <w:unhideWhenUsed/>
    <w:rsid w:val="00F978CE"/>
    <w:pPr>
      <w:spacing w:after="0" w:line="240" w:lineRule="auto"/>
    </w:pPr>
    <w:rPr>
      <w:color w:val="8E265E" w:themeColor="accent2" w:themeShade="BF"/>
    </w:rPr>
    <w:tblPr>
      <w:tblStyleRowBandSize w:val="1"/>
      <w:tblStyleColBandSize w:val="1"/>
      <w:tblBorders>
        <w:top w:val="single" w:sz="4" w:space="0" w:color="BF337F" w:themeColor="accent2"/>
        <w:bottom w:val="single" w:sz="4" w:space="0" w:color="BF337F" w:themeColor="accent2"/>
      </w:tblBorders>
    </w:tblPr>
    <w:tblStylePr w:type="firstRow">
      <w:rPr>
        <w:b/>
        <w:bCs/>
      </w:rPr>
      <w:tblPr/>
      <w:tcPr>
        <w:tcBorders>
          <w:bottom w:val="single" w:sz="4" w:space="0" w:color="BF337F" w:themeColor="accent2"/>
        </w:tcBorders>
      </w:tcPr>
    </w:tblStylePr>
    <w:tblStylePr w:type="lastRow">
      <w:rPr>
        <w:b/>
        <w:bCs/>
      </w:rPr>
      <w:tblPr/>
      <w:tcPr>
        <w:tcBorders>
          <w:top w:val="double" w:sz="4" w:space="0" w:color="BF337F" w:themeColor="accent2"/>
        </w:tcBorders>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ListTable6Colorful-Accent3">
    <w:name w:val="List Table 6 Colorful Accent 3"/>
    <w:basedOn w:val="TableNormal"/>
    <w:uiPriority w:val="51"/>
    <w:unhideWhenUsed/>
    <w:rsid w:val="00F978CE"/>
    <w:pPr>
      <w:spacing w:after="0" w:line="240" w:lineRule="auto"/>
    </w:pPr>
    <w:rPr>
      <w:color w:val="A83573" w:themeColor="accent3" w:themeShade="BF"/>
    </w:rPr>
    <w:tblPr>
      <w:tblStyleRowBandSize w:val="1"/>
      <w:tblStyleColBandSize w:val="1"/>
      <w:tblBorders>
        <w:top w:val="single" w:sz="4" w:space="0" w:color="CC5C99" w:themeColor="accent3"/>
        <w:bottom w:val="single" w:sz="4" w:space="0" w:color="CC5C99" w:themeColor="accent3"/>
      </w:tblBorders>
    </w:tblPr>
    <w:tblStylePr w:type="firstRow">
      <w:rPr>
        <w:b/>
        <w:bCs/>
      </w:rPr>
      <w:tblPr/>
      <w:tcPr>
        <w:tcBorders>
          <w:bottom w:val="single" w:sz="4" w:space="0" w:color="CC5C99" w:themeColor="accent3"/>
        </w:tcBorders>
      </w:tcPr>
    </w:tblStylePr>
    <w:tblStylePr w:type="lastRow">
      <w:rPr>
        <w:b/>
        <w:bCs/>
      </w:rPr>
      <w:tblPr/>
      <w:tcPr>
        <w:tcBorders>
          <w:top w:val="double" w:sz="4" w:space="0" w:color="CC5C99" w:themeColor="accent3"/>
        </w:tcBorders>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ListTable6Colorful-Accent4">
    <w:name w:val="List Table 6 Colorful Accent 4"/>
    <w:basedOn w:val="TableNormal"/>
    <w:uiPriority w:val="51"/>
    <w:unhideWhenUsed/>
    <w:rsid w:val="00F978CE"/>
    <w:pPr>
      <w:spacing w:after="0" w:line="240" w:lineRule="auto"/>
    </w:pPr>
    <w:rPr>
      <w:color w:val="5F5F5F" w:themeColor="accent4" w:themeShade="BF"/>
    </w:rPr>
    <w:tblPr>
      <w:tblStyleRowBandSize w:val="1"/>
      <w:tblStyleColBandSize w:val="1"/>
      <w:tblBorders>
        <w:top w:val="single" w:sz="4" w:space="0" w:color="808080" w:themeColor="accent4"/>
        <w:bottom w:val="single" w:sz="4" w:space="0" w:color="808080" w:themeColor="accent4"/>
      </w:tblBorders>
    </w:tblPr>
    <w:tblStylePr w:type="firstRow">
      <w:rPr>
        <w:b/>
        <w:bCs/>
      </w:rPr>
      <w:tblPr/>
      <w:tcPr>
        <w:tcBorders>
          <w:bottom w:val="single" w:sz="4" w:space="0" w:color="808080" w:themeColor="accent4"/>
        </w:tcBorders>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6Colorful-Accent5">
    <w:name w:val="List Table 6 Colorful Accent 5"/>
    <w:basedOn w:val="TableNormal"/>
    <w:uiPriority w:val="51"/>
    <w:unhideWhenUsed/>
    <w:rsid w:val="00F978CE"/>
    <w:pPr>
      <w:spacing w:after="0" w:line="240" w:lineRule="auto"/>
    </w:pPr>
    <w:rPr>
      <w:color w:val="707070" w:themeColor="accent5" w:themeShade="BF"/>
    </w:rPr>
    <w:tblPr>
      <w:tblStyleRowBandSize w:val="1"/>
      <w:tblStyleColBandSize w:val="1"/>
      <w:tblBorders>
        <w:top w:val="single" w:sz="4" w:space="0" w:color="969696" w:themeColor="accent5"/>
        <w:bottom w:val="single" w:sz="4" w:space="0" w:color="969696" w:themeColor="accent5"/>
      </w:tblBorders>
    </w:tblPr>
    <w:tblStylePr w:type="firstRow">
      <w:rPr>
        <w:b/>
        <w:bCs/>
      </w:rPr>
      <w:tblPr/>
      <w:tcPr>
        <w:tcBorders>
          <w:bottom w:val="single" w:sz="4" w:space="0" w:color="969696" w:themeColor="accent5"/>
        </w:tcBorders>
      </w:tcPr>
    </w:tblStylePr>
    <w:tblStylePr w:type="lastRow">
      <w:rPr>
        <w:b/>
        <w:bCs/>
      </w:rPr>
      <w:tblPr/>
      <w:tcPr>
        <w:tcBorders>
          <w:top w:val="double" w:sz="4" w:space="0" w:color="969696" w:themeColor="accent5"/>
        </w:tcBorders>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ListTable6Colorful-Accent6">
    <w:name w:val="List Table 6 Colorful Accent 6"/>
    <w:basedOn w:val="TableNormal"/>
    <w:uiPriority w:val="51"/>
    <w:unhideWhenUsed/>
    <w:rsid w:val="00F978CE"/>
    <w:pPr>
      <w:spacing w:after="0" w:line="240" w:lineRule="auto"/>
    </w:pPr>
    <w:rPr>
      <w:color w:val="929292" w:themeColor="accent6" w:themeShade="BF"/>
    </w:rPr>
    <w:tblPr>
      <w:tblStyleRowBandSize w:val="1"/>
      <w:tblStyleColBandSize w:val="1"/>
      <w:tblBorders>
        <w:top w:val="single" w:sz="4" w:space="0" w:color="C3C3C3" w:themeColor="accent6"/>
        <w:bottom w:val="single" w:sz="4" w:space="0" w:color="C3C3C3" w:themeColor="accent6"/>
      </w:tblBorders>
    </w:tblPr>
    <w:tblStylePr w:type="firstRow">
      <w:rPr>
        <w:b/>
        <w:bCs/>
      </w:rPr>
      <w:tblPr/>
      <w:tcPr>
        <w:tcBorders>
          <w:bottom w:val="single" w:sz="4" w:space="0" w:color="C3C3C3" w:themeColor="accent6"/>
        </w:tcBorders>
      </w:tcPr>
    </w:tblStylePr>
    <w:tblStylePr w:type="lastRow">
      <w:rPr>
        <w:b/>
        <w:bCs/>
      </w:rPr>
      <w:tblPr/>
      <w:tcPr>
        <w:tcBorders>
          <w:top w:val="double" w:sz="4" w:space="0" w:color="C3C3C3" w:themeColor="accent6"/>
        </w:tcBorders>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ListTable7Colorful">
    <w:name w:val="List Table 7 Colorful"/>
    <w:basedOn w:val="TableNormal"/>
    <w:uiPriority w:val="52"/>
    <w:unhideWhenUsed/>
    <w:rsid w:val="00F978CE"/>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unhideWhenUsed/>
    <w:rsid w:val="00F978CE"/>
    <w:pPr>
      <w:spacing w:after="0" w:line="240" w:lineRule="auto"/>
    </w:pPr>
    <w:rPr>
      <w:color w:val="83004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F005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F005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F005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F005F" w:themeColor="accent1"/>
        </w:tcBorders>
        <w:shd w:val="clear" w:color="auto" w:fill="FFFFFF" w:themeFill="background1"/>
      </w:tcPr>
    </w:tblStylePr>
    <w:tblStylePr w:type="band1Vert">
      <w:tblPr/>
      <w:tcPr>
        <w:shd w:val="clear" w:color="auto" w:fill="FFBCE0" w:themeFill="accent1" w:themeFillTint="33"/>
      </w:tcPr>
    </w:tblStylePr>
    <w:tblStylePr w:type="band1Horz">
      <w:tblPr/>
      <w:tcPr>
        <w:shd w:val="clear" w:color="auto" w:fill="FFBCE0"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unhideWhenUsed/>
    <w:rsid w:val="00F978CE"/>
    <w:pPr>
      <w:spacing w:after="0" w:line="240" w:lineRule="auto"/>
    </w:pPr>
    <w:rPr>
      <w:color w:val="8E265E"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F337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F337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F337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F337F" w:themeColor="accent2"/>
        </w:tcBorders>
        <w:shd w:val="clear" w:color="auto" w:fill="FFFFFF" w:themeFill="background1"/>
      </w:tcPr>
    </w:tblStylePr>
    <w:tblStylePr w:type="band1Vert">
      <w:tblPr/>
      <w:tcPr>
        <w:shd w:val="clear" w:color="auto" w:fill="F3D4E5" w:themeFill="accent2" w:themeFillTint="33"/>
      </w:tcPr>
    </w:tblStylePr>
    <w:tblStylePr w:type="band1Horz">
      <w:tblPr/>
      <w:tcPr>
        <w:shd w:val="clear" w:color="auto" w:fill="F3D4E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unhideWhenUsed/>
    <w:rsid w:val="00F978CE"/>
    <w:pPr>
      <w:spacing w:after="0" w:line="240" w:lineRule="auto"/>
    </w:pPr>
    <w:rPr>
      <w:color w:val="A83573"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C5C9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C5C9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C5C9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C5C99" w:themeColor="accent3"/>
        </w:tcBorders>
        <w:shd w:val="clear" w:color="auto" w:fill="FFFFFF" w:themeFill="background1"/>
      </w:tcPr>
    </w:tblStylePr>
    <w:tblStylePr w:type="band1Vert">
      <w:tblPr/>
      <w:tcPr>
        <w:shd w:val="clear" w:color="auto" w:fill="F4DEEA" w:themeFill="accent3" w:themeFillTint="33"/>
      </w:tcPr>
    </w:tblStylePr>
    <w:tblStylePr w:type="band1Horz">
      <w:tblPr/>
      <w:tcPr>
        <w:shd w:val="clear" w:color="auto" w:fill="F4DEE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unhideWhenUsed/>
    <w:rsid w:val="00F978CE"/>
    <w:pPr>
      <w:spacing w:after="0" w:line="240" w:lineRule="auto"/>
    </w:pPr>
    <w:rPr>
      <w:color w:val="5F5F5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808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808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808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8080" w:themeColor="accent4"/>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unhideWhenUsed/>
    <w:rsid w:val="00F978CE"/>
    <w:pPr>
      <w:spacing w:after="0" w:line="240" w:lineRule="auto"/>
    </w:pPr>
    <w:rPr>
      <w:color w:val="70707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969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969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969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9696" w:themeColor="accent5"/>
        </w:tcBorders>
        <w:shd w:val="clear" w:color="auto" w:fill="FFFFFF" w:themeFill="background1"/>
      </w:tcPr>
    </w:tblStylePr>
    <w:tblStylePr w:type="band1Vert">
      <w:tblPr/>
      <w:tcPr>
        <w:shd w:val="clear" w:color="auto" w:fill="EAEAEA" w:themeFill="accent5" w:themeFillTint="33"/>
      </w:tcPr>
    </w:tblStylePr>
    <w:tblStylePr w:type="band1Horz">
      <w:tblPr/>
      <w:tcPr>
        <w:shd w:val="clear" w:color="auto" w:fill="EAEAE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unhideWhenUsed/>
    <w:rsid w:val="00F978CE"/>
    <w:pPr>
      <w:spacing w:after="0" w:line="240" w:lineRule="auto"/>
    </w:pPr>
    <w:rPr>
      <w:color w:val="929292"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3C3C3"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3C3C3"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3C3C3"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3C3C3" w:themeColor="accent6"/>
        </w:tcBorders>
        <w:shd w:val="clear" w:color="auto" w:fill="FFFFFF" w:themeFill="background1"/>
      </w:tcPr>
    </w:tblStylePr>
    <w:tblStylePr w:type="band1Vert">
      <w:tblPr/>
      <w:tcPr>
        <w:shd w:val="clear" w:color="auto" w:fill="F3F3F3" w:themeFill="accent6" w:themeFillTint="33"/>
      </w:tcPr>
    </w:tblStylePr>
    <w:tblStylePr w:type="band1Horz">
      <w:tblPr/>
      <w:tcPr>
        <w:shd w:val="clear" w:color="auto" w:fill="F3F3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F978C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rsid w:val="00FE583B"/>
    <w:rPr>
      <w:rFonts w:ascii="Consolas" w:hAnsi="Consolas"/>
      <w:sz w:val="20"/>
      <w:szCs w:val="20"/>
    </w:rPr>
  </w:style>
  <w:style w:type="table" w:styleId="MediumGrid1">
    <w:name w:val="Medium Grid 1"/>
    <w:basedOn w:val="TableNormal"/>
    <w:uiPriority w:val="67"/>
    <w:unhideWhenUsed/>
    <w:rsid w:val="00F978C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unhideWhenUsed/>
    <w:rsid w:val="00F978CE"/>
    <w:pPr>
      <w:spacing w:after="0" w:line="240" w:lineRule="auto"/>
    </w:pPr>
    <w:tblPr>
      <w:tblStyleRowBandSize w:val="1"/>
      <w:tblStyleColBandSize w:val="1"/>
      <w:tblBorders>
        <w:top w:val="single" w:sz="8" w:space="0" w:color="FF048B" w:themeColor="accent1" w:themeTint="BF"/>
        <w:left w:val="single" w:sz="8" w:space="0" w:color="FF048B" w:themeColor="accent1" w:themeTint="BF"/>
        <w:bottom w:val="single" w:sz="8" w:space="0" w:color="FF048B" w:themeColor="accent1" w:themeTint="BF"/>
        <w:right w:val="single" w:sz="8" w:space="0" w:color="FF048B" w:themeColor="accent1" w:themeTint="BF"/>
        <w:insideH w:val="single" w:sz="8" w:space="0" w:color="FF048B" w:themeColor="accent1" w:themeTint="BF"/>
        <w:insideV w:val="single" w:sz="8" w:space="0" w:color="FF048B" w:themeColor="accent1" w:themeTint="BF"/>
      </w:tblBorders>
    </w:tblPr>
    <w:tcPr>
      <w:shd w:val="clear" w:color="auto" w:fill="FFACD8" w:themeFill="accent1" w:themeFillTint="3F"/>
    </w:tcPr>
    <w:tblStylePr w:type="firstRow">
      <w:rPr>
        <w:b/>
        <w:bCs/>
      </w:rPr>
    </w:tblStylePr>
    <w:tblStylePr w:type="lastRow">
      <w:rPr>
        <w:b/>
        <w:bCs/>
      </w:rPr>
      <w:tblPr/>
      <w:tcPr>
        <w:tcBorders>
          <w:top w:val="single" w:sz="18" w:space="0" w:color="FF048B" w:themeColor="accent1" w:themeTint="BF"/>
        </w:tcBorders>
      </w:tcPr>
    </w:tblStylePr>
    <w:tblStylePr w:type="firstCol">
      <w:rPr>
        <w:b/>
        <w:bCs/>
      </w:rPr>
    </w:tblStylePr>
    <w:tblStylePr w:type="lastCol">
      <w:rPr>
        <w:b/>
        <w:bCs/>
      </w:rPr>
    </w:tblStylePr>
    <w:tblStylePr w:type="band1Vert">
      <w:tblPr/>
      <w:tcPr>
        <w:shd w:val="clear" w:color="auto" w:fill="FF58B2" w:themeFill="accent1" w:themeFillTint="7F"/>
      </w:tcPr>
    </w:tblStylePr>
    <w:tblStylePr w:type="band1Horz">
      <w:tblPr/>
      <w:tcPr>
        <w:shd w:val="clear" w:color="auto" w:fill="FF58B2" w:themeFill="accent1" w:themeFillTint="7F"/>
      </w:tcPr>
    </w:tblStylePr>
  </w:style>
  <w:style w:type="table" w:styleId="MediumGrid1-Accent2">
    <w:name w:val="Medium Grid 1 Accent 2"/>
    <w:basedOn w:val="TableNormal"/>
    <w:uiPriority w:val="67"/>
    <w:unhideWhenUsed/>
    <w:rsid w:val="00F978CE"/>
    <w:pPr>
      <w:spacing w:after="0" w:line="240" w:lineRule="auto"/>
    </w:pPr>
    <w:tblPr>
      <w:tblStyleRowBandSize w:val="1"/>
      <w:tblStyleColBandSize w:val="1"/>
      <w:tblBorders>
        <w:top w:val="single" w:sz="8" w:space="0" w:color="D4609F" w:themeColor="accent2" w:themeTint="BF"/>
        <w:left w:val="single" w:sz="8" w:space="0" w:color="D4609F" w:themeColor="accent2" w:themeTint="BF"/>
        <w:bottom w:val="single" w:sz="8" w:space="0" w:color="D4609F" w:themeColor="accent2" w:themeTint="BF"/>
        <w:right w:val="single" w:sz="8" w:space="0" w:color="D4609F" w:themeColor="accent2" w:themeTint="BF"/>
        <w:insideH w:val="single" w:sz="8" w:space="0" w:color="D4609F" w:themeColor="accent2" w:themeTint="BF"/>
        <w:insideV w:val="single" w:sz="8" w:space="0" w:color="D4609F" w:themeColor="accent2" w:themeTint="BF"/>
      </w:tblBorders>
    </w:tblPr>
    <w:tcPr>
      <w:shd w:val="clear" w:color="auto" w:fill="F1CADF" w:themeFill="accent2" w:themeFillTint="3F"/>
    </w:tcPr>
    <w:tblStylePr w:type="firstRow">
      <w:rPr>
        <w:b/>
        <w:bCs/>
      </w:rPr>
    </w:tblStylePr>
    <w:tblStylePr w:type="lastRow">
      <w:rPr>
        <w:b/>
        <w:bCs/>
      </w:rPr>
      <w:tblPr/>
      <w:tcPr>
        <w:tcBorders>
          <w:top w:val="single" w:sz="18" w:space="0" w:color="D4609F" w:themeColor="accent2" w:themeTint="BF"/>
        </w:tcBorders>
      </w:tcPr>
    </w:tblStylePr>
    <w:tblStylePr w:type="firstCol">
      <w:rPr>
        <w:b/>
        <w:bCs/>
      </w:rPr>
    </w:tblStylePr>
    <w:tblStylePr w:type="lastCol">
      <w:rPr>
        <w:b/>
        <w:bCs/>
      </w:rPr>
    </w:tblStylePr>
    <w:tblStylePr w:type="band1Vert">
      <w:tblPr/>
      <w:tcPr>
        <w:shd w:val="clear" w:color="auto" w:fill="E295BF" w:themeFill="accent2" w:themeFillTint="7F"/>
      </w:tcPr>
    </w:tblStylePr>
    <w:tblStylePr w:type="band1Horz">
      <w:tblPr/>
      <w:tcPr>
        <w:shd w:val="clear" w:color="auto" w:fill="E295BF" w:themeFill="accent2" w:themeFillTint="7F"/>
      </w:tcPr>
    </w:tblStylePr>
  </w:style>
  <w:style w:type="table" w:styleId="MediumGrid1-Accent3">
    <w:name w:val="Medium Grid 1 Accent 3"/>
    <w:basedOn w:val="TableNormal"/>
    <w:uiPriority w:val="67"/>
    <w:unhideWhenUsed/>
    <w:rsid w:val="00F978CE"/>
    <w:pPr>
      <w:spacing w:after="0" w:line="240" w:lineRule="auto"/>
    </w:pPr>
    <w:tblPr>
      <w:tblStyleRowBandSize w:val="1"/>
      <w:tblStyleColBandSize w:val="1"/>
      <w:tblBorders>
        <w:top w:val="single" w:sz="8" w:space="0" w:color="D884B2" w:themeColor="accent3" w:themeTint="BF"/>
        <w:left w:val="single" w:sz="8" w:space="0" w:color="D884B2" w:themeColor="accent3" w:themeTint="BF"/>
        <w:bottom w:val="single" w:sz="8" w:space="0" w:color="D884B2" w:themeColor="accent3" w:themeTint="BF"/>
        <w:right w:val="single" w:sz="8" w:space="0" w:color="D884B2" w:themeColor="accent3" w:themeTint="BF"/>
        <w:insideH w:val="single" w:sz="8" w:space="0" w:color="D884B2" w:themeColor="accent3" w:themeTint="BF"/>
        <w:insideV w:val="single" w:sz="8" w:space="0" w:color="D884B2" w:themeColor="accent3" w:themeTint="BF"/>
      </w:tblBorders>
    </w:tblPr>
    <w:tcPr>
      <w:shd w:val="clear" w:color="auto" w:fill="F2D6E5" w:themeFill="accent3" w:themeFillTint="3F"/>
    </w:tcPr>
    <w:tblStylePr w:type="firstRow">
      <w:rPr>
        <w:b/>
        <w:bCs/>
      </w:rPr>
    </w:tblStylePr>
    <w:tblStylePr w:type="lastRow">
      <w:rPr>
        <w:b/>
        <w:bCs/>
      </w:rPr>
      <w:tblPr/>
      <w:tcPr>
        <w:tcBorders>
          <w:top w:val="single" w:sz="18" w:space="0" w:color="D884B2" w:themeColor="accent3" w:themeTint="BF"/>
        </w:tcBorders>
      </w:tcPr>
    </w:tblStylePr>
    <w:tblStylePr w:type="firstCol">
      <w:rPr>
        <w:b/>
        <w:bCs/>
      </w:rPr>
    </w:tblStylePr>
    <w:tblStylePr w:type="lastCol">
      <w:rPr>
        <w:b/>
        <w:bCs/>
      </w:rPr>
    </w:tblStylePr>
    <w:tblStylePr w:type="band1Vert">
      <w:tblPr/>
      <w:tcPr>
        <w:shd w:val="clear" w:color="auto" w:fill="E5ADCB" w:themeFill="accent3" w:themeFillTint="7F"/>
      </w:tcPr>
    </w:tblStylePr>
    <w:tblStylePr w:type="band1Horz">
      <w:tblPr/>
      <w:tcPr>
        <w:shd w:val="clear" w:color="auto" w:fill="E5ADCB" w:themeFill="accent3" w:themeFillTint="7F"/>
      </w:tcPr>
    </w:tblStylePr>
  </w:style>
  <w:style w:type="table" w:styleId="MediumGrid1-Accent4">
    <w:name w:val="Medium Grid 1 Accent 4"/>
    <w:basedOn w:val="TableNormal"/>
    <w:uiPriority w:val="67"/>
    <w:unhideWhenUsed/>
    <w:rsid w:val="00F978CE"/>
    <w:pPr>
      <w:spacing w:after="0"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unhideWhenUsed/>
    <w:rsid w:val="00F978CE"/>
    <w:pPr>
      <w:spacing w:after="0" w:line="240" w:lineRule="auto"/>
    </w:pPr>
    <w:tblPr>
      <w:tblStyleRowBandSize w:val="1"/>
      <w:tblStyleColBandSize w:val="1"/>
      <w:tblBorders>
        <w:top w:val="single" w:sz="8" w:space="0" w:color="B0B0B0" w:themeColor="accent5" w:themeTint="BF"/>
        <w:left w:val="single" w:sz="8" w:space="0" w:color="B0B0B0" w:themeColor="accent5" w:themeTint="BF"/>
        <w:bottom w:val="single" w:sz="8" w:space="0" w:color="B0B0B0" w:themeColor="accent5" w:themeTint="BF"/>
        <w:right w:val="single" w:sz="8" w:space="0" w:color="B0B0B0" w:themeColor="accent5" w:themeTint="BF"/>
        <w:insideH w:val="single" w:sz="8" w:space="0" w:color="B0B0B0" w:themeColor="accent5" w:themeTint="BF"/>
        <w:insideV w:val="single" w:sz="8" w:space="0" w:color="B0B0B0" w:themeColor="accent5" w:themeTint="BF"/>
      </w:tblBorders>
    </w:tblPr>
    <w:tcPr>
      <w:shd w:val="clear" w:color="auto" w:fill="E5E5E5" w:themeFill="accent5" w:themeFillTint="3F"/>
    </w:tcPr>
    <w:tblStylePr w:type="firstRow">
      <w:rPr>
        <w:b/>
        <w:bCs/>
      </w:rPr>
    </w:tblStylePr>
    <w:tblStylePr w:type="lastRow">
      <w:rPr>
        <w:b/>
        <w:bCs/>
      </w:rPr>
      <w:tblPr/>
      <w:tcPr>
        <w:tcBorders>
          <w:top w:val="single" w:sz="18" w:space="0" w:color="B0B0B0" w:themeColor="accent5" w:themeTint="BF"/>
        </w:tcBorders>
      </w:tcPr>
    </w:tblStylePr>
    <w:tblStylePr w:type="firstCol">
      <w:rPr>
        <w:b/>
        <w:bCs/>
      </w:rPr>
    </w:tblStylePr>
    <w:tblStylePr w:type="lastCol">
      <w:rPr>
        <w:b/>
        <w:bCs/>
      </w:rPr>
    </w:tblStylePr>
    <w:tblStylePr w:type="band1Vert">
      <w:tblPr/>
      <w:tcPr>
        <w:shd w:val="clear" w:color="auto" w:fill="CACACA" w:themeFill="accent5" w:themeFillTint="7F"/>
      </w:tcPr>
    </w:tblStylePr>
    <w:tblStylePr w:type="band1Horz">
      <w:tblPr/>
      <w:tcPr>
        <w:shd w:val="clear" w:color="auto" w:fill="CACACA" w:themeFill="accent5" w:themeFillTint="7F"/>
      </w:tcPr>
    </w:tblStylePr>
  </w:style>
  <w:style w:type="table" w:styleId="MediumGrid1-Accent6">
    <w:name w:val="Medium Grid 1 Accent 6"/>
    <w:basedOn w:val="TableNormal"/>
    <w:uiPriority w:val="67"/>
    <w:unhideWhenUsed/>
    <w:rsid w:val="00F978CE"/>
    <w:pPr>
      <w:spacing w:after="0" w:line="240" w:lineRule="auto"/>
    </w:pPr>
    <w:tblPr>
      <w:tblStyleRowBandSize w:val="1"/>
      <w:tblStyleColBandSize w:val="1"/>
      <w:tblBorders>
        <w:top w:val="single" w:sz="8" w:space="0" w:color="D2D2D2" w:themeColor="accent6" w:themeTint="BF"/>
        <w:left w:val="single" w:sz="8" w:space="0" w:color="D2D2D2" w:themeColor="accent6" w:themeTint="BF"/>
        <w:bottom w:val="single" w:sz="8" w:space="0" w:color="D2D2D2" w:themeColor="accent6" w:themeTint="BF"/>
        <w:right w:val="single" w:sz="8" w:space="0" w:color="D2D2D2" w:themeColor="accent6" w:themeTint="BF"/>
        <w:insideH w:val="single" w:sz="8" w:space="0" w:color="D2D2D2" w:themeColor="accent6" w:themeTint="BF"/>
        <w:insideV w:val="single" w:sz="8" w:space="0" w:color="D2D2D2" w:themeColor="accent6" w:themeTint="BF"/>
      </w:tblBorders>
    </w:tblPr>
    <w:tcPr>
      <w:shd w:val="clear" w:color="auto" w:fill="F0F0F0" w:themeFill="accent6" w:themeFillTint="3F"/>
    </w:tcPr>
    <w:tblStylePr w:type="firstRow">
      <w:rPr>
        <w:b/>
        <w:bCs/>
      </w:rPr>
    </w:tblStylePr>
    <w:tblStylePr w:type="lastRow">
      <w:rPr>
        <w:b/>
        <w:bCs/>
      </w:rPr>
      <w:tblPr/>
      <w:tcPr>
        <w:tcBorders>
          <w:top w:val="single" w:sz="18" w:space="0" w:color="D2D2D2" w:themeColor="accent6" w:themeTint="BF"/>
        </w:tcBorders>
      </w:tcPr>
    </w:tblStylePr>
    <w:tblStylePr w:type="firstCol">
      <w:rPr>
        <w:b/>
        <w:bCs/>
      </w:rPr>
    </w:tblStylePr>
    <w:tblStylePr w:type="lastCol">
      <w:rPr>
        <w:b/>
        <w:bCs/>
      </w:rPr>
    </w:tblStylePr>
    <w:tblStylePr w:type="band1Vert">
      <w:tblPr/>
      <w:tcPr>
        <w:shd w:val="clear" w:color="auto" w:fill="E1E1E1" w:themeFill="accent6" w:themeFillTint="7F"/>
      </w:tcPr>
    </w:tblStylePr>
    <w:tblStylePr w:type="band1Horz">
      <w:tblPr/>
      <w:tcPr>
        <w:shd w:val="clear" w:color="auto" w:fill="E1E1E1" w:themeFill="accent6" w:themeFillTint="7F"/>
      </w:tcPr>
    </w:tblStylePr>
  </w:style>
  <w:style w:type="table" w:styleId="MediumGrid2">
    <w:name w:val="Medium Grid 2"/>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F005F" w:themeColor="accent1"/>
        <w:left w:val="single" w:sz="8" w:space="0" w:color="AF005F" w:themeColor="accent1"/>
        <w:bottom w:val="single" w:sz="8" w:space="0" w:color="AF005F" w:themeColor="accent1"/>
        <w:right w:val="single" w:sz="8" w:space="0" w:color="AF005F" w:themeColor="accent1"/>
        <w:insideH w:val="single" w:sz="8" w:space="0" w:color="AF005F" w:themeColor="accent1"/>
        <w:insideV w:val="single" w:sz="8" w:space="0" w:color="AF005F" w:themeColor="accent1"/>
      </w:tblBorders>
    </w:tblPr>
    <w:tcPr>
      <w:shd w:val="clear" w:color="auto" w:fill="FFACD8" w:themeFill="accent1" w:themeFillTint="3F"/>
    </w:tcPr>
    <w:tblStylePr w:type="firstRow">
      <w:rPr>
        <w:b/>
        <w:bCs/>
        <w:color w:val="000000" w:themeColor="text1"/>
      </w:rPr>
      <w:tblPr/>
      <w:tcPr>
        <w:shd w:val="clear" w:color="auto" w:fill="FFDEE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CE0" w:themeFill="accent1" w:themeFillTint="33"/>
      </w:tcPr>
    </w:tblStylePr>
    <w:tblStylePr w:type="band1Vert">
      <w:tblPr/>
      <w:tcPr>
        <w:shd w:val="clear" w:color="auto" w:fill="FF58B2" w:themeFill="accent1" w:themeFillTint="7F"/>
      </w:tcPr>
    </w:tblStylePr>
    <w:tblStylePr w:type="band1Horz">
      <w:tblPr/>
      <w:tcPr>
        <w:tcBorders>
          <w:insideH w:val="single" w:sz="6" w:space="0" w:color="AF005F" w:themeColor="accent1"/>
          <w:insideV w:val="single" w:sz="6" w:space="0" w:color="AF005F" w:themeColor="accent1"/>
        </w:tcBorders>
        <w:shd w:val="clear" w:color="auto" w:fill="FF58B2"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F337F" w:themeColor="accent2"/>
        <w:left w:val="single" w:sz="8" w:space="0" w:color="BF337F" w:themeColor="accent2"/>
        <w:bottom w:val="single" w:sz="8" w:space="0" w:color="BF337F" w:themeColor="accent2"/>
        <w:right w:val="single" w:sz="8" w:space="0" w:color="BF337F" w:themeColor="accent2"/>
        <w:insideH w:val="single" w:sz="8" w:space="0" w:color="BF337F" w:themeColor="accent2"/>
        <w:insideV w:val="single" w:sz="8" w:space="0" w:color="BF337F" w:themeColor="accent2"/>
      </w:tblBorders>
    </w:tblPr>
    <w:tcPr>
      <w:shd w:val="clear" w:color="auto" w:fill="F1CADF" w:themeFill="accent2" w:themeFillTint="3F"/>
    </w:tcPr>
    <w:tblStylePr w:type="firstRow">
      <w:rPr>
        <w:b/>
        <w:bCs/>
        <w:color w:val="000000" w:themeColor="text1"/>
      </w:rPr>
      <w:tblPr/>
      <w:tcPr>
        <w:shd w:val="clear" w:color="auto" w:fill="F9EAF2"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D4E5" w:themeFill="accent2" w:themeFillTint="33"/>
      </w:tcPr>
    </w:tblStylePr>
    <w:tblStylePr w:type="band1Vert">
      <w:tblPr/>
      <w:tcPr>
        <w:shd w:val="clear" w:color="auto" w:fill="E295BF" w:themeFill="accent2" w:themeFillTint="7F"/>
      </w:tcPr>
    </w:tblStylePr>
    <w:tblStylePr w:type="band1Horz">
      <w:tblPr/>
      <w:tcPr>
        <w:tcBorders>
          <w:insideH w:val="single" w:sz="6" w:space="0" w:color="BF337F" w:themeColor="accent2"/>
          <w:insideV w:val="single" w:sz="6" w:space="0" w:color="BF337F" w:themeColor="accent2"/>
        </w:tcBorders>
        <w:shd w:val="clear" w:color="auto" w:fill="E295B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C5C99" w:themeColor="accent3"/>
        <w:left w:val="single" w:sz="8" w:space="0" w:color="CC5C99" w:themeColor="accent3"/>
        <w:bottom w:val="single" w:sz="8" w:space="0" w:color="CC5C99" w:themeColor="accent3"/>
        <w:right w:val="single" w:sz="8" w:space="0" w:color="CC5C99" w:themeColor="accent3"/>
        <w:insideH w:val="single" w:sz="8" w:space="0" w:color="CC5C99" w:themeColor="accent3"/>
        <w:insideV w:val="single" w:sz="8" w:space="0" w:color="CC5C99" w:themeColor="accent3"/>
      </w:tblBorders>
    </w:tblPr>
    <w:tcPr>
      <w:shd w:val="clear" w:color="auto" w:fill="F2D6E5" w:themeFill="accent3" w:themeFillTint="3F"/>
    </w:tcPr>
    <w:tblStylePr w:type="firstRow">
      <w:rPr>
        <w:b/>
        <w:bCs/>
        <w:color w:val="000000" w:themeColor="text1"/>
      </w:rPr>
      <w:tblPr/>
      <w:tcPr>
        <w:shd w:val="clear" w:color="auto" w:fill="FAEF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DEEA" w:themeFill="accent3" w:themeFillTint="33"/>
      </w:tcPr>
    </w:tblStylePr>
    <w:tblStylePr w:type="band1Vert">
      <w:tblPr/>
      <w:tcPr>
        <w:shd w:val="clear" w:color="auto" w:fill="E5ADCB" w:themeFill="accent3" w:themeFillTint="7F"/>
      </w:tcPr>
    </w:tblStylePr>
    <w:tblStylePr w:type="band1Horz">
      <w:tblPr/>
      <w:tcPr>
        <w:tcBorders>
          <w:insideH w:val="single" w:sz="6" w:space="0" w:color="CC5C99" w:themeColor="accent3"/>
          <w:insideV w:val="single" w:sz="6" w:space="0" w:color="CC5C99" w:themeColor="accent3"/>
        </w:tcBorders>
        <w:shd w:val="clear" w:color="auto" w:fill="E5ADCB"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5"/>
        <w:left w:val="single" w:sz="8" w:space="0" w:color="969696" w:themeColor="accent5"/>
        <w:bottom w:val="single" w:sz="8" w:space="0" w:color="969696" w:themeColor="accent5"/>
        <w:right w:val="single" w:sz="8" w:space="0" w:color="969696" w:themeColor="accent5"/>
        <w:insideH w:val="single" w:sz="8" w:space="0" w:color="969696" w:themeColor="accent5"/>
        <w:insideV w:val="single" w:sz="8" w:space="0" w:color="969696" w:themeColor="accent5"/>
      </w:tblBorders>
    </w:tblPr>
    <w:tcPr>
      <w:shd w:val="clear" w:color="auto" w:fill="E5E5E5" w:themeFill="accent5" w:themeFillTint="3F"/>
    </w:tcPr>
    <w:tblStylePr w:type="firstRow">
      <w:rPr>
        <w:b/>
        <w:bCs/>
        <w:color w:val="000000" w:themeColor="text1"/>
      </w:rPr>
      <w:tblPr/>
      <w:tcPr>
        <w:shd w:val="clear" w:color="auto" w:fill="F4F4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5" w:themeFillTint="33"/>
      </w:tcPr>
    </w:tblStylePr>
    <w:tblStylePr w:type="band1Vert">
      <w:tblPr/>
      <w:tcPr>
        <w:shd w:val="clear" w:color="auto" w:fill="CACACA" w:themeFill="accent5" w:themeFillTint="7F"/>
      </w:tcPr>
    </w:tblStylePr>
    <w:tblStylePr w:type="band1Horz">
      <w:tblPr/>
      <w:tcPr>
        <w:tcBorders>
          <w:insideH w:val="single" w:sz="6" w:space="0" w:color="969696" w:themeColor="accent5"/>
          <w:insideV w:val="single" w:sz="6" w:space="0" w:color="969696" w:themeColor="accent5"/>
        </w:tcBorders>
        <w:shd w:val="clear" w:color="auto" w:fill="CACAC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3C3C3" w:themeColor="accent6"/>
        <w:left w:val="single" w:sz="8" w:space="0" w:color="C3C3C3" w:themeColor="accent6"/>
        <w:bottom w:val="single" w:sz="8" w:space="0" w:color="C3C3C3" w:themeColor="accent6"/>
        <w:right w:val="single" w:sz="8" w:space="0" w:color="C3C3C3" w:themeColor="accent6"/>
        <w:insideH w:val="single" w:sz="8" w:space="0" w:color="C3C3C3" w:themeColor="accent6"/>
        <w:insideV w:val="single" w:sz="8" w:space="0" w:color="C3C3C3" w:themeColor="accent6"/>
      </w:tblBorders>
    </w:tblPr>
    <w:tcPr>
      <w:shd w:val="clear" w:color="auto" w:fill="F0F0F0" w:themeFill="accent6" w:themeFillTint="3F"/>
    </w:tcPr>
    <w:tblStylePr w:type="firstRow">
      <w:rPr>
        <w:b/>
        <w:bCs/>
        <w:color w:val="000000" w:themeColor="text1"/>
      </w:rPr>
      <w:tblPr/>
      <w:tcPr>
        <w:shd w:val="clear" w:color="auto" w:fill="F9F9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3F3" w:themeFill="accent6" w:themeFillTint="33"/>
      </w:tcPr>
    </w:tblStylePr>
    <w:tblStylePr w:type="band1Vert">
      <w:tblPr/>
      <w:tcPr>
        <w:shd w:val="clear" w:color="auto" w:fill="E1E1E1" w:themeFill="accent6" w:themeFillTint="7F"/>
      </w:tcPr>
    </w:tblStylePr>
    <w:tblStylePr w:type="band1Horz">
      <w:tblPr/>
      <w:tcPr>
        <w:tcBorders>
          <w:insideH w:val="single" w:sz="6" w:space="0" w:color="C3C3C3" w:themeColor="accent6"/>
          <w:insideV w:val="single" w:sz="6" w:space="0" w:color="C3C3C3" w:themeColor="accent6"/>
        </w:tcBorders>
        <w:shd w:val="clear" w:color="auto" w:fill="E1E1E1"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ACD8"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F005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F005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F005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F005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58B2"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58B2" w:themeFill="accent1" w:themeFillTint="7F"/>
      </w:tcPr>
    </w:tblStylePr>
  </w:style>
  <w:style w:type="table" w:styleId="MediumGrid3-Accent2">
    <w:name w:val="Medium Grid 3 Accent 2"/>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CAD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F337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F337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F337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F337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295B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295BF" w:themeFill="accent2" w:themeFillTint="7F"/>
      </w:tcPr>
    </w:tblStylePr>
  </w:style>
  <w:style w:type="table" w:styleId="MediumGrid3-Accent3">
    <w:name w:val="Medium Grid 3 Accent 3"/>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2D6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C5C9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C5C9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C5C9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C5C9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5ADCB"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5ADCB" w:themeFill="accent3" w:themeFillTint="7F"/>
      </w:tcPr>
    </w:tblStylePr>
  </w:style>
  <w:style w:type="table" w:styleId="MediumGrid3-Accent4">
    <w:name w:val="Medium Grid 3 Accent 4"/>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5" w:themeFillTint="7F"/>
      </w:tcPr>
    </w:tblStylePr>
  </w:style>
  <w:style w:type="table" w:styleId="MediumGrid3-Accent6">
    <w:name w:val="Medium Grid 3 Accent 6"/>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0F0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3C3C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3C3C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3C3C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3C3C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1E1E1"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1E1E1" w:themeFill="accent6" w:themeFillTint="7F"/>
      </w:tcPr>
    </w:tblStylePr>
  </w:style>
  <w:style w:type="table" w:styleId="MediumList1">
    <w:name w:val="Medium List 1"/>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AF005F"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AF005F" w:themeColor="accent1"/>
        <w:bottom w:val="single" w:sz="8" w:space="0" w:color="AF005F" w:themeColor="accent1"/>
      </w:tblBorders>
    </w:tblPr>
    <w:tblStylePr w:type="firstRow">
      <w:rPr>
        <w:rFonts w:asciiTheme="majorHAnsi" w:eastAsiaTheme="majorEastAsia" w:hAnsiTheme="majorHAnsi" w:cstheme="majorBidi"/>
      </w:rPr>
      <w:tblPr/>
      <w:tcPr>
        <w:tcBorders>
          <w:top w:val="nil"/>
          <w:bottom w:val="single" w:sz="8" w:space="0" w:color="AF005F" w:themeColor="accent1"/>
        </w:tcBorders>
      </w:tcPr>
    </w:tblStylePr>
    <w:tblStylePr w:type="lastRow">
      <w:rPr>
        <w:b/>
        <w:bCs/>
        <w:color w:val="AF005F" w:themeColor="text2"/>
      </w:rPr>
      <w:tblPr/>
      <w:tcPr>
        <w:tcBorders>
          <w:top w:val="single" w:sz="8" w:space="0" w:color="AF005F" w:themeColor="accent1"/>
          <w:bottom w:val="single" w:sz="8" w:space="0" w:color="AF005F" w:themeColor="accent1"/>
        </w:tcBorders>
      </w:tcPr>
    </w:tblStylePr>
    <w:tblStylePr w:type="firstCol">
      <w:rPr>
        <w:b/>
        <w:bCs/>
      </w:rPr>
    </w:tblStylePr>
    <w:tblStylePr w:type="lastCol">
      <w:rPr>
        <w:b/>
        <w:bCs/>
      </w:rPr>
      <w:tblPr/>
      <w:tcPr>
        <w:tcBorders>
          <w:top w:val="single" w:sz="8" w:space="0" w:color="AF005F" w:themeColor="accent1"/>
          <w:bottom w:val="single" w:sz="8" w:space="0" w:color="AF005F" w:themeColor="accent1"/>
        </w:tcBorders>
      </w:tcPr>
    </w:tblStylePr>
    <w:tblStylePr w:type="band1Vert">
      <w:tblPr/>
      <w:tcPr>
        <w:shd w:val="clear" w:color="auto" w:fill="FFACD8" w:themeFill="accent1" w:themeFillTint="3F"/>
      </w:tcPr>
    </w:tblStylePr>
    <w:tblStylePr w:type="band1Horz">
      <w:tblPr/>
      <w:tcPr>
        <w:shd w:val="clear" w:color="auto" w:fill="FFACD8" w:themeFill="accent1" w:themeFillTint="3F"/>
      </w:tcPr>
    </w:tblStylePr>
  </w:style>
  <w:style w:type="table" w:styleId="MediumList1-Accent2">
    <w:name w:val="Medium List 1 Accent 2"/>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BF337F" w:themeColor="accent2"/>
        <w:bottom w:val="single" w:sz="8" w:space="0" w:color="BF337F" w:themeColor="accent2"/>
      </w:tblBorders>
    </w:tblPr>
    <w:tblStylePr w:type="firstRow">
      <w:rPr>
        <w:rFonts w:asciiTheme="majorHAnsi" w:eastAsiaTheme="majorEastAsia" w:hAnsiTheme="majorHAnsi" w:cstheme="majorBidi"/>
      </w:rPr>
      <w:tblPr/>
      <w:tcPr>
        <w:tcBorders>
          <w:top w:val="nil"/>
          <w:bottom w:val="single" w:sz="8" w:space="0" w:color="BF337F" w:themeColor="accent2"/>
        </w:tcBorders>
      </w:tcPr>
    </w:tblStylePr>
    <w:tblStylePr w:type="lastRow">
      <w:rPr>
        <w:b/>
        <w:bCs/>
        <w:color w:val="AF005F" w:themeColor="text2"/>
      </w:rPr>
      <w:tblPr/>
      <w:tcPr>
        <w:tcBorders>
          <w:top w:val="single" w:sz="8" w:space="0" w:color="BF337F" w:themeColor="accent2"/>
          <w:bottom w:val="single" w:sz="8" w:space="0" w:color="BF337F" w:themeColor="accent2"/>
        </w:tcBorders>
      </w:tcPr>
    </w:tblStylePr>
    <w:tblStylePr w:type="firstCol">
      <w:rPr>
        <w:b/>
        <w:bCs/>
      </w:rPr>
    </w:tblStylePr>
    <w:tblStylePr w:type="lastCol">
      <w:rPr>
        <w:b/>
        <w:bCs/>
      </w:rPr>
      <w:tblPr/>
      <w:tcPr>
        <w:tcBorders>
          <w:top w:val="single" w:sz="8" w:space="0" w:color="BF337F" w:themeColor="accent2"/>
          <w:bottom w:val="single" w:sz="8" w:space="0" w:color="BF337F" w:themeColor="accent2"/>
        </w:tcBorders>
      </w:tcPr>
    </w:tblStylePr>
    <w:tblStylePr w:type="band1Vert">
      <w:tblPr/>
      <w:tcPr>
        <w:shd w:val="clear" w:color="auto" w:fill="F1CADF" w:themeFill="accent2" w:themeFillTint="3F"/>
      </w:tcPr>
    </w:tblStylePr>
    <w:tblStylePr w:type="band1Horz">
      <w:tblPr/>
      <w:tcPr>
        <w:shd w:val="clear" w:color="auto" w:fill="F1CADF" w:themeFill="accent2" w:themeFillTint="3F"/>
      </w:tcPr>
    </w:tblStylePr>
  </w:style>
  <w:style w:type="table" w:styleId="MediumList1-Accent3">
    <w:name w:val="Medium List 1 Accent 3"/>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CC5C99" w:themeColor="accent3"/>
        <w:bottom w:val="single" w:sz="8" w:space="0" w:color="CC5C99" w:themeColor="accent3"/>
      </w:tblBorders>
    </w:tblPr>
    <w:tblStylePr w:type="firstRow">
      <w:rPr>
        <w:rFonts w:asciiTheme="majorHAnsi" w:eastAsiaTheme="majorEastAsia" w:hAnsiTheme="majorHAnsi" w:cstheme="majorBidi"/>
      </w:rPr>
      <w:tblPr/>
      <w:tcPr>
        <w:tcBorders>
          <w:top w:val="nil"/>
          <w:bottom w:val="single" w:sz="8" w:space="0" w:color="CC5C99" w:themeColor="accent3"/>
        </w:tcBorders>
      </w:tcPr>
    </w:tblStylePr>
    <w:tblStylePr w:type="lastRow">
      <w:rPr>
        <w:b/>
        <w:bCs/>
        <w:color w:val="AF005F" w:themeColor="text2"/>
      </w:rPr>
      <w:tblPr/>
      <w:tcPr>
        <w:tcBorders>
          <w:top w:val="single" w:sz="8" w:space="0" w:color="CC5C99" w:themeColor="accent3"/>
          <w:bottom w:val="single" w:sz="8" w:space="0" w:color="CC5C99" w:themeColor="accent3"/>
        </w:tcBorders>
      </w:tcPr>
    </w:tblStylePr>
    <w:tblStylePr w:type="firstCol">
      <w:rPr>
        <w:b/>
        <w:bCs/>
      </w:rPr>
    </w:tblStylePr>
    <w:tblStylePr w:type="lastCol">
      <w:rPr>
        <w:b/>
        <w:bCs/>
      </w:rPr>
      <w:tblPr/>
      <w:tcPr>
        <w:tcBorders>
          <w:top w:val="single" w:sz="8" w:space="0" w:color="CC5C99" w:themeColor="accent3"/>
          <w:bottom w:val="single" w:sz="8" w:space="0" w:color="CC5C99" w:themeColor="accent3"/>
        </w:tcBorders>
      </w:tcPr>
    </w:tblStylePr>
    <w:tblStylePr w:type="band1Vert">
      <w:tblPr/>
      <w:tcPr>
        <w:shd w:val="clear" w:color="auto" w:fill="F2D6E5" w:themeFill="accent3" w:themeFillTint="3F"/>
      </w:tcPr>
    </w:tblStylePr>
    <w:tblStylePr w:type="band1Horz">
      <w:tblPr/>
      <w:tcPr>
        <w:shd w:val="clear" w:color="auto" w:fill="F2D6E5" w:themeFill="accent3" w:themeFillTint="3F"/>
      </w:tcPr>
    </w:tblStylePr>
  </w:style>
  <w:style w:type="table" w:styleId="MediumList1-Accent4">
    <w:name w:val="Medium List 1 Accent 4"/>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AF005F"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969696" w:themeColor="accent5"/>
        <w:bottom w:val="single" w:sz="8" w:space="0" w:color="969696" w:themeColor="accent5"/>
      </w:tblBorders>
    </w:tblPr>
    <w:tblStylePr w:type="firstRow">
      <w:rPr>
        <w:rFonts w:asciiTheme="majorHAnsi" w:eastAsiaTheme="majorEastAsia" w:hAnsiTheme="majorHAnsi" w:cstheme="majorBidi"/>
      </w:rPr>
      <w:tblPr/>
      <w:tcPr>
        <w:tcBorders>
          <w:top w:val="nil"/>
          <w:bottom w:val="single" w:sz="8" w:space="0" w:color="969696" w:themeColor="accent5"/>
        </w:tcBorders>
      </w:tcPr>
    </w:tblStylePr>
    <w:tblStylePr w:type="lastRow">
      <w:rPr>
        <w:b/>
        <w:bCs/>
        <w:color w:val="AF005F" w:themeColor="text2"/>
      </w:rPr>
      <w:tblPr/>
      <w:tcPr>
        <w:tcBorders>
          <w:top w:val="single" w:sz="8" w:space="0" w:color="969696" w:themeColor="accent5"/>
          <w:bottom w:val="single" w:sz="8" w:space="0" w:color="969696" w:themeColor="accent5"/>
        </w:tcBorders>
      </w:tcPr>
    </w:tblStylePr>
    <w:tblStylePr w:type="firstCol">
      <w:rPr>
        <w:b/>
        <w:bCs/>
      </w:rPr>
    </w:tblStylePr>
    <w:tblStylePr w:type="lastCol">
      <w:rPr>
        <w:b/>
        <w:bCs/>
      </w:rPr>
      <w:tblPr/>
      <w:tcPr>
        <w:tcBorders>
          <w:top w:val="single" w:sz="8" w:space="0" w:color="969696" w:themeColor="accent5"/>
          <w:bottom w:val="single" w:sz="8" w:space="0" w:color="969696" w:themeColor="accent5"/>
        </w:tcBorders>
      </w:tcPr>
    </w:tblStylePr>
    <w:tblStylePr w:type="band1Vert">
      <w:tblPr/>
      <w:tcPr>
        <w:shd w:val="clear" w:color="auto" w:fill="E5E5E5" w:themeFill="accent5" w:themeFillTint="3F"/>
      </w:tcPr>
    </w:tblStylePr>
    <w:tblStylePr w:type="band1Horz">
      <w:tblPr/>
      <w:tcPr>
        <w:shd w:val="clear" w:color="auto" w:fill="E5E5E5" w:themeFill="accent5" w:themeFillTint="3F"/>
      </w:tcPr>
    </w:tblStylePr>
  </w:style>
  <w:style w:type="table" w:styleId="MediumList1-Accent6">
    <w:name w:val="Medium List 1 Accent 6"/>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C3C3C3" w:themeColor="accent6"/>
        <w:bottom w:val="single" w:sz="8" w:space="0" w:color="C3C3C3" w:themeColor="accent6"/>
      </w:tblBorders>
    </w:tblPr>
    <w:tblStylePr w:type="firstRow">
      <w:rPr>
        <w:rFonts w:asciiTheme="majorHAnsi" w:eastAsiaTheme="majorEastAsia" w:hAnsiTheme="majorHAnsi" w:cstheme="majorBidi"/>
      </w:rPr>
      <w:tblPr/>
      <w:tcPr>
        <w:tcBorders>
          <w:top w:val="nil"/>
          <w:bottom w:val="single" w:sz="8" w:space="0" w:color="C3C3C3" w:themeColor="accent6"/>
        </w:tcBorders>
      </w:tcPr>
    </w:tblStylePr>
    <w:tblStylePr w:type="lastRow">
      <w:rPr>
        <w:b/>
        <w:bCs/>
        <w:color w:val="AF005F" w:themeColor="text2"/>
      </w:rPr>
      <w:tblPr/>
      <w:tcPr>
        <w:tcBorders>
          <w:top w:val="single" w:sz="8" w:space="0" w:color="C3C3C3" w:themeColor="accent6"/>
          <w:bottom w:val="single" w:sz="8" w:space="0" w:color="C3C3C3" w:themeColor="accent6"/>
        </w:tcBorders>
      </w:tcPr>
    </w:tblStylePr>
    <w:tblStylePr w:type="firstCol">
      <w:rPr>
        <w:b/>
        <w:bCs/>
      </w:rPr>
    </w:tblStylePr>
    <w:tblStylePr w:type="lastCol">
      <w:rPr>
        <w:b/>
        <w:bCs/>
      </w:rPr>
      <w:tblPr/>
      <w:tcPr>
        <w:tcBorders>
          <w:top w:val="single" w:sz="8" w:space="0" w:color="C3C3C3" w:themeColor="accent6"/>
          <w:bottom w:val="single" w:sz="8" w:space="0" w:color="C3C3C3" w:themeColor="accent6"/>
        </w:tcBorders>
      </w:tcPr>
    </w:tblStylePr>
    <w:tblStylePr w:type="band1Vert">
      <w:tblPr/>
      <w:tcPr>
        <w:shd w:val="clear" w:color="auto" w:fill="F0F0F0" w:themeFill="accent6" w:themeFillTint="3F"/>
      </w:tcPr>
    </w:tblStylePr>
    <w:tblStylePr w:type="band1Horz">
      <w:tblPr/>
      <w:tcPr>
        <w:shd w:val="clear" w:color="auto" w:fill="F0F0F0" w:themeFill="accent6" w:themeFillTint="3F"/>
      </w:tcPr>
    </w:tblStylePr>
  </w:style>
  <w:style w:type="table" w:styleId="MediumList2">
    <w:name w:val="Medium List 2"/>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F005F" w:themeColor="accent1"/>
        <w:left w:val="single" w:sz="8" w:space="0" w:color="AF005F" w:themeColor="accent1"/>
        <w:bottom w:val="single" w:sz="8" w:space="0" w:color="AF005F" w:themeColor="accent1"/>
        <w:right w:val="single" w:sz="8" w:space="0" w:color="AF005F" w:themeColor="accent1"/>
      </w:tblBorders>
    </w:tblPr>
    <w:tblStylePr w:type="firstRow">
      <w:rPr>
        <w:sz w:val="24"/>
        <w:szCs w:val="24"/>
      </w:rPr>
      <w:tblPr/>
      <w:tcPr>
        <w:tcBorders>
          <w:top w:val="nil"/>
          <w:left w:val="nil"/>
          <w:bottom w:val="single" w:sz="24" w:space="0" w:color="AF005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F005F" w:themeColor="accent1"/>
          <w:insideH w:val="nil"/>
          <w:insideV w:val="nil"/>
        </w:tcBorders>
        <w:shd w:val="clear" w:color="auto" w:fill="FFFFFF" w:themeFill="background1"/>
      </w:tcPr>
    </w:tblStylePr>
    <w:tblStylePr w:type="lastCol">
      <w:tblPr/>
      <w:tcPr>
        <w:tcBorders>
          <w:top w:val="nil"/>
          <w:left w:val="single" w:sz="8" w:space="0" w:color="AF005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ACD8" w:themeFill="accent1" w:themeFillTint="3F"/>
      </w:tcPr>
    </w:tblStylePr>
    <w:tblStylePr w:type="band1Horz">
      <w:tblPr/>
      <w:tcPr>
        <w:tcBorders>
          <w:top w:val="nil"/>
          <w:bottom w:val="nil"/>
          <w:insideH w:val="nil"/>
          <w:insideV w:val="nil"/>
        </w:tcBorders>
        <w:shd w:val="clear" w:color="auto" w:fill="FFACD8"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F337F" w:themeColor="accent2"/>
        <w:left w:val="single" w:sz="8" w:space="0" w:color="BF337F" w:themeColor="accent2"/>
        <w:bottom w:val="single" w:sz="8" w:space="0" w:color="BF337F" w:themeColor="accent2"/>
        <w:right w:val="single" w:sz="8" w:space="0" w:color="BF337F" w:themeColor="accent2"/>
      </w:tblBorders>
    </w:tblPr>
    <w:tblStylePr w:type="firstRow">
      <w:rPr>
        <w:sz w:val="24"/>
        <w:szCs w:val="24"/>
      </w:rPr>
      <w:tblPr/>
      <w:tcPr>
        <w:tcBorders>
          <w:top w:val="nil"/>
          <w:left w:val="nil"/>
          <w:bottom w:val="single" w:sz="24" w:space="0" w:color="BF337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F337F" w:themeColor="accent2"/>
          <w:insideH w:val="nil"/>
          <w:insideV w:val="nil"/>
        </w:tcBorders>
        <w:shd w:val="clear" w:color="auto" w:fill="FFFFFF" w:themeFill="background1"/>
      </w:tcPr>
    </w:tblStylePr>
    <w:tblStylePr w:type="lastCol">
      <w:tblPr/>
      <w:tcPr>
        <w:tcBorders>
          <w:top w:val="nil"/>
          <w:left w:val="single" w:sz="8" w:space="0" w:color="BF337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CADF" w:themeFill="accent2" w:themeFillTint="3F"/>
      </w:tcPr>
    </w:tblStylePr>
    <w:tblStylePr w:type="band1Horz">
      <w:tblPr/>
      <w:tcPr>
        <w:tcBorders>
          <w:top w:val="nil"/>
          <w:bottom w:val="nil"/>
          <w:insideH w:val="nil"/>
          <w:insideV w:val="nil"/>
        </w:tcBorders>
        <w:shd w:val="clear" w:color="auto" w:fill="F1CAD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C5C99" w:themeColor="accent3"/>
        <w:left w:val="single" w:sz="8" w:space="0" w:color="CC5C99" w:themeColor="accent3"/>
        <w:bottom w:val="single" w:sz="8" w:space="0" w:color="CC5C99" w:themeColor="accent3"/>
        <w:right w:val="single" w:sz="8" w:space="0" w:color="CC5C99" w:themeColor="accent3"/>
      </w:tblBorders>
    </w:tblPr>
    <w:tblStylePr w:type="firstRow">
      <w:rPr>
        <w:sz w:val="24"/>
        <w:szCs w:val="24"/>
      </w:rPr>
      <w:tblPr/>
      <w:tcPr>
        <w:tcBorders>
          <w:top w:val="nil"/>
          <w:left w:val="nil"/>
          <w:bottom w:val="single" w:sz="24" w:space="0" w:color="CC5C9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C5C99" w:themeColor="accent3"/>
          <w:insideH w:val="nil"/>
          <w:insideV w:val="nil"/>
        </w:tcBorders>
        <w:shd w:val="clear" w:color="auto" w:fill="FFFFFF" w:themeFill="background1"/>
      </w:tcPr>
    </w:tblStylePr>
    <w:tblStylePr w:type="lastCol">
      <w:tblPr/>
      <w:tcPr>
        <w:tcBorders>
          <w:top w:val="nil"/>
          <w:left w:val="single" w:sz="8" w:space="0" w:color="CC5C9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2D6E5" w:themeFill="accent3" w:themeFillTint="3F"/>
      </w:tcPr>
    </w:tblStylePr>
    <w:tblStylePr w:type="band1Horz">
      <w:tblPr/>
      <w:tcPr>
        <w:tcBorders>
          <w:top w:val="nil"/>
          <w:bottom w:val="nil"/>
          <w:insideH w:val="nil"/>
          <w:insideV w:val="nil"/>
        </w:tcBorders>
        <w:shd w:val="clear" w:color="auto" w:fill="F2D6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5"/>
        <w:left w:val="single" w:sz="8" w:space="0" w:color="969696" w:themeColor="accent5"/>
        <w:bottom w:val="single" w:sz="8" w:space="0" w:color="969696" w:themeColor="accent5"/>
        <w:right w:val="single" w:sz="8" w:space="0" w:color="969696" w:themeColor="accent5"/>
      </w:tblBorders>
    </w:tblPr>
    <w:tblStylePr w:type="firstRow">
      <w:rPr>
        <w:sz w:val="24"/>
        <w:szCs w:val="24"/>
      </w:rPr>
      <w:tblPr/>
      <w:tcPr>
        <w:tcBorders>
          <w:top w:val="nil"/>
          <w:left w:val="nil"/>
          <w:bottom w:val="single" w:sz="24" w:space="0" w:color="96969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5"/>
          <w:insideH w:val="nil"/>
          <w:insideV w:val="nil"/>
        </w:tcBorders>
        <w:shd w:val="clear" w:color="auto" w:fill="FFFFFF" w:themeFill="background1"/>
      </w:tcPr>
    </w:tblStylePr>
    <w:tblStylePr w:type="lastCol">
      <w:tblPr/>
      <w:tcPr>
        <w:tcBorders>
          <w:top w:val="nil"/>
          <w:left w:val="single" w:sz="8" w:space="0" w:color="96969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5" w:themeFillTint="3F"/>
      </w:tcPr>
    </w:tblStylePr>
    <w:tblStylePr w:type="band1Horz">
      <w:tblPr/>
      <w:tcPr>
        <w:tcBorders>
          <w:top w:val="nil"/>
          <w:bottom w:val="nil"/>
          <w:insideH w:val="nil"/>
          <w:insideV w:val="nil"/>
        </w:tcBorders>
        <w:shd w:val="clear" w:color="auto" w:fill="E5E5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3C3C3" w:themeColor="accent6"/>
        <w:left w:val="single" w:sz="8" w:space="0" w:color="C3C3C3" w:themeColor="accent6"/>
        <w:bottom w:val="single" w:sz="8" w:space="0" w:color="C3C3C3" w:themeColor="accent6"/>
        <w:right w:val="single" w:sz="8" w:space="0" w:color="C3C3C3" w:themeColor="accent6"/>
      </w:tblBorders>
    </w:tblPr>
    <w:tblStylePr w:type="firstRow">
      <w:rPr>
        <w:sz w:val="24"/>
        <w:szCs w:val="24"/>
      </w:rPr>
      <w:tblPr/>
      <w:tcPr>
        <w:tcBorders>
          <w:top w:val="nil"/>
          <w:left w:val="nil"/>
          <w:bottom w:val="single" w:sz="24" w:space="0" w:color="C3C3C3"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3C3C3" w:themeColor="accent6"/>
          <w:insideH w:val="nil"/>
          <w:insideV w:val="nil"/>
        </w:tcBorders>
        <w:shd w:val="clear" w:color="auto" w:fill="FFFFFF" w:themeFill="background1"/>
      </w:tcPr>
    </w:tblStylePr>
    <w:tblStylePr w:type="lastCol">
      <w:tblPr/>
      <w:tcPr>
        <w:tcBorders>
          <w:top w:val="nil"/>
          <w:left w:val="single" w:sz="8" w:space="0" w:color="C3C3C3"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0F0F0" w:themeFill="accent6" w:themeFillTint="3F"/>
      </w:tcPr>
    </w:tblStylePr>
    <w:tblStylePr w:type="band1Horz">
      <w:tblPr/>
      <w:tcPr>
        <w:tcBorders>
          <w:top w:val="nil"/>
          <w:bottom w:val="nil"/>
          <w:insideH w:val="nil"/>
          <w:insideV w:val="nil"/>
        </w:tcBorders>
        <w:shd w:val="clear" w:color="auto" w:fill="F0F0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unhideWhenUsed/>
    <w:rsid w:val="00F978C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unhideWhenUsed/>
    <w:rsid w:val="00F978CE"/>
    <w:pPr>
      <w:spacing w:after="0" w:line="240" w:lineRule="auto"/>
    </w:pPr>
    <w:tblPr>
      <w:tblStyleRowBandSize w:val="1"/>
      <w:tblStyleColBandSize w:val="1"/>
      <w:tblBorders>
        <w:top w:val="single" w:sz="8" w:space="0" w:color="FF048B" w:themeColor="accent1" w:themeTint="BF"/>
        <w:left w:val="single" w:sz="8" w:space="0" w:color="FF048B" w:themeColor="accent1" w:themeTint="BF"/>
        <w:bottom w:val="single" w:sz="8" w:space="0" w:color="FF048B" w:themeColor="accent1" w:themeTint="BF"/>
        <w:right w:val="single" w:sz="8" w:space="0" w:color="FF048B" w:themeColor="accent1" w:themeTint="BF"/>
        <w:insideH w:val="single" w:sz="8" w:space="0" w:color="FF048B" w:themeColor="accent1" w:themeTint="BF"/>
      </w:tblBorders>
    </w:tblPr>
    <w:tblStylePr w:type="firstRow">
      <w:pPr>
        <w:spacing w:before="0" w:after="0" w:line="240" w:lineRule="auto"/>
      </w:pPr>
      <w:rPr>
        <w:b/>
        <w:bCs/>
        <w:color w:val="FFFFFF" w:themeColor="background1"/>
      </w:rPr>
      <w:tblPr/>
      <w:tcPr>
        <w:tcBorders>
          <w:top w:val="single" w:sz="8" w:space="0" w:color="FF048B" w:themeColor="accent1" w:themeTint="BF"/>
          <w:left w:val="single" w:sz="8" w:space="0" w:color="FF048B" w:themeColor="accent1" w:themeTint="BF"/>
          <w:bottom w:val="single" w:sz="8" w:space="0" w:color="FF048B" w:themeColor="accent1" w:themeTint="BF"/>
          <w:right w:val="single" w:sz="8" w:space="0" w:color="FF048B" w:themeColor="accent1" w:themeTint="BF"/>
          <w:insideH w:val="nil"/>
          <w:insideV w:val="nil"/>
        </w:tcBorders>
        <w:shd w:val="clear" w:color="auto" w:fill="AF005F" w:themeFill="accent1"/>
      </w:tcPr>
    </w:tblStylePr>
    <w:tblStylePr w:type="lastRow">
      <w:pPr>
        <w:spacing w:before="0" w:after="0" w:line="240" w:lineRule="auto"/>
      </w:pPr>
      <w:rPr>
        <w:b/>
        <w:bCs/>
      </w:rPr>
      <w:tblPr/>
      <w:tcPr>
        <w:tcBorders>
          <w:top w:val="double" w:sz="6" w:space="0" w:color="FF048B" w:themeColor="accent1" w:themeTint="BF"/>
          <w:left w:val="single" w:sz="8" w:space="0" w:color="FF048B" w:themeColor="accent1" w:themeTint="BF"/>
          <w:bottom w:val="single" w:sz="8" w:space="0" w:color="FF048B" w:themeColor="accent1" w:themeTint="BF"/>
          <w:right w:val="single" w:sz="8" w:space="0" w:color="FF048B"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ACD8" w:themeFill="accent1" w:themeFillTint="3F"/>
      </w:tcPr>
    </w:tblStylePr>
    <w:tblStylePr w:type="band1Horz">
      <w:tblPr/>
      <w:tcPr>
        <w:tcBorders>
          <w:insideH w:val="nil"/>
          <w:insideV w:val="nil"/>
        </w:tcBorders>
        <w:shd w:val="clear" w:color="auto" w:fill="FFACD8"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unhideWhenUsed/>
    <w:rsid w:val="00F978CE"/>
    <w:pPr>
      <w:spacing w:after="0" w:line="240" w:lineRule="auto"/>
    </w:pPr>
    <w:tblPr>
      <w:tblStyleRowBandSize w:val="1"/>
      <w:tblStyleColBandSize w:val="1"/>
      <w:tblBorders>
        <w:top w:val="single" w:sz="8" w:space="0" w:color="D4609F" w:themeColor="accent2" w:themeTint="BF"/>
        <w:left w:val="single" w:sz="8" w:space="0" w:color="D4609F" w:themeColor="accent2" w:themeTint="BF"/>
        <w:bottom w:val="single" w:sz="8" w:space="0" w:color="D4609F" w:themeColor="accent2" w:themeTint="BF"/>
        <w:right w:val="single" w:sz="8" w:space="0" w:color="D4609F" w:themeColor="accent2" w:themeTint="BF"/>
        <w:insideH w:val="single" w:sz="8" w:space="0" w:color="D4609F" w:themeColor="accent2" w:themeTint="BF"/>
      </w:tblBorders>
    </w:tblPr>
    <w:tblStylePr w:type="firstRow">
      <w:pPr>
        <w:spacing w:before="0" w:after="0" w:line="240" w:lineRule="auto"/>
      </w:pPr>
      <w:rPr>
        <w:b/>
        <w:bCs/>
        <w:color w:val="FFFFFF" w:themeColor="background1"/>
      </w:rPr>
      <w:tblPr/>
      <w:tcPr>
        <w:tcBorders>
          <w:top w:val="single" w:sz="8" w:space="0" w:color="D4609F" w:themeColor="accent2" w:themeTint="BF"/>
          <w:left w:val="single" w:sz="8" w:space="0" w:color="D4609F" w:themeColor="accent2" w:themeTint="BF"/>
          <w:bottom w:val="single" w:sz="8" w:space="0" w:color="D4609F" w:themeColor="accent2" w:themeTint="BF"/>
          <w:right w:val="single" w:sz="8" w:space="0" w:color="D4609F" w:themeColor="accent2" w:themeTint="BF"/>
          <w:insideH w:val="nil"/>
          <w:insideV w:val="nil"/>
        </w:tcBorders>
        <w:shd w:val="clear" w:color="auto" w:fill="BF337F" w:themeFill="accent2"/>
      </w:tcPr>
    </w:tblStylePr>
    <w:tblStylePr w:type="lastRow">
      <w:pPr>
        <w:spacing w:before="0" w:after="0" w:line="240" w:lineRule="auto"/>
      </w:pPr>
      <w:rPr>
        <w:b/>
        <w:bCs/>
      </w:rPr>
      <w:tblPr/>
      <w:tcPr>
        <w:tcBorders>
          <w:top w:val="double" w:sz="6" w:space="0" w:color="D4609F" w:themeColor="accent2" w:themeTint="BF"/>
          <w:left w:val="single" w:sz="8" w:space="0" w:color="D4609F" w:themeColor="accent2" w:themeTint="BF"/>
          <w:bottom w:val="single" w:sz="8" w:space="0" w:color="D4609F" w:themeColor="accent2" w:themeTint="BF"/>
          <w:right w:val="single" w:sz="8" w:space="0" w:color="D4609F"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CADF" w:themeFill="accent2" w:themeFillTint="3F"/>
      </w:tcPr>
    </w:tblStylePr>
    <w:tblStylePr w:type="band1Horz">
      <w:tblPr/>
      <w:tcPr>
        <w:tcBorders>
          <w:insideH w:val="nil"/>
          <w:insideV w:val="nil"/>
        </w:tcBorders>
        <w:shd w:val="clear" w:color="auto" w:fill="F1CADF"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unhideWhenUsed/>
    <w:rsid w:val="00F978CE"/>
    <w:pPr>
      <w:spacing w:after="0" w:line="240" w:lineRule="auto"/>
    </w:pPr>
    <w:tblPr>
      <w:tblStyleRowBandSize w:val="1"/>
      <w:tblStyleColBandSize w:val="1"/>
      <w:tblBorders>
        <w:top w:val="single" w:sz="8" w:space="0" w:color="D884B2" w:themeColor="accent3" w:themeTint="BF"/>
        <w:left w:val="single" w:sz="8" w:space="0" w:color="D884B2" w:themeColor="accent3" w:themeTint="BF"/>
        <w:bottom w:val="single" w:sz="8" w:space="0" w:color="D884B2" w:themeColor="accent3" w:themeTint="BF"/>
        <w:right w:val="single" w:sz="8" w:space="0" w:color="D884B2" w:themeColor="accent3" w:themeTint="BF"/>
        <w:insideH w:val="single" w:sz="8" w:space="0" w:color="D884B2" w:themeColor="accent3" w:themeTint="BF"/>
      </w:tblBorders>
    </w:tblPr>
    <w:tblStylePr w:type="firstRow">
      <w:pPr>
        <w:spacing w:before="0" w:after="0" w:line="240" w:lineRule="auto"/>
      </w:pPr>
      <w:rPr>
        <w:b/>
        <w:bCs/>
        <w:color w:val="FFFFFF" w:themeColor="background1"/>
      </w:rPr>
      <w:tblPr/>
      <w:tcPr>
        <w:tcBorders>
          <w:top w:val="single" w:sz="8" w:space="0" w:color="D884B2" w:themeColor="accent3" w:themeTint="BF"/>
          <w:left w:val="single" w:sz="8" w:space="0" w:color="D884B2" w:themeColor="accent3" w:themeTint="BF"/>
          <w:bottom w:val="single" w:sz="8" w:space="0" w:color="D884B2" w:themeColor="accent3" w:themeTint="BF"/>
          <w:right w:val="single" w:sz="8" w:space="0" w:color="D884B2" w:themeColor="accent3" w:themeTint="BF"/>
          <w:insideH w:val="nil"/>
          <w:insideV w:val="nil"/>
        </w:tcBorders>
        <w:shd w:val="clear" w:color="auto" w:fill="CC5C99" w:themeFill="accent3"/>
      </w:tcPr>
    </w:tblStylePr>
    <w:tblStylePr w:type="lastRow">
      <w:pPr>
        <w:spacing w:before="0" w:after="0" w:line="240" w:lineRule="auto"/>
      </w:pPr>
      <w:rPr>
        <w:b/>
        <w:bCs/>
      </w:rPr>
      <w:tblPr/>
      <w:tcPr>
        <w:tcBorders>
          <w:top w:val="double" w:sz="6" w:space="0" w:color="D884B2" w:themeColor="accent3" w:themeTint="BF"/>
          <w:left w:val="single" w:sz="8" w:space="0" w:color="D884B2" w:themeColor="accent3" w:themeTint="BF"/>
          <w:bottom w:val="single" w:sz="8" w:space="0" w:color="D884B2" w:themeColor="accent3" w:themeTint="BF"/>
          <w:right w:val="single" w:sz="8" w:space="0" w:color="D884B2" w:themeColor="accent3" w:themeTint="BF"/>
          <w:insideH w:val="nil"/>
          <w:insideV w:val="nil"/>
        </w:tcBorders>
      </w:tcPr>
    </w:tblStylePr>
    <w:tblStylePr w:type="firstCol">
      <w:rPr>
        <w:b/>
        <w:bCs/>
      </w:rPr>
    </w:tblStylePr>
    <w:tblStylePr w:type="lastCol">
      <w:rPr>
        <w:b/>
        <w:bCs/>
      </w:rPr>
    </w:tblStylePr>
    <w:tblStylePr w:type="band1Vert">
      <w:tblPr/>
      <w:tcPr>
        <w:shd w:val="clear" w:color="auto" w:fill="F2D6E5" w:themeFill="accent3" w:themeFillTint="3F"/>
      </w:tcPr>
    </w:tblStylePr>
    <w:tblStylePr w:type="band1Horz">
      <w:tblPr/>
      <w:tcPr>
        <w:tcBorders>
          <w:insideH w:val="nil"/>
          <w:insideV w:val="nil"/>
        </w:tcBorders>
        <w:shd w:val="clear" w:color="auto" w:fill="F2D6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unhideWhenUsed/>
    <w:rsid w:val="00F978CE"/>
    <w:pPr>
      <w:spacing w:after="0"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unhideWhenUsed/>
    <w:rsid w:val="00F978CE"/>
    <w:pPr>
      <w:spacing w:after="0" w:line="240" w:lineRule="auto"/>
    </w:pPr>
    <w:tblPr>
      <w:tblStyleRowBandSize w:val="1"/>
      <w:tblStyleColBandSize w:val="1"/>
      <w:tblBorders>
        <w:top w:val="single" w:sz="8" w:space="0" w:color="B0B0B0" w:themeColor="accent5" w:themeTint="BF"/>
        <w:left w:val="single" w:sz="8" w:space="0" w:color="B0B0B0" w:themeColor="accent5" w:themeTint="BF"/>
        <w:bottom w:val="single" w:sz="8" w:space="0" w:color="B0B0B0" w:themeColor="accent5" w:themeTint="BF"/>
        <w:right w:val="single" w:sz="8" w:space="0" w:color="B0B0B0" w:themeColor="accent5" w:themeTint="BF"/>
        <w:insideH w:val="single" w:sz="8" w:space="0" w:color="B0B0B0" w:themeColor="accent5" w:themeTint="BF"/>
      </w:tblBorders>
    </w:tblPr>
    <w:tblStylePr w:type="firstRow">
      <w:pPr>
        <w:spacing w:before="0" w:after="0" w:line="240" w:lineRule="auto"/>
      </w:pPr>
      <w:rPr>
        <w:b/>
        <w:bCs/>
        <w:color w:val="FFFFFF" w:themeColor="background1"/>
      </w:rPr>
      <w:tblPr/>
      <w:tcPr>
        <w:tcBorders>
          <w:top w:val="single" w:sz="8" w:space="0" w:color="B0B0B0" w:themeColor="accent5" w:themeTint="BF"/>
          <w:left w:val="single" w:sz="8" w:space="0" w:color="B0B0B0" w:themeColor="accent5" w:themeTint="BF"/>
          <w:bottom w:val="single" w:sz="8" w:space="0" w:color="B0B0B0" w:themeColor="accent5" w:themeTint="BF"/>
          <w:right w:val="single" w:sz="8" w:space="0" w:color="B0B0B0" w:themeColor="accent5" w:themeTint="BF"/>
          <w:insideH w:val="nil"/>
          <w:insideV w:val="nil"/>
        </w:tcBorders>
        <w:shd w:val="clear" w:color="auto" w:fill="969696" w:themeFill="accent5"/>
      </w:tcPr>
    </w:tblStylePr>
    <w:tblStylePr w:type="lastRow">
      <w:pPr>
        <w:spacing w:before="0" w:after="0" w:line="240" w:lineRule="auto"/>
      </w:pPr>
      <w:rPr>
        <w:b/>
        <w:bCs/>
      </w:rPr>
      <w:tblPr/>
      <w:tcPr>
        <w:tcBorders>
          <w:top w:val="double" w:sz="6" w:space="0" w:color="B0B0B0" w:themeColor="accent5" w:themeTint="BF"/>
          <w:left w:val="single" w:sz="8" w:space="0" w:color="B0B0B0" w:themeColor="accent5" w:themeTint="BF"/>
          <w:bottom w:val="single" w:sz="8" w:space="0" w:color="B0B0B0" w:themeColor="accent5" w:themeTint="BF"/>
          <w:right w:val="single" w:sz="8" w:space="0" w:color="B0B0B0" w:themeColor="accent5"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5" w:themeFillTint="3F"/>
      </w:tcPr>
    </w:tblStylePr>
    <w:tblStylePr w:type="band1Horz">
      <w:tblPr/>
      <w:tcPr>
        <w:tcBorders>
          <w:insideH w:val="nil"/>
          <w:insideV w:val="nil"/>
        </w:tcBorders>
        <w:shd w:val="clear" w:color="auto" w:fill="E5E5E5"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unhideWhenUsed/>
    <w:rsid w:val="00F978CE"/>
    <w:pPr>
      <w:spacing w:after="0" w:line="240" w:lineRule="auto"/>
    </w:pPr>
    <w:tblPr>
      <w:tblStyleRowBandSize w:val="1"/>
      <w:tblStyleColBandSize w:val="1"/>
      <w:tblBorders>
        <w:top w:val="single" w:sz="8" w:space="0" w:color="D2D2D2" w:themeColor="accent6" w:themeTint="BF"/>
        <w:left w:val="single" w:sz="8" w:space="0" w:color="D2D2D2" w:themeColor="accent6" w:themeTint="BF"/>
        <w:bottom w:val="single" w:sz="8" w:space="0" w:color="D2D2D2" w:themeColor="accent6" w:themeTint="BF"/>
        <w:right w:val="single" w:sz="8" w:space="0" w:color="D2D2D2" w:themeColor="accent6" w:themeTint="BF"/>
        <w:insideH w:val="single" w:sz="8" w:space="0" w:color="D2D2D2" w:themeColor="accent6" w:themeTint="BF"/>
      </w:tblBorders>
    </w:tblPr>
    <w:tblStylePr w:type="firstRow">
      <w:pPr>
        <w:spacing w:before="0" w:after="0" w:line="240" w:lineRule="auto"/>
      </w:pPr>
      <w:rPr>
        <w:b/>
        <w:bCs/>
        <w:color w:val="FFFFFF" w:themeColor="background1"/>
      </w:rPr>
      <w:tblPr/>
      <w:tcPr>
        <w:tcBorders>
          <w:top w:val="single" w:sz="8" w:space="0" w:color="D2D2D2" w:themeColor="accent6" w:themeTint="BF"/>
          <w:left w:val="single" w:sz="8" w:space="0" w:color="D2D2D2" w:themeColor="accent6" w:themeTint="BF"/>
          <w:bottom w:val="single" w:sz="8" w:space="0" w:color="D2D2D2" w:themeColor="accent6" w:themeTint="BF"/>
          <w:right w:val="single" w:sz="8" w:space="0" w:color="D2D2D2" w:themeColor="accent6" w:themeTint="BF"/>
          <w:insideH w:val="nil"/>
          <w:insideV w:val="nil"/>
        </w:tcBorders>
        <w:shd w:val="clear" w:color="auto" w:fill="C3C3C3" w:themeFill="accent6"/>
      </w:tcPr>
    </w:tblStylePr>
    <w:tblStylePr w:type="lastRow">
      <w:pPr>
        <w:spacing w:before="0" w:after="0" w:line="240" w:lineRule="auto"/>
      </w:pPr>
      <w:rPr>
        <w:b/>
        <w:bCs/>
      </w:rPr>
      <w:tblPr/>
      <w:tcPr>
        <w:tcBorders>
          <w:top w:val="double" w:sz="6" w:space="0" w:color="D2D2D2" w:themeColor="accent6" w:themeTint="BF"/>
          <w:left w:val="single" w:sz="8" w:space="0" w:color="D2D2D2" w:themeColor="accent6" w:themeTint="BF"/>
          <w:bottom w:val="single" w:sz="8" w:space="0" w:color="D2D2D2" w:themeColor="accent6" w:themeTint="BF"/>
          <w:right w:val="single" w:sz="8" w:space="0" w:color="D2D2D2" w:themeColor="accent6" w:themeTint="BF"/>
          <w:insideH w:val="nil"/>
          <w:insideV w:val="nil"/>
        </w:tcBorders>
      </w:tcPr>
    </w:tblStylePr>
    <w:tblStylePr w:type="firstCol">
      <w:rPr>
        <w:b/>
        <w:bCs/>
      </w:rPr>
    </w:tblStylePr>
    <w:tblStylePr w:type="lastCol">
      <w:rPr>
        <w:b/>
        <w:bCs/>
      </w:rPr>
    </w:tblStylePr>
    <w:tblStylePr w:type="band1Vert">
      <w:tblPr/>
      <w:tcPr>
        <w:shd w:val="clear" w:color="auto" w:fill="F0F0F0" w:themeFill="accent6" w:themeFillTint="3F"/>
      </w:tcPr>
    </w:tblStylePr>
    <w:tblStylePr w:type="band1Horz">
      <w:tblPr/>
      <w:tcPr>
        <w:tcBorders>
          <w:insideH w:val="nil"/>
          <w:insideV w:val="nil"/>
        </w:tcBorders>
        <w:shd w:val="clear" w:color="auto" w:fill="F0F0F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F005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F005F" w:themeFill="accent1"/>
      </w:tcPr>
    </w:tblStylePr>
    <w:tblStylePr w:type="lastCol">
      <w:rPr>
        <w:b/>
        <w:bCs/>
        <w:color w:val="FFFFFF" w:themeColor="background1"/>
      </w:rPr>
      <w:tblPr/>
      <w:tcPr>
        <w:tcBorders>
          <w:left w:val="nil"/>
          <w:right w:val="nil"/>
          <w:insideH w:val="nil"/>
          <w:insideV w:val="nil"/>
        </w:tcBorders>
        <w:shd w:val="clear" w:color="auto" w:fill="AF005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F337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F337F" w:themeFill="accent2"/>
      </w:tcPr>
    </w:tblStylePr>
    <w:tblStylePr w:type="lastCol">
      <w:rPr>
        <w:b/>
        <w:bCs/>
        <w:color w:val="FFFFFF" w:themeColor="background1"/>
      </w:rPr>
      <w:tblPr/>
      <w:tcPr>
        <w:tcBorders>
          <w:left w:val="nil"/>
          <w:right w:val="nil"/>
          <w:insideH w:val="nil"/>
          <w:insideV w:val="nil"/>
        </w:tcBorders>
        <w:shd w:val="clear" w:color="auto" w:fill="BF337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C5C9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C5C99" w:themeFill="accent3"/>
      </w:tcPr>
    </w:tblStylePr>
    <w:tblStylePr w:type="lastCol">
      <w:rPr>
        <w:b/>
        <w:bCs/>
        <w:color w:val="FFFFFF" w:themeColor="background1"/>
      </w:rPr>
      <w:tblPr/>
      <w:tcPr>
        <w:tcBorders>
          <w:left w:val="nil"/>
          <w:right w:val="nil"/>
          <w:insideH w:val="nil"/>
          <w:insideV w:val="nil"/>
        </w:tcBorders>
        <w:shd w:val="clear" w:color="auto" w:fill="CC5C9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9696" w:themeFill="accent5"/>
      </w:tcPr>
    </w:tblStylePr>
    <w:tblStylePr w:type="lastCol">
      <w:rPr>
        <w:b/>
        <w:bCs/>
        <w:color w:val="FFFFFF" w:themeColor="background1"/>
      </w:rPr>
      <w:tblPr/>
      <w:tcPr>
        <w:tcBorders>
          <w:left w:val="nil"/>
          <w:right w:val="nil"/>
          <w:insideH w:val="nil"/>
          <w:insideV w:val="nil"/>
        </w:tcBorders>
        <w:shd w:val="clear" w:color="auto" w:fill="96969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3C3C3"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3C3C3" w:themeFill="accent6"/>
      </w:tcPr>
    </w:tblStylePr>
    <w:tblStylePr w:type="lastCol">
      <w:rPr>
        <w:b/>
        <w:bCs/>
        <w:color w:val="FFFFFF" w:themeColor="background1"/>
      </w:rPr>
      <w:tblPr/>
      <w:tcPr>
        <w:tcBorders>
          <w:left w:val="nil"/>
          <w:right w:val="nil"/>
          <w:insideH w:val="nil"/>
          <w:insideV w:val="nil"/>
        </w:tcBorders>
        <w:shd w:val="clear" w:color="auto" w:fill="C3C3C3"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unhideWhenUsed/>
    <w:rsid w:val="00F978CE"/>
    <w:rPr>
      <w:color w:val="2B579A"/>
      <w:shd w:val="clear" w:color="auto" w:fill="E6E6E6"/>
    </w:rPr>
  </w:style>
  <w:style w:type="paragraph" w:styleId="MessageHeader">
    <w:name w:val="Message Header"/>
    <w:basedOn w:val="Normal"/>
    <w:link w:val="MessageHeaderChar"/>
    <w:uiPriority w:val="99"/>
    <w:unhideWhenUsed/>
    <w:rsid w:val="00F978C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rsid w:val="00FE583B"/>
    <w:rPr>
      <w:rFonts w:asciiTheme="majorHAnsi" w:eastAsiaTheme="majorEastAsia" w:hAnsiTheme="majorHAnsi" w:cstheme="majorBidi"/>
      <w:sz w:val="24"/>
      <w:szCs w:val="24"/>
      <w:shd w:val="pct20" w:color="auto" w:fill="auto"/>
    </w:rPr>
  </w:style>
  <w:style w:type="paragraph" w:styleId="NoSpacing">
    <w:name w:val="No Spacing"/>
    <w:uiPriority w:val="99"/>
    <w:unhideWhenUsed/>
    <w:qFormat/>
    <w:rsid w:val="00F978CE"/>
    <w:pPr>
      <w:spacing w:after="0" w:line="240" w:lineRule="auto"/>
    </w:pPr>
    <w:rPr>
      <w:rFonts w:ascii="Arial" w:hAnsi="Arial"/>
      <w:sz w:val="20"/>
    </w:rPr>
  </w:style>
  <w:style w:type="paragraph" w:styleId="NormalWeb">
    <w:name w:val="Normal (Web)"/>
    <w:basedOn w:val="Normal"/>
    <w:uiPriority w:val="99"/>
    <w:unhideWhenUsed/>
    <w:rsid w:val="00F978CE"/>
    <w:rPr>
      <w:rFonts w:ascii="Times New Roman" w:hAnsi="Times New Roman" w:cs="Times New Roman"/>
      <w:sz w:val="24"/>
      <w:szCs w:val="24"/>
    </w:rPr>
  </w:style>
  <w:style w:type="paragraph" w:styleId="NormalIndent">
    <w:name w:val="Normal Indent"/>
    <w:basedOn w:val="Normal"/>
    <w:uiPriority w:val="99"/>
    <w:unhideWhenUsed/>
    <w:rsid w:val="00F978CE"/>
    <w:pPr>
      <w:ind w:left="720"/>
    </w:pPr>
  </w:style>
  <w:style w:type="paragraph" w:styleId="NoteHeading">
    <w:name w:val="Note Heading"/>
    <w:basedOn w:val="Normal"/>
    <w:next w:val="Normal"/>
    <w:link w:val="NoteHeadingChar"/>
    <w:uiPriority w:val="99"/>
    <w:unhideWhenUsed/>
    <w:rsid w:val="00F978CE"/>
  </w:style>
  <w:style w:type="character" w:customStyle="1" w:styleId="NoteHeadingChar">
    <w:name w:val="Note Heading Char"/>
    <w:basedOn w:val="DefaultParagraphFont"/>
    <w:link w:val="NoteHeading"/>
    <w:uiPriority w:val="99"/>
    <w:rsid w:val="00FE583B"/>
    <w:rPr>
      <w:rFonts w:ascii="Arial" w:hAnsi="Arial"/>
      <w:sz w:val="20"/>
    </w:rPr>
  </w:style>
  <w:style w:type="character" w:styleId="PageNumber">
    <w:name w:val="page number"/>
    <w:basedOn w:val="DefaultParagraphFont"/>
    <w:unhideWhenUsed/>
    <w:rsid w:val="00BC1E1A"/>
    <w:rPr>
      <w:sz w:val="20"/>
    </w:rPr>
  </w:style>
  <w:style w:type="character" w:styleId="PlaceholderText">
    <w:name w:val="Placeholder Text"/>
    <w:basedOn w:val="DefaultParagraphFont"/>
    <w:uiPriority w:val="99"/>
    <w:unhideWhenUsed/>
    <w:rsid w:val="00F978CE"/>
    <w:rPr>
      <w:color w:val="808080"/>
    </w:rPr>
  </w:style>
  <w:style w:type="table" w:styleId="PlainTable1">
    <w:name w:val="Plain Table 1"/>
    <w:basedOn w:val="TableNormal"/>
    <w:uiPriority w:val="41"/>
    <w:unhideWhenUsed/>
    <w:rsid w:val="00F978C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unhideWhenUsed/>
    <w:rsid w:val="00F978C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unhideWhenUsed/>
    <w:rsid w:val="00F978CE"/>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unhideWhenUsed/>
    <w:rsid w:val="00F978C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unhideWhenUsed/>
    <w:rsid w:val="00F978C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unhideWhenUsed/>
    <w:rsid w:val="00F978CE"/>
    <w:rPr>
      <w:rFonts w:ascii="Consolas" w:hAnsi="Consolas"/>
      <w:sz w:val="21"/>
      <w:szCs w:val="21"/>
    </w:rPr>
  </w:style>
  <w:style w:type="character" w:customStyle="1" w:styleId="PlainTextChar">
    <w:name w:val="Plain Text Char"/>
    <w:basedOn w:val="DefaultParagraphFont"/>
    <w:link w:val="PlainText"/>
    <w:uiPriority w:val="99"/>
    <w:rsid w:val="00FE583B"/>
    <w:rPr>
      <w:rFonts w:ascii="Consolas" w:hAnsi="Consolas"/>
      <w:sz w:val="21"/>
      <w:szCs w:val="21"/>
    </w:rPr>
  </w:style>
  <w:style w:type="paragraph" w:styleId="Quote">
    <w:name w:val="Quote"/>
    <w:basedOn w:val="Normal"/>
    <w:next w:val="Normal"/>
    <w:link w:val="QuoteChar"/>
    <w:uiPriority w:val="99"/>
    <w:unhideWhenUsed/>
    <w:qFormat/>
    <w:rsid w:val="00F978C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99"/>
    <w:rsid w:val="00FE583B"/>
    <w:rPr>
      <w:rFonts w:ascii="Arial" w:hAnsi="Arial"/>
      <w:i/>
      <w:iCs/>
      <w:color w:val="404040" w:themeColor="text1" w:themeTint="BF"/>
      <w:sz w:val="20"/>
    </w:rPr>
  </w:style>
  <w:style w:type="paragraph" w:styleId="Salutation">
    <w:name w:val="Salutation"/>
    <w:basedOn w:val="Normal"/>
    <w:next w:val="Normal"/>
    <w:link w:val="SalutationChar"/>
    <w:uiPriority w:val="99"/>
    <w:unhideWhenUsed/>
    <w:rsid w:val="00F978CE"/>
  </w:style>
  <w:style w:type="character" w:customStyle="1" w:styleId="SalutationChar">
    <w:name w:val="Salutation Char"/>
    <w:basedOn w:val="DefaultParagraphFont"/>
    <w:link w:val="Salutation"/>
    <w:uiPriority w:val="99"/>
    <w:rsid w:val="00FE583B"/>
    <w:rPr>
      <w:rFonts w:ascii="Arial" w:hAnsi="Arial"/>
      <w:sz w:val="20"/>
    </w:rPr>
  </w:style>
  <w:style w:type="paragraph" w:styleId="Signature">
    <w:name w:val="Signature"/>
    <w:basedOn w:val="Normal"/>
    <w:link w:val="SignatureChar"/>
    <w:uiPriority w:val="99"/>
    <w:unhideWhenUsed/>
    <w:rsid w:val="00F978CE"/>
    <w:pPr>
      <w:ind w:left="4252"/>
    </w:pPr>
  </w:style>
  <w:style w:type="character" w:customStyle="1" w:styleId="SignatureChar">
    <w:name w:val="Signature Char"/>
    <w:basedOn w:val="DefaultParagraphFont"/>
    <w:link w:val="Signature"/>
    <w:uiPriority w:val="99"/>
    <w:rsid w:val="00FE583B"/>
    <w:rPr>
      <w:rFonts w:ascii="Arial" w:hAnsi="Arial"/>
      <w:sz w:val="20"/>
    </w:rPr>
  </w:style>
  <w:style w:type="character" w:styleId="SmartHyperlink">
    <w:name w:val="Smart Hyperlink"/>
    <w:basedOn w:val="DefaultParagraphFont"/>
    <w:uiPriority w:val="99"/>
    <w:unhideWhenUsed/>
    <w:rsid w:val="00F978CE"/>
    <w:rPr>
      <w:u w:val="dotted"/>
    </w:rPr>
  </w:style>
  <w:style w:type="character" w:styleId="Strong">
    <w:name w:val="Strong"/>
    <w:basedOn w:val="DefaultParagraphFont"/>
    <w:uiPriority w:val="99"/>
    <w:unhideWhenUsed/>
    <w:qFormat/>
    <w:rsid w:val="00F978CE"/>
    <w:rPr>
      <w:b/>
      <w:bCs/>
    </w:rPr>
  </w:style>
  <w:style w:type="paragraph" w:styleId="Subtitle">
    <w:name w:val="Subtitle"/>
    <w:basedOn w:val="Normal"/>
    <w:next w:val="Normal"/>
    <w:link w:val="SubtitleChar"/>
    <w:uiPriority w:val="99"/>
    <w:unhideWhenUsed/>
    <w:qFormat/>
    <w:rsid w:val="00F978C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99"/>
    <w:rsid w:val="00FE583B"/>
    <w:rPr>
      <w:rFonts w:eastAsiaTheme="minorEastAsia"/>
      <w:color w:val="5A5A5A" w:themeColor="text1" w:themeTint="A5"/>
      <w:spacing w:val="15"/>
    </w:rPr>
  </w:style>
  <w:style w:type="character" w:styleId="SubtleEmphasis">
    <w:name w:val="Subtle Emphasis"/>
    <w:basedOn w:val="DefaultParagraphFont"/>
    <w:uiPriority w:val="99"/>
    <w:unhideWhenUsed/>
    <w:qFormat/>
    <w:rsid w:val="00F978CE"/>
    <w:rPr>
      <w:i/>
      <w:iCs/>
      <w:color w:val="404040" w:themeColor="text1" w:themeTint="BF"/>
    </w:rPr>
  </w:style>
  <w:style w:type="character" w:styleId="SubtleReference">
    <w:name w:val="Subtle Reference"/>
    <w:basedOn w:val="DefaultParagraphFont"/>
    <w:uiPriority w:val="99"/>
    <w:unhideWhenUsed/>
    <w:qFormat/>
    <w:rsid w:val="00F978CE"/>
    <w:rPr>
      <w:smallCaps/>
      <w:color w:val="5A5A5A" w:themeColor="text1" w:themeTint="A5"/>
    </w:rPr>
  </w:style>
  <w:style w:type="table" w:styleId="Table3Deffects1">
    <w:name w:val="Table 3D effects 1"/>
    <w:basedOn w:val="TableNormal"/>
    <w:uiPriority w:val="99"/>
    <w:unhideWhenUsed/>
    <w:rsid w:val="00F978CE"/>
    <w:pPr>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unhideWhenUsed/>
    <w:rsid w:val="00F978CE"/>
    <w:pPr>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unhideWhenUsed/>
    <w:rsid w:val="00F978CE"/>
    <w:pPr>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unhideWhenUsed/>
    <w:rsid w:val="00F978CE"/>
    <w:pPr>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unhideWhenUsed/>
    <w:rsid w:val="00F978CE"/>
    <w:pPr>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unhideWhenUsed/>
    <w:rsid w:val="00F978CE"/>
    <w:pPr>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unhideWhenUsed/>
    <w:rsid w:val="00F978CE"/>
    <w:pPr>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unhideWhenUsed/>
    <w:rsid w:val="00F978CE"/>
    <w:pPr>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unhideWhenUsed/>
    <w:rsid w:val="00F978CE"/>
    <w:pPr>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unhideWhenUsed/>
    <w:rsid w:val="00F978CE"/>
    <w:pPr>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unhideWhenUsed/>
    <w:rsid w:val="00F978CE"/>
    <w:pPr>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unhideWhenUsed/>
    <w:rsid w:val="00F978CE"/>
    <w:pPr>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unhideWhenUsed/>
    <w:rsid w:val="00F978CE"/>
    <w:pPr>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unhideWhenUsed/>
    <w:rsid w:val="00F978CE"/>
    <w:pPr>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unhideWhenUsed/>
    <w:rsid w:val="00F978CE"/>
    <w:pPr>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unhideWhenUsed/>
    <w:rsid w:val="00F978CE"/>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unhideWhenUsed/>
    <w:rsid w:val="00F978CE"/>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unhideWhenUsed/>
    <w:rsid w:val="00F978C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unhideWhenUsed/>
    <w:rsid w:val="00F978CE"/>
    <w:pPr>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unhideWhenUsed/>
    <w:rsid w:val="00F978CE"/>
    <w:pPr>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unhideWhenUsed/>
    <w:rsid w:val="00F978CE"/>
    <w:pPr>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unhideWhenUsed/>
    <w:rsid w:val="00F978CE"/>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unhideWhenUsed/>
    <w:rsid w:val="00F978CE"/>
    <w:pPr>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unhideWhenUsed/>
    <w:rsid w:val="00F978CE"/>
    <w:pPr>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unhideWhenUsed/>
    <w:rsid w:val="00F978CE"/>
    <w:pPr>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unhideWhenUsed/>
    <w:rsid w:val="00F978C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unhideWhenUsed/>
    <w:rsid w:val="00F978CE"/>
    <w:pPr>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unhideWhenUsed/>
    <w:rsid w:val="00F978CE"/>
    <w:pPr>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unhideWhenUsed/>
    <w:rsid w:val="00F978CE"/>
    <w:pPr>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unhideWhenUsed/>
    <w:rsid w:val="00F978CE"/>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unhideWhenUsed/>
    <w:rsid w:val="00F978C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unhideWhenUsed/>
    <w:rsid w:val="00F978CE"/>
    <w:pPr>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unhideWhenUsed/>
    <w:rsid w:val="00F978CE"/>
    <w:pPr>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unhideWhenUsed/>
    <w:rsid w:val="00F978CE"/>
    <w:pPr>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unhideWhenUsed/>
    <w:rsid w:val="00F978CE"/>
    <w:pPr>
      <w:ind w:left="200" w:hanging="200"/>
    </w:pPr>
  </w:style>
  <w:style w:type="paragraph" w:styleId="TableofFigures">
    <w:name w:val="table of figures"/>
    <w:basedOn w:val="Normal"/>
    <w:next w:val="Normal"/>
    <w:uiPriority w:val="99"/>
    <w:unhideWhenUsed/>
    <w:rsid w:val="00F978CE"/>
  </w:style>
  <w:style w:type="table" w:styleId="TableProfessional">
    <w:name w:val="Table Professional"/>
    <w:basedOn w:val="TableNormal"/>
    <w:uiPriority w:val="99"/>
    <w:unhideWhenUsed/>
    <w:rsid w:val="00F978C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unhideWhenUsed/>
    <w:rsid w:val="00F978CE"/>
    <w:pPr>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unhideWhenUsed/>
    <w:rsid w:val="00F978CE"/>
    <w:pPr>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unhideWhenUsed/>
    <w:rsid w:val="00F978CE"/>
    <w:pPr>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unhideWhenUsed/>
    <w:rsid w:val="00F978CE"/>
    <w:pPr>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unhideWhenUsed/>
    <w:rsid w:val="00F978CE"/>
    <w:pPr>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unhideWhenUsed/>
    <w:rsid w:val="00F97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unhideWhenUsed/>
    <w:rsid w:val="00F978CE"/>
    <w:pPr>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unhideWhenUsed/>
    <w:rsid w:val="00F978CE"/>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unhideWhenUsed/>
    <w:rsid w:val="00F978CE"/>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unhideWhenUsed/>
    <w:qFormat/>
    <w:rsid w:val="00F978CE"/>
    <w:pPr>
      <w:keepNext/>
      <w:keepLines/>
      <w:numPr>
        <w:numId w:val="0"/>
      </w:numPr>
      <w:spacing w:before="240"/>
      <w:outlineLvl w:val="9"/>
    </w:pPr>
    <w:rPr>
      <w:rFonts w:asciiTheme="majorHAnsi" w:eastAsiaTheme="majorEastAsia" w:hAnsiTheme="majorHAnsi" w:cstheme="majorBidi"/>
      <w:bCs w:val="0"/>
      <w:color w:val="830046" w:themeColor="accent1" w:themeShade="BF"/>
      <w:sz w:val="32"/>
      <w:lang w:eastAsia="en-US"/>
    </w:rPr>
  </w:style>
  <w:style w:type="numbering" w:customStyle="1" w:styleId="LLScheduleHeading">
    <w:name w:val="LL_ScheduleHeading"/>
    <w:uiPriority w:val="99"/>
    <w:rsid w:val="008B1D97"/>
    <w:pPr>
      <w:numPr>
        <w:numId w:val="37"/>
      </w:numPr>
    </w:pPr>
  </w:style>
  <w:style w:type="paragraph" w:customStyle="1" w:styleId="zSFRefCentred">
    <w:name w:val="zSFRef Centred"/>
    <w:basedOn w:val="Normal"/>
    <w:semiHidden/>
    <w:unhideWhenUsed/>
    <w:rsid w:val="00350E2D"/>
    <w:pPr>
      <w:jc w:val="center"/>
    </w:pPr>
    <w:rPr>
      <w:rFonts w:cs="Times New Roman"/>
      <w:kern w:val="16"/>
      <w:sz w:val="16"/>
    </w:rPr>
  </w:style>
  <w:style w:type="paragraph" w:customStyle="1" w:styleId="CObodynumbering">
    <w:name w:val="CO body numbering"/>
    <w:basedOn w:val="Normal"/>
    <w:rsid w:val="00725E64"/>
    <w:pPr>
      <w:numPr>
        <w:numId w:val="39"/>
      </w:numPr>
      <w:spacing w:after="140" w:line="290" w:lineRule="auto"/>
    </w:pPr>
    <w:rPr>
      <w:rFonts w:eastAsiaTheme="minorEastAsia" w:cs="Times New Roman"/>
      <w:szCs w:val="24"/>
    </w:rPr>
  </w:style>
  <w:style w:type="numbering" w:customStyle="1" w:styleId="FormCOBody">
    <w:name w:val="FormCOBody"/>
    <w:uiPriority w:val="99"/>
    <w:rsid w:val="00D23A38"/>
    <w:pPr>
      <w:numPr>
        <w:numId w:val="38"/>
      </w:numPr>
    </w:pPr>
  </w:style>
  <w:style w:type="paragraph" w:customStyle="1" w:styleId="zConfMarker">
    <w:name w:val="zConfMarker"/>
    <w:basedOn w:val="Normal"/>
    <w:semiHidden/>
    <w:unhideWhenUsed/>
    <w:rsid w:val="00B71AA0"/>
    <w:pPr>
      <w:jc w:val="right"/>
    </w:pPr>
    <w:rPr>
      <w:rFonts w:eastAsiaTheme="minorEastAsia" w:cs="Times New Roman"/>
      <w:b/>
      <w:sz w:val="16"/>
      <w:szCs w:val="24"/>
    </w:rPr>
  </w:style>
  <w:style w:type="paragraph" w:customStyle="1" w:styleId="zDate">
    <w:name w:val="zDate"/>
    <w:basedOn w:val="Normal"/>
    <w:semiHidden/>
    <w:unhideWhenUsed/>
    <w:rsid w:val="00B71AA0"/>
    <w:pPr>
      <w:spacing w:after="160" w:line="290" w:lineRule="auto"/>
    </w:pPr>
    <w:rPr>
      <w:rFonts w:eastAsiaTheme="minorEastAsia" w:cs="Times New Roman"/>
      <w:szCs w:val="24"/>
    </w:rPr>
  </w:style>
  <w:style w:type="paragraph" w:customStyle="1" w:styleId="zDocType">
    <w:name w:val="zDocType"/>
    <w:basedOn w:val="Normal"/>
    <w:semiHidden/>
    <w:unhideWhenUsed/>
    <w:rsid w:val="00B71AA0"/>
    <w:pPr>
      <w:spacing w:before="60" w:after="60"/>
      <w:ind w:left="91"/>
    </w:pPr>
    <w:rPr>
      <w:rFonts w:eastAsiaTheme="minorEastAsia" w:cs="Times New Roman"/>
      <w:b/>
      <w:noProof/>
      <w:color w:val="AF005F"/>
      <w:sz w:val="24"/>
      <w:szCs w:val="24"/>
    </w:rPr>
  </w:style>
  <w:style w:type="paragraph" w:customStyle="1" w:styleId="zDraftMarker">
    <w:name w:val="zDraftMarker"/>
    <w:basedOn w:val="Normal"/>
    <w:semiHidden/>
    <w:unhideWhenUsed/>
    <w:rsid w:val="00B71AA0"/>
    <w:rPr>
      <w:rFonts w:eastAsiaTheme="minorEastAsia" w:cs="Times New Roman"/>
      <w:noProof/>
      <w:color w:val="9A8C7E"/>
      <w:sz w:val="16"/>
      <w:szCs w:val="24"/>
    </w:rPr>
  </w:style>
  <w:style w:type="paragraph" w:customStyle="1" w:styleId="zFormEntries">
    <w:name w:val="zFormEntries"/>
    <w:basedOn w:val="Normal"/>
    <w:semiHidden/>
    <w:unhideWhenUsed/>
    <w:rsid w:val="00B71AA0"/>
    <w:pPr>
      <w:spacing w:before="60" w:after="60" w:line="290" w:lineRule="auto"/>
    </w:pPr>
    <w:rPr>
      <w:rFonts w:eastAsiaTheme="minorEastAsia" w:cs="Times New Roman"/>
      <w:szCs w:val="24"/>
    </w:rPr>
  </w:style>
  <w:style w:type="paragraph" w:customStyle="1" w:styleId="zFormHeaders">
    <w:name w:val="zFormHeaders"/>
    <w:basedOn w:val="Normal"/>
    <w:semiHidden/>
    <w:unhideWhenUsed/>
    <w:rsid w:val="00B71AA0"/>
    <w:pPr>
      <w:spacing w:before="60" w:after="60" w:line="290" w:lineRule="auto"/>
    </w:pPr>
    <w:rPr>
      <w:rFonts w:eastAsiaTheme="minorEastAsia" w:cs="Times New Roman"/>
      <w:noProof/>
      <w:szCs w:val="24"/>
    </w:rPr>
  </w:style>
  <w:style w:type="paragraph" w:customStyle="1" w:styleId="zLogo">
    <w:name w:val="zLogo"/>
    <w:basedOn w:val="Normal"/>
    <w:semiHidden/>
    <w:unhideWhenUsed/>
    <w:rsid w:val="00B71AA0"/>
    <w:pPr>
      <w:spacing w:after="160"/>
    </w:pPr>
    <w:rPr>
      <w:rFonts w:eastAsiaTheme="minorEastAsia" w:cs="Times New Roman"/>
      <w:noProof/>
      <w:szCs w:val="24"/>
    </w:rPr>
  </w:style>
  <w:style w:type="paragraph" w:customStyle="1" w:styleId="zLogoCaption">
    <w:name w:val="zLogoCaption"/>
    <w:basedOn w:val="Normal"/>
    <w:semiHidden/>
    <w:unhideWhenUsed/>
    <w:rsid w:val="00B71AA0"/>
    <w:rPr>
      <w:rFonts w:eastAsiaTheme="minorEastAsia" w:cs="Times New Roman"/>
      <w:noProof/>
      <w:sz w:val="16"/>
      <w:szCs w:val="24"/>
    </w:rPr>
  </w:style>
  <w:style w:type="paragraph" w:customStyle="1" w:styleId="zSpace">
    <w:name w:val="zSpace"/>
    <w:basedOn w:val="Normal"/>
    <w:semiHidden/>
    <w:unhideWhenUsed/>
    <w:rsid w:val="00B71AA0"/>
    <w:pPr>
      <w:spacing w:after="160" w:line="290" w:lineRule="auto"/>
    </w:pPr>
    <w:rPr>
      <w:rFonts w:eastAsiaTheme="minorEastAsia" w:cs="Times New Roman"/>
      <w:szCs w:val="24"/>
    </w:rPr>
  </w:style>
  <w:style w:type="paragraph" w:customStyle="1" w:styleId="zSpacerRow">
    <w:name w:val="zSpacerRow"/>
    <w:basedOn w:val="Normal"/>
    <w:semiHidden/>
    <w:unhideWhenUsed/>
    <w:rsid w:val="00B71AA0"/>
    <w:pPr>
      <w:spacing w:after="160" w:line="290" w:lineRule="auto"/>
    </w:pPr>
    <w:rPr>
      <w:rFonts w:eastAsiaTheme="minorEastAsia" w:cs="Times New Roman"/>
      <w:szCs w:val="24"/>
    </w:rPr>
  </w:style>
  <w:style w:type="paragraph" w:customStyle="1" w:styleId="zSubject">
    <w:name w:val="zSubject"/>
    <w:basedOn w:val="Normal"/>
    <w:semiHidden/>
    <w:unhideWhenUsed/>
    <w:rsid w:val="00B71AA0"/>
    <w:pPr>
      <w:spacing w:after="140" w:line="290" w:lineRule="auto"/>
    </w:pPr>
    <w:rPr>
      <w:rFonts w:eastAsiaTheme="minorEastAsia" w:cs="Times New Roman"/>
      <w:b/>
      <w:sz w:val="23"/>
      <w:szCs w:val="23"/>
    </w:rPr>
  </w:style>
  <w:style w:type="paragraph" w:customStyle="1" w:styleId="zFSNarrativeBanking">
    <w:name w:val="zFSNarrativeBanking"/>
    <w:basedOn w:val="Normal"/>
    <w:semiHidden/>
    <w:unhideWhenUsed/>
    <w:rsid w:val="00E257C1"/>
    <w:pPr>
      <w:spacing w:before="60" w:after="60" w:line="290" w:lineRule="auto"/>
    </w:pPr>
    <w:rPr>
      <w:color w:val="000000" w:themeColor="text1"/>
      <w:kern w:val="20"/>
      <w:sz w:val="36"/>
    </w:rPr>
  </w:style>
  <w:style w:type="character" w:styleId="UnresolvedMention">
    <w:name w:val="Unresolved Mention"/>
    <w:basedOn w:val="DefaultParagraphFont"/>
    <w:uiPriority w:val="99"/>
    <w:unhideWhenUsed/>
    <w:rsid w:val="00371AB7"/>
    <w:rPr>
      <w:color w:val="605E5C"/>
      <w:shd w:val="clear" w:color="auto" w:fill="E1DFDD"/>
    </w:rPr>
  </w:style>
  <w:style w:type="table" w:styleId="ColorfulGrid">
    <w:name w:val="Colorful Grid"/>
    <w:basedOn w:val="TableNormal"/>
    <w:uiPriority w:val="73"/>
    <w:unhideWhenUsed/>
    <w:rsid w:val="00CC592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unhideWhenUsed/>
    <w:rsid w:val="00CC592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BCE0" w:themeFill="accent1" w:themeFillTint="33"/>
    </w:tcPr>
    <w:tblStylePr w:type="firstRow">
      <w:rPr>
        <w:b/>
        <w:bCs/>
      </w:rPr>
      <w:tblPr/>
      <w:tcPr>
        <w:shd w:val="clear" w:color="auto" w:fill="FF79C1" w:themeFill="accent1" w:themeFillTint="66"/>
      </w:tcPr>
    </w:tblStylePr>
    <w:tblStylePr w:type="lastRow">
      <w:rPr>
        <w:b/>
        <w:bCs/>
        <w:color w:val="000000" w:themeColor="text1"/>
      </w:rPr>
      <w:tblPr/>
      <w:tcPr>
        <w:shd w:val="clear" w:color="auto" w:fill="FF79C1" w:themeFill="accent1" w:themeFillTint="66"/>
      </w:tcPr>
    </w:tblStylePr>
    <w:tblStylePr w:type="firstCol">
      <w:rPr>
        <w:color w:val="FFFFFF" w:themeColor="background1"/>
      </w:rPr>
      <w:tblPr/>
      <w:tcPr>
        <w:shd w:val="clear" w:color="auto" w:fill="830046" w:themeFill="accent1" w:themeFillShade="BF"/>
      </w:tcPr>
    </w:tblStylePr>
    <w:tblStylePr w:type="lastCol">
      <w:rPr>
        <w:color w:val="FFFFFF" w:themeColor="background1"/>
      </w:rPr>
      <w:tblPr/>
      <w:tcPr>
        <w:shd w:val="clear" w:color="auto" w:fill="830046" w:themeFill="accent1" w:themeFillShade="BF"/>
      </w:tcPr>
    </w:tblStylePr>
    <w:tblStylePr w:type="band1Vert">
      <w:tblPr/>
      <w:tcPr>
        <w:shd w:val="clear" w:color="auto" w:fill="FF58B2" w:themeFill="accent1" w:themeFillTint="7F"/>
      </w:tcPr>
    </w:tblStylePr>
    <w:tblStylePr w:type="band1Horz">
      <w:tblPr/>
      <w:tcPr>
        <w:shd w:val="clear" w:color="auto" w:fill="FF58B2" w:themeFill="accent1" w:themeFillTint="7F"/>
      </w:tcPr>
    </w:tblStylePr>
  </w:style>
  <w:style w:type="table" w:styleId="ColorfulGrid-Accent2">
    <w:name w:val="Colorful Grid Accent 2"/>
    <w:basedOn w:val="TableNormal"/>
    <w:uiPriority w:val="73"/>
    <w:unhideWhenUsed/>
    <w:rsid w:val="00CC592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3D4E5" w:themeFill="accent2" w:themeFillTint="33"/>
    </w:tcPr>
    <w:tblStylePr w:type="firstRow">
      <w:rPr>
        <w:b/>
        <w:bCs/>
      </w:rPr>
      <w:tblPr/>
      <w:tcPr>
        <w:shd w:val="clear" w:color="auto" w:fill="E8AACB" w:themeFill="accent2" w:themeFillTint="66"/>
      </w:tcPr>
    </w:tblStylePr>
    <w:tblStylePr w:type="lastRow">
      <w:rPr>
        <w:b/>
        <w:bCs/>
        <w:color w:val="000000" w:themeColor="text1"/>
      </w:rPr>
      <w:tblPr/>
      <w:tcPr>
        <w:shd w:val="clear" w:color="auto" w:fill="E8AACB" w:themeFill="accent2" w:themeFillTint="66"/>
      </w:tcPr>
    </w:tblStylePr>
    <w:tblStylePr w:type="firstCol">
      <w:rPr>
        <w:color w:val="FFFFFF" w:themeColor="background1"/>
      </w:rPr>
      <w:tblPr/>
      <w:tcPr>
        <w:shd w:val="clear" w:color="auto" w:fill="8E265E" w:themeFill="accent2" w:themeFillShade="BF"/>
      </w:tcPr>
    </w:tblStylePr>
    <w:tblStylePr w:type="lastCol">
      <w:rPr>
        <w:color w:val="FFFFFF" w:themeColor="background1"/>
      </w:rPr>
      <w:tblPr/>
      <w:tcPr>
        <w:shd w:val="clear" w:color="auto" w:fill="8E265E" w:themeFill="accent2" w:themeFillShade="BF"/>
      </w:tcPr>
    </w:tblStylePr>
    <w:tblStylePr w:type="band1Vert">
      <w:tblPr/>
      <w:tcPr>
        <w:shd w:val="clear" w:color="auto" w:fill="E295BF" w:themeFill="accent2" w:themeFillTint="7F"/>
      </w:tcPr>
    </w:tblStylePr>
    <w:tblStylePr w:type="band1Horz">
      <w:tblPr/>
      <w:tcPr>
        <w:shd w:val="clear" w:color="auto" w:fill="E295BF" w:themeFill="accent2" w:themeFillTint="7F"/>
      </w:tcPr>
    </w:tblStylePr>
  </w:style>
  <w:style w:type="table" w:styleId="ColorfulGrid-Accent3">
    <w:name w:val="Colorful Grid Accent 3"/>
    <w:basedOn w:val="TableNormal"/>
    <w:uiPriority w:val="73"/>
    <w:unhideWhenUsed/>
    <w:rsid w:val="00CC592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4DEEA" w:themeFill="accent3" w:themeFillTint="33"/>
    </w:tcPr>
    <w:tblStylePr w:type="firstRow">
      <w:rPr>
        <w:b/>
        <w:bCs/>
      </w:rPr>
      <w:tblPr/>
      <w:tcPr>
        <w:shd w:val="clear" w:color="auto" w:fill="EABDD6" w:themeFill="accent3" w:themeFillTint="66"/>
      </w:tcPr>
    </w:tblStylePr>
    <w:tblStylePr w:type="lastRow">
      <w:rPr>
        <w:b/>
        <w:bCs/>
        <w:color w:val="000000" w:themeColor="text1"/>
      </w:rPr>
      <w:tblPr/>
      <w:tcPr>
        <w:shd w:val="clear" w:color="auto" w:fill="EABDD6" w:themeFill="accent3" w:themeFillTint="66"/>
      </w:tcPr>
    </w:tblStylePr>
    <w:tblStylePr w:type="firstCol">
      <w:rPr>
        <w:color w:val="FFFFFF" w:themeColor="background1"/>
      </w:rPr>
      <w:tblPr/>
      <w:tcPr>
        <w:shd w:val="clear" w:color="auto" w:fill="A83573" w:themeFill="accent3" w:themeFillShade="BF"/>
      </w:tcPr>
    </w:tblStylePr>
    <w:tblStylePr w:type="lastCol">
      <w:rPr>
        <w:color w:val="FFFFFF" w:themeColor="background1"/>
      </w:rPr>
      <w:tblPr/>
      <w:tcPr>
        <w:shd w:val="clear" w:color="auto" w:fill="A83573" w:themeFill="accent3" w:themeFillShade="BF"/>
      </w:tcPr>
    </w:tblStylePr>
    <w:tblStylePr w:type="band1Vert">
      <w:tblPr/>
      <w:tcPr>
        <w:shd w:val="clear" w:color="auto" w:fill="E5ADCB" w:themeFill="accent3" w:themeFillTint="7F"/>
      </w:tcPr>
    </w:tblStylePr>
    <w:tblStylePr w:type="band1Horz">
      <w:tblPr/>
      <w:tcPr>
        <w:shd w:val="clear" w:color="auto" w:fill="E5ADCB" w:themeFill="accent3" w:themeFillTint="7F"/>
      </w:tcPr>
    </w:tblStylePr>
  </w:style>
  <w:style w:type="table" w:styleId="GridTable1Light-Accent1">
    <w:name w:val="Grid Table 1 Light Accent 1"/>
    <w:basedOn w:val="TableNormal"/>
    <w:uiPriority w:val="46"/>
    <w:rsid w:val="00CC592F"/>
    <w:pPr>
      <w:spacing w:after="0" w:line="240" w:lineRule="auto"/>
    </w:pPr>
    <w:tblPr>
      <w:tblStyleRowBandSize w:val="1"/>
      <w:tblStyleColBandSize w:val="1"/>
      <w:tblBorders>
        <w:top w:val="single" w:sz="4" w:space="0" w:color="FF79C1" w:themeColor="accent1" w:themeTint="66"/>
        <w:left w:val="single" w:sz="4" w:space="0" w:color="FF79C1" w:themeColor="accent1" w:themeTint="66"/>
        <w:bottom w:val="single" w:sz="4" w:space="0" w:color="FF79C1" w:themeColor="accent1" w:themeTint="66"/>
        <w:right w:val="single" w:sz="4" w:space="0" w:color="FF79C1" w:themeColor="accent1" w:themeTint="66"/>
        <w:insideH w:val="single" w:sz="4" w:space="0" w:color="FF79C1" w:themeColor="accent1" w:themeTint="66"/>
        <w:insideV w:val="single" w:sz="4" w:space="0" w:color="FF79C1" w:themeColor="accent1" w:themeTint="66"/>
      </w:tblBorders>
    </w:tblPr>
    <w:tblStylePr w:type="firstRow">
      <w:rPr>
        <w:b/>
        <w:bCs/>
      </w:rPr>
      <w:tblPr/>
      <w:tcPr>
        <w:tcBorders>
          <w:bottom w:val="single" w:sz="12" w:space="0" w:color="FF36A2" w:themeColor="accent1" w:themeTint="99"/>
        </w:tcBorders>
      </w:tcPr>
    </w:tblStylePr>
    <w:tblStylePr w:type="lastRow">
      <w:rPr>
        <w:b/>
        <w:bCs/>
      </w:rPr>
      <w:tblPr/>
      <w:tcPr>
        <w:tcBorders>
          <w:top w:val="double" w:sz="2" w:space="0" w:color="FF36A2" w:themeColor="accent1" w:themeTint="99"/>
        </w:tcBorders>
      </w:tcPr>
    </w:tblStylePr>
    <w:tblStylePr w:type="firstCol">
      <w:rPr>
        <w:b/>
        <w:bCs/>
      </w:rPr>
    </w:tblStylePr>
    <w:tblStylePr w:type="lastCol">
      <w:rPr>
        <w:b/>
        <w:bCs/>
      </w:rPr>
    </w:tblStylePr>
  </w:style>
  <w:style w:type="character" w:customStyle="1" w:styleId="HeaderChar">
    <w:name w:val="Header Char"/>
    <w:basedOn w:val="DefaultParagraphFont"/>
    <w:link w:val="Header"/>
    <w:uiPriority w:val="99"/>
    <w:rsid w:val="0074544A"/>
    <w:rPr>
      <w:rFonts w:ascii="Arial" w:eastAsia="Times New Roman" w:hAnsi="Arial" w:cs="Times New Roman"/>
      <w:kern w:val="20"/>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88533">
      <w:bodyDiv w:val="1"/>
      <w:marLeft w:val="0"/>
      <w:marRight w:val="0"/>
      <w:marTop w:val="0"/>
      <w:marBottom w:val="0"/>
      <w:divBdr>
        <w:top w:val="none" w:sz="0" w:space="0" w:color="auto"/>
        <w:left w:val="none" w:sz="0" w:space="0" w:color="auto"/>
        <w:bottom w:val="none" w:sz="0" w:space="0" w:color="auto"/>
        <w:right w:val="none" w:sz="0" w:space="0" w:color="auto"/>
      </w:divBdr>
    </w:div>
    <w:div w:id="248269287">
      <w:bodyDiv w:val="1"/>
      <w:marLeft w:val="0"/>
      <w:marRight w:val="0"/>
      <w:marTop w:val="0"/>
      <w:marBottom w:val="0"/>
      <w:divBdr>
        <w:top w:val="none" w:sz="0" w:space="0" w:color="auto"/>
        <w:left w:val="none" w:sz="0" w:space="0" w:color="auto"/>
        <w:bottom w:val="none" w:sz="0" w:space="0" w:color="auto"/>
        <w:right w:val="none" w:sz="0" w:space="0" w:color="auto"/>
      </w:divBdr>
    </w:div>
    <w:div w:id="642076660">
      <w:bodyDiv w:val="1"/>
      <w:marLeft w:val="0"/>
      <w:marRight w:val="0"/>
      <w:marTop w:val="0"/>
      <w:marBottom w:val="0"/>
      <w:divBdr>
        <w:top w:val="none" w:sz="0" w:space="0" w:color="auto"/>
        <w:left w:val="none" w:sz="0" w:space="0" w:color="auto"/>
        <w:bottom w:val="none" w:sz="0" w:space="0" w:color="auto"/>
        <w:right w:val="none" w:sz="0" w:space="0" w:color="auto"/>
      </w:divBdr>
    </w:div>
    <w:div w:id="1060783487">
      <w:bodyDiv w:val="1"/>
      <w:marLeft w:val="0"/>
      <w:marRight w:val="0"/>
      <w:marTop w:val="0"/>
      <w:marBottom w:val="0"/>
      <w:divBdr>
        <w:top w:val="none" w:sz="0" w:space="0" w:color="auto"/>
        <w:left w:val="none" w:sz="0" w:space="0" w:color="auto"/>
        <w:bottom w:val="none" w:sz="0" w:space="0" w:color="auto"/>
        <w:right w:val="none" w:sz="0" w:space="0" w:color="auto"/>
      </w:divBdr>
    </w:div>
    <w:div w:id="1121220244">
      <w:bodyDiv w:val="1"/>
      <w:marLeft w:val="0"/>
      <w:marRight w:val="0"/>
      <w:marTop w:val="0"/>
      <w:marBottom w:val="0"/>
      <w:divBdr>
        <w:top w:val="none" w:sz="0" w:space="0" w:color="auto"/>
        <w:left w:val="none" w:sz="0" w:space="0" w:color="auto"/>
        <w:bottom w:val="none" w:sz="0" w:space="0" w:color="auto"/>
        <w:right w:val="none" w:sz="0" w:space="0" w:color="auto"/>
      </w:divBdr>
    </w:div>
    <w:div w:id="1175151127">
      <w:bodyDiv w:val="1"/>
      <w:marLeft w:val="0"/>
      <w:marRight w:val="0"/>
      <w:marTop w:val="0"/>
      <w:marBottom w:val="0"/>
      <w:divBdr>
        <w:top w:val="none" w:sz="0" w:space="0" w:color="auto"/>
        <w:left w:val="none" w:sz="0" w:space="0" w:color="auto"/>
        <w:bottom w:val="none" w:sz="0" w:space="0" w:color="auto"/>
        <w:right w:val="none" w:sz="0" w:space="0" w:color="auto"/>
      </w:divBdr>
    </w:div>
    <w:div w:id="1978561586">
      <w:bodyDiv w:val="1"/>
      <w:marLeft w:val="0"/>
      <w:marRight w:val="0"/>
      <w:marTop w:val="0"/>
      <w:marBottom w:val="0"/>
      <w:divBdr>
        <w:top w:val="none" w:sz="0" w:space="0" w:color="auto"/>
        <w:left w:val="none" w:sz="0" w:space="0" w:color="auto"/>
        <w:bottom w:val="none" w:sz="0" w:space="0" w:color="auto"/>
        <w:right w:val="none" w:sz="0" w:space="0" w:color="auto"/>
      </w:divBdr>
    </w:div>
    <w:div w:id="205673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T:\firmwide\HouseStyle.dotx" TargetMode="External"/></Relationships>
</file>

<file path=word/theme/theme1.xml><?xml version="1.0" encoding="utf-8"?>
<a:theme xmlns:a="http://schemas.openxmlformats.org/drawingml/2006/main" name="Linklaters HouseStyle">
  <a:themeElements>
    <a:clrScheme name="Linklaters HouseStyle colours">
      <a:dk1>
        <a:srgbClr val="000000"/>
      </a:dk1>
      <a:lt1>
        <a:srgbClr val="FFFFFF"/>
      </a:lt1>
      <a:dk2>
        <a:srgbClr val="AF005F"/>
      </a:dk2>
      <a:lt2>
        <a:srgbClr val="969696"/>
      </a:lt2>
      <a:accent1>
        <a:srgbClr val="AF005F"/>
      </a:accent1>
      <a:accent2>
        <a:srgbClr val="BF337F"/>
      </a:accent2>
      <a:accent3>
        <a:srgbClr val="CC5C99"/>
      </a:accent3>
      <a:accent4>
        <a:srgbClr val="808080"/>
      </a:accent4>
      <a:accent5>
        <a:srgbClr val="969696"/>
      </a:accent5>
      <a:accent6>
        <a:srgbClr val="C3C3C3"/>
      </a:accent6>
      <a:hlink>
        <a:srgbClr val="D985B2"/>
      </a:hlink>
      <a:folHlink>
        <a:srgbClr val="ECC4DA"/>
      </a:folHlink>
    </a:clrScheme>
    <a:fontScheme name="Linklaters HouseStyle fonts">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9525">
          <a:solidFill>
            <a:schemeClr val="tx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custClrLst>
    <a:custClr name="Secondary palette 1">
      <a:srgbClr val="999966"/>
    </a:custClr>
    <a:custClr name="Secondary palette 2">
      <a:srgbClr val="66CCCC"/>
    </a:custClr>
    <a:custClr name="Secondary palette 3">
      <a:srgbClr val="CCCC99"/>
    </a:custClr>
    <a:custClr name="Secondary palette 4">
      <a:srgbClr val="9999CC"/>
    </a:custClr>
    <a:custClr name="Secondary palette 5">
      <a:srgbClr val="669999"/>
    </a:custClr>
    <a:custClr name="Secondary palette 6">
      <a:srgbClr val="666699"/>
    </a:custClr>
    <a:custClr name="Secondary palette 7">
      <a:srgbClr val="99CCFF"/>
    </a:custClr>
    <a:custClr name="Secondary palette 8">
      <a:srgbClr val="99CC99"/>
    </a:custClr>
    <a:custClr name="Secondary palette 9">
      <a:srgbClr val="A9A197"/>
    </a:custClr>
    <a:custClr name="White">
      <a:srgbClr val="FFFFFF"/>
    </a:custClr>
    <a:custClr name="Magenta - 100%">
      <a:srgbClr val="AF005F"/>
    </a:custClr>
    <a:custClr name="Magenta - 80%">
      <a:srgbClr val="BF337F"/>
    </a:custClr>
    <a:custClr name="Magenta - 60%">
      <a:srgbClr val="CC5C99"/>
    </a:custClr>
    <a:custClr name="Magenta - 40%">
      <a:srgbClr val="D985B2"/>
    </a:custClr>
    <a:custClr name="Magenta - 20%">
      <a:srgbClr val="E5ADCC"/>
    </a:custClr>
    <a:custClr name="Magenta - 10%">
      <a:srgbClr val="ECC1DA"/>
    </a:custClr>
    <a:custClr name="Magenta + Black 20%">
      <a:srgbClr val="91004F"/>
    </a:custClr>
    <a:custClr name="Magenta + Black 35%">
      <a:srgbClr val="7B0041"/>
    </a:custClr>
    <a:custClr name="Magenta + Black 50%">
      <a:srgbClr val="660033"/>
    </a:custClr>
    <a:custClr name="White">
      <a:srgbClr val="FFFFFF"/>
    </a:custClr>
    <a:custClr name="Black - 100%">
      <a:srgbClr val="000000"/>
    </a:custClr>
    <a:custClr name="Black - 80%">
      <a:srgbClr val="4D4D4D"/>
    </a:custClr>
    <a:custClr name="Black - 60%">
      <a:srgbClr val="808080"/>
    </a:custClr>
    <a:custClr name="Black - 40%">
      <a:srgbClr val="969696"/>
    </a:custClr>
    <a:custClr name="Black - 20%">
      <a:srgbClr val="C3C3C3"/>
    </a:custClr>
    <a:custClr name="Black - 10%">
      <a:srgbClr val="E6E6E6"/>
    </a:custClr>
    <a:custClr name="White">
      <a:srgbClr val="FFFFFF"/>
    </a:custClr>
    <a:custClr name="White">
      <a:srgbClr val="FFFFFF"/>
    </a:custClr>
    <a:custClr name="White">
      <a:srgbClr val="FFFFFF"/>
    </a:custClr>
    <a:custClr name="White">
      <a:srgbClr val="FFFFFF"/>
    </a:custClr>
    <a:custClr name="Warm Grey 7 - 100%">
      <a:srgbClr val="B0A9A0"/>
    </a:custClr>
    <a:custClr name="Warm Grey 7 - 80%">
      <a:srgbClr val="BFBAB2"/>
    </a:custClr>
    <a:custClr name="Warm Grey 7 - 60%">
      <a:srgbClr val="CFCBC4"/>
    </a:custClr>
    <a:custClr name="Warm Grey 7 - 40%">
      <a:srgbClr val="DFDBD7"/>
    </a:custClr>
    <a:custClr name="Warm Grey 7 - 20%">
      <a:srgbClr val="EFEDEB"/>
    </a:custClr>
    <a:custClr name="Warm Grey 7 - 10%">
      <a:srgbClr val="F7F6F5"/>
    </a:custClr>
    <a:custClr name="White">
      <a:srgbClr val="FFFFFF"/>
    </a:custClr>
    <a:custClr name="Traffic light Red">
      <a:srgbClr val="FF5958"/>
    </a:custClr>
    <a:custClr name="Traffic light Yellow">
      <a:srgbClr val="FCB256"/>
    </a:custClr>
    <a:custClr name="Traffic light Green">
      <a:srgbClr val="8ECC66"/>
    </a:custClr>
    <a:custClr name="Warm Grey 4 - 100%">
      <a:srgbClr val="C9C1B8"/>
    </a:custClr>
    <a:custClr name="Warm Grey 4 - 80%">
      <a:srgbClr val="D9D5CE"/>
    </a:custClr>
    <a:custClr name="Warm Grey 4 - 60%">
      <a:srgbClr val="E2DEDA"/>
    </a:custClr>
    <a:custClr name="Warm Grey 4 - 40%">
      <a:srgbClr val="ECE9E7"/>
    </a:custClr>
    <a:custClr name="Warm Grey 4 - 20%">
      <a:srgbClr val="F6F5F3"/>
    </a:custClr>
    <a:custClr name="Warm Grey 4 - 10%">
      <a:srgbClr val="FAFAF8"/>
    </a:custClr>
    <a:custClr name="White">
      <a:srgbClr val="FFFFFF"/>
    </a:custClr>
    <a:custClr name="Alliance - Allens">
      <a:srgbClr val="0074BF"/>
    </a:custClr>
    <a:custClr name="Alliance - Webber Wentzel">
      <a:srgbClr val="F07D35"/>
    </a:custClr>
    <a:custClr name="Alliance - TTA">
      <a:srgbClr val="007272"/>
    </a:custClr>
  </a:custClrLst>
  <a:extLst>
    <a:ext uri="{05A4C25C-085E-4340-85A3-A5531E510DB2}">
      <thm15:themeFamily xmlns:thm15="http://schemas.microsoft.com/office/thememl/2012/main" name="Linklaters HouseStyle" id="{6E5DF409-2D9F-47EC-BD15-2F635E1084D7}" vid="{5B28F902-603F-4D67-A4EE-D9865CA66CB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02A32-CA49-40ED-B3CC-9ED2F2751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HouseStyle</Template>
  <TotalTime>1158</TotalTime>
  <Pages>15</Pages>
  <Words>4602</Words>
  <Characters>24258</Characters>
  <Application>Microsoft Office Word</Application>
  <DocSecurity>0</DocSecurity>
  <Lines>457</Lines>
  <Paragraphs>129</Paragraphs>
  <ScaleCrop>false</ScaleCrop>
  <HeadingPairs>
    <vt:vector size="2" baseType="variant">
      <vt:variant>
        <vt:lpstr>Title</vt:lpstr>
      </vt:variant>
      <vt:variant>
        <vt:i4>1</vt:i4>
      </vt:variant>
    </vt:vector>
  </HeadingPairs>
  <TitlesOfParts>
    <vt:vector size="1" baseType="lpstr">
      <vt:lpstr>HouseStyle</vt:lpstr>
    </vt:vector>
  </TitlesOfParts>
  <Company/>
  <LinksUpToDate>false</LinksUpToDate>
  <CharactersWithSpaces>28731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HouseStyle</dc:title>
  <dc:subject/>
  <dc:creator>Any Authorised User</dc:creator>
  <cp:keywords/>
  <dc:description/>
  <cp:lastModifiedBy>Any Authorised User</cp:lastModifiedBy>
  <cp:revision>40</cp:revision>
  <cp:lastPrinted>2019-05-22T09:35:00Z</cp:lastPrinted>
  <dcterms:created xsi:type="dcterms:W3CDTF">2021-03-26T18:50:00Z</dcterms:created>
  <dcterms:modified xsi:type="dcterms:W3CDTF">2021-06-10T20:25:00Z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Version">
    <vt:lpwstr>3.0</vt:lpwstr>
  </op:property>
  <op:property fmtid="{D5CDD505-2E9C-101B-9397-08002B2CF9AE}" pid="3" name="Document Number">
    <vt:lpwstr>A44639157</vt:lpwstr>
  </op:property>
  <op:property fmtid="{D5CDD505-2E9C-101B-9397-08002B2CF9AE}" pid="4" name="Last Modified">
    <vt:lpwstr>11 Jun 2021</vt:lpwstr>
  </op:property>
  <op:property fmtid="{D5CDD505-2E9C-101B-9397-08002B2CF9AE}" pid="5" name="Template Version">
    <vt:lpwstr>R.0007</vt:lpwstr>
  </op:property>
  <op:property fmtid="{D5CDD505-2E9C-101B-9397-08002B2CF9AE}" pid="6" name="CoverPage">
    <vt:lpwstr>No</vt:lpwstr>
  </op:property>
  <op:property fmtid="{D5CDD505-2E9C-101B-9397-08002B2CF9AE}" pid="7" name="Language">
    <vt:lpwstr>English (U.K.)</vt:lpwstr>
  </op:property>
  <op:property fmtid="{D5CDD505-2E9C-101B-9397-08002B2CF9AE}" pid="8" name="PaperSize">
    <vt:lpwstr>A4</vt:lpwstr>
  </op:property>
  <op:property fmtid="{D5CDD505-2E9C-101B-9397-08002B2CF9AE}" pid="9" name="Landscape">
    <vt:lpwstr> </vt:lpwstr>
  </op:property>
  <op:property fmtid="{D5CDD505-2E9C-101B-9397-08002B2CF9AE}" pid="10" name="HouseStyle">
    <vt:lpwstr>2</vt:lpwstr>
  </op:property>
  <op:property fmtid="{D5CDD505-2E9C-101B-9397-08002B2CF9AE}" pid="11" name="HSChanged">
    <vt:lpwstr>No</vt:lpwstr>
  </op:property>
  <op:property fmtid="{D5CDD505-2E9C-101B-9397-08002B2CF9AE}" pid="12" name="HeadPara">
    <vt:i4>1</vt:i4>
  </op:property>
  <op:property fmtid="{D5CDD505-2E9C-101B-9397-08002B2CF9AE}" pid="13" name="TOCInsert">
    <vt:lpwstr>Yes</vt:lpwstr>
  </op:property>
  <op:property fmtid="{D5CDD505-2E9C-101B-9397-08002B2CF9AE}" pid="14" name="TOCString">
    <vt:lpwstr> </vt:lpwstr>
  </op:property>
  <op:property fmtid="{D5CDD505-2E9C-101B-9397-08002B2CF9AE}" pid="15" name="TOCBold">
    <vt:lpwstr>Yes</vt:lpwstr>
  </op:property>
  <op:property fmtid="{D5CDD505-2E9C-101B-9397-08002B2CF9AE}" pid="16" name="Chinese">
    <vt:lpwstr>No</vt:lpwstr>
  </op:property>
  <op:property fmtid="{D5CDD505-2E9C-101B-9397-08002B2CF9AE}" pid="17" name="Lineleader">
    <vt:lpwstr>No</vt:lpwstr>
  </op:property>
  <op:property fmtid="{D5CDD505-2E9C-101B-9397-08002B2CF9AE}" pid="18" name="CoverPageType">
    <vt:lpwstr> </vt:lpwstr>
  </op:property>
  <op:property fmtid="{D5CDD505-2E9C-101B-9397-08002B2CF9AE}" pid="19" name="Client Code">
    <vt:lpwstr>10029737</vt:lpwstr>
  </op:property>
  <op:property fmtid="{D5CDD505-2E9C-101B-9397-08002B2CF9AE}" pid="20" name="DEDocumentLocation">
    <vt:lpwstr>C:\Users\rbhanot\AppData\Local\Linklaters\DocExplorer\Attachments\Draft amendments for ICE Swap Rate Fallbacks_Settlement Rate_USD (11.06.2021).docx</vt:lpwstr>
  </op:property>
  <op:property fmtid="{D5CDD505-2E9C-101B-9397-08002B2CF9AE}" pid="21" name="Matter Number">
    <vt:lpwstr>L-254085</vt:lpwstr>
  </op:property>
  <op:property fmtid="{D5CDD505-2E9C-101B-9397-08002B2CF9AE}" pid="22" name="Mode">
    <vt:lpwstr>SendAs</vt:lpwstr>
  </op:property>
  <op:property fmtid="{D5CDD505-2E9C-101B-9397-08002B2CF9AE}" pid="23" name="ObjectID">
    <vt:lpwstr>09001dc895cfdb0f</vt:lpwstr>
  </op:property>
</op:Properties>
</file>