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89" w:rsidRDefault="00C476C8">
      <w:pPr>
        <w:pStyle w:val="BodyText0"/>
        <w:tabs>
          <w:tab w:val="center" w:pos="3828"/>
        </w:tabs>
        <w:jc w:val="right"/>
        <w:rPr>
          <w:rFonts w:ascii="Times New Roman" w:hAnsi="Times New Roman"/>
          <w:b/>
          <w:sz w:val="22"/>
          <w:szCs w:val="22"/>
        </w:rPr>
      </w:pPr>
      <w:bookmarkStart w:id="0" w:name="_GoBack"/>
      <w:bookmarkEnd w:id="0"/>
      <w:r>
        <w:rPr>
          <w:rFonts w:ascii="Times New Roman" w:hAnsi="Times New Roman"/>
          <w:b/>
          <w:sz w:val="22"/>
          <w:szCs w:val="22"/>
        </w:rPr>
        <w:t xml:space="preserve">Version: </w:t>
      </w:r>
      <w:r w:rsidR="003E1421">
        <w:rPr>
          <w:rFonts w:ascii="Times New Roman" w:hAnsi="Times New Roman"/>
          <w:b/>
          <w:sz w:val="22"/>
          <w:szCs w:val="22"/>
        </w:rPr>
        <w:t>January 2016</w:t>
      </w:r>
    </w:p>
    <w:p w:rsidR="009E5A89" w:rsidRDefault="009E5A89">
      <w:pPr>
        <w:pStyle w:val="BodyText0"/>
        <w:tabs>
          <w:tab w:val="center" w:pos="3828"/>
        </w:tabs>
        <w:jc w:val="center"/>
        <w:rPr>
          <w:rFonts w:ascii="Times New Roman" w:hAnsi="Times New Roman"/>
          <w:b/>
          <w:sz w:val="22"/>
          <w:szCs w:val="22"/>
        </w:rPr>
      </w:pPr>
    </w:p>
    <w:p w:rsidR="009E5A89" w:rsidRDefault="00C476C8">
      <w:pPr>
        <w:pStyle w:val="BodyText0"/>
        <w:tabs>
          <w:tab w:val="center" w:pos="3828"/>
        </w:tabs>
        <w:jc w:val="center"/>
        <w:rPr>
          <w:rFonts w:ascii="Times New Roman" w:hAnsi="Times New Roman"/>
          <w:b/>
          <w:sz w:val="22"/>
          <w:szCs w:val="22"/>
        </w:rPr>
      </w:pPr>
      <w:r>
        <w:rPr>
          <w:rFonts w:ascii="Times New Roman" w:hAnsi="Times New Roman"/>
          <w:b/>
          <w:sz w:val="22"/>
          <w:szCs w:val="22"/>
        </w:rPr>
        <w:t>CLEARING MEMBER DISCLOSURE DOCUMENT</w:t>
      </w:r>
      <w:r>
        <w:rPr>
          <w:rStyle w:val="EndnoteReference"/>
          <w:rFonts w:ascii="Times New Roman" w:hAnsi="Times New Roman"/>
          <w:b/>
          <w:sz w:val="22"/>
          <w:szCs w:val="22"/>
        </w:rPr>
        <w:endnoteReference w:id="1"/>
      </w:r>
    </w:p>
    <w:p w:rsidR="009E5A89" w:rsidRDefault="00C476C8">
      <w:pPr>
        <w:pStyle w:val="BodyText0"/>
        <w:rPr>
          <w:rFonts w:ascii="Times New Roman" w:hAnsi="Times New Roman"/>
          <w:sz w:val="22"/>
          <w:szCs w:val="22"/>
        </w:rPr>
      </w:pPr>
      <w:r>
        <w:rPr>
          <w:rFonts w:ascii="Times New Roman" w:hAnsi="Times New Roman"/>
          <w:b/>
          <w:sz w:val="22"/>
          <w:szCs w:val="22"/>
        </w:rPr>
        <w:t>Introduction</w:t>
      </w:r>
      <w:r>
        <w:rPr>
          <w:rStyle w:val="EndnoteReference"/>
          <w:rFonts w:ascii="Times New Roman" w:hAnsi="Times New Roman"/>
          <w:b/>
          <w:sz w:val="22"/>
          <w:szCs w:val="22"/>
        </w:rPr>
        <w:endnoteReference w:id="2"/>
      </w:r>
    </w:p>
    <w:p w:rsidR="009E5A89" w:rsidRDefault="00C476C8">
      <w:pPr>
        <w:pStyle w:val="BodyText0"/>
        <w:rPr>
          <w:rFonts w:ascii="Times New Roman" w:hAnsi="Times New Roman"/>
          <w:sz w:val="22"/>
          <w:szCs w:val="22"/>
        </w:rPr>
      </w:pPr>
      <w:r>
        <w:rPr>
          <w:rFonts w:ascii="Times New Roman" w:hAnsi="Times New Roman"/>
          <w:sz w:val="22"/>
          <w:szCs w:val="22"/>
        </w:rPr>
        <w:t>Throughout this document references to “we”, “our” and “us” are references to the clearing broker. References to “you” and “your” are references to the client.</w:t>
      </w:r>
    </w:p>
    <w:p w:rsidR="009E5A89" w:rsidRDefault="00C476C8">
      <w:pPr>
        <w:pStyle w:val="BodyText0"/>
        <w:rPr>
          <w:rFonts w:ascii="Times New Roman" w:hAnsi="Times New Roman"/>
          <w:b/>
          <w:sz w:val="22"/>
          <w:szCs w:val="22"/>
        </w:rPr>
      </w:pPr>
      <w:r>
        <w:rPr>
          <w:rFonts w:ascii="Times New Roman" w:hAnsi="Times New Roman"/>
          <w:b/>
          <w:sz w:val="22"/>
          <w:szCs w:val="22"/>
        </w:rPr>
        <w:t>What is the purpose of this document?</w:t>
      </w:r>
    </w:p>
    <w:p w:rsidR="009E5A89" w:rsidRDefault="00C476C8">
      <w:pPr>
        <w:pStyle w:val="BodyText0"/>
        <w:rPr>
          <w:rFonts w:ascii="Times New Roman" w:hAnsi="Times New Roman"/>
          <w:sz w:val="22"/>
          <w:szCs w:val="22"/>
        </w:rPr>
      </w:pPr>
      <w:r>
        <w:rPr>
          <w:rFonts w:ascii="Times New Roman" w:hAnsi="Times New Roman"/>
          <w:sz w:val="22"/>
          <w:szCs w:val="22"/>
        </w:rPr>
        <w:t>To enable us to comply with our obligations as a clearing member under EMIR</w:t>
      </w:r>
      <w:r>
        <w:rPr>
          <w:rStyle w:val="EndnoteReference"/>
          <w:rFonts w:ascii="Times New Roman" w:hAnsi="Times New Roman"/>
          <w:sz w:val="22"/>
          <w:szCs w:val="22"/>
        </w:rPr>
        <w:endnoteReference w:id="3"/>
      </w:r>
      <w:r>
        <w:rPr>
          <w:rFonts w:ascii="Times New Roman" w:hAnsi="Times New Roman"/>
          <w:sz w:val="22"/>
          <w:szCs w:val="22"/>
        </w:rPr>
        <w:t>, which requires that where we are providing services to you that involve us clearing derivatives through an EU central counterparty (</w:t>
      </w:r>
      <w:r>
        <w:rPr>
          <w:rFonts w:ascii="Times New Roman" w:hAnsi="Times New Roman"/>
          <w:b/>
          <w:sz w:val="22"/>
          <w:szCs w:val="22"/>
        </w:rPr>
        <w:t>CCP</w:t>
      </w:r>
      <w:r>
        <w:rPr>
          <w:rFonts w:ascii="Times New Roman" w:hAnsi="Times New Roman"/>
          <w:sz w:val="22"/>
          <w:szCs w:val="22"/>
        </w:rPr>
        <w:t>)</w:t>
      </w:r>
      <w:r>
        <w:rPr>
          <w:rStyle w:val="EndnoteReference"/>
          <w:rFonts w:ascii="Times New Roman" w:hAnsi="Times New Roman"/>
          <w:sz w:val="22"/>
          <w:szCs w:val="22"/>
        </w:rPr>
        <w:endnoteReference w:id="4"/>
      </w:r>
      <w:r>
        <w:rPr>
          <w:rFonts w:ascii="Times New Roman" w:hAnsi="Times New Roman"/>
          <w:sz w:val="22"/>
          <w:szCs w:val="22"/>
        </w:rPr>
        <w:t>, we must:</w:t>
      </w:r>
    </w:p>
    <w:p w:rsidR="009E5A89" w:rsidRDefault="00C476C8">
      <w:pPr>
        <w:pStyle w:val="BodyText0"/>
        <w:numPr>
          <w:ilvl w:val="0"/>
          <w:numId w:val="2"/>
        </w:numPr>
        <w:rPr>
          <w:rFonts w:ascii="Times New Roman" w:hAnsi="Times New Roman"/>
          <w:sz w:val="22"/>
          <w:szCs w:val="22"/>
        </w:rPr>
      </w:pPr>
      <w:r>
        <w:rPr>
          <w:rFonts w:ascii="Times New Roman" w:hAnsi="Times New Roman"/>
          <w:sz w:val="22"/>
          <w:szCs w:val="22"/>
        </w:rPr>
        <w:t xml:space="preserve">offer you a choice of an individual client account or an omnibus client account (as discussed under </w:t>
      </w:r>
      <w:r>
        <w:rPr>
          <w:rFonts w:ascii="Times New Roman" w:hAnsi="Times New Roman"/>
          <w:i/>
          <w:sz w:val="22"/>
          <w:szCs w:val="22"/>
        </w:rPr>
        <w:t xml:space="preserve">“The types of account available” </w:t>
      </w:r>
      <w:r>
        <w:rPr>
          <w:rFonts w:ascii="Times New Roman" w:hAnsi="Times New Roman"/>
          <w:sz w:val="22"/>
          <w:szCs w:val="22"/>
        </w:rPr>
        <w:t>in Part One B below);</w:t>
      </w:r>
    </w:p>
    <w:p w:rsidR="009E5A89" w:rsidRDefault="00C476C8">
      <w:pPr>
        <w:pStyle w:val="BodyText0"/>
        <w:numPr>
          <w:ilvl w:val="0"/>
          <w:numId w:val="2"/>
        </w:numPr>
        <w:rPr>
          <w:rFonts w:ascii="Times New Roman" w:hAnsi="Times New Roman"/>
          <w:sz w:val="22"/>
          <w:szCs w:val="22"/>
        </w:rPr>
      </w:pPr>
      <w:r>
        <w:rPr>
          <w:rFonts w:ascii="Times New Roman" w:hAnsi="Times New Roman"/>
          <w:sz w:val="22"/>
          <w:szCs w:val="22"/>
        </w:rPr>
        <w:t xml:space="preserve">publicly disclose the levels of protection and costs associated with different levels of segregation; and </w:t>
      </w:r>
    </w:p>
    <w:p w:rsidR="009E5A89" w:rsidRDefault="00C476C8">
      <w:pPr>
        <w:pStyle w:val="BodyText0"/>
        <w:numPr>
          <w:ilvl w:val="0"/>
          <w:numId w:val="2"/>
        </w:numPr>
        <w:rPr>
          <w:rFonts w:ascii="Times New Roman" w:hAnsi="Times New Roman"/>
          <w:sz w:val="22"/>
          <w:szCs w:val="22"/>
        </w:rPr>
      </w:pPr>
      <w:proofErr w:type="gramStart"/>
      <w:r>
        <w:rPr>
          <w:rFonts w:ascii="Times New Roman" w:hAnsi="Times New Roman"/>
          <w:sz w:val="22"/>
          <w:szCs w:val="22"/>
        </w:rPr>
        <w:t>describe</w:t>
      </w:r>
      <w:proofErr w:type="gramEnd"/>
      <w:r>
        <w:rPr>
          <w:rFonts w:ascii="Times New Roman" w:hAnsi="Times New Roman"/>
          <w:sz w:val="22"/>
          <w:szCs w:val="22"/>
        </w:rPr>
        <w:t xml:space="preserve"> the main legal implications of different levels of segregation. </w:t>
      </w:r>
    </w:p>
    <w:p w:rsidR="009E5A89" w:rsidRDefault="00C476C8">
      <w:pPr>
        <w:pStyle w:val="BodyText0"/>
        <w:rPr>
          <w:rFonts w:ascii="Times New Roman" w:hAnsi="Times New Roman"/>
          <w:sz w:val="22"/>
          <w:szCs w:val="22"/>
        </w:rPr>
      </w:pPr>
      <w:r>
        <w:rPr>
          <w:rFonts w:ascii="Times New Roman" w:hAnsi="Times New Roman"/>
          <w:sz w:val="22"/>
          <w:szCs w:val="22"/>
        </w:rPr>
        <w:t>We have provided the costs associated with the different levels of segregation separately. Details can be found</w:t>
      </w:r>
      <w:r w:rsidR="00722ED4">
        <w:rPr>
          <w:rFonts w:ascii="Times New Roman" w:hAnsi="Times New Roman"/>
          <w:sz w:val="22"/>
          <w:szCs w:val="22"/>
        </w:rPr>
        <w:t xml:space="preserve"> at</w:t>
      </w:r>
      <w:r>
        <w:rPr>
          <w:rFonts w:ascii="Times New Roman" w:hAnsi="Times New Roman"/>
          <w:sz w:val="22"/>
          <w:szCs w:val="22"/>
        </w:rPr>
        <w:t>: [</w:t>
      </w:r>
      <w:r>
        <w:rPr>
          <w:rFonts w:ascii="Times New Roman" w:hAnsi="Times New Roman"/>
          <w:b/>
          <w:sz w:val="22"/>
          <w:szCs w:val="22"/>
        </w:rPr>
        <w:t>FIRM TO COMPLETE</w:t>
      </w:r>
      <w:r>
        <w:rPr>
          <w:rFonts w:ascii="Times New Roman" w:hAnsi="Times New Roman"/>
          <w:sz w:val="22"/>
          <w:szCs w:val="22"/>
        </w:rPr>
        <w:t>].</w:t>
      </w:r>
      <w:r>
        <w:rPr>
          <w:rStyle w:val="EndnoteReference"/>
          <w:rFonts w:ascii="Times New Roman" w:hAnsi="Times New Roman"/>
          <w:sz w:val="22"/>
          <w:szCs w:val="22"/>
        </w:rPr>
        <w:endnoteReference w:id="5"/>
      </w:r>
    </w:p>
    <w:p w:rsidR="009E5A89" w:rsidRDefault="00C476C8">
      <w:pPr>
        <w:pStyle w:val="BodyText0"/>
        <w:rPr>
          <w:rFonts w:ascii="Times New Roman" w:hAnsi="Times New Roman"/>
          <w:b/>
          <w:sz w:val="22"/>
          <w:szCs w:val="22"/>
        </w:rPr>
      </w:pPr>
      <w:r>
        <w:rPr>
          <w:rFonts w:ascii="Times New Roman" w:hAnsi="Times New Roman"/>
          <w:b/>
          <w:sz w:val="22"/>
          <w:szCs w:val="22"/>
        </w:rPr>
        <w:t>Organisation of this document</w:t>
      </w:r>
    </w:p>
    <w:p w:rsidR="009E5A89" w:rsidRDefault="00C476C8">
      <w:pPr>
        <w:pStyle w:val="BodyText0"/>
        <w:rPr>
          <w:rFonts w:ascii="Times New Roman" w:hAnsi="Times New Roman"/>
          <w:sz w:val="22"/>
          <w:szCs w:val="22"/>
        </w:rPr>
      </w:pPr>
      <w:r>
        <w:rPr>
          <w:rFonts w:ascii="Times New Roman" w:hAnsi="Times New Roman"/>
          <w:sz w:val="22"/>
          <w:szCs w:val="22"/>
        </w:rPr>
        <w:t>This document is set out as follows:</w:t>
      </w:r>
    </w:p>
    <w:p w:rsidR="009E5A89" w:rsidRDefault="00C476C8">
      <w:pPr>
        <w:pStyle w:val="BodyText0"/>
        <w:numPr>
          <w:ilvl w:val="0"/>
          <w:numId w:val="2"/>
        </w:numPr>
        <w:rPr>
          <w:rFonts w:ascii="Times New Roman" w:hAnsi="Times New Roman"/>
          <w:sz w:val="22"/>
          <w:szCs w:val="22"/>
        </w:rPr>
      </w:pPr>
      <w:r>
        <w:rPr>
          <w:rFonts w:ascii="Times New Roman" w:hAnsi="Times New Roman"/>
          <w:sz w:val="22"/>
          <w:szCs w:val="22"/>
        </w:rPr>
        <w:t>Part One A provides some background to clearing.</w:t>
      </w:r>
    </w:p>
    <w:p w:rsidR="009E5A89" w:rsidRDefault="00C476C8">
      <w:pPr>
        <w:pStyle w:val="BodyText0"/>
        <w:numPr>
          <w:ilvl w:val="0"/>
          <w:numId w:val="2"/>
        </w:numPr>
        <w:rPr>
          <w:rFonts w:ascii="Times New Roman" w:hAnsi="Times New Roman"/>
          <w:sz w:val="22"/>
          <w:szCs w:val="22"/>
        </w:rPr>
      </w:pPr>
      <w:r>
        <w:rPr>
          <w:rFonts w:ascii="Times New Roman" w:hAnsi="Times New Roman"/>
          <w:sz w:val="22"/>
          <w:szCs w:val="22"/>
        </w:rPr>
        <w:t>Part One B gives information about the difference between the individual client account and the omnibus client account, explains how this impacts on the clearing of your derivatives and sets out some of the other factors that might affect the level of protection you receive in respect of assets provided to us as margin.</w:t>
      </w:r>
    </w:p>
    <w:p w:rsidR="009E5A89" w:rsidRDefault="00C476C8">
      <w:pPr>
        <w:pStyle w:val="BodyText0"/>
        <w:numPr>
          <w:ilvl w:val="0"/>
          <w:numId w:val="2"/>
        </w:numPr>
        <w:rPr>
          <w:rFonts w:ascii="Times New Roman" w:hAnsi="Times New Roman"/>
          <w:sz w:val="22"/>
          <w:szCs w:val="22"/>
        </w:rPr>
      </w:pPr>
      <w:r>
        <w:rPr>
          <w:rFonts w:ascii="Times New Roman" w:hAnsi="Times New Roman"/>
          <w:sz w:val="22"/>
          <w:szCs w:val="22"/>
        </w:rPr>
        <w:t>Part One C sets out some of the main insolvency considerations.</w:t>
      </w:r>
    </w:p>
    <w:p w:rsidR="009E5A89" w:rsidRDefault="00C476C8">
      <w:pPr>
        <w:pStyle w:val="BodyText0"/>
        <w:numPr>
          <w:ilvl w:val="0"/>
          <w:numId w:val="2"/>
        </w:numPr>
        <w:rPr>
          <w:rFonts w:ascii="Times New Roman" w:hAnsi="Times New Roman"/>
          <w:sz w:val="22"/>
          <w:szCs w:val="22"/>
        </w:rPr>
      </w:pPr>
      <w:r>
        <w:rPr>
          <w:rFonts w:ascii="Times New Roman" w:hAnsi="Times New Roman"/>
          <w:sz w:val="22"/>
          <w:szCs w:val="22"/>
        </w:rPr>
        <w:t>Part Two provides an overview of the main variations on the different levels of segregation that the CCPs offer, together with an explanation of the main implications of each, and sets out links to further information provided by the CCPs.</w:t>
      </w:r>
    </w:p>
    <w:p w:rsidR="009E5A89" w:rsidRDefault="00C476C8">
      <w:pPr>
        <w:pStyle w:val="BodyText0"/>
        <w:rPr>
          <w:rFonts w:ascii="Times New Roman" w:hAnsi="Times New Roman"/>
          <w:b/>
          <w:sz w:val="22"/>
          <w:szCs w:val="22"/>
        </w:rPr>
      </w:pPr>
      <w:r>
        <w:rPr>
          <w:rFonts w:ascii="Times New Roman" w:hAnsi="Times New Roman"/>
          <w:b/>
          <w:sz w:val="22"/>
          <w:szCs w:val="22"/>
        </w:rPr>
        <w:t>What are you required to do?</w:t>
      </w:r>
    </w:p>
    <w:p w:rsidR="009E5A89" w:rsidRDefault="00C476C8">
      <w:pPr>
        <w:pStyle w:val="BodyText0"/>
        <w:rPr>
          <w:rFonts w:ascii="Times New Roman" w:hAnsi="Times New Roman"/>
          <w:sz w:val="22"/>
          <w:szCs w:val="22"/>
        </w:rPr>
      </w:pPr>
      <w:r>
        <w:rPr>
          <w:rFonts w:ascii="Times New Roman" w:hAnsi="Times New Roman"/>
          <w:sz w:val="22"/>
          <w:szCs w:val="22"/>
        </w:rPr>
        <w:t xml:space="preserve">You must review the information provided in this document and the relevant CCP disclosures and confirm to us in writing which account type you would like us to maintain with respect to each CCP on which we clear derivatives for you from time to time and whether you agree with the way in which we propose to deal with any excess margin we may hold in relation to an individual client account. We will explain how we would like you to make this confirmation and by when. If you do not confirm within the requested timeframe, we will not be in compliance with our obligations under EMIR, which is not a position we can continue with indefinitely. In the meantime, we will continue to clear your </w:t>
      </w:r>
      <w:r>
        <w:rPr>
          <w:rFonts w:ascii="Times New Roman" w:hAnsi="Times New Roman"/>
          <w:sz w:val="22"/>
          <w:szCs w:val="22"/>
        </w:rPr>
        <w:lastRenderedPageBreak/>
        <w:t>derivatives, either using the existing account structure or an omnibus client account, as this is the most similar of the new account types to the existing account structure.</w:t>
      </w:r>
    </w:p>
    <w:p w:rsidR="009E5A89" w:rsidRDefault="00C476C8">
      <w:pPr>
        <w:pStyle w:val="BodyText0"/>
        <w:rPr>
          <w:rFonts w:ascii="Times New Roman" w:hAnsi="Times New Roman"/>
          <w:b/>
          <w:sz w:val="22"/>
          <w:szCs w:val="22"/>
        </w:rPr>
      </w:pPr>
      <w:r>
        <w:rPr>
          <w:rFonts w:ascii="Times New Roman" w:hAnsi="Times New Roman"/>
          <w:b/>
          <w:sz w:val="22"/>
          <w:szCs w:val="22"/>
        </w:rPr>
        <w:t>Important</w:t>
      </w:r>
      <w:r>
        <w:rPr>
          <w:rStyle w:val="EndnoteReference"/>
          <w:rFonts w:ascii="Times New Roman" w:hAnsi="Times New Roman"/>
          <w:b/>
          <w:sz w:val="22"/>
          <w:szCs w:val="22"/>
        </w:rPr>
        <w:endnoteReference w:id="6"/>
      </w:r>
    </w:p>
    <w:p w:rsidR="009E5A89" w:rsidRDefault="00C476C8">
      <w:pPr>
        <w:pStyle w:val="BodyText0"/>
        <w:rPr>
          <w:rFonts w:ascii="Times New Roman" w:hAnsi="Times New Roman"/>
          <w:sz w:val="22"/>
          <w:szCs w:val="22"/>
        </w:rPr>
      </w:pPr>
      <w:r>
        <w:rPr>
          <w:rFonts w:ascii="Times New Roman" w:hAnsi="Times New Roman"/>
          <w:sz w:val="22"/>
          <w:szCs w:val="22"/>
        </w:rPr>
        <w:t>Whilst this document will be helpful to you when making this decision, this document does not constitute legal or any other form of advice and must not be relied on as such. This document provides a high level analysis of several complex and/or new areas of law, whose effect will vary depending on the specific facts of any particular case, some of which have not been tested in the courts. It does not provide all the information you may need to make your decision on which account type or level of segregation is suitable for you. It is your responsibility to review and conduct your own due diligence on the relevant rules, legal documentation and any other information provided to you on each of our client account offerings and those of the various CCPs on which we clear derivatives for you. You may wish to appoint your own professional advisors to assist you with this.</w:t>
      </w:r>
    </w:p>
    <w:p w:rsidR="009E5A89" w:rsidRDefault="00C476C8">
      <w:pPr>
        <w:pStyle w:val="BodyText0"/>
        <w:rPr>
          <w:rFonts w:ascii="Times New Roman" w:hAnsi="Times New Roman"/>
          <w:sz w:val="22"/>
          <w:szCs w:val="22"/>
        </w:rPr>
      </w:pPr>
      <w:r>
        <w:rPr>
          <w:rFonts w:ascii="Times New Roman" w:hAnsi="Times New Roman"/>
          <w:sz w:val="22"/>
          <w:szCs w:val="22"/>
        </w:rPr>
        <w:t xml:space="preserve">We shall not in any circumstances be liable, whether in contract, tort, </w:t>
      </w:r>
      <w:proofErr w:type="gramStart"/>
      <w:r>
        <w:rPr>
          <w:rFonts w:ascii="Times New Roman" w:hAnsi="Times New Roman"/>
          <w:sz w:val="22"/>
          <w:szCs w:val="22"/>
        </w:rPr>
        <w:t>breach</w:t>
      </w:r>
      <w:proofErr w:type="gramEnd"/>
      <w:r>
        <w:rPr>
          <w:rFonts w:ascii="Times New Roman" w:hAnsi="Times New Roman"/>
          <w:sz w:val="22"/>
          <w:szCs w:val="22"/>
        </w:rPr>
        <w:t xml:space="preserve"> of statutory duty or otherwise for any losses or damages that may be suffered as a result of using this document. Such losses or damages include (a) any loss of profit or revenue, damage to reputation or loss o</w:t>
      </w:r>
      <w:r w:rsidR="00722ED4">
        <w:rPr>
          <w:rFonts w:ascii="Times New Roman" w:hAnsi="Times New Roman"/>
          <w:sz w:val="22"/>
          <w:szCs w:val="22"/>
        </w:rPr>
        <w:t>f</w:t>
      </w:r>
      <w:r>
        <w:rPr>
          <w:rFonts w:ascii="Times New Roman" w:hAnsi="Times New Roman"/>
          <w:sz w:val="22"/>
          <w:szCs w:val="22"/>
        </w:rPr>
        <w:t xml:space="preserve"> any contract or other business opportunity or goodwill and (b) any indirect loss or consequential loss. No responsibility or liability is accepted for any differences of interpretation of legislative provisions and related guidance on which it is based. This paragraph does not extend to an exclusion of liability for, or remedy in respect of, fraudulent misrepresentation.</w:t>
      </w:r>
    </w:p>
    <w:p w:rsidR="009E5A89" w:rsidRDefault="00C476C8">
      <w:pPr>
        <w:pStyle w:val="BodyText0"/>
        <w:rPr>
          <w:rFonts w:ascii="Times New Roman" w:hAnsi="Times New Roman"/>
          <w:b/>
          <w:sz w:val="22"/>
          <w:szCs w:val="22"/>
          <w:u w:val="single"/>
        </w:rPr>
      </w:pPr>
      <w:r>
        <w:rPr>
          <w:rFonts w:ascii="Times New Roman" w:hAnsi="Times New Roman"/>
          <w:sz w:val="22"/>
          <w:szCs w:val="22"/>
        </w:rPr>
        <w:t>Please note that this disclosure has been prepared on the basis of English law save as otherwise stated. However, issues under other laws may be relevant to your due diligence. For example, the law governing the CCP rules or related agreements; the law governing our insolvency; the law of the jurisdiction of incorporation of the CCP; and the law of the location of any assets.</w:t>
      </w:r>
      <w:r>
        <w:rPr>
          <w:rFonts w:ascii="Times New Roman" w:hAnsi="Times New Roman"/>
          <w:b/>
          <w:sz w:val="22"/>
          <w:szCs w:val="22"/>
          <w:u w:val="single"/>
        </w:rPr>
        <w:br w:type="page"/>
      </w:r>
    </w:p>
    <w:p w:rsidR="009E5A89" w:rsidRDefault="00C476C8">
      <w:pPr>
        <w:pStyle w:val="BodyText0"/>
        <w:rPr>
          <w:rFonts w:ascii="Times New Roman" w:hAnsi="Times New Roman"/>
          <w:b/>
          <w:sz w:val="22"/>
          <w:szCs w:val="22"/>
          <w:u w:val="single"/>
        </w:rPr>
      </w:pPr>
      <w:r>
        <w:rPr>
          <w:rFonts w:ascii="Times New Roman" w:hAnsi="Times New Roman"/>
          <w:b/>
          <w:sz w:val="22"/>
          <w:szCs w:val="22"/>
          <w:u w:val="single"/>
        </w:rPr>
        <w:lastRenderedPageBreak/>
        <w:t>Part One A: A brief background to clearing</w:t>
      </w:r>
    </w:p>
    <w:p w:rsidR="009E5A89" w:rsidRDefault="00C476C8">
      <w:pPr>
        <w:pStyle w:val="BodyText0"/>
        <w:tabs>
          <w:tab w:val="center" w:pos="4536"/>
        </w:tabs>
        <w:rPr>
          <w:rFonts w:ascii="Times New Roman" w:hAnsi="Times New Roman"/>
          <w:b/>
          <w:sz w:val="22"/>
          <w:szCs w:val="22"/>
        </w:rPr>
      </w:pPr>
      <w:r>
        <w:rPr>
          <w:rFonts w:ascii="Times New Roman" w:hAnsi="Times New Roman"/>
          <w:sz w:val="22"/>
          <w:szCs w:val="22"/>
        </w:rPr>
        <w:t>The market distinguishes two main types of clearing models: the “agency” model and the “principal-to-principal” model. Most of the CCPs we use adopt the “principal-to-principal” model, and this document assumes all transactions are cleared according to this model.</w:t>
      </w:r>
      <w:r>
        <w:rPr>
          <w:rStyle w:val="EndnoteReference"/>
          <w:rFonts w:ascii="Times New Roman" w:hAnsi="Times New Roman"/>
          <w:sz w:val="22"/>
          <w:szCs w:val="22"/>
        </w:rPr>
        <w:endnoteReference w:id="7"/>
      </w:r>
    </w:p>
    <w:p w:rsidR="009E5A89" w:rsidRDefault="00C476C8">
      <w:pPr>
        <w:pStyle w:val="BodyText0"/>
        <w:tabs>
          <w:tab w:val="center" w:pos="4536"/>
        </w:tabs>
        <w:rPr>
          <w:rFonts w:ascii="Times New Roman" w:hAnsi="Times New Roman"/>
          <w:b/>
          <w:sz w:val="22"/>
          <w:szCs w:val="22"/>
        </w:rPr>
      </w:pPr>
      <w:r>
        <w:rPr>
          <w:rFonts w:ascii="Times New Roman" w:hAnsi="Times New Roman"/>
          <w:b/>
          <w:sz w:val="22"/>
          <w:szCs w:val="22"/>
        </w:rPr>
        <w:t>The “principal-to-principal” clearing model</w:t>
      </w:r>
    </w:p>
    <w:p w:rsidR="009E5A89" w:rsidRDefault="00C476C8">
      <w:pPr>
        <w:pStyle w:val="BodyText0"/>
        <w:rPr>
          <w:rFonts w:ascii="Times New Roman" w:hAnsi="Times New Roman"/>
          <w:sz w:val="22"/>
          <w:szCs w:val="22"/>
        </w:rPr>
      </w:pPr>
      <w:r>
        <w:rPr>
          <w:rFonts w:ascii="Times New Roman" w:hAnsi="Times New Roman"/>
          <w:sz w:val="22"/>
          <w:szCs w:val="22"/>
        </w:rPr>
        <w:t>When clearing transactions for you through a CCP, we usually enter into two separate transactions:</w: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786240" behindDoc="0" locked="0" layoutInCell="1" allowOverlap="1">
                <wp:simplePos x="0" y="0"/>
                <wp:positionH relativeFrom="column">
                  <wp:posOffset>59690</wp:posOffset>
                </wp:positionH>
                <wp:positionV relativeFrom="paragraph">
                  <wp:posOffset>200661</wp:posOffset>
                </wp:positionV>
                <wp:extent cx="1642745" cy="2331720"/>
                <wp:effectExtent l="0" t="0" r="14605" b="114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2331720"/>
                        </a:xfrm>
                        <a:prstGeom prst="rect">
                          <a:avLst/>
                        </a:prstGeom>
                        <a:solidFill>
                          <a:srgbClr val="FFFFFF"/>
                        </a:solidFill>
                        <a:ln w="9525">
                          <a:solidFill>
                            <a:schemeClr val="bg1">
                              <a:lumMod val="100000"/>
                              <a:lumOff val="0"/>
                            </a:schemeClr>
                          </a:solidFill>
                          <a:miter lim="800000"/>
                          <a:headEnd/>
                          <a:tailEnd/>
                        </a:ln>
                      </wps:spPr>
                      <wps:txbx>
                        <w:txbxContent>
                          <w:p w:rsidR="009E5A89" w:rsidRDefault="009E5A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1" o:spid="_x0000_s1026" type="#_x0000_t202" style="position:absolute;left:0;text-align:left;margin-left:4.7pt;margin-top:15.8pt;width:129.35pt;height:18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" strokecolor="white [3212]">
                <v:textbox>
                  <w:txbxContent>
                    <w:p w:rsidR="009E5A89" w:rsidRDefault="009E5A89"/>
                  </w:txbxContent>
                </v:textbox>
              </v:shape>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790336" behindDoc="0" locked="0" layoutInCell="1" allowOverlap="1">
                <wp:simplePos x="0" y="0"/>
                <wp:positionH relativeFrom="column">
                  <wp:posOffset>182880</wp:posOffset>
                </wp:positionH>
                <wp:positionV relativeFrom="paragraph">
                  <wp:posOffset>43815</wp:posOffset>
                </wp:positionV>
                <wp:extent cx="1238250" cy="443230"/>
                <wp:effectExtent l="0" t="0" r="19050" b="139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43230"/>
                        </a:xfrm>
                        <a:prstGeom prst="rect">
                          <a:avLst/>
                        </a:prstGeom>
                        <a:solidFill>
                          <a:srgbClr val="FFFFFF"/>
                        </a:solidFill>
                        <a:ln w="9525">
                          <a:solidFill>
                            <a:schemeClr val="tx1"/>
                          </a:solidFill>
                          <a:miter lim="800000"/>
                          <a:headEnd/>
                          <a:tailEnd/>
                        </a:ln>
                      </wps:spPr>
                      <wps:txbx>
                        <w:txbxContent>
                          <w:p w:rsidR="009E5A89" w:rsidRDefault="00C476C8">
                            <w:pPr>
                              <w:jc w:val="center"/>
                              <w:rPr>
                                <w:b/>
                              </w:rPr>
                            </w:pPr>
                            <w:r>
                              <w:rPr>
                                <w:b/>
                              </w:rPr>
                              <w:t>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0" o:spid="_x0000_s1027" type="#_x0000_t202" style="position:absolute;left:0;text-align:left;margin-left:14.4pt;margin-top:3.45pt;width:97.5pt;height:34.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" strokecolor="black [3213]">
                <v:textbox>
                  <w:txbxContent>
                    <w:p w:rsidR="009E5A89" w:rsidRDefault="00C476C8">
                      <w:pPr>
                        <w:jc w:val="center"/>
                        <w:rPr>
                          <w:b/>
                        </w:rPr>
                      </w:pPr>
                      <w:r>
                        <w:rPr>
                          <w:b/>
                        </w:rPr>
                        <w:t>CCP</w:t>
                      </w:r>
                    </w:p>
                  </w:txbxContent>
                </v:textbox>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806720" behindDoc="0" locked="0" layoutInCell="1" allowOverlap="1">
                <wp:simplePos x="0" y="0"/>
                <wp:positionH relativeFrom="column">
                  <wp:posOffset>1448118</wp:posOffset>
                </wp:positionH>
                <wp:positionV relativeFrom="paragraph">
                  <wp:posOffset>178435</wp:posOffset>
                </wp:positionV>
                <wp:extent cx="4581208" cy="40830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208"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C476C8">
                            <w:pPr>
                              <w:pStyle w:val="BodyText0"/>
                              <w:ind w:left="142"/>
                            </w:pPr>
                            <w:proofErr w:type="gramStart"/>
                            <w:r>
                              <w:t xml:space="preserve">A principal-to-principal transaction with the CCP, which is governed by the rules of such CCP (the </w:t>
                            </w:r>
                            <w:r>
                              <w:rPr>
                                <w:b/>
                              </w:rPr>
                              <w:t>CCP Transaction</w:t>
                            </w:r>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9" o:spid="_x0000_s1028" type="#_x0000_t202" style="position:absolute;left:0;text-align:left;margin-left:114.05pt;margin-top:14.05pt;width:360.75pt;height:32.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fphgIAABg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" stroked="f">
                <v:textbox>
                  <w:txbxContent>
                    <w:p w:rsidR="009E5A89" w:rsidRDefault="00C476C8">
                      <w:pPr>
                        <w:pStyle w:val="BodyText0"/>
                        <w:ind w:left="142"/>
                      </w:pPr>
                      <w:r>
                        <w:t xml:space="preserve">A principal-to-principal transaction with the CCP, which is governed by the rules of such CCP (the </w:t>
                      </w:r>
                      <w:r>
                        <w:rPr>
                          <w:b/>
                        </w:rPr>
                        <w:t>CCP Transaction</w:t>
                      </w:r>
                      <w:r>
                        <w:t>).</w:t>
                      </w:r>
                    </w:p>
                  </w:txbxContent>
                </v:textbox>
              </v:shape>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792384" behindDoc="0" locked="0" layoutInCell="1" allowOverlap="1">
                <wp:simplePos x="0" y="0"/>
                <wp:positionH relativeFrom="column">
                  <wp:posOffset>808990</wp:posOffset>
                </wp:positionH>
                <wp:positionV relativeFrom="paragraph">
                  <wp:posOffset>188595</wp:posOffset>
                </wp:positionV>
                <wp:extent cx="0" cy="408305"/>
                <wp:effectExtent l="61595" t="15875" r="52705" b="139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8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DAE618" id="_x0000_t32" coordsize="21600,21600" o:spt="32" o:oned="t" path="m,l21600,21600e" filled="f">
                <v:path arrowok="t" fillok="f" o:connecttype="none"/>
                <o:lock v:ext="edit" shapetype="t"/>
              </v:shapetype>
              <v:shape id="Straight Arrow Connector 28" o:spid="_x0000_s1026" type="#_x0000_t32" style="position:absolute;margin-left:63.7pt;margin-top:14.85pt;width:0;height:32.1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">
                <v:stroke endarrow="block"/>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795456" behindDoc="0" locked="0" layoutInCell="1" allowOverlap="1">
                <wp:simplePos x="0" y="0"/>
                <wp:positionH relativeFrom="column">
                  <wp:posOffset>985837</wp:posOffset>
                </wp:positionH>
                <wp:positionV relativeFrom="paragraph">
                  <wp:posOffset>78105</wp:posOffset>
                </wp:positionV>
                <wp:extent cx="207645" cy="3810"/>
                <wp:effectExtent l="38100" t="76200" r="0" b="9144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5719BB" id="Straight Arrow Connector 27" o:spid="_x0000_s1026" type="#_x0000_t32" style="position:absolute;margin-left:77.6pt;margin-top:6.15pt;width:16.35pt;height:.3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">
                <v:stroke endarrow="block"/>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791360" behindDoc="0" locked="0" layoutInCell="1" allowOverlap="1">
                <wp:simplePos x="0" y="0"/>
                <wp:positionH relativeFrom="column">
                  <wp:posOffset>182880</wp:posOffset>
                </wp:positionH>
                <wp:positionV relativeFrom="paragraph">
                  <wp:posOffset>0</wp:posOffset>
                </wp:positionV>
                <wp:extent cx="1301115" cy="527685"/>
                <wp:effectExtent l="6985" t="5080" r="6350" b="101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527685"/>
                        </a:xfrm>
                        <a:prstGeom prst="rect">
                          <a:avLst/>
                        </a:prstGeom>
                        <a:solidFill>
                          <a:srgbClr val="FFFFFF"/>
                        </a:solidFill>
                        <a:ln w="9525">
                          <a:solidFill>
                            <a:srgbClr val="000000"/>
                          </a:solidFill>
                          <a:miter lim="800000"/>
                          <a:headEnd/>
                          <a:tailEnd/>
                        </a:ln>
                      </wps:spPr>
                      <wps:txbx>
                        <w:txbxContent>
                          <w:p w:rsidR="009E5A89" w:rsidRDefault="00C476C8">
                            <w:pPr>
                              <w:jc w:val="center"/>
                              <w:rPr>
                                <w:b/>
                              </w:rPr>
                            </w:pPr>
                            <w:r>
                              <w:rPr>
                                <w:b/>
                              </w:rPr>
                              <w:t>Clearing Broker</w:t>
                            </w:r>
                          </w:p>
                          <w:p w:rsidR="009E5A89" w:rsidRDefault="00C476C8">
                            <w:pPr>
                              <w:jc w:val="center"/>
                              <w:rPr>
                                <w:b/>
                              </w:rPr>
                            </w:pPr>
                            <w:r>
                              <w:rPr>
                                <w:b/>
                              </w:rPr>
                              <w: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 o:spid="_x0000_s1029" type="#_x0000_t202" style="position:absolute;left:0;text-align:left;margin-left:14.4pt;margin-top:0;width:102.45pt;height:41.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">
                <v:textbox>
                  <w:txbxContent>
                    <w:p w:rsidR="009E5A89" w:rsidRDefault="00C476C8">
                      <w:pPr>
                        <w:jc w:val="center"/>
                        <w:rPr>
                          <w:b/>
                        </w:rPr>
                      </w:pPr>
                      <w:r>
                        <w:rPr>
                          <w:b/>
                        </w:rPr>
                        <w:t>Clearing Broker</w:t>
                      </w:r>
                    </w:p>
                    <w:p w:rsidR="009E5A89" w:rsidRDefault="00C476C8">
                      <w:pPr>
                        <w:jc w:val="center"/>
                        <w:rPr>
                          <w:b/>
                        </w:rPr>
                      </w:pPr>
                      <w:r>
                        <w:rPr>
                          <w:b/>
                        </w:rPr>
                        <w:t>(Us)</w:t>
                      </w:r>
                    </w:p>
                  </w:txbxContent>
                </v:textbox>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789312" behindDoc="0" locked="0" layoutInCell="1" allowOverlap="1">
                <wp:simplePos x="0" y="0"/>
                <wp:positionH relativeFrom="column">
                  <wp:posOffset>1533208</wp:posOffset>
                </wp:positionH>
                <wp:positionV relativeFrom="paragraph">
                  <wp:posOffset>279083</wp:posOffset>
                </wp:positionV>
                <wp:extent cx="4638675" cy="408305"/>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C476C8">
                            <w:pPr>
                              <w:pStyle w:val="BodyText0"/>
                              <w:ind w:left="142"/>
                            </w:pPr>
                            <w:r>
                              <w:t xml:space="preserve">A principal-to-principal transaction with you, which is governed by the terms of the client clearing agreement between us (the </w:t>
                            </w:r>
                            <w:r>
                              <w:rPr>
                                <w:b/>
                              </w:rPr>
                              <w:t>Client Transaction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5" o:spid="_x0000_s1030" type="#_x0000_t202" style="position:absolute;left:0;text-align:left;margin-left:120.75pt;margin-top:22pt;width:365.25pt;height:32.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" stroked="f">
                <v:textbox>
                  <w:txbxContent>
                    <w:p w:rsidR="009E5A89" w:rsidRDefault="00C476C8">
                      <w:pPr>
                        <w:pStyle w:val="BodyText0"/>
                        <w:ind w:left="142"/>
                      </w:pPr>
                      <w:r>
                        <w:t xml:space="preserve">A principal-to-principal transaction with you, which is governed by the terms of the client clearing agreement between us (the </w:t>
                      </w:r>
                      <w:r>
                        <w:rPr>
                          <w:b/>
                        </w:rPr>
                        <w:t>Client Transaction</w:t>
                      </w:r>
                      <w:r>
                        <w:t>)</w:t>
                      </w:r>
                    </w:p>
                  </w:txbxContent>
                </v:textbox>
              </v:shape>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793408" behindDoc="0" locked="0" layoutInCell="1" allowOverlap="1">
                <wp:simplePos x="0" y="0"/>
                <wp:positionH relativeFrom="column">
                  <wp:posOffset>808990</wp:posOffset>
                </wp:positionH>
                <wp:positionV relativeFrom="paragraph">
                  <wp:posOffset>229235</wp:posOffset>
                </wp:positionV>
                <wp:extent cx="0" cy="485140"/>
                <wp:effectExtent l="61595" t="18415" r="52705" b="1079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ABF8D5" id="Straight Arrow Connector 24" o:spid="_x0000_s1026" type="#_x0000_t32" style="position:absolute;margin-left:63.7pt;margin-top:18.05pt;width:0;height:38.2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">
                <v:stroke endarrow="block"/>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796480" behindDoc="0" locked="0" layoutInCell="1" allowOverlap="1">
                <wp:simplePos x="0" y="0"/>
                <wp:positionH relativeFrom="column">
                  <wp:posOffset>983615</wp:posOffset>
                </wp:positionH>
                <wp:positionV relativeFrom="paragraph">
                  <wp:posOffset>185420</wp:posOffset>
                </wp:positionV>
                <wp:extent cx="262255" cy="0"/>
                <wp:effectExtent l="17145" t="53975" r="6350" b="603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F03B93" id="Straight Arrow Connector 23" o:spid="_x0000_s1026" type="#_x0000_t32" style="position:absolute;margin-left:77.45pt;margin-top:14.6pt;width:20.65pt;height:0;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">
                <v:stroke endarrow="block"/>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794432" behindDoc="0" locked="0" layoutInCell="1" allowOverlap="1">
                <wp:simplePos x="0" y="0"/>
                <wp:positionH relativeFrom="column">
                  <wp:posOffset>182880</wp:posOffset>
                </wp:positionH>
                <wp:positionV relativeFrom="paragraph">
                  <wp:posOffset>117475</wp:posOffset>
                </wp:positionV>
                <wp:extent cx="1238250" cy="562610"/>
                <wp:effectExtent l="6985" t="8255" r="12065"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62610"/>
                        </a:xfrm>
                        <a:prstGeom prst="rect">
                          <a:avLst/>
                        </a:prstGeom>
                        <a:solidFill>
                          <a:srgbClr val="FFFFFF"/>
                        </a:solidFill>
                        <a:ln w="9525">
                          <a:solidFill>
                            <a:srgbClr val="000000"/>
                          </a:solidFill>
                          <a:miter lim="800000"/>
                          <a:headEnd/>
                          <a:tailEnd/>
                        </a:ln>
                      </wps:spPr>
                      <wps:txbx>
                        <w:txbxContent>
                          <w:p w:rsidR="009E5A89" w:rsidRDefault="00C476C8">
                            <w:pPr>
                              <w:jc w:val="center"/>
                              <w:rPr>
                                <w:b/>
                              </w:rPr>
                            </w:pPr>
                            <w:r>
                              <w:rPr>
                                <w:b/>
                              </w:rPr>
                              <w:t>Client</w:t>
                            </w:r>
                          </w:p>
                          <w:p w:rsidR="009E5A89" w:rsidRDefault="00C476C8">
                            <w:pPr>
                              <w:jc w:val="center"/>
                              <w:rPr>
                                <w:b/>
                              </w:rPr>
                            </w:pPr>
                            <w:r>
                              <w:rPr>
                                <w:b/>
                              </w:rPr>
                              <w:t>(You)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 o:spid="_x0000_s1031" type="#_x0000_t202" style="position:absolute;left:0;text-align:left;margin-left:14.4pt;margin-top:9.25pt;width:97.5pt;height:44.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">
                <v:textbox>
                  <w:txbxContent>
                    <w:p w:rsidR="009E5A89" w:rsidRDefault="00C476C8">
                      <w:pPr>
                        <w:jc w:val="center"/>
                        <w:rPr>
                          <w:b/>
                        </w:rPr>
                      </w:pPr>
                      <w:r>
                        <w:rPr>
                          <w:b/>
                        </w:rPr>
                        <w:t>Client</w:t>
                      </w:r>
                    </w:p>
                    <w:p w:rsidR="009E5A89" w:rsidRDefault="00C476C8">
                      <w:pPr>
                        <w:jc w:val="center"/>
                        <w:rPr>
                          <w:b/>
                        </w:rPr>
                      </w:pPr>
                      <w:r>
                        <w:rPr>
                          <w:b/>
                        </w:rPr>
                        <w:t>(You)</w:t>
                      </w:r>
                    </w:p>
                  </w:txbxContent>
                </v:textbox>
              </v:shape>
            </w:pict>
          </mc:Fallback>
        </mc:AlternateContent>
      </w: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C476C8">
      <w:pPr>
        <w:pStyle w:val="BodyText0"/>
        <w:rPr>
          <w:rFonts w:ascii="Times New Roman" w:hAnsi="Times New Roman"/>
          <w:sz w:val="22"/>
          <w:szCs w:val="22"/>
        </w:rPr>
      </w:pPr>
      <w:r>
        <w:rPr>
          <w:rFonts w:ascii="Times New Roman" w:hAnsi="Times New Roman"/>
          <w:sz w:val="22"/>
          <w:szCs w:val="22"/>
        </w:rPr>
        <w:t>The terms of each Client Transaction are equivalent to those of the related CCP Transaction, except that (i) each Client Transaction will be governed by a client clearing agreement between you and us</w:t>
      </w:r>
      <w:r>
        <w:rPr>
          <w:rStyle w:val="EndnoteReference"/>
          <w:rFonts w:ascii="Times New Roman" w:hAnsi="Times New Roman"/>
          <w:sz w:val="22"/>
          <w:szCs w:val="22"/>
        </w:rPr>
        <w:endnoteReference w:id="8"/>
      </w:r>
      <w:r>
        <w:rPr>
          <w:rFonts w:ascii="Times New Roman" w:hAnsi="Times New Roman"/>
          <w:sz w:val="22"/>
          <w:szCs w:val="22"/>
        </w:rPr>
        <w:t xml:space="preserve"> and (ii) we will take the opposite position in the CCP Transaction to the position we have under the related Client Transaction.</w:t>
      </w:r>
    </w:p>
    <w:p w:rsidR="009E5A89" w:rsidRDefault="00C476C8">
      <w:pPr>
        <w:pStyle w:val="BodyText0"/>
        <w:rPr>
          <w:rFonts w:ascii="Times New Roman" w:hAnsi="Times New Roman"/>
          <w:sz w:val="22"/>
          <w:szCs w:val="22"/>
        </w:rPr>
      </w:pPr>
      <w:r>
        <w:rPr>
          <w:rFonts w:ascii="Times New Roman" w:hAnsi="Times New Roman"/>
          <w:sz w:val="22"/>
          <w:szCs w:val="22"/>
        </w:rPr>
        <w:t>Under the terms of the client clearing agreement between you and us, a Client Transaction will arise without the need for any further action by either you or us, as soon as the CCP Transaction arises between us and the CCP. Once both of those transactions have been entered into, your transaction is considered to be “cleared”.</w:t>
      </w:r>
    </w:p>
    <w:p w:rsidR="009E5A89" w:rsidRDefault="00C476C8">
      <w:pPr>
        <w:pStyle w:val="BodyText0"/>
        <w:rPr>
          <w:rFonts w:ascii="Times New Roman" w:hAnsi="Times New Roman"/>
          <w:sz w:val="22"/>
          <w:szCs w:val="22"/>
        </w:rPr>
      </w:pPr>
      <w:r>
        <w:rPr>
          <w:rFonts w:ascii="Times New Roman" w:hAnsi="Times New Roman"/>
          <w:sz w:val="22"/>
          <w:szCs w:val="22"/>
        </w:rPr>
        <w:t xml:space="preserve">As the principal to the CCP, we are required to provide assets to the CCP as margin for the CCP Transactions that relate to you and to ensure the CCP has as much margin as it requires at any time. We will therefore ask you for margin and, where you provide it in a form which we cannot transfer to the CCP, we may transform it. If you have provided us with margin assets, you may face what we call “transit risk” - this is the risk that, if we were to default prior to providing such assets to the CCP, the assets that should have been recorded in your account at the CCP will not have been and will not benefit from the protections described below under </w:t>
      </w:r>
      <w:r>
        <w:rPr>
          <w:rFonts w:ascii="Times New Roman" w:hAnsi="Times New Roman"/>
          <w:i/>
          <w:sz w:val="22"/>
          <w:szCs w:val="22"/>
        </w:rPr>
        <w:t>“What happens if we are declared to be in default by a CCP?”</w:t>
      </w:r>
      <w:r>
        <w:rPr>
          <w:rFonts w:ascii="Times New Roman" w:hAnsi="Times New Roman"/>
          <w:sz w:val="22"/>
          <w:szCs w:val="22"/>
        </w:rPr>
        <w:t xml:space="preserve">. Transit risk may be mitigated where we hold margin in the form of cash as client money (see </w:t>
      </w:r>
      <w:r>
        <w:rPr>
          <w:rFonts w:ascii="Times New Roman" w:hAnsi="Times New Roman"/>
          <w:i/>
          <w:sz w:val="22"/>
          <w:szCs w:val="22"/>
        </w:rPr>
        <w:t xml:space="preserve">“What is the impact if we treat cash you transfer to us as client money in accordance with the FCA client money rules?” </w:t>
      </w:r>
      <w:r>
        <w:rPr>
          <w:rFonts w:ascii="Times New Roman" w:hAnsi="Times New Roman"/>
          <w:sz w:val="22"/>
          <w:szCs w:val="22"/>
        </w:rPr>
        <w:t xml:space="preserve">below). </w:t>
      </w:r>
      <w:r>
        <w:rPr>
          <w:rFonts w:ascii="Times New Roman" w:hAnsi="Times New Roman"/>
          <w:i/>
          <w:sz w:val="22"/>
          <w:szCs w:val="22"/>
        </w:rPr>
        <w:t xml:space="preserve"> </w:t>
      </w:r>
      <w:r>
        <w:rPr>
          <w:rFonts w:ascii="Times New Roman" w:hAnsi="Times New Roman"/>
          <w:sz w:val="22"/>
          <w:szCs w:val="22"/>
        </w:rPr>
        <w:t xml:space="preserve"> </w:t>
      </w:r>
    </w:p>
    <w:p w:rsidR="009E5A89" w:rsidRDefault="00C476C8">
      <w:pPr>
        <w:pStyle w:val="BodyText0"/>
        <w:rPr>
          <w:rFonts w:ascii="Times New Roman" w:hAnsi="Times New Roman"/>
          <w:sz w:val="22"/>
          <w:szCs w:val="22"/>
        </w:rPr>
      </w:pPr>
      <w:r>
        <w:rPr>
          <w:rFonts w:ascii="Times New Roman" w:hAnsi="Times New Roman"/>
          <w:sz w:val="22"/>
          <w:szCs w:val="22"/>
        </w:rPr>
        <w:t>However, in many cases you may not actually face transit risk because the CCPs often call margin from us early in the morning so we will often use our own funds to satisfy the margin call and then seek to recover such amount from you. In these cases, it is rather that we are exposed to you for the interim period. The arrangements between you and us relating to how the margin calls will be funded will be set out in the client clearing agreement between you and us.</w:t>
      </w:r>
    </w:p>
    <w:p w:rsidR="009E5A89" w:rsidRDefault="00C476C8">
      <w:pPr>
        <w:pStyle w:val="BodyText0"/>
        <w:rPr>
          <w:rFonts w:ascii="Times New Roman" w:hAnsi="Times New Roman"/>
          <w:sz w:val="22"/>
          <w:szCs w:val="22"/>
        </w:rPr>
      </w:pPr>
      <w:r>
        <w:rPr>
          <w:rFonts w:ascii="Times New Roman" w:hAnsi="Times New Roman"/>
          <w:sz w:val="22"/>
          <w:szCs w:val="22"/>
        </w:rPr>
        <w:t>If we are not a member of such CCP ourselves, we may enter into a principal-to-principal transaction with another clearing broker, instead of a principal-to-principal transaction with such CCP. Such arrangements are outside the scope of this document.</w:t>
      </w:r>
      <w:r>
        <w:rPr>
          <w:rStyle w:val="EndnoteReference"/>
          <w:rFonts w:ascii="Times New Roman" w:hAnsi="Times New Roman"/>
          <w:sz w:val="22"/>
          <w:szCs w:val="22"/>
        </w:rPr>
        <w:endnoteReference w:id="9"/>
      </w:r>
    </w:p>
    <w:p w:rsidR="009E5A89" w:rsidRDefault="009E5A89">
      <w:pPr>
        <w:pStyle w:val="BodyText0"/>
        <w:rPr>
          <w:rFonts w:ascii="Times New Roman" w:hAnsi="Times New Roman"/>
          <w:sz w:val="22"/>
          <w:szCs w:val="22"/>
        </w:rPr>
      </w:pPr>
    </w:p>
    <w:p w:rsidR="009E5A89" w:rsidRDefault="00C476C8">
      <w:pPr>
        <w:pStyle w:val="BodyText0"/>
        <w:rPr>
          <w:rFonts w:ascii="Times New Roman" w:hAnsi="Times New Roman"/>
          <w:sz w:val="22"/>
          <w:szCs w:val="22"/>
        </w:rPr>
      </w:pPr>
      <w:r>
        <w:rPr>
          <w:rFonts w:ascii="Times New Roman" w:hAnsi="Times New Roman"/>
          <w:sz w:val="22"/>
          <w:szCs w:val="22"/>
        </w:rPr>
        <w:t>Please see Part One B for an explanation of how this is relevant to the choice of account types.</w:t>
      </w:r>
      <w:r>
        <w:rPr>
          <w:rFonts w:ascii="Times New Roman" w:hAnsi="Times New Roman"/>
          <w:noProof/>
          <w:color w:val="000000" w:themeColor="text1"/>
          <w:sz w:val="22"/>
          <w:szCs w:val="22"/>
          <w:lang w:eastAsia="en-GB"/>
        </w:rPr>
        <w:t xml:space="preserve"> </w:t>
      </w:r>
    </w:p>
    <w:p w:rsidR="009E5A89" w:rsidRDefault="00C476C8">
      <w:pPr>
        <w:pStyle w:val="BodyText0"/>
        <w:rPr>
          <w:rFonts w:ascii="Times New Roman" w:hAnsi="Times New Roman"/>
          <w:b/>
          <w:sz w:val="22"/>
          <w:szCs w:val="22"/>
        </w:rPr>
      </w:pPr>
      <w:r>
        <w:rPr>
          <w:rFonts w:ascii="Times New Roman" w:hAnsi="Times New Roman"/>
          <w:b/>
          <w:sz w:val="22"/>
          <w:szCs w:val="22"/>
        </w:rPr>
        <w:t>What if you want to transfer your Client Transactions to another clearing broker?</w:t>
      </w:r>
    </w:p>
    <w:p w:rsidR="009E5A89" w:rsidRDefault="00C476C8">
      <w:pPr>
        <w:pStyle w:val="BodyText0"/>
        <w:rPr>
          <w:rFonts w:ascii="Times New Roman" w:hAnsi="Times New Roman"/>
          <w:sz w:val="22"/>
          <w:szCs w:val="22"/>
        </w:rPr>
      </w:pPr>
      <w:r>
        <w:rPr>
          <w:rFonts w:ascii="Times New Roman" w:hAnsi="Times New Roman"/>
          <w:sz w:val="22"/>
          <w:szCs w:val="22"/>
        </w:rPr>
        <w:t>There may be circumstances where you wish to transfer some or all of your Client Transactions to another clearing broker on a business as usual basis (</w:t>
      </w:r>
      <w:proofErr w:type="spellStart"/>
      <w:r>
        <w:rPr>
          <w:rFonts w:ascii="Times New Roman" w:hAnsi="Times New Roman"/>
          <w:sz w:val="22"/>
          <w:szCs w:val="22"/>
        </w:rPr>
        <w:t>ie</w:t>
      </w:r>
      <w:proofErr w:type="spellEnd"/>
      <w:r>
        <w:rPr>
          <w:rFonts w:ascii="Times New Roman" w:hAnsi="Times New Roman"/>
          <w:sz w:val="22"/>
          <w:szCs w:val="22"/>
        </w:rPr>
        <w:t xml:space="preserve">. in the absence of us having been declared in default by a CCP). We are not obliged to facilitate this under EMIR but we may be willing to do so subject to our ability to transfer the CCP Transactions to which they relate and the margin provided to the CCP in connection with them (which will depend on the relevant CCP’s rules) and any conditions set out in our client clearing agreement. You will also need to find a clearing broker that is willing to accept such Client Transactions and the related CCP Transactions and assets. </w:t>
      </w:r>
    </w:p>
    <w:p w:rsidR="009E5A89" w:rsidRDefault="00C476C8">
      <w:pPr>
        <w:pStyle w:val="BodyText0"/>
        <w:rPr>
          <w:rFonts w:ascii="Times New Roman" w:hAnsi="Times New Roman"/>
          <w:b/>
          <w:sz w:val="22"/>
          <w:szCs w:val="22"/>
        </w:rPr>
      </w:pPr>
      <w:r>
        <w:rPr>
          <w:rFonts w:ascii="Times New Roman" w:hAnsi="Times New Roman"/>
          <w:sz w:val="22"/>
          <w:szCs w:val="22"/>
        </w:rPr>
        <w:t xml:space="preserve">It may be easier to transfer Client Transactions and CCP Transactions that are recorded in an Individual Client Account than those recorded in an Omnibus Client Account (both types of account being described in more detail in Part One B) for the same reasons as set out below under </w:t>
      </w:r>
      <w:r>
        <w:rPr>
          <w:rFonts w:ascii="Times New Roman" w:hAnsi="Times New Roman"/>
          <w:i/>
          <w:sz w:val="22"/>
          <w:szCs w:val="22"/>
        </w:rPr>
        <w:t>“Will the CCP Transactions and assets relating to you be automatically ported to a back-up clearing broker?”</w:t>
      </w:r>
    </w:p>
    <w:p w:rsidR="009E5A89" w:rsidRDefault="00C476C8">
      <w:pPr>
        <w:pStyle w:val="BodyText0"/>
        <w:rPr>
          <w:rFonts w:ascii="Times New Roman" w:hAnsi="Times New Roman"/>
          <w:b/>
          <w:sz w:val="22"/>
          <w:szCs w:val="22"/>
        </w:rPr>
      </w:pPr>
      <w:r>
        <w:rPr>
          <w:rFonts w:ascii="Times New Roman" w:hAnsi="Times New Roman"/>
          <w:b/>
          <w:sz w:val="22"/>
          <w:szCs w:val="22"/>
        </w:rPr>
        <w:t>What happens if we are declared to be in default by a CCP?</w:t>
      </w:r>
    </w:p>
    <w:p w:rsidR="009E5A89" w:rsidRDefault="00C476C8">
      <w:pPr>
        <w:pStyle w:val="BodyText0"/>
        <w:rPr>
          <w:rFonts w:ascii="Times New Roman" w:hAnsi="Times New Roman"/>
          <w:sz w:val="22"/>
          <w:szCs w:val="22"/>
        </w:rPr>
      </w:pPr>
      <w:r>
        <w:rPr>
          <w:rFonts w:ascii="Times New Roman" w:hAnsi="Times New Roman"/>
          <w:sz w:val="22"/>
          <w:szCs w:val="22"/>
        </w:rPr>
        <w:t>If we are declared to be in default by a CCP, there are two possibilities with respect to the CCP Transactions and assets related to you:</w:t>
      </w:r>
    </w:p>
    <w:p w:rsidR="009E5A89" w:rsidRDefault="00C476C8">
      <w:pPr>
        <w:pStyle w:val="BodyText0"/>
        <w:numPr>
          <w:ilvl w:val="0"/>
          <w:numId w:val="7"/>
        </w:numPr>
        <w:rPr>
          <w:rFonts w:ascii="Times New Roman" w:hAnsi="Times New Roman"/>
          <w:sz w:val="22"/>
          <w:szCs w:val="22"/>
        </w:rPr>
      </w:pPr>
      <w:r>
        <w:rPr>
          <w:rFonts w:ascii="Times New Roman" w:hAnsi="Times New Roman"/>
          <w:sz w:val="22"/>
          <w:szCs w:val="22"/>
        </w:rPr>
        <w:t>the CCP will, at your request, try to transfer (</w:t>
      </w:r>
      <w:r>
        <w:rPr>
          <w:rFonts w:ascii="Times New Roman" w:hAnsi="Times New Roman"/>
          <w:b/>
          <w:sz w:val="22"/>
          <w:szCs w:val="22"/>
        </w:rPr>
        <w:t>port</w:t>
      </w:r>
      <w:r>
        <w:rPr>
          <w:rFonts w:ascii="Times New Roman" w:hAnsi="Times New Roman"/>
          <w:sz w:val="22"/>
          <w:szCs w:val="22"/>
        </w:rPr>
        <w:t xml:space="preserve">) to another clearing broker (a </w:t>
      </w:r>
      <w:r>
        <w:rPr>
          <w:rFonts w:ascii="Times New Roman" w:hAnsi="Times New Roman"/>
          <w:b/>
          <w:sz w:val="22"/>
          <w:szCs w:val="22"/>
        </w:rPr>
        <w:t>back-up clearing broker</w:t>
      </w:r>
      <w:r>
        <w:rPr>
          <w:rFonts w:ascii="Times New Roman" w:hAnsi="Times New Roman"/>
          <w:sz w:val="22"/>
          <w:szCs w:val="22"/>
        </w:rPr>
        <w:t xml:space="preserve">), such CCP Transactions and assets; or, if this cannot be achieved, </w:t>
      </w:r>
    </w:p>
    <w:p w:rsidR="009E5A89" w:rsidRDefault="00C476C8">
      <w:pPr>
        <w:pStyle w:val="BodyText0"/>
        <w:numPr>
          <w:ilvl w:val="0"/>
          <w:numId w:val="7"/>
        </w:numPr>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CCP will terminate the CCP Transactions that relate to you (see </w:t>
      </w:r>
      <w:r>
        <w:rPr>
          <w:rFonts w:ascii="Times New Roman" w:hAnsi="Times New Roman"/>
          <w:i/>
          <w:sz w:val="22"/>
          <w:szCs w:val="22"/>
        </w:rPr>
        <w:t>"What happens if porting is not achieved”</w:t>
      </w:r>
      <w:r>
        <w:rPr>
          <w:rFonts w:ascii="Times New Roman" w:hAnsi="Times New Roman"/>
          <w:sz w:val="22"/>
          <w:szCs w:val="22"/>
        </w:rPr>
        <w:t xml:space="preserve"> below).</w:t>
      </w:r>
    </w:p>
    <w:p w:rsidR="009E5A89" w:rsidRDefault="00C476C8">
      <w:pPr>
        <w:pStyle w:val="BodyText0"/>
        <w:rPr>
          <w:rFonts w:ascii="Times New Roman" w:hAnsi="Times New Roman"/>
          <w:sz w:val="22"/>
          <w:szCs w:val="22"/>
        </w:rPr>
      </w:pPr>
      <w:r>
        <w:rPr>
          <w:rFonts w:ascii="Times New Roman" w:hAnsi="Times New Roman"/>
          <w:sz w:val="22"/>
          <w:szCs w:val="22"/>
        </w:rPr>
        <w:t xml:space="preserve">The porting process will differ depending on the CCP but it is likely to involve a close-out (with us) and a re-establishment (with the back-up clearing broker) of the CCP Transactions or a transfer of the open CCP Transactions and related assets from us to the back-up clearing broker. In some cases CCPs will support this structure legally by requiring us to grant a security interest to you over some or all of our related rights against the CCP (the </w:t>
      </w:r>
      <w:r>
        <w:rPr>
          <w:rFonts w:ascii="Times New Roman" w:hAnsi="Times New Roman"/>
          <w:b/>
          <w:sz w:val="22"/>
          <w:szCs w:val="22"/>
        </w:rPr>
        <w:t>security interest</w:t>
      </w:r>
      <w:r>
        <w:rPr>
          <w:rFonts w:ascii="Times New Roman" w:hAnsi="Times New Roman"/>
          <w:sz w:val="22"/>
          <w:szCs w:val="22"/>
        </w:rPr>
        <w:t>) but in other cases where CCPs can rely on EMIR and local legislation, this is not necessary.</w:t>
      </w:r>
    </w:p>
    <w:p w:rsidR="009E5A89" w:rsidRDefault="00C476C8">
      <w:pPr>
        <w:pStyle w:val="BodyText0"/>
        <w:rPr>
          <w:rFonts w:ascii="Times New Roman" w:hAnsi="Times New Roman"/>
          <w:b/>
          <w:sz w:val="22"/>
          <w:szCs w:val="22"/>
        </w:rPr>
      </w:pPr>
      <w:r>
        <w:rPr>
          <w:rFonts w:ascii="Times New Roman" w:hAnsi="Times New Roman"/>
          <w:b/>
          <w:sz w:val="22"/>
          <w:szCs w:val="22"/>
        </w:rPr>
        <w:t>Will the CCP Transactions and assets relating to you be automatically ported to a back-up clearing broker?</w:t>
      </w:r>
    </w:p>
    <w:p w:rsidR="009E5A89" w:rsidRDefault="00C476C8">
      <w:pPr>
        <w:pStyle w:val="BodyText0"/>
        <w:rPr>
          <w:rFonts w:ascii="Times New Roman" w:hAnsi="Times New Roman"/>
          <w:sz w:val="22"/>
          <w:szCs w:val="22"/>
        </w:rPr>
      </w:pPr>
      <w:r>
        <w:rPr>
          <w:rFonts w:ascii="Times New Roman" w:hAnsi="Times New Roman"/>
          <w:sz w:val="22"/>
          <w:szCs w:val="22"/>
        </w:rPr>
        <w:t>No, there will be a number of conditions which must be satisfied before the CCP Transactions and assets that relate to you can be ported to a back-up clearing broker. These conditions will be set by the CCPs and will include obtaining your consent. In all cases you will need to have a back-up clearing broker that has agreed to accept the CCP Transactions. You may wish to appoint a back-up clearing broker upfront as part of your clearing arrangements but the back-up clearing broker is unlikely to be able to confirm that it is willing to accept the CCP Transactions until the default occurs. The back-up clearing broker may also have conditions that they require you to meet. You may also be able to agree with the CCP that it may choose a back-up clearing broker on your behalf. If you have not appointed a back-up clearing broker prior to our default</w:t>
      </w:r>
      <w:r w:rsidR="00722ED4">
        <w:rPr>
          <w:rFonts w:ascii="Times New Roman" w:hAnsi="Times New Roman"/>
          <w:sz w:val="22"/>
          <w:szCs w:val="22"/>
        </w:rPr>
        <w:t>,</w:t>
      </w:r>
      <w:r>
        <w:rPr>
          <w:rFonts w:ascii="Times New Roman" w:hAnsi="Times New Roman"/>
          <w:sz w:val="22"/>
          <w:szCs w:val="22"/>
        </w:rPr>
        <w:t xml:space="preserve"> or agreed with the CCP that it may appoint one on your behalf, then this may mean that porting is less likely to occur.</w:t>
      </w:r>
    </w:p>
    <w:p w:rsidR="009E5A89" w:rsidRDefault="00C476C8">
      <w:pPr>
        <w:pStyle w:val="BodyText0"/>
        <w:rPr>
          <w:rFonts w:ascii="Times New Roman" w:hAnsi="Times New Roman"/>
          <w:sz w:val="22"/>
          <w:szCs w:val="22"/>
        </w:rPr>
      </w:pPr>
      <w:r>
        <w:rPr>
          <w:rFonts w:ascii="Times New Roman" w:hAnsi="Times New Roman"/>
          <w:sz w:val="22"/>
          <w:szCs w:val="22"/>
        </w:rPr>
        <w:t xml:space="preserve">If porting is achieved, your Client Transactions with us will terminate in accordance with our client clearing agreement. We would expect your back-up clearing broker to put in place new client transactions between </w:t>
      </w:r>
      <w:proofErr w:type="gramStart"/>
      <w:r>
        <w:rPr>
          <w:rFonts w:ascii="Times New Roman" w:hAnsi="Times New Roman"/>
          <w:sz w:val="22"/>
          <w:szCs w:val="22"/>
        </w:rPr>
        <w:t>itself</w:t>
      </w:r>
      <w:proofErr w:type="gramEnd"/>
      <w:r>
        <w:rPr>
          <w:rFonts w:ascii="Times New Roman" w:hAnsi="Times New Roman"/>
          <w:sz w:val="22"/>
          <w:szCs w:val="22"/>
        </w:rPr>
        <w:t xml:space="preserve"> and you.</w:t>
      </w:r>
    </w:p>
    <w:p w:rsidR="009E5A89" w:rsidRDefault="00C476C8">
      <w:pPr>
        <w:pStyle w:val="BodyText0"/>
        <w:rPr>
          <w:rFonts w:ascii="Times New Roman" w:hAnsi="Times New Roman"/>
          <w:sz w:val="22"/>
          <w:szCs w:val="22"/>
        </w:rPr>
      </w:pPr>
      <w:r>
        <w:rPr>
          <w:rFonts w:ascii="Times New Roman" w:hAnsi="Times New Roman"/>
          <w:sz w:val="22"/>
          <w:szCs w:val="22"/>
        </w:rPr>
        <w:t>The type of account and level of segregation you choose will have an impact on the ability to port CCP Transactions and assets to a back-up clearing broker upon our default.</w:t>
      </w:r>
    </w:p>
    <w:p w:rsidR="009E5A89" w:rsidRDefault="00C476C8">
      <w:pPr>
        <w:pStyle w:val="BodyText0"/>
        <w:rPr>
          <w:rFonts w:ascii="Times New Roman" w:hAnsi="Times New Roman"/>
          <w:sz w:val="22"/>
          <w:szCs w:val="22"/>
        </w:rPr>
      </w:pPr>
      <w:r>
        <w:rPr>
          <w:rFonts w:ascii="Times New Roman" w:hAnsi="Times New Roman"/>
          <w:sz w:val="22"/>
          <w:szCs w:val="22"/>
        </w:rPr>
        <w:t>If you choose an Omnibus Client Account (described in more detail in Part One B), in most cases, all of our clients who have CCP Transactions and assets relating to them recorded in the same Omnibus Client Account will have to agree to use the same back-up clearing broker, and the back-up clearing broker will have to agree to accept all of the CCP Transactions and assets recorded in that Omnibus Client Account. It is therefore likely to be difficult to achieve porting in relation to an Omnibus Client Account.</w:t>
      </w:r>
    </w:p>
    <w:p w:rsidR="009E5A89" w:rsidRDefault="00C476C8">
      <w:pPr>
        <w:pStyle w:val="BodyText0"/>
        <w:rPr>
          <w:rFonts w:ascii="Times New Roman" w:hAnsi="Times New Roman"/>
          <w:sz w:val="22"/>
          <w:szCs w:val="22"/>
        </w:rPr>
      </w:pPr>
      <w:r>
        <w:rPr>
          <w:rFonts w:ascii="Times New Roman" w:hAnsi="Times New Roman"/>
          <w:sz w:val="22"/>
          <w:szCs w:val="22"/>
        </w:rPr>
        <w:t>It should be easier to achieve porting if you choose an Individual Client Account (described in more detail in Part One B), because you can appoint a back-up clearing broker with respect to just your CCP Transactions and the related assets.</w:t>
      </w:r>
    </w:p>
    <w:p w:rsidR="009E5A89" w:rsidRDefault="00C476C8">
      <w:pPr>
        <w:pStyle w:val="BodyText0"/>
        <w:rPr>
          <w:rFonts w:ascii="Times New Roman" w:hAnsi="Times New Roman"/>
          <w:b/>
          <w:sz w:val="22"/>
          <w:szCs w:val="22"/>
        </w:rPr>
      </w:pPr>
      <w:r>
        <w:rPr>
          <w:rFonts w:ascii="Times New Roman" w:hAnsi="Times New Roman"/>
          <w:b/>
          <w:sz w:val="22"/>
          <w:szCs w:val="22"/>
        </w:rPr>
        <w:t>What happens if porting is not achieved?</w:t>
      </w:r>
    </w:p>
    <w:p w:rsidR="009E5A89" w:rsidRDefault="00C476C8">
      <w:pPr>
        <w:pStyle w:val="BodyText0"/>
        <w:rPr>
          <w:rFonts w:ascii="Times New Roman" w:hAnsi="Times New Roman"/>
          <w:sz w:val="22"/>
          <w:szCs w:val="22"/>
        </w:rPr>
      </w:pPr>
      <w:r>
        <w:rPr>
          <w:rFonts w:ascii="Times New Roman" w:hAnsi="Times New Roman"/>
          <w:sz w:val="22"/>
          <w:szCs w:val="22"/>
        </w:rPr>
        <w:t>Each CCP is permitted to specify a period of time after which, if it has not been able to achieve porting, it will be permitted to actively manage its risks in relation to the CCP Transactions. This period of time will vary across CCPs. If you want to port your CCP Transactions, you will need to notify the CCP and show that you can satisfy the other conditions within this period.</w:t>
      </w:r>
    </w:p>
    <w:p w:rsidR="009E5A89" w:rsidRDefault="00C476C8">
      <w:pPr>
        <w:pStyle w:val="BodyText0"/>
        <w:rPr>
          <w:rFonts w:ascii="Times New Roman" w:hAnsi="Times New Roman"/>
          <w:sz w:val="22"/>
          <w:szCs w:val="22"/>
        </w:rPr>
      </w:pPr>
      <w:r>
        <w:rPr>
          <w:rFonts w:ascii="Times New Roman" w:hAnsi="Times New Roman"/>
          <w:sz w:val="22"/>
          <w:szCs w:val="22"/>
        </w:rPr>
        <w:t>Otherwise, the CCP will terminate the CCP Transactions and perform a close-out calculation in respect of them in accordance with the CCP rules. If there is an amount owed by the CCP in respect of the CCP Transactions, to the extent that the CCP knows your identity and how much of that amount relates to you, the CCP may pay such amount directly to you. If the CCP does not know your identity and/or does not know how much of the amount relates to you, the CCP will pay it to us (or our insolvency practitioner) for the account of our clients.</w:t>
      </w:r>
    </w:p>
    <w:p w:rsidR="009E5A89" w:rsidRDefault="00C476C8">
      <w:pPr>
        <w:pStyle w:val="BodyText0"/>
        <w:rPr>
          <w:rFonts w:ascii="Times New Roman" w:hAnsi="Times New Roman"/>
          <w:sz w:val="22"/>
          <w:szCs w:val="22"/>
        </w:rPr>
      </w:pPr>
      <w:r>
        <w:rPr>
          <w:rFonts w:ascii="Times New Roman" w:hAnsi="Times New Roman"/>
          <w:sz w:val="22"/>
          <w:szCs w:val="22"/>
        </w:rPr>
        <w:t>It is more likely that a CCP will be able to pay any such amount directly to you if you select an Individual Client Account (described in more detail in Part One B). This is because your identity will typically be disclosed to the CCP in this case.</w:t>
      </w:r>
    </w:p>
    <w:p w:rsidR="009E5A89" w:rsidRDefault="00C476C8">
      <w:pPr>
        <w:pStyle w:val="BodyText0"/>
        <w:rPr>
          <w:rFonts w:ascii="Times New Roman" w:hAnsi="Times New Roman"/>
          <w:sz w:val="22"/>
          <w:szCs w:val="22"/>
        </w:rPr>
      </w:pPr>
      <w:r>
        <w:rPr>
          <w:rFonts w:ascii="Times New Roman" w:hAnsi="Times New Roman"/>
          <w:sz w:val="22"/>
          <w:szCs w:val="22"/>
        </w:rPr>
        <w:t>If the CCP terminates the CCP Transactions, then the Client Transactions between us are also likely to terminate. The termination calculations in respect of those Client Transactions will be performed in accordance with the client clearing agreement between us and such calculations will likely mirror those performed by the CCP in respect of the CCP Transactions. If you are due a payment from us as a result of the close-out calculations in respect of our Client Transactions, the amount due from us to you will be reduced by any amount that you receive (or are deemed to receive) directly from the CCP.</w:t>
      </w:r>
    </w:p>
    <w:p w:rsidR="009E5A89" w:rsidRDefault="00C476C8">
      <w:pPr>
        <w:spacing w:after="0"/>
        <w:jc w:val="left"/>
        <w:rPr>
          <w:rFonts w:ascii="Times New Roman" w:hAnsi="Times New Roman" w:cs="Times New Roman"/>
          <w:b/>
          <w:sz w:val="22"/>
          <w:szCs w:val="22"/>
          <w:u w:val="single"/>
          <w:lang w:eastAsia="en-CA"/>
        </w:rPr>
      </w:pPr>
      <w:r>
        <w:rPr>
          <w:rFonts w:ascii="Times New Roman" w:hAnsi="Times New Roman" w:cs="Times New Roman"/>
          <w:sz w:val="22"/>
          <w:szCs w:val="22"/>
        </w:rPr>
        <w:t>Please see Part One C for a consideration of the main insolvency considerations.</w:t>
      </w:r>
      <w:r>
        <w:rPr>
          <w:rFonts w:ascii="Times New Roman" w:hAnsi="Times New Roman" w:cs="Times New Roman"/>
          <w:b/>
          <w:sz w:val="22"/>
          <w:szCs w:val="22"/>
          <w:u w:val="single"/>
        </w:rPr>
        <w:br w:type="page"/>
      </w:r>
    </w:p>
    <w:p w:rsidR="009E5A89" w:rsidRDefault="00C476C8">
      <w:pPr>
        <w:pStyle w:val="BodyText0"/>
        <w:rPr>
          <w:rFonts w:ascii="Times New Roman" w:hAnsi="Times New Roman"/>
          <w:b/>
          <w:sz w:val="22"/>
          <w:szCs w:val="22"/>
          <w:u w:val="single"/>
        </w:rPr>
      </w:pPr>
      <w:r>
        <w:rPr>
          <w:rFonts w:ascii="Times New Roman" w:hAnsi="Times New Roman"/>
          <w:b/>
          <w:sz w:val="22"/>
          <w:szCs w:val="22"/>
          <w:u w:val="single"/>
        </w:rPr>
        <w:t>Part One B: Your choice of account type and the factors to consider</w:t>
      </w:r>
    </w:p>
    <w:p w:rsidR="009E5A89" w:rsidRDefault="00C476C8">
      <w:pPr>
        <w:pStyle w:val="BodyText0"/>
        <w:keepNext/>
        <w:rPr>
          <w:rFonts w:ascii="Times New Roman" w:hAnsi="Times New Roman"/>
          <w:i/>
          <w:sz w:val="22"/>
          <w:szCs w:val="22"/>
        </w:rPr>
      </w:pPr>
      <w:r>
        <w:rPr>
          <w:rFonts w:ascii="Times New Roman" w:hAnsi="Times New Roman"/>
          <w:b/>
          <w:sz w:val="22"/>
          <w:szCs w:val="22"/>
        </w:rPr>
        <w:t>The types of account available</w:t>
      </w:r>
    </w:p>
    <w:p w:rsidR="009E5A89" w:rsidRDefault="00C476C8">
      <w:pPr>
        <w:pStyle w:val="BodyText0"/>
        <w:keepNext/>
        <w:rPr>
          <w:rFonts w:ascii="Times New Roman" w:hAnsi="Times New Roman"/>
          <w:sz w:val="22"/>
          <w:szCs w:val="22"/>
        </w:rPr>
      </w:pPr>
      <w:r>
        <w:rPr>
          <w:rFonts w:ascii="Times New Roman" w:hAnsi="Times New Roman"/>
          <w:sz w:val="22"/>
          <w:szCs w:val="22"/>
        </w:rPr>
        <w:t>Reference to accounts means the accounts in the books and records of each CCP. The CCP uses these accounts to record the CCP Transactions that we enter into in connection with the clearing of your related Client Transactions and the assets that we provide to the CCP in respect of such CCP Transactions.</w:t>
      </w:r>
      <w:r>
        <w:rPr>
          <w:rStyle w:val="EndnoteReference"/>
          <w:rFonts w:ascii="Times New Roman" w:hAnsi="Times New Roman"/>
          <w:sz w:val="22"/>
          <w:szCs w:val="22"/>
        </w:rPr>
        <w:endnoteReference w:id="10"/>
      </w:r>
    </w:p>
    <w:p w:rsidR="009E5A89" w:rsidRDefault="00C476C8">
      <w:pPr>
        <w:pStyle w:val="BodyText0"/>
        <w:keepNext/>
        <w:rPr>
          <w:rFonts w:ascii="Times New Roman" w:hAnsi="Times New Roman"/>
          <w:sz w:val="22"/>
          <w:szCs w:val="22"/>
        </w:rPr>
      </w:pPr>
      <w:r>
        <w:rPr>
          <w:rFonts w:ascii="Times New Roman" w:hAnsi="Times New Roman"/>
          <w:sz w:val="22"/>
          <w:szCs w:val="22"/>
        </w:rPr>
        <w:t xml:space="preserve">There are two basic types of client account available – Omnibus Client Accounts and Individual Client Accounts. Some of the CCPs then offer different levels of segregation within those as described in Part </w:t>
      </w:r>
      <w:proofErr w:type="gramStart"/>
      <w:r>
        <w:rPr>
          <w:rFonts w:ascii="Times New Roman" w:hAnsi="Times New Roman"/>
          <w:sz w:val="22"/>
          <w:szCs w:val="22"/>
        </w:rPr>
        <w:t>Two</w:t>
      </w:r>
      <w:proofErr w:type="gramEnd"/>
      <w:r>
        <w:rPr>
          <w:rFonts w:ascii="Times New Roman" w:hAnsi="Times New Roman"/>
          <w:sz w:val="22"/>
          <w:szCs w:val="22"/>
        </w:rPr>
        <w:t xml:space="preserve"> of this document.</w:t>
      </w:r>
    </w:p>
    <w:p w:rsidR="009E5A89" w:rsidRDefault="00C476C8">
      <w:pPr>
        <w:pStyle w:val="BodyText0"/>
        <w:rPr>
          <w:rFonts w:ascii="Times New Roman" w:hAnsi="Times New Roman"/>
          <w:i/>
          <w:sz w:val="22"/>
          <w:szCs w:val="22"/>
        </w:rPr>
      </w:pPr>
      <w:r>
        <w:rPr>
          <w:rFonts w:ascii="Times New Roman" w:hAnsi="Times New Roman"/>
          <w:i/>
          <w:sz w:val="22"/>
          <w:szCs w:val="22"/>
        </w:rPr>
        <w:t>Omnibus Client Account</w:t>
      </w:r>
      <w:r>
        <w:rPr>
          <w:rStyle w:val="EndnoteReference"/>
          <w:rFonts w:ascii="Times New Roman" w:hAnsi="Times New Roman"/>
          <w:i/>
          <w:sz w:val="22"/>
          <w:szCs w:val="22"/>
        </w:rPr>
        <w:endnoteReference w:id="11"/>
      </w:r>
    </w:p>
    <w:p w:rsidR="009E5A89" w:rsidRDefault="00C476C8">
      <w:pPr>
        <w:pStyle w:val="BodyText0"/>
        <w:rPr>
          <w:rFonts w:ascii="Times New Roman" w:hAnsi="Times New Roman"/>
          <w:sz w:val="22"/>
          <w:szCs w:val="22"/>
        </w:rPr>
      </w:pPr>
      <w:r>
        <w:rPr>
          <w:rFonts w:ascii="Times New Roman" w:hAnsi="Times New Roman"/>
          <w:sz w:val="22"/>
          <w:szCs w:val="22"/>
        </w:rPr>
        <w:t xml:space="preserve">Under this account type, the CCP Transactions and assets that relate to them in the CCP’s accounts are segregated from any CCP Transactions we have cleared for our own account (our </w:t>
      </w:r>
      <w:r>
        <w:rPr>
          <w:rFonts w:ascii="Times New Roman" w:hAnsi="Times New Roman"/>
          <w:b/>
          <w:sz w:val="22"/>
          <w:szCs w:val="22"/>
        </w:rPr>
        <w:t>House Transactions</w:t>
      </w:r>
      <w:r>
        <w:rPr>
          <w:rFonts w:ascii="Times New Roman" w:hAnsi="Times New Roman"/>
          <w:sz w:val="22"/>
          <w:szCs w:val="22"/>
        </w:rPr>
        <w:t>) and any assets we have provided as margin for those House Transactions at the CCP. However, the CCP Transactions and assets that relate to you will be commingled with the CCP Transactions and assets relating to any of our other clients that are recorded in the same Omnibus Client Account.</w: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788288" behindDoc="0" locked="0" layoutInCell="1" allowOverlap="1">
                <wp:simplePos x="0" y="0"/>
                <wp:positionH relativeFrom="column">
                  <wp:posOffset>3488690</wp:posOffset>
                </wp:positionH>
                <wp:positionV relativeFrom="paragraph">
                  <wp:posOffset>220345</wp:posOffset>
                </wp:positionV>
                <wp:extent cx="2640330" cy="1943100"/>
                <wp:effectExtent l="0" t="0" r="762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2518"/>
                              <w:gridCol w:w="1557"/>
                            </w:tblGrid>
                            <w:tr w:rsidR="009E5A89">
                              <w:tc>
                                <w:tcPr>
                                  <w:tcW w:w="2518" w:type="dxa"/>
                                </w:tcPr>
                                <w:p w:rsidR="009E5A89" w:rsidRDefault="00C476C8">
                                  <w:pPr>
                                    <w:spacing w:before="120" w:after="120"/>
                                    <w:rPr>
                                      <w:szCs w:val="20"/>
                                    </w:rPr>
                                  </w:pPr>
                                  <w:r>
                                    <w:rPr>
                                      <w:szCs w:val="20"/>
                                    </w:rPr>
                                    <w:t>Can CCP Transactions and related assets be netted with our House Transactions and assets?</w:t>
                                  </w:r>
                                </w:p>
                              </w:tc>
                              <w:tc>
                                <w:tcPr>
                                  <w:tcW w:w="1557" w:type="dxa"/>
                                </w:tcPr>
                                <w:p w:rsidR="009E5A89" w:rsidRDefault="00C476C8">
                                  <w:pPr>
                                    <w:spacing w:before="120" w:after="120"/>
                                    <w:jc w:val="center"/>
                                  </w:pPr>
                                  <w:r>
                                    <w:t>No</w:t>
                                  </w:r>
                                </w:p>
                              </w:tc>
                            </w:tr>
                            <w:tr w:rsidR="009E5A89">
                              <w:tc>
                                <w:tcPr>
                                  <w:tcW w:w="2518" w:type="dxa"/>
                                </w:tcPr>
                                <w:p w:rsidR="009E5A89" w:rsidRDefault="00C476C8">
                                  <w:pPr>
                                    <w:spacing w:before="120" w:after="120"/>
                                    <w:rPr>
                                      <w:szCs w:val="20"/>
                                    </w:rPr>
                                  </w:pPr>
                                  <w:r>
                                    <w:rPr>
                                      <w:szCs w:val="20"/>
                                    </w:rPr>
                                    <w:t>Can CCP Transactions and related assets be netted with those relating to our other clients?</w:t>
                                  </w:r>
                                </w:p>
                              </w:tc>
                              <w:tc>
                                <w:tcPr>
                                  <w:tcW w:w="1557" w:type="dxa"/>
                                </w:tcPr>
                                <w:p w:rsidR="009E5A89" w:rsidRDefault="00C476C8">
                                  <w:pPr>
                                    <w:spacing w:before="120" w:after="120"/>
                                    <w:jc w:val="center"/>
                                  </w:pPr>
                                  <w:r>
                                    <w:t>Yes</w:t>
                                  </w:r>
                                  <w:r>
                                    <w:rPr>
                                      <w:sz w:val="16"/>
                                      <w:szCs w:val="16"/>
                                    </w:rPr>
                                    <w:t xml:space="preserve"> (provided the other clients’ CCP Transactions and assets are recorded in the same Omnibus</w:t>
                                  </w:r>
                                  <w:r>
                                    <w:t xml:space="preserve"> </w:t>
                                  </w:r>
                                  <w:r>
                                    <w:rPr>
                                      <w:sz w:val="16"/>
                                      <w:szCs w:val="16"/>
                                    </w:rPr>
                                    <w:t>Client Account)</w:t>
                                  </w:r>
                                </w:p>
                              </w:tc>
                            </w:tr>
                          </w:tbl>
                          <w:p w:rsidR="009E5A89" w:rsidRDefault="009E5A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2" type="#_x0000_t202" style="position:absolute;left:0;text-align:left;margin-left:274.7pt;margin-top:17.35pt;width:207.9pt;height:15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80GhwIAABk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" stroked="f">
                <v:textbox>
                  <w:txbxContent>
                    <w:tbl>
                      <w:tblPr>
                        <w:tblStyle w:val="TableGrid"/>
                        <w:tblW w:w="0" w:type="auto"/>
                        <w:tblLook w:val="04A0" w:firstRow="1" w:lastRow="0" w:firstColumn="1" w:lastColumn="0" w:noHBand="0" w:noVBand="1"/>
                      </w:tblPr>
                      <w:tblGrid>
                        <w:gridCol w:w="2518"/>
                        <w:gridCol w:w="1557"/>
                      </w:tblGrid>
                      <w:tr w:rsidR="009E5A89">
                        <w:tc>
                          <w:tcPr>
                            <w:tcW w:w="2518" w:type="dxa"/>
                          </w:tcPr>
                          <w:p w:rsidR="009E5A89" w:rsidRDefault="00C476C8">
                            <w:pPr>
                              <w:spacing w:before="120" w:after="120"/>
                              <w:rPr>
                                <w:szCs w:val="20"/>
                              </w:rPr>
                            </w:pPr>
                            <w:r>
                              <w:rPr>
                                <w:szCs w:val="20"/>
                              </w:rPr>
                              <w:t>Can CCP Transactions and related assets be netted with our House Transactions and assets?</w:t>
                            </w:r>
                          </w:p>
                        </w:tc>
                        <w:tc>
                          <w:tcPr>
                            <w:tcW w:w="1557" w:type="dxa"/>
                          </w:tcPr>
                          <w:p w:rsidR="009E5A89" w:rsidRDefault="00C476C8">
                            <w:pPr>
                              <w:spacing w:before="120" w:after="120"/>
                              <w:jc w:val="center"/>
                            </w:pPr>
                            <w:r>
                              <w:t>No</w:t>
                            </w:r>
                          </w:p>
                        </w:tc>
                      </w:tr>
                      <w:tr w:rsidR="009E5A89">
                        <w:tc>
                          <w:tcPr>
                            <w:tcW w:w="2518" w:type="dxa"/>
                          </w:tcPr>
                          <w:p w:rsidR="009E5A89" w:rsidRDefault="00C476C8">
                            <w:pPr>
                              <w:spacing w:before="120" w:after="120"/>
                              <w:rPr>
                                <w:szCs w:val="20"/>
                              </w:rPr>
                            </w:pPr>
                            <w:r>
                              <w:rPr>
                                <w:szCs w:val="20"/>
                              </w:rPr>
                              <w:t>Can CCP Transactions and related assets be netted with those relating to our other clients?</w:t>
                            </w:r>
                          </w:p>
                        </w:tc>
                        <w:tc>
                          <w:tcPr>
                            <w:tcW w:w="1557" w:type="dxa"/>
                          </w:tcPr>
                          <w:p w:rsidR="009E5A89" w:rsidRDefault="00C476C8">
                            <w:pPr>
                              <w:spacing w:before="120" w:after="120"/>
                              <w:jc w:val="center"/>
                            </w:pPr>
                            <w:r>
                              <w:t>Yes</w:t>
                            </w:r>
                            <w:r>
                              <w:rPr>
                                <w:sz w:val="16"/>
                                <w:szCs w:val="16"/>
                              </w:rPr>
                              <w:t xml:space="preserve"> (provided the other clients’ CCP Transactions and assets are recorded in the same Omnibus</w:t>
                            </w:r>
                            <w:r>
                              <w:t xml:space="preserve"> </w:t>
                            </w:r>
                            <w:r>
                              <w:rPr>
                                <w:sz w:val="16"/>
                                <w:szCs w:val="16"/>
                              </w:rPr>
                              <w:t>Client Account)</w:t>
                            </w:r>
                          </w:p>
                        </w:tc>
                      </w:tr>
                    </w:tbl>
                    <w:p w:rsidR="009E5A89" w:rsidRDefault="009E5A89"/>
                  </w:txbxContent>
                </v:textbox>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777024" behindDoc="0" locked="0" layoutInCell="1" allowOverlap="1">
                <wp:simplePos x="0" y="0"/>
                <wp:positionH relativeFrom="column">
                  <wp:posOffset>947420</wp:posOffset>
                </wp:positionH>
                <wp:positionV relativeFrom="paragraph">
                  <wp:posOffset>-53975</wp:posOffset>
                </wp:positionV>
                <wp:extent cx="1180465" cy="337820"/>
                <wp:effectExtent l="9525" t="11430" r="1016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337820"/>
                        </a:xfrm>
                        <a:prstGeom prst="rect">
                          <a:avLst/>
                        </a:prstGeom>
                        <a:solidFill>
                          <a:srgbClr val="FFFFFF"/>
                        </a:solidFill>
                        <a:ln w="9525">
                          <a:solidFill>
                            <a:srgbClr val="000000"/>
                          </a:solidFill>
                          <a:miter lim="800000"/>
                          <a:headEnd/>
                          <a:tailEnd/>
                        </a:ln>
                      </wps:spPr>
                      <wps:txbx>
                        <w:txbxContent>
                          <w:p w:rsidR="009E5A89" w:rsidRDefault="00C476C8">
                            <w:pPr>
                              <w:jc w:val="center"/>
                              <w:rPr>
                                <w:sz w:val="16"/>
                                <w:szCs w:val="16"/>
                              </w:rPr>
                            </w:pPr>
                            <w:r>
                              <w:rPr>
                                <w:sz w:val="16"/>
                                <w:szCs w:val="16"/>
                              </w:rPr>
                              <w:t>CCP books and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1" o:spid="_x0000_s1033" style="position:absolute;left:0;text-align:left;margin-left:74.6pt;margin-top:-4.25pt;width:92.95pt;height:26.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">
                <v:textbox>
                  <w:txbxContent>
                    <w:p w:rsidR="009E5A89" w:rsidRDefault="00C476C8">
                      <w:pPr>
                        <w:jc w:val="center"/>
                        <w:rPr>
                          <w:sz w:val="16"/>
                          <w:szCs w:val="16"/>
                        </w:rPr>
                      </w:pPr>
                      <w:r>
                        <w:rPr>
                          <w:sz w:val="16"/>
                          <w:szCs w:val="16"/>
                        </w:rPr>
                        <w:t>CCP books and records</w:t>
                      </w:r>
                    </w:p>
                  </w:txbxContent>
                </v:textbox>
              </v:rect>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781120" behindDoc="0" locked="0" layoutInCell="1" allowOverlap="1">
                <wp:simplePos x="0" y="0"/>
                <wp:positionH relativeFrom="column">
                  <wp:posOffset>1517650</wp:posOffset>
                </wp:positionH>
                <wp:positionV relativeFrom="paragraph">
                  <wp:posOffset>283845</wp:posOffset>
                </wp:positionV>
                <wp:extent cx="0" cy="191135"/>
                <wp:effectExtent l="8255" t="6350" r="10795" b="120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653B86" id="Straight Arrow Connector 20" o:spid="_x0000_s1026" type="#_x0000_t32" style="position:absolute;margin-left:119.5pt;margin-top:22.35pt;width:0;height:15.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"/>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785216" behindDoc="0" locked="0" layoutInCell="1" allowOverlap="1">
                <wp:simplePos x="0" y="0"/>
                <wp:positionH relativeFrom="column">
                  <wp:posOffset>2805430</wp:posOffset>
                </wp:positionH>
                <wp:positionV relativeFrom="paragraph">
                  <wp:posOffset>177165</wp:posOffset>
                </wp:positionV>
                <wp:extent cx="635" cy="279400"/>
                <wp:effectExtent l="57785" t="7620" r="55880" b="177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4044DC" id="Straight Arrow Connector 18" o:spid="_x0000_s1026" type="#_x0000_t32" style="position:absolute;margin-left:220.9pt;margin-top:13.95pt;width:.05pt;height:2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">
                <v:stroke endarrow="block"/>
              </v:shape>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783168" behindDoc="0" locked="0" layoutInCell="1" allowOverlap="1">
                <wp:simplePos x="0" y="0"/>
                <wp:positionH relativeFrom="column">
                  <wp:posOffset>360045</wp:posOffset>
                </wp:positionH>
                <wp:positionV relativeFrom="paragraph">
                  <wp:posOffset>175895</wp:posOffset>
                </wp:positionV>
                <wp:extent cx="0" cy="279400"/>
                <wp:effectExtent l="60325" t="6350" r="5397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6B26A3" id="Straight Arrow Connector 17" o:spid="_x0000_s1026" type="#_x0000_t32" style="position:absolute;margin-left:28.35pt;margin-top:13.85pt;width:0;height:2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">
                <v:stroke endarrow="block"/>
              </v:shape>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784192" behindDoc="0" locked="0" layoutInCell="1" allowOverlap="1">
                <wp:simplePos x="0" y="0"/>
                <wp:positionH relativeFrom="column">
                  <wp:posOffset>1518285</wp:posOffset>
                </wp:positionH>
                <wp:positionV relativeFrom="paragraph">
                  <wp:posOffset>176530</wp:posOffset>
                </wp:positionV>
                <wp:extent cx="635" cy="278765"/>
                <wp:effectExtent l="56515" t="6985" r="571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4941F5" id="Straight Arrow Connector 16" o:spid="_x0000_s1026" type="#_x0000_t32" style="position:absolute;margin-left:119.55pt;margin-top:13.9pt;width:.05pt;height:21.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gwPQIAAG8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">
                <v:stroke endarrow="block"/>
              </v:shape>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782144" behindDoc="0" locked="0" layoutInCell="1" allowOverlap="1">
                <wp:simplePos x="0" y="0"/>
                <wp:positionH relativeFrom="column">
                  <wp:posOffset>360045</wp:posOffset>
                </wp:positionH>
                <wp:positionV relativeFrom="paragraph">
                  <wp:posOffset>176530</wp:posOffset>
                </wp:positionV>
                <wp:extent cx="2446020" cy="635"/>
                <wp:effectExtent l="12700" t="6985" r="8255" b="114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E2C903" id="Straight Arrow Connector 15" o:spid="_x0000_s1026" type="#_x0000_t32" style="position:absolute;margin-left:28.35pt;margin-top:13.9pt;width:192.6pt;height:.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4cCKQ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"/>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780096" behindDoc="0" locked="0" layoutInCell="1" allowOverlap="1">
                <wp:simplePos x="0" y="0"/>
                <wp:positionH relativeFrom="column">
                  <wp:posOffset>2239010</wp:posOffset>
                </wp:positionH>
                <wp:positionV relativeFrom="paragraph">
                  <wp:posOffset>151130</wp:posOffset>
                </wp:positionV>
                <wp:extent cx="993775" cy="1074420"/>
                <wp:effectExtent l="0" t="0" r="1587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1074420"/>
                        </a:xfrm>
                        <a:prstGeom prst="rect">
                          <a:avLst/>
                        </a:prstGeom>
                        <a:solidFill>
                          <a:srgbClr val="FFFFFF"/>
                        </a:solidFill>
                        <a:ln w="9525">
                          <a:solidFill>
                            <a:srgbClr val="000000"/>
                          </a:solidFill>
                          <a:miter lim="800000"/>
                          <a:headEnd/>
                          <a:tailEnd/>
                        </a:ln>
                      </wps:spPr>
                      <wps:txbx>
                        <w:txbxContent>
                          <w:p w:rsidR="009E5A89" w:rsidRDefault="00C476C8">
                            <w:pPr>
                              <w:jc w:val="center"/>
                            </w:pPr>
                            <w:r>
                              <w:rPr>
                                <w:sz w:val="16"/>
                                <w:szCs w:val="16"/>
                              </w:rPr>
                              <w:t>Each of our Individual Client Accounts: record CCP Transactions and assets</w:t>
                            </w:r>
                            <w:r>
                              <w:t xml:space="preserve"> </w:t>
                            </w:r>
                            <w:r>
                              <w:rPr>
                                <w:sz w:val="16"/>
                                <w:szCs w:val="16"/>
                              </w:rPr>
                              <w:t>relating to only one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 o:spid="_x0000_s1034" style="position:absolute;left:0;text-align:left;margin-left:176.3pt;margin-top:11.9pt;width:78.25pt;height:84.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">
                <v:textbox>
                  <w:txbxContent>
                    <w:p w:rsidR="009E5A89" w:rsidRDefault="00C476C8">
                      <w:pPr>
                        <w:jc w:val="center"/>
                      </w:pPr>
                      <w:r>
                        <w:rPr>
                          <w:sz w:val="16"/>
                          <w:szCs w:val="16"/>
                        </w:rPr>
                        <w:t>Each of our Individual Client Accounts: record CCP Transactions and assets</w:t>
                      </w:r>
                      <w:r>
                        <w:t xml:space="preserve"> </w:t>
                      </w:r>
                      <w:r>
                        <w:rPr>
                          <w:sz w:val="16"/>
                          <w:szCs w:val="16"/>
                        </w:rPr>
                        <w:t>relating to only one of our clients</w:t>
                      </w:r>
                    </w:p>
                  </w:txbxContent>
                </v:textbox>
              </v:rect>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778048" behindDoc="0" locked="0" layoutInCell="1" allowOverlap="1">
                <wp:simplePos x="0" y="0"/>
                <wp:positionH relativeFrom="column">
                  <wp:posOffset>1042670</wp:posOffset>
                </wp:positionH>
                <wp:positionV relativeFrom="paragraph">
                  <wp:posOffset>151130</wp:posOffset>
                </wp:positionV>
                <wp:extent cx="993775" cy="1074420"/>
                <wp:effectExtent l="0" t="0" r="15875"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1074420"/>
                        </a:xfrm>
                        <a:prstGeom prst="rect">
                          <a:avLst/>
                        </a:prstGeom>
                        <a:solidFill>
                          <a:schemeClr val="bg1">
                            <a:lumMod val="75000"/>
                            <a:lumOff val="0"/>
                          </a:schemeClr>
                        </a:solidFill>
                        <a:ln w="9525">
                          <a:solidFill>
                            <a:srgbClr val="000000"/>
                          </a:solidFill>
                          <a:miter lim="800000"/>
                          <a:headEnd/>
                          <a:tailEnd/>
                        </a:ln>
                      </wps:spPr>
                      <wps:txbx>
                        <w:txbxContent>
                          <w:p w:rsidR="009E5A89" w:rsidRDefault="00C476C8">
                            <w:pPr>
                              <w:jc w:val="center"/>
                            </w:pPr>
                            <w:r>
                              <w:rPr>
                                <w:sz w:val="16"/>
                                <w:szCs w:val="16"/>
                              </w:rPr>
                              <w:t xml:space="preserve">Our Omnibus Client Account: records CCP Transactions and assets relating to you </w:t>
                            </w:r>
                            <w:r>
                              <w:rPr>
                                <w:b/>
                                <w:sz w:val="16"/>
                                <w:szCs w:val="16"/>
                              </w:rPr>
                              <w:t>and</w:t>
                            </w:r>
                            <w:r>
                              <w:rPr>
                                <w:sz w:val="16"/>
                                <w:szCs w:val="16"/>
                              </w:rPr>
                              <w:t xml:space="preserve"> any number of our other</w:t>
                            </w:r>
                            <w:r>
                              <w:t xml:space="preserve"> </w:t>
                            </w:r>
                            <w:r>
                              <w:rPr>
                                <w:sz w:val="16"/>
                                <w:szCs w:val="16"/>
                              </w:rPr>
                              <w:t>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 o:spid="_x0000_s1035" style="position:absolute;left:0;text-align:left;margin-left:82.1pt;margin-top:11.9pt;width:78.25pt;height:84.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" fillcolor="#bfbfbf [2412]">
                <v:textbox>
                  <w:txbxContent>
                    <w:p w:rsidR="009E5A89" w:rsidRDefault="00C476C8">
                      <w:pPr>
                        <w:jc w:val="center"/>
                      </w:pPr>
                      <w:r>
                        <w:rPr>
                          <w:sz w:val="16"/>
                          <w:szCs w:val="16"/>
                        </w:rPr>
                        <w:t xml:space="preserve">Our Omnibus Client Account: records CCP Transactions and assets relating to you </w:t>
                      </w:r>
                      <w:r>
                        <w:rPr>
                          <w:b/>
                          <w:sz w:val="16"/>
                          <w:szCs w:val="16"/>
                        </w:rPr>
                        <w:t>and</w:t>
                      </w:r>
                      <w:r>
                        <w:rPr>
                          <w:sz w:val="16"/>
                          <w:szCs w:val="16"/>
                        </w:rPr>
                        <w:t xml:space="preserve"> any number of our other</w:t>
                      </w:r>
                      <w:r>
                        <w:t xml:space="preserve"> </w:t>
                      </w:r>
                      <w:r>
                        <w:rPr>
                          <w:sz w:val="16"/>
                          <w:szCs w:val="16"/>
                        </w:rPr>
                        <w:t>clients</w:t>
                      </w:r>
                    </w:p>
                  </w:txbxContent>
                </v:textbox>
              </v:rect>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779072" behindDoc="0" locked="0" layoutInCell="1" allowOverlap="1">
                <wp:simplePos x="0" y="0"/>
                <wp:positionH relativeFrom="column">
                  <wp:posOffset>-92710</wp:posOffset>
                </wp:positionH>
                <wp:positionV relativeFrom="paragraph">
                  <wp:posOffset>151130</wp:posOffset>
                </wp:positionV>
                <wp:extent cx="993775" cy="762000"/>
                <wp:effectExtent l="0" t="0" r="158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762000"/>
                        </a:xfrm>
                        <a:prstGeom prst="rect">
                          <a:avLst/>
                        </a:prstGeom>
                        <a:solidFill>
                          <a:srgbClr val="FFFFFF"/>
                        </a:solidFill>
                        <a:ln w="9525">
                          <a:solidFill>
                            <a:srgbClr val="000000"/>
                          </a:solidFill>
                          <a:miter lim="800000"/>
                          <a:headEnd/>
                          <a:tailEnd/>
                        </a:ln>
                      </wps:spPr>
                      <wps:txbx>
                        <w:txbxContent>
                          <w:p w:rsidR="009E5A89" w:rsidRDefault="00C476C8">
                            <w:pPr>
                              <w:jc w:val="center"/>
                              <w:rPr>
                                <w:sz w:val="16"/>
                                <w:szCs w:val="16"/>
                              </w:rPr>
                            </w:pPr>
                            <w:r>
                              <w:rPr>
                                <w:sz w:val="16"/>
                                <w:szCs w:val="16"/>
                              </w:rPr>
                              <w:t>Our House Account: records only our House Transactions and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 o:spid="_x0000_s1036" style="position:absolute;left:0;text-align:left;margin-left:-7.3pt;margin-top:11.9pt;width:78.25pt;height:6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">
                <v:textbox>
                  <w:txbxContent>
                    <w:p w:rsidR="009E5A89" w:rsidRDefault="00C476C8">
                      <w:pPr>
                        <w:jc w:val="center"/>
                        <w:rPr>
                          <w:sz w:val="16"/>
                          <w:szCs w:val="16"/>
                        </w:rPr>
                      </w:pPr>
                      <w:r>
                        <w:rPr>
                          <w:sz w:val="16"/>
                          <w:szCs w:val="16"/>
                        </w:rPr>
                        <w:t>Our House Account: records only our House Transactions and assets</w:t>
                      </w:r>
                    </w:p>
                  </w:txbxContent>
                </v:textbox>
              </v:rect>
            </w:pict>
          </mc:Fallback>
        </mc:AlternateContent>
      </w: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C476C8">
      <w:pPr>
        <w:pStyle w:val="BodyText0"/>
        <w:rPr>
          <w:rFonts w:ascii="Times New Roman" w:hAnsi="Times New Roman"/>
          <w:sz w:val="22"/>
          <w:szCs w:val="22"/>
        </w:rPr>
      </w:pPr>
      <w:r>
        <w:rPr>
          <w:rFonts w:ascii="Times New Roman" w:hAnsi="Times New Roman"/>
          <w:sz w:val="22"/>
          <w:szCs w:val="22"/>
        </w:rPr>
        <w:t>The CCP will agree not to net the CCP Transactions relating to you with our House Transactions or any CCP Transactions not recorded in the same Omnibus Client Account, nor use the assets relating to such CCP Transactions with respect to any House Transaction or CCP Transaction recorded in any other account.</w:t>
      </w:r>
    </w:p>
    <w:p w:rsidR="009E5A89" w:rsidRDefault="00C476C8">
      <w:pPr>
        <w:pStyle w:val="BodyText0"/>
        <w:rPr>
          <w:rFonts w:ascii="Times New Roman" w:hAnsi="Times New Roman"/>
          <w:sz w:val="22"/>
          <w:szCs w:val="22"/>
        </w:rPr>
      </w:pPr>
      <w:r>
        <w:rPr>
          <w:rFonts w:ascii="Times New Roman" w:hAnsi="Times New Roman"/>
          <w:sz w:val="22"/>
          <w:szCs w:val="22"/>
        </w:rPr>
        <w:t>However, both we and the CCP may net the CCP Transactions that are recorded in the same Omnibus Client Account. The assets provided in relation to the CCP Transaction recorded in the same Omnibus Client Account can be used in relation to any CCP Transaction (whether it relates to you or to any of our other clients) credited to that Omnibus Client Account.</w:t>
      </w:r>
    </w:p>
    <w:p w:rsidR="009E5A89" w:rsidRDefault="00C476C8">
      <w:pPr>
        <w:pStyle w:val="BodyText0"/>
        <w:rPr>
          <w:rFonts w:ascii="Times New Roman" w:hAnsi="Times New Roman"/>
          <w:sz w:val="22"/>
          <w:szCs w:val="22"/>
        </w:rPr>
      </w:pPr>
      <w:r>
        <w:rPr>
          <w:rFonts w:ascii="Times New Roman" w:hAnsi="Times New Roman"/>
          <w:sz w:val="22"/>
          <w:szCs w:val="22"/>
        </w:rPr>
        <w:t>Please see Part Two for an overview of the risks you may face if you choose an Omnibus Client Account and for details of the different levels of segregation that may be available at different CCPs.</w:t>
      </w:r>
    </w:p>
    <w:p w:rsidR="009E5A89" w:rsidRDefault="00C476C8">
      <w:pPr>
        <w:pStyle w:val="BodyText0"/>
        <w:rPr>
          <w:rFonts w:ascii="Times New Roman" w:hAnsi="Times New Roman"/>
          <w:i/>
          <w:sz w:val="22"/>
          <w:szCs w:val="22"/>
        </w:rPr>
      </w:pPr>
      <w:r>
        <w:rPr>
          <w:rFonts w:ascii="Times New Roman" w:hAnsi="Times New Roman"/>
          <w:i/>
          <w:sz w:val="22"/>
          <w:szCs w:val="22"/>
        </w:rPr>
        <w:t>Individual Client Account</w:t>
      </w:r>
      <w:r>
        <w:rPr>
          <w:rStyle w:val="EndnoteReference"/>
          <w:rFonts w:ascii="Times New Roman" w:hAnsi="Times New Roman"/>
          <w:i/>
          <w:sz w:val="22"/>
          <w:szCs w:val="22"/>
        </w:rPr>
        <w:endnoteReference w:id="12"/>
      </w:r>
    </w:p>
    <w:p w:rsidR="009E5A89" w:rsidRDefault="00C476C8">
      <w:pPr>
        <w:pStyle w:val="BodyText0"/>
        <w:rPr>
          <w:rFonts w:ascii="Times New Roman" w:hAnsi="Times New Roman"/>
          <w:sz w:val="22"/>
          <w:szCs w:val="22"/>
        </w:rPr>
      </w:pPr>
      <w:r>
        <w:rPr>
          <w:rFonts w:ascii="Times New Roman" w:hAnsi="Times New Roman"/>
          <w:sz w:val="22"/>
          <w:szCs w:val="22"/>
        </w:rPr>
        <w:t>Under this account type, the CCP Transactions and assets that relate to you in the CCP’s accounts are segregated from those relating to our House Transactions and to the CCP Transactions and assets that relate to any of our other clients.</w:t>
      </w:r>
    </w:p>
    <w:p w:rsidR="009E5A89" w:rsidRDefault="009E5A89">
      <w:pPr>
        <w:pStyle w:val="BodyText0"/>
        <w:rPr>
          <w:rFonts w:ascii="Times New Roman" w:hAnsi="Times New Roman"/>
          <w:sz w:val="22"/>
          <w:szCs w:val="22"/>
        </w:rPr>
      </w:pP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797504" behindDoc="0" locked="0" layoutInCell="1" allowOverlap="1">
                <wp:simplePos x="0" y="0"/>
                <wp:positionH relativeFrom="column">
                  <wp:posOffset>1031875</wp:posOffset>
                </wp:positionH>
                <wp:positionV relativeFrom="paragraph">
                  <wp:posOffset>-635</wp:posOffset>
                </wp:positionV>
                <wp:extent cx="993775" cy="323850"/>
                <wp:effectExtent l="0" t="0" r="158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323850"/>
                        </a:xfrm>
                        <a:prstGeom prst="rect">
                          <a:avLst/>
                        </a:prstGeom>
                        <a:solidFill>
                          <a:srgbClr val="FFFFFF"/>
                        </a:solidFill>
                        <a:ln w="9525">
                          <a:solidFill>
                            <a:srgbClr val="000000"/>
                          </a:solidFill>
                          <a:miter lim="800000"/>
                          <a:headEnd/>
                          <a:tailEnd/>
                        </a:ln>
                      </wps:spPr>
                      <wps:txbx>
                        <w:txbxContent>
                          <w:p w:rsidR="009E5A89" w:rsidRDefault="00C476C8">
                            <w:pPr>
                              <w:jc w:val="center"/>
                              <w:rPr>
                                <w:sz w:val="16"/>
                                <w:szCs w:val="16"/>
                              </w:rPr>
                            </w:pPr>
                            <w:r>
                              <w:rPr>
                                <w:sz w:val="16"/>
                                <w:szCs w:val="16"/>
                              </w:rPr>
                              <w:t>CCP books and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 o:spid="_x0000_s1037" style="position:absolute;left:0;text-align:left;margin-left:81.25pt;margin-top:-.05pt;width:78.25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">
                <v:textbox>
                  <w:txbxContent>
                    <w:p w:rsidR="009E5A89" w:rsidRDefault="00C476C8">
                      <w:pPr>
                        <w:jc w:val="center"/>
                        <w:rPr>
                          <w:sz w:val="16"/>
                          <w:szCs w:val="16"/>
                        </w:rPr>
                      </w:pPr>
                      <w:r>
                        <w:rPr>
                          <w:sz w:val="16"/>
                          <w:szCs w:val="16"/>
                        </w:rPr>
                        <w:t>CCP books and records</w:t>
                      </w:r>
                    </w:p>
                  </w:txbxContent>
                </v:textbox>
              </v:rect>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787264" behindDoc="0" locked="0" layoutInCell="1" allowOverlap="1">
                <wp:simplePos x="0" y="0"/>
                <wp:positionH relativeFrom="column">
                  <wp:posOffset>3709670</wp:posOffset>
                </wp:positionH>
                <wp:positionV relativeFrom="paragraph">
                  <wp:posOffset>57785</wp:posOffset>
                </wp:positionV>
                <wp:extent cx="2299970" cy="176022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76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2710"/>
                              <w:gridCol w:w="842"/>
                            </w:tblGrid>
                            <w:tr w:rsidR="009E5A89">
                              <w:tc>
                                <w:tcPr>
                                  <w:tcW w:w="2710" w:type="dxa"/>
                                </w:tcPr>
                                <w:p w:rsidR="009E5A89" w:rsidRDefault="00C476C8">
                                  <w:pPr>
                                    <w:spacing w:before="120" w:after="120"/>
                                    <w:jc w:val="left"/>
                                    <w:rPr>
                                      <w:szCs w:val="20"/>
                                    </w:rPr>
                                  </w:pPr>
                                  <w:r>
                                    <w:rPr>
                                      <w:szCs w:val="20"/>
                                    </w:rPr>
                                    <w:t>Can CCP Transactions and related collateral be netted with our House Transactions and assets?</w:t>
                                  </w:r>
                                </w:p>
                              </w:tc>
                              <w:tc>
                                <w:tcPr>
                                  <w:tcW w:w="842" w:type="dxa"/>
                                </w:tcPr>
                                <w:p w:rsidR="009E5A89" w:rsidRDefault="00C476C8">
                                  <w:pPr>
                                    <w:spacing w:before="120" w:after="120"/>
                                    <w:jc w:val="center"/>
                                  </w:pPr>
                                  <w:r>
                                    <w:t>No</w:t>
                                  </w:r>
                                </w:p>
                              </w:tc>
                            </w:tr>
                            <w:tr w:rsidR="009E5A89">
                              <w:tc>
                                <w:tcPr>
                                  <w:tcW w:w="2710" w:type="dxa"/>
                                </w:tcPr>
                                <w:p w:rsidR="009E5A89" w:rsidRDefault="00C476C8">
                                  <w:pPr>
                                    <w:spacing w:before="120" w:after="120"/>
                                    <w:jc w:val="left"/>
                                    <w:rPr>
                                      <w:szCs w:val="20"/>
                                    </w:rPr>
                                  </w:pPr>
                                  <w:r>
                                    <w:rPr>
                                      <w:szCs w:val="20"/>
                                    </w:rPr>
                                    <w:t>Can CCP Transactions and related assets be netted with those relating to our other clients?</w:t>
                                  </w:r>
                                </w:p>
                              </w:tc>
                              <w:tc>
                                <w:tcPr>
                                  <w:tcW w:w="842" w:type="dxa"/>
                                </w:tcPr>
                                <w:p w:rsidR="009E5A89" w:rsidRDefault="00C476C8">
                                  <w:pPr>
                                    <w:spacing w:before="120" w:after="120"/>
                                    <w:jc w:val="center"/>
                                  </w:pPr>
                                  <w:r>
                                    <w:t>No</w:t>
                                  </w:r>
                                </w:p>
                              </w:tc>
                            </w:tr>
                          </w:tbl>
                          <w:p w:rsidR="009E5A89" w:rsidRDefault="009E5A8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9" o:spid="_x0000_s1038" type="#_x0000_t202" style="position:absolute;left:0;text-align:left;margin-left:292.1pt;margin-top:4.55pt;width:181.1pt;height:138.6pt;z-index:251787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XNhQ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" stroked="f">
                <v:textbox>
                  <w:txbxContent>
                    <w:tbl>
                      <w:tblPr>
                        <w:tblStyle w:val="TableGrid"/>
                        <w:tblW w:w="0" w:type="auto"/>
                        <w:tblLook w:val="04A0" w:firstRow="1" w:lastRow="0" w:firstColumn="1" w:lastColumn="0" w:noHBand="0" w:noVBand="1"/>
                      </w:tblPr>
                      <w:tblGrid>
                        <w:gridCol w:w="2710"/>
                        <w:gridCol w:w="842"/>
                      </w:tblGrid>
                      <w:tr w:rsidR="009E5A89">
                        <w:tc>
                          <w:tcPr>
                            <w:tcW w:w="2710" w:type="dxa"/>
                          </w:tcPr>
                          <w:p w:rsidR="009E5A89" w:rsidRDefault="00C476C8">
                            <w:pPr>
                              <w:spacing w:before="120" w:after="120"/>
                              <w:jc w:val="left"/>
                              <w:rPr>
                                <w:szCs w:val="20"/>
                              </w:rPr>
                            </w:pPr>
                            <w:r>
                              <w:rPr>
                                <w:szCs w:val="20"/>
                              </w:rPr>
                              <w:t>Can CCP Transactions and related collateral be netted with our House Transactions and assets?</w:t>
                            </w:r>
                          </w:p>
                        </w:tc>
                        <w:tc>
                          <w:tcPr>
                            <w:tcW w:w="842" w:type="dxa"/>
                          </w:tcPr>
                          <w:p w:rsidR="009E5A89" w:rsidRDefault="00C476C8">
                            <w:pPr>
                              <w:spacing w:before="120" w:after="120"/>
                              <w:jc w:val="center"/>
                            </w:pPr>
                            <w:r>
                              <w:t>No</w:t>
                            </w:r>
                          </w:p>
                        </w:tc>
                      </w:tr>
                      <w:tr w:rsidR="009E5A89">
                        <w:tc>
                          <w:tcPr>
                            <w:tcW w:w="2710" w:type="dxa"/>
                          </w:tcPr>
                          <w:p w:rsidR="009E5A89" w:rsidRDefault="00C476C8">
                            <w:pPr>
                              <w:spacing w:before="120" w:after="120"/>
                              <w:jc w:val="left"/>
                              <w:rPr>
                                <w:szCs w:val="20"/>
                              </w:rPr>
                            </w:pPr>
                            <w:r>
                              <w:rPr>
                                <w:szCs w:val="20"/>
                              </w:rPr>
                              <w:t>Can CCP Transactions and related assets be netted with those relating to our other clients?</w:t>
                            </w:r>
                          </w:p>
                        </w:tc>
                        <w:tc>
                          <w:tcPr>
                            <w:tcW w:w="842" w:type="dxa"/>
                          </w:tcPr>
                          <w:p w:rsidR="009E5A89" w:rsidRDefault="00C476C8">
                            <w:pPr>
                              <w:spacing w:before="120" w:after="120"/>
                              <w:jc w:val="center"/>
                            </w:pPr>
                            <w:r>
                              <w:t>No</w:t>
                            </w:r>
                          </w:p>
                        </w:tc>
                      </w:tr>
                    </w:tbl>
                    <w:p w:rsidR="009E5A89" w:rsidRDefault="009E5A89"/>
                  </w:txbxContent>
                </v:textbox>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803648" behindDoc="0" locked="0" layoutInCell="1" allowOverlap="1">
                <wp:simplePos x="0" y="0"/>
                <wp:positionH relativeFrom="column">
                  <wp:posOffset>314008</wp:posOffset>
                </wp:positionH>
                <wp:positionV relativeFrom="paragraph">
                  <wp:posOffset>152083</wp:posOffset>
                </wp:positionV>
                <wp:extent cx="0" cy="205105"/>
                <wp:effectExtent l="76200" t="0" r="57150" b="615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E7761A" id="Straight Arrow Connector 1" o:spid="_x0000_s1026" type="#_x0000_t32" style="position:absolute;margin-left:24.75pt;margin-top:12pt;width:0;height:16.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">
                <v:stroke endarrow="block"/>
              </v:shape>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798528" behindDoc="0" locked="0" layoutInCell="1" allowOverlap="1">
                <wp:simplePos x="0" y="0"/>
                <wp:positionH relativeFrom="column">
                  <wp:posOffset>313690</wp:posOffset>
                </wp:positionH>
                <wp:positionV relativeFrom="paragraph">
                  <wp:posOffset>151765</wp:posOffset>
                </wp:positionV>
                <wp:extent cx="26269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5BA5AA" id="Straight Arrow Connector 4" o:spid="_x0000_s1026" type="#_x0000_t32" style="position:absolute;margin-left:24.7pt;margin-top:11.95pt;width:206.8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"/>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802624" behindDoc="0" locked="0" layoutInCell="1" allowOverlap="1">
                <wp:simplePos x="0" y="0"/>
                <wp:positionH relativeFrom="column">
                  <wp:posOffset>1517650</wp:posOffset>
                </wp:positionH>
                <wp:positionV relativeFrom="paragraph">
                  <wp:posOffset>27940</wp:posOffset>
                </wp:positionV>
                <wp:extent cx="635" cy="130810"/>
                <wp:effectExtent l="0" t="0" r="37465" b="215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EA9594" id="Straight Arrow Connector 8" o:spid="_x0000_s1026" type="#_x0000_t32" style="position:absolute;margin-left:119.5pt;margin-top:2.2pt;width:.05pt;height:10.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"/>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804672" behindDoc="0" locked="0" layoutInCell="1" allowOverlap="1">
                <wp:simplePos x="0" y="0"/>
                <wp:positionH relativeFrom="column">
                  <wp:posOffset>1517650</wp:posOffset>
                </wp:positionH>
                <wp:positionV relativeFrom="paragraph">
                  <wp:posOffset>130810</wp:posOffset>
                </wp:positionV>
                <wp:extent cx="0" cy="177223"/>
                <wp:effectExtent l="76200" t="0" r="57150" b="514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2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FA4270" id="Straight Arrow Connector 2" o:spid="_x0000_s1026" type="#_x0000_t32" style="position:absolute;margin-left:119.5pt;margin-top:10.3pt;width:0;height:13.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">
                <v:stroke endarrow="block"/>
              </v:shape>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805696" behindDoc="0" locked="0" layoutInCell="1" allowOverlap="1">
                <wp:simplePos x="0" y="0"/>
                <wp:positionH relativeFrom="column">
                  <wp:posOffset>2943225</wp:posOffset>
                </wp:positionH>
                <wp:positionV relativeFrom="paragraph">
                  <wp:posOffset>143510</wp:posOffset>
                </wp:positionV>
                <wp:extent cx="0" cy="214630"/>
                <wp:effectExtent l="76200" t="0" r="57150" b="520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3E5261" id="Straight Arrow Connector 3" o:spid="_x0000_s1026" type="#_x0000_t32" style="position:absolute;margin-left:231.75pt;margin-top:11.3pt;width:0;height:16.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">
                <v:stroke endarrow="block"/>
              </v:shape>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799552" behindDoc="0" locked="0" layoutInCell="1" allowOverlap="1">
                <wp:simplePos x="0" y="0"/>
                <wp:positionH relativeFrom="column">
                  <wp:posOffset>1080770</wp:posOffset>
                </wp:positionH>
                <wp:positionV relativeFrom="paragraph">
                  <wp:posOffset>320675</wp:posOffset>
                </wp:positionV>
                <wp:extent cx="897890" cy="1104265"/>
                <wp:effectExtent l="0" t="0" r="16510" b="196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1104265"/>
                        </a:xfrm>
                        <a:prstGeom prst="rect">
                          <a:avLst/>
                        </a:prstGeom>
                        <a:solidFill>
                          <a:srgbClr val="FFFFFF"/>
                        </a:solidFill>
                        <a:ln w="9525">
                          <a:solidFill>
                            <a:srgbClr val="000000"/>
                          </a:solidFill>
                          <a:miter lim="800000"/>
                          <a:headEnd/>
                          <a:tailEnd/>
                        </a:ln>
                      </wps:spPr>
                      <wps:txbx>
                        <w:txbxContent>
                          <w:p w:rsidR="009E5A89" w:rsidRDefault="00C476C8">
                            <w:pPr>
                              <w:jc w:val="center"/>
                            </w:pPr>
                            <w:r>
                              <w:rPr>
                                <w:sz w:val="16"/>
                                <w:szCs w:val="16"/>
                              </w:rPr>
                              <w:t>Our Omnibus Client Account: records CCP Transactions and assets relating to any number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39" style="position:absolute;left:0;text-align:left;margin-left:85.1pt;margin-top:25.25pt;width:70.7pt;height:86.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">
                <v:textbox>
                  <w:txbxContent>
                    <w:p w:rsidR="009E5A89" w:rsidRDefault="00C476C8">
                      <w:pPr>
                        <w:jc w:val="center"/>
                      </w:pPr>
                      <w:r>
                        <w:rPr>
                          <w:sz w:val="16"/>
                          <w:szCs w:val="16"/>
                        </w:rPr>
                        <w:t>Our Omnibus Client Account: records CCP Transactions and assets relating to any number of our clients</w:t>
                      </w:r>
                    </w:p>
                  </w:txbxContent>
                </v:textbox>
              </v:rect>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val="en-US" w:eastAsia="en-US"/>
        </w:rPr>
        <mc:AlternateContent>
          <mc:Choice Requires="wps">
            <w:drawing>
              <wp:anchor distT="0" distB="0" distL="114300" distR="114300" simplePos="0" relativeHeight="251801600" behindDoc="0" locked="0" layoutInCell="1" allowOverlap="1">
                <wp:simplePos x="0" y="0"/>
                <wp:positionH relativeFrom="column">
                  <wp:posOffset>2428240</wp:posOffset>
                </wp:positionH>
                <wp:positionV relativeFrom="paragraph">
                  <wp:posOffset>57785</wp:posOffset>
                </wp:positionV>
                <wp:extent cx="923290" cy="1066165"/>
                <wp:effectExtent l="0" t="0" r="10160" b="196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1066165"/>
                        </a:xfrm>
                        <a:prstGeom prst="rect">
                          <a:avLst/>
                        </a:prstGeom>
                        <a:solidFill>
                          <a:schemeClr val="bg1">
                            <a:lumMod val="75000"/>
                            <a:lumOff val="0"/>
                          </a:schemeClr>
                        </a:solidFill>
                        <a:ln w="9525">
                          <a:solidFill>
                            <a:srgbClr val="000000"/>
                          </a:solidFill>
                          <a:miter lim="800000"/>
                          <a:headEnd/>
                          <a:tailEnd/>
                        </a:ln>
                      </wps:spPr>
                      <wps:txbx>
                        <w:txbxContent>
                          <w:p w:rsidR="009E5A89" w:rsidRDefault="00C476C8">
                            <w:pPr>
                              <w:jc w:val="center"/>
                            </w:pPr>
                            <w:r>
                              <w:rPr>
                                <w:sz w:val="16"/>
                                <w:szCs w:val="16"/>
                              </w:rPr>
                              <w:t>Our Individual Client Account: records CCP Transactions</w:t>
                            </w:r>
                            <w:r>
                              <w:t xml:space="preserve"> </w:t>
                            </w:r>
                            <w:r>
                              <w:rPr>
                                <w:sz w:val="16"/>
                                <w:szCs w:val="16"/>
                              </w:rPr>
                              <w:t>and assets relating only 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 o:spid="_x0000_s1040" style="position:absolute;left:0;text-align:left;margin-left:191.2pt;margin-top:4.55pt;width:72.7pt;height:83.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" fillcolor="#bfbfbf [2412]">
                <v:textbox>
                  <w:txbxContent>
                    <w:p w:rsidR="009E5A89" w:rsidRDefault="00C476C8">
                      <w:pPr>
                        <w:jc w:val="center"/>
                      </w:pPr>
                      <w:r>
                        <w:rPr>
                          <w:sz w:val="16"/>
                          <w:szCs w:val="16"/>
                        </w:rPr>
                        <w:t>Our Individual Client Account: records CCP Transactions</w:t>
                      </w:r>
                      <w:r>
                        <w:t xml:space="preserve"> </w:t>
                      </w:r>
                      <w:r>
                        <w:rPr>
                          <w:sz w:val="16"/>
                          <w:szCs w:val="16"/>
                        </w:rPr>
                        <w:t>and assets relating only to you</w:t>
                      </w:r>
                    </w:p>
                  </w:txbxContent>
                </v:textbox>
              </v:rect>
            </w:pict>
          </mc:Fallback>
        </mc:AlternateContent>
      </w:r>
      <w:r>
        <w:rPr>
          <w:rFonts w:ascii="Times New Roman" w:hAnsi="Times New Roman"/>
          <w:noProof/>
          <w:sz w:val="22"/>
          <w:szCs w:val="22"/>
          <w:lang w:val="en-US" w:eastAsia="en-US"/>
        </w:rPr>
        <mc:AlternateContent>
          <mc:Choice Requires="wps">
            <w:drawing>
              <wp:anchor distT="0" distB="0" distL="114300" distR="114300" simplePos="0" relativeHeight="251800576" behindDoc="0" locked="0" layoutInCell="1" allowOverlap="1">
                <wp:simplePos x="0" y="0"/>
                <wp:positionH relativeFrom="column">
                  <wp:posOffset>-233680</wp:posOffset>
                </wp:positionH>
                <wp:positionV relativeFrom="paragraph">
                  <wp:posOffset>58420</wp:posOffset>
                </wp:positionV>
                <wp:extent cx="977265" cy="757238"/>
                <wp:effectExtent l="0" t="0" r="13335" b="241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757238"/>
                        </a:xfrm>
                        <a:prstGeom prst="rect">
                          <a:avLst/>
                        </a:prstGeom>
                        <a:solidFill>
                          <a:srgbClr val="FFFFFF"/>
                        </a:solidFill>
                        <a:ln w="9525">
                          <a:solidFill>
                            <a:srgbClr val="000000"/>
                          </a:solidFill>
                          <a:miter lim="800000"/>
                          <a:headEnd/>
                          <a:tailEnd/>
                        </a:ln>
                      </wps:spPr>
                      <wps:txbx>
                        <w:txbxContent>
                          <w:p w:rsidR="009E5A89" w:rsidRDefault="00C476C8">
                            <w:pPr>
                              <w:jc w:val="center"/>
                              <w:rPr>
                                <w:sz w:val="16"/>
                                <w:szCs w:val="16"/>
                              </w:rPr>
                            </w:pPr>
                            <w:r>
                              <w:rPr>
                                <w:sz w:val="16"/>
                                <w:szCs w:val="16"/>
                              </w:rPr>
                              <w:t>Our House Account: records only our House Transactions and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41" style="position:absolute;left:0;text-align:left;margin-left:-18.4pt;margin-top:4.6pt;width:76.95pt;height:59.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">
                <v:textbox>
                  <w:txbxContent>
                    <w:p w:rsidR="009E5A89" w:rsidRDefault="00C476C8">
                      <w:pPr>
                        <w:jc w:val="center"/>
                        <w:rPr>
                          <w:sz w:val="16"/>
                          <w:szCs w:val="16"/>
                        </w:rPr>
                      </w:pPr>
                      <w:r>
                        <w:rPr>
                          <w:sz w:val="16"/>
                          <w:szCs w:val="16"/>
                        </w:rPr>
                        <w:t>Our House Account: records only our House Transactions and assets</w:t>
                      </w:r>
                    </w:p>
                  </w:txbxContent>
                </v:textbox>
              </v:rect>
            </w:pict>
          </mc:Fallback>
        </mc:AlternateContent>
      </w: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C476C8">
      <w:pPr>
        <w:pStyle w:val="BodyText0"/>
        <w:rPr>
          <w:rFonts w:ascii="Times New Roman" w:hAnsi="Times New Roman"/>
          <w:sz w:val="22"/>
          <w:szCs w:val="22"/>
        </w:rPr>
      </w:pPr>
      <w:r>
        <w:rPr>
          <w:rFonts w:ascii="Times New Roman" w:hAnsi="Times New Roman"/>
          <w:sz w:val="22"/>
          <w:szCs w:val="22"/>
        </w:rPr>
        <w:t xml:space="preserve">The CCP will agree not to net the CCP Transactions relating to you with our House Transactions, nor use the assets relating to such CCP Transactions in relation to our House Transactions. </w:t>
      </w:r>
    </w:p>
    <w:p w:rsidR="009E5A89" w:rsidRDefault="00C476C8">
      <w:pPr>
        <w:pStyle w:val="BodyText0"/>
        <w:rPr>
          <w:rFonts w:ascii="Times New Roman" w:hAnsi="Times New Roman"/>
          <w:sz w:val="22"/>
          <w:szCs w:val="22"/>
        </w:rPr>
      </w:pPr>
      <w:r>
        <w:rPr>
          <w:rFonts w:ascii="Times New Roman" w:hAnsi="Times New Roman"/>
          <w:sz w:val="22"/>
          <w:szCs w:val="22"/>
        </w:rPr>
        <w:t xml:space="preserve">Further, and in contrast to an Omnibus Client Account, the CCP will agree not to net the CCP Transactions relating to you that are recorded to an Individual Client Account with those of any other client recorded to </w:t>
      </w:r>
      <w:r>
        <w:rPr>
          <w:rFonts w:ascii="Times New Roman" w:hAnsi="Times New Roman"/>
          <w:i/>
          <w:sz w:val="22"/>
          <w:szCs w:val="22"/>
        </w:rPr>
        <w:t>any</w:t>
      </w:r>
      <w:r>
        <w:rPr>
          <w:rFonts w:ascii="Times New Roman" w:hAnsi="Times New Roman"/>
          <w:sz w:val="22"/>
          <w:szCs w:val="22"/>
        </w:rPr>
        <w:t xml:space="preserve"> other account, nor use the assets related to such CCP Transactions in relation to the CCP Transactions relating to any of our other clients.</w:t>
      </w:r>
    </w:p>
    <w:p w:rsidR="009E5A89" w:rsidRDefault="00C476C8">
      <w:pPr>
        <w:pStyle w:val="BodyText0"/>
        <w:rPr>
          <w:rFonts w:ascii="Times New Roman" w:hAnsi="Times New Roman"/>
          <w:sz w:val="22"/>
          <w:szCs w:val="22"/>
        </w:rPr>
      </w:pPr>
      <w:r>
        <w:rPr>
          <w:rFonts w:ascii="Times New Roman" w:hAnsi="Times New Roman"/>
          <w:sz w:val="22"/>
          <w:szCs w:val="22"/>
        </w:rPr>
        <w:t>Please see Part Two for an overview of the risks you may face if you choose an Individual Client Account and additional features of Individual Client Accounts that may be available at different CCPs.</w:t>
      </w:r>
    </w:p>
    <w:p w:rsidR="009E5A89" w:rsidRDefault="00C476C8">
      <w:pPr>
        <w:pStyle w:val="BodyText0"/>
        <w:rPr>
          <w:rFonts w:ascii="Times New Roman" w:hAnsi="Times New Roman"/>
          <w:b/>
          <w:sz w:val="22"/>
          <w:szCs w:val="22"/>
        </w:rPr>
      </w:pPr>
      <w:r>
        <w:rPr>
          <w:rFonts w:ascii="Times New Roman" w:hAnsi="Times New Roman"/>
          <w:b/>
          <w:sz w:val="22"/>
          <w:szCs w:val="22"/>
        </w:rPr>
        <w:t>Affiliates</w:t>
      </w:r>
    </w:p>
    <w:p w:rsidR="009E5A89" w:rsidRDefault="00C476C8">
      <w:pPr>
        <w:pStyle w:val="BodyText0"/>
        <w:rPr>
          <w:rFonts w:ascii="Times New Roman" w:hAnsi="Times New Roman"/>
          <w:sz w:val="22"/>
          <w:szCs w:val="22"/>
        </w:rPr>
      </w:pPr>
      <w:r>
        <w:rPr>
          <w:rFonts w:ascii="Times New Roman" w:hAnsi="Times New Roman"/>
          <w:sz w:val="22"/>
          <w:szCs w:val="22"/>
        </w:rPr>
        <w:t>We treat our affiliates in the same way as clients when complying with EMIR. This means that affiliates also have a choice between types of account. An affiliate may be part of the same Omnibus Client Account as other clients.</w:t>
      </w:r>
    </w:p>
    <w:p w:rsidR="009E5A89" w:rsidRDefault="00C476C8">
      <w:pPr>
        <w:pStyle w:val="BodyText0"/>
        <w:rPr>
          <w:rFonts w:ascii="Times New Roman" w:hAnsi="Times New Roman"/>
          <w:b/>
          <w:sz w:val="22"/>
          <w:szCs w:val="22"/>
        </w:rPr>
      </w:pPr>
      <w:r>
        <w:rPr>
          <w:rFonts w:ascii="Times New Roman" w:hAnsi="Times New Roman"/>
          <w:b/>
          <w:sz w:val="22"/>
          <w:szCs w:val="22"/>
        </w:rPr>
        <w:t>Other factors that may impact on the level of protection you receive in respect of assets that you provide to us as margin for Client Transactions</w:t>
      </w:r>
    </w:p>
    <w:p w:rsidR="009E5A89" w:rsidRDefault="00C476C8">
      <w:pPr>
        <w:pStyle w:val="BodyText0"/>
        <w:rPr>
          <w:rFonts w:ascii="Times New Roman" w:hAnsi="Times New Roman"/>
          <w:sz w:val="22"/>
          <w:szCs w:val="22"/>
        </w:rPr>
      </w:pPr>
      <w:r>
        <w:rPr>
          <w:rFonts w:ascii="Times New Roman" w:hAnsi="Times New Roman"/>
          <w:sz w:val="22"/>
          <w:szCs w:val="22"/>
        </w:rPr>
        <w:t>There are a number of factors that, together, determine the level of protection you will receive in respect of assets that you provide to us as margin for Client Transactions:</w:t>
      </w:r>
    </w:p>
    <w:p w:rsidR="009E5A89" w:rsidRDefault="00C476C8">
      <w:pPr>
        <w:pStyle w:val="BodyText0"/>
        <w:numPr>
          <w:ilvl w:val="0"/>
          <w:numId w:val="3"/>
        </w:numPr>
        <w:rPr>
          <w:rFonts w:ascii="Times New Roman" w:hAnsi="Times New Roman"/>
          <w:i/>
          <w:sz w:val="22"/>
          <w:szCs w:val="22"/>
        </w:rPr>
      </w:pPr>
      <w:r>
        <w:rPr>
          <w:rFonts w:ascii="Times New Roman" w:hAnsi="Times New Roman"/>
          <w:sz w:val="22"/>
          <w:szCs w:val="22"/>
        </w:rPr>
        <w:t xml:space="preserve">whether you choose an Omnibus Client Account or an Individual Client Account (as discussed under </w:t>
      </w:r>
      <w:r>
        <w:rPr>
          <w:rFonts w:ascii="Times New Roman" w:hAnsi="Times New Roman"/>
          <w:i/>
          <w:sz w:val="22"/>
          <w:szCs w:val="22"/>
        </w:rPr>
        <w:t xml:space="preserve">“The types of account available” </w:t>
      </w:r>
      <w:r>
        <w:rPr>
          <w:rFonts w:ascii="Times New Roman" w:hAnsi="Times New Roman"/>
          <w:sz w:val="22"/>
          <w:szCs w:val="22"/>
        </w:rPr>
        <w:t>above)</w:t>
      </w:r>
      <w:r>
        <w:rPr>
          <w:rFonts w:ascii="Times New Roman" w:hAnsi="Times New Roman"/>
          <w:i/>
          <w:sz w:val="22"/>
          <w:szCs w:val="22"/>
        </w:rPr>
        <w:t>;</w:t>
      </w:r>
    </w:p>
    <w:p w:rsidR="009E5A89" w:rsidRDefault="00C476C8">
      <w:pPr>
        <w:pStyle w:val="BodyText0"/>
        <w:numPr>
          <w:ilvl w:val="0"/>
          <w:numId w:val="3"/>
        </w:numPr>
        <w:rPr>
          <w:rFonts w:ascii="Times New Roman" w:hAnsi="Times New Roman"/>
          <w:sz w:val="22"/>
          <w:szCs w:val="22"/>
        </w:rPr>
      </w:pPr>
      <w:r>
        <w:rPr>
          <w:rFonts w:ascii="Times New Roman" w:hAnsi="Times New Roman"/>
          <w:sz w:val="22"/>
          <w:szCs w:val="22"/>
        </w:rPr>
        <w:t xml:space="preserve">whether, if you choose an Omnibus Client Account, you would want a gross or net account; </w:t>
      </w:r>
    </w:p>
    <w:p w:rsidR="009E5A89" w:rsidRDefault="00C476C8">
      <w:pPr>
        <w:pStyle w:val="BodyText0"/>
        <w:numPr>
          <w:ilvl w:val="0"/>
          <w:numId w:val="3"/>
        </w:numPr>
        <w:rPr>
          <w:rFonts w:ascii="Times New Roman" w:hAnsi="Times New Roman"/>
          <w:sz w:val="22"/>
          <w:szCs w:val="22"/>
        </w:rPr>
      </w:pPr>
      <w:r>
        <w:rPr>
          <w:rFonts w:ascii="Times New Roman" w:hAnsi="Times New Roman"/>
          <w:sz w:val="22"/>
          <w:szCs w:val="22"/>
        </w:rPr>
        <w:t xml:space="preserve">in each case, whether such assets are transferred by way of title transfer or security interest; </w:t>
      </w:r>
    </w:p>
    <w:p w:rsidR="009E5A89" w:rsidRDefault="00C476C8">
      <w:pPr>
        <w:pStyle w:val="BodyText0"/>
        <w:numPr>
          <w:ilvl w:val="0"/>
          <w:numId w:val="3"/>
        </w:numPr>
        <w:rPr>
          <w:rFonts w:ascii="Times New Roman" w:hAnsi="Times New Roman"/>
          <w:sz w:val="22"/>
          <w:szCs w:val="22"/>
        </w:rPr>
      </w:pPr>
      <w:r>
        <w:rPr>
          <w:rFonts w:ascii="Times New Roman" w:hAnsi="Times New Roman"/>
          <w:sz w:val="22"/>
          <w:szCs w:val="22"/>
        </w:rPr>
        <w:t xml:space="preserve">whether or not cash that you transfer to us is treated as client money in accordance with the FCA client money rules; </w:t>
      </w:r>
    </w:p>
    <w:p w:rsidR="009E5A89" w:rsidRDefault="00C476C8">
      <w:pPr>
        <w:pStyle w:val="BodyText0"/>
        <w:numPr>
          <w:ilvl w:val="0"/>
          <w:numId w:val="3"/>
        </w:numPr>
        <w:rPr>
          <w:rFonts w:ascii="Times New Roman" w:hAnsi="Times New Roman"/>
          <w:sz w:val="22"/>
          <w:szCs w:val="22"/>
        </w:rPr>
      </w:pPr>
      <w:r>
        <w:rPr>
          <w:rFonts w:ascii="Times New Roman" w:hAnsi="Times New Roman"/>
          <w:sz w:val="22"/>
          <w:szCs w:val="22"/>
        </w:rPr>
        <w:t xml:space="preserve">whether we call any excess margin from you or you pay excess margin to us; </w:t>
      </w:r>
    </w:p>
    <w:p w:rsidR="009E5A89" w:rsidRDefault="00C476C8">
      <w:pPr>
        <w:pStyle w:val="BodyText0"/>
        <w:numPr>
          <w:ilvl w:val="0"/>
          <w:numId w:val="3"/>
        </w:numPr>
        <w:rPr>
          <w:rFonts w:ascii="Times New Roman" w:hAnsi="Times New Roman"/>
          <w:sz w:val="22"/>
          <w:szCs w:val="22"/>
        </w:rPr>
      </w:pPr>
      <w:r>
        <w:rPr>
          <w:rFonts w:ascii="Times New Roman" w:hAnsi="Times New Roman"/>
          <w:sz w:val="22"/>
          <w:szCs w:val="22"/>
        </w:rPr>
        <w:t>whether you will get back the same type of asset as you provided as margin; and</w:t>
      </w:r>
    </w:p>
    <w:p w:rsidR="009E5A89" w:rsidRDefault="00C476C8">
      <w:pPr>
        <w:pStyle w:val="BodyText0"/>
        <w:numPr>
          <w:ilvl w:val="0"/>
          <w:numId w:val="3"/>
        </w:numPr>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bankruptcy and other laws that govern us and the CCP. </w:t>
      </w:r>
    </w:p>
    <w:p w:rsidR="009E5A89" w:rsidRDefault="00C476C8">
      <w:pPr>
        <w:pStyle w:val="BodyText0"/>
        <w:rPr>
          <w:rFonts w:ascii="Times New Roman" w:hAnsi="Times New Roman"/>
          <w:sz w:val="22"/>
          <w:szCs w:val="22"/>
        </w:rPr>
      </w:pPr>
      <w:r>
        <w:rPr>
          <w:rFonts w:ascii="Times New Roman" w:hAnsi="Times New Roman"/>
          <w:sz w:val="22"/>
          <w:szCs w:val="22"/>
        </w:rPr>
        <w:t>The rest of Part One B sets out further details for each of these variables and their implications under English Law.</w:t>
      </w:r>
    </w:p>
    <w:p w:rsidR="009E5A89" w:rsidRDefault="00C476C8">
      <w:pPr>
        <w:pStyle w:val="BodyText0"/>
        <w:rPr>
          <w:rFonts w:ascii="Times New Roman" w:hAnsi="Times New Roman"/>
          <w:b/>
          <w:sz w:val="22"/>
          <w:szCs w:val="22"/>
        </w:rPr>
      </w:pPr>
      <w:r>
        <w:rPr>
          <w:rFonts w:ascii="Times New Roman" w:hAnsi="Times New Roman"/>
          <w:b/>
          <w:sz w:val="22"/>
          <w:szCs w:val="22"/>
        </w:rPr>
        <w:t>Would you prefer a gross or net Omnibus Client Account?</w:t>
      </w:r>
    </w:p>
    <w:p w:rsidR="009E5A89" w:rsidRDefault="00C476C8">
      <w:pPr>
        <w:pStyle w:val="BodyText0"/>
        <w:rPr>
          <w:rFonts w:ascii="Times New Roman" w:hAnsi="Times New Roman"/>
          <w:sz w:val="22"/>
          <w:szCs w:val="22"/>
        </w:rPr>
      </w:pPr>
      <w:r>
        <w:rPr>
          <w:rFonts w:ascii="Times New Roman" w:hAnsi="Times New Roman"/>
          <w:sz w:val="22"/>
          <w:szCs w:val="22"/>
        </w:rPr>
        <w:t xml:space="preserve">While the CCPs are only required to offer one type of Omnibus Client Account (and one type of Individual Client Account), some of them have developed a range of accounts within these two types with features that provide different degrees of segregation. These are discussed in more detail in Part Two. There are two main levels of segregation within Omnibus Client Accounts: </w:t>
      </w:r>
    </w:p>
    <w:p w:rsidR="009E5A89" w:rsidRDefault="00C476C8">
      <w:pPr>
        <w:pStyle w:val="BodyText0"/>
        <w:numPr>
          <w:ilvl w:val="0"/>
          <w:numId w:val="10"/>
        </w:numPr>
        <w:rPr>
          <w:rFonts w:ascii="Times New Roman" w:hAnsi="Times New Roman"/>
          <w:sz w:val="22"/>
          <w:szCs w:val="22"/>
        </w:rPr>
      </w:pPr>
      <w:r>
        <w:rPr>
          <w:rFonts w:ascii="Times New Roman" w:hAnsi="Times New Roman"/>
          <w:sz w:val="22"/>
          <w:szCs w:val="22"/>
        </w:rPr>
        <w:t xml:space="preserve">Net is where the margin called by the CCP in respect of the CCP Transactions is called on the basis of the net CCP Transactions recorded in the Omnibus Client Account. </w:t>
      </w:r>
    </w:p>
    <w:p w:rsidR="009E5A89" w:rsidRDefault="00C476C8">
      <w:pPr>
        <w:pStyle w:val="BodyText0"/>
        <w:numPr>
          <w:ilvl w:val="0"/>
          <w:numId w:val="10"/>
        </w:numPr>
        <w:rPr>
          <w:rFonts w:ascii="Times New Roman" w:hAnsi="Times New Roman"/>
          <w:sz w:val="22"/>
          <w:szCs w:val="22"/>
        </w:rPr>
      </w:pPr>
      <w:r>
        <w:rPr>
          <w:rFonts w:ascii="Times New Roman" w:hAnsi="Times New Roman"/>
          <w:sz w:val="22"/>
          <w:szCs w:val="22"/>
        </w:rPr>
        <w:t xml:space="preserve">Gross is where the margin called by the CCP Transactions is called on the basis of the gross CCP Transactions recorded in the Omnibus Client Account. </w:t>
      </w:r>
    </w:p>
    <w:p w:rsidR="009E5A89" w:rsidRDefault="00C476C8">
      <w:pPr>
        <w:pStyle w:val="BodyText0"/>
        <w:rPr>
          <w:rFonts w:ascii="Times New Roman" w:hAnsi="Times New Roman"/>
          <w:sz w:val="22"/>
          <w:szCs w:val="22"/>
        </w:rPr>
      </w:pPr>
      <w:r>
        <w:rPr>
          <w:rFonts w:ascii="Times New Roman" w:hAnsi="Times New Roman"/>
          <w:sz w:val="22"/>
          <w:szCs w:val="22"/>
        </w:rPr>
        <w:t>It may be easier to port CCP Transactions and their related assets, both in business as usual and default circumstances, if you choose a gross Omnibus Client Account than if you choose a net Omnibus Client Account. This is because the CCP is more likely to have sufficient assets to facilitate the porting of the CCP Transactions that relate to you and those that relate to another client separately if it has called the margin on a gross basis. That said, different CCPs’ accounts have been designed in different ways and so you should consider the CCP’s information about the specific accounts to understand the exact differences. Please see Part Two for more details on this.</w:t>
      </w:r>
    </w:p>
    <w:p w:rsidR="009E5A89" w:rsidRDefault="00C476C8">
      <w:pPr>
        <w:pStyle w:val="BodyText0"/>
        <w:rPr>
          <w:rFonts w:ascii="Times New Roman" w:hAnsi="Times New Roman"/>
          <w:b/>
          <w:sz w:val="22"/>
          <w:szCs w:val="22"/>
        </w:rPr>
      </w:pPr>
      <w:r>
        <w:rPr>
          <w:rFonts w:ascii="Times New Roman" w:hAnsi="Times New Roman"/>
          <w:b/>
          <w:sz w:val="22"/>
          <w:szCs w:val="22"/>
        </w:rPr>
        <w:t>Will you provide cash or non-cash assets as margin for the Client Transactions?</w:t>
      </w:r>
      <w:r>
        <w:rPr>
          <w:rStyle w:val="EndnoteReference"/>
          <w:rFonts w:ascii="Times New Roman" w:hAnsi="Times New Roman"/>
          <w:b/>
          <w:sz w:val="22"/>
          <w:szCs w:val="22"/>
        </w:rPr>
        <w:endnoteReference w:id="13"/>
      </w:r>
    </w:p>
    <w:p w:rsidR="009E5A89" w:rsidRDefault="00C476C8">
      <w:pPr>
        <w:pStyle w:val="BodyText0"/>
        <w:tabs>
          <w:tab w:val="center" w:pos="4536"/>
        </w:tabs>
        <w:rPr>
          <w:rFonts w:ascii="Times New Roman" w:hAnsi="Times New Roman"/>
          <w:b/>
          <w:sz w:val="22"/>
          <w:szCs w:val="22"/>
        </w:rPr>
      </w:pPr>
      <w:r>
        <w:rPr>
          <w:rFonts w:ascii="Times New Roman" w:hAnsi="Times New Roman"/>
          <w:sz w:val="22"/>
          <w:szCs w:val="22"/>
        </w:rPr>
        <w:t xml:space="preserve">As noted under </w:t>
      </w:r>
      <w:r>
        <w:rPr>
          <w:rFonts w:ascii="Times New Roman" w:hAnsi="Times New Roman"/>
          <w:i/>
          <w:sz w:val="22"/>
          <w:szCs w:val="22"/>
        </w:rPr>
        <w:t>“The “principal-to-principal” clearing model”</w:t>
      </w:r>
      <w:r>
        <w:rPr>
          <w:rFonts w:ascii="Times New Roman" w:hAnsi="Times New Roman"/>
          <w:sz w:val="22"/>
          <w:szCs w:val="22"/>
        </w:rPr>
        <w:t xml:space="preserve"> in Part One A, </w:t>
      </w:r>
      <w:r w:rsidR="00722ED4">
        <w:rPr>
          <w:rFonts w:ascii="Times New Roman" w:hAnsi="Times New Roman"/>
          <w:sz w:val="22"/>
          <w:szCs w:val="22"/>
        </w:rPr>
        <w:t xml:space="preserve">as </w:t>
      </w:r>
      <w:r>
        <w:rPr>
          <w:rFonts w:ascii="Times New Roman" w:hAnsi="Times New Roman"/>
          <w:sz w:val="22"/>
          <w:szCs w:val="22"/>
        </w:rPr>
        <w:t xml:space="preserve">a clearing member of the CCP, we are required to transfer assets to the CCP in respect of the CCP Transactions related to your Client Transactions. CCPs only accept certain types of liquid cash and non-cash assets as margin. </w:t>
      </w:r>
    </w:p>
    <w:p w:rsidR="009E5A89" w:rsidRDefault="00C476C8">
      <w:pPr>
        <w:pStyle w:val="BodyText0"/>
        <w:rPr>
          <w:rFonts w:ascii="Times New Roman" w:hAnsi="Times New Roman"/>
          <w:sz w:val="22"/>
          <w:szCs w:val="22"/>
        </w:rPr>
      </w:pPr>
      <w:r>
        <w:rPr>
          <w:rFonts w:ascii="Times New Roman" w:hAnsi="Times New Roman"/>
          <w:sz w:val="22"/>
          <w:szCs w:val="22"/>
        </w:rPr>
        <w:t>As is market practice, we will decide what types of assets to accept from you as margin for your Client Transactions. This will be set out in the client clearing agreement between us.</w:t>
      </w:r>
      <w:r>
        <w:rPr>
          <w:rFonts w:ascii="Times New Roman" w:hAnsi="Times New Roman"/>
          <w:b/>
          <w:i/>
          <w:sz w:val="22"/>
          <w:szCs w:val="22"/>
        </w:rPr>
        <w:t xml:space="preserve"> </w:t>
      </w:r>
      <w:r>
        <w:rPr>
          <w:rFonts w:ascii="Times New Roman" w:hAnsi="Times New Roman"/>
          <w:sz w:val="22"/>
          <w:szCs w:val="22"/>
        </w:rPr>
        <w:t>What we will accept from you as margin for the Client Transactions will not necessarily be the same type of assets that the CCPs will accept from us for the CCP Transactions, in which case we may provide you with a collateral transformation service, under which we transform the assets you provide to those which we can pass onto the CCP.</w:t>
      </w:r>
    </w:p>
    <w:p w:rsidR="009E5A89" w:rsidRDefault="00C476C8">
      <w:pPr>
        <w:pStyle w:val="BodyText0"/>
        <w:rPr>
          <w:rFonts w:ascii="Times New Roman" w:hAnsi="Times New Roman"/>
          <w:b/>
          <w:sz w:val="22"/>
          <w:szCs w:val="22"/>
        </w:rPr>
      </w:pPr>
      <w:r>
        <w:rPr>
          <w:rFonts w:ascii="Times New Roman" w:hAnsi="Times New Roman"/>
          <w:b/>
          <w:sz w:val="22"/>
          <w:szCs w:val="22"/>
        </w:rPr>
        <w:t>Do you provide assets to us on a title transfer or a security interest basis?</w:t>
      </w:r>
      <w:r>
        <w:rPr>
          <w:rStyle w:val="EndnoteReference"/>
          <w:rFonts w:ascii="Times New Roman" w:hAnsi="Times New Roman"/>
          <w:b/>
          <w:sz w:val="22"/>
          <w:szCs w:val="22"/>
        </w:rPr>
        <w:endnoteReference w:id="14"/>
      </w:r>
    </w:p>
    <w:p w:rsidR="009E5A89" w:rsidRDefault="00C476C8">
      <w:pPr>
        <w:pStyle w:val="BodyText0"/>
        <w:rPr>
          <w:rFonts w:ascii="Times New Roman" w:hAnsi="Times New Roman"/>
          <w:sz w:val="22"/>
          <w:szCs w:val="22"/>
        </w:rPr>
      </w:pPr>
      <w:r>
        <w:rPr>
          <w:rFonts w:ascii="Times New Roman" w:hAnsi="Times New Roman"/>
          <w:sz w:val="22"/>
          <w:szCs w:val="22"/>
        </w:rPr>
        <w:t>As is market practice, we will decide the basis on which we are willing to accept assets from you. This will be set out in the client clearing agreement between us.</w:t>
      </w:r>
    </w:p>
    <w:p w:rsidR="009E5A89" w:rsidRDefault="00C476C8">
      <w:pPr>
        <w:pStyle w:val="BodyText0"/>
        <w:rPr>
          <w:rFonts w:ascii="Times New Roman" w:hAnsi="Times New Roman"/>
          <w:i/>
          <w:sz w:val="22"/>
          <w:szCs w:val="22"/>
        </w:rPr>
      </w:pPr>
      <w:r>
        <w:rPr>
          <w:rFonts w:ascii="Times New Roman" w:hAnsi="Times New Roman"/>
          <w:i/>
          <w:sz w:val="22"/>
          <w:szCs w:val="22"/>
        </w:rPr>
        <w:t>Title Transfer</w:t>
      </w:r>
    </w:p>
    <w:p w:rsidR="009E5A89" w:rsidRDefault="00C476C8">
      <w:pPr>
        <w:pStyle w:val="BodyText0"/>
        <w:rPr>
          <w:rFonts w:ascii="Times New Roman" w:hAnsi="Times New Roman"/>
          <w:sz w:val="22"/>
          <w:szCs w:val="22"/>
        </w:rPr>
      </w:pPr>
      <w:r>
        <w:rPr>
          <w:rFonts w:ascii="Times New Roman" w:hAnsi="Times New Roman"/>
          <w:sz w:val="22"/>
          <w:szCs w:val="22"/>
        </w:rPr>
        <w:t>Where the client clearing agreement provides for the transfer of assets by way of title transfer, when you transfer assets (</w:t>
      </w:r>
      <w:r>
        <w:rPr>
          <w:rFonts w:ascii="Times New Roman" w:hAnsi="Times New Roman"/>
          <w:b/>
          <w:sz w:val="22"/>
          <w:szCs w:val="22"/>
        </w:rPr>
        <w:t>Transferred Assets</w:t>
      </w:r>
      <w:r>
        <w:rPr>
          <w:rFonts w:ascii="Times New Roman" w:hAnsi="Times New Roman"/>
          <w:sz w:val="22"/>
          <w:szCs w:val="22"/>
        </w:rPr>
        <w:t xml:space="preserve">) to us, </w:t>
      </w:r>
      <w:r>
        <w:rPr>
          <w:rFonts w:ascii="Times New Roman" w:hAnsi="Times New Roman"/>
          <w:i/>
          <w:sz w:val="22"/>
          <w:szCs w:val="22"/>
        </w:rPr>
        <w:t>we</w:t>
      </w:r>
      <w:r>
        <w:rPr>
          <w:rFonts w:ascii="Times New Roman" w:hAnsi="Times New Roman"/>
          <w:sz w:val="22"/>
          <w:szCs w:val="22"/>
        </w:rPr>
        <w:t xml:space="preserve"> become the </w:t>
      </w:r>
      <w:r>
        <w:rPr>
          <w:rFonts w:ascii="Times New Roman" w:hAnsi="Times New Roman"/>
          <w:i/>
          <w:sz w:val="22"/>
          <w:szCs w:val="22"/>
        </w:rPr>
        <w:t>full owner</w:t>
      </w:r>
      <w:r>
        <w:rPr>
          <w:rFonts w:ascii="Times New Roman" w:hAnsi="Times New Roman"/>
          <w:sz w:val="22"/>
          <w:szCs w:val="22"/>
        </w:rPr>
        <w:t xml:space="preserve"> of such assets and you lose all rights in such assets. We will record in our books and records that we have received such Transferred Assets from you with respect to the applicable Client Transaction. We will be obliged to deliver to you equivalent assets to such Transferred Assets (</w:t>
      </w:r>
      <w:r>
        <w:rPr>
          <w:rFonts w:ascii="Times New Roman" w:hAnsi="Times New Roman"/>
          <w:b/>
          <w:sz w:val="22"/>
          <w:szCs w:val="22"/>
        </w:rPr>
        <w:t>Equivalent Assets</w:t>
      </w:r>
      <w:r>
        <w:rPr>
          <w:rFonts w:ascii="Times New Roman" w:hAnsi="Times New Roman"/>
          <w:sz w:val="22"/>
          <w:szCs w:val="22"/>
        </w:rPr>
        <w:t xml:space="preserve">) in the circumstances set out in the client clearing agreement. </w:t>
      </w:r>
    </w:p>
    <w:p w:rsidR="009E5A89" w:rsidRDefault="00C476C8">
      <w:pPr>
        <w:pStyle w:val="BodyText0"/>
        <w:rPr>
          <w:rFonts w:ascii="Times New Roman" w:hAnsi="Times New Roman"/>
          <w:sz w:val="22"/>
          <w:szCs w:val="22"/>
        </w:rPr>
      </w:pPr>
      <w:r>
        <w:rPr>
          <w:rFonts w:ascii="Times New Roman" w:hAnsi="Times New Roman"/>
          <w:sz w:val="22"/>
          <w:szCs w:val="22"/>
        </w:rPr>
        <w:t>We may either transfer such Transferred Assets on to the CCP with respect to the CCP Transaction related to the Client Transaction, or we may transfer other assets to the CCP with respect to such CCP Transaction.</w:t>
      </w:r>
    </w:p>
    <w:p w:rsidR="009E5A89" w:rsidRDefault="00C476C8">
      <w:pPr>
        <w:pStyle w:val="BodyText0"/>
        <w:rPr>
          <w:rFonts w:ascii="Times New Roman" w:hAnsi="Times New Roman"/>
          <w:sz w:val="22"/>
          <w:szCs w:val="22"/>
        </w:rPr>
      </w:pPr>
      <w:r>
        <w:rPr>
          <w:rFonts w:ascii="Times New Roman" w:hAnsi="Times New Roman"/>
          <w:sz w:val="22"/>
          <w:szCs w:val="22"/>
        </w:rPr>
        <w:t>You bear our credit risk with respect to our obligation to deliver Equivalent Assets to you. This means that if we were to fail, unless we are declared to be in default by the CCP, you will have no right of recourse to the CCP or to any assets that we transfer to the CCP and you will instead have a claim against our estate for a return of the assets along with all our other general creditors. Even if we are declared to be in default by the CCP, the extent of your rights in relation to the CCP, if any, will depend on the particular CCP.</w:t>
      </w:r>
    </w:p>
    <w:p w:rsidR="009E5A89" w:rsidRDefault="00C476C8">
      <w:pPr>
        <w:pStyle w:val="BodyText0"/>
        <w:keepNext/>
        <w:rPr>
          <w:rFonts w:ascii="Times New Roman" w:hAnsi="Times New Roman"/>
          <w:sz w:val="22"/>
          <w:szCs w:val="22"/>
        </w:rPr>
      </w:pPr>
      <w:r>
        <w:rPr>
          <w:rFonts w:ascii="Times New Roman" w:hAnsi="Times New Roman"/>
          <w:i/>
          <w:sz w:val="22"/>
          <w:szCs w:val="22"/>
        </w:rPr>
        <w:t>Security Interest</w:t>
      </w:r>
    </w:p>
    <w:p w:rsidR="009E5A89" w:rsidRDefault="00C476C8">
      <w:pPr>
        <w:pStyle w:val="BodyText0"/>
        <w:keepNext/>
        <w:rPr>
          <w:rFonts w:ascii="Times New Roman" w:hAnsi="Times New Roman"/>
          <w:sz w:val="22"/>
          <w:szCs w:val="22"/>
        </w:rPr>
      </w:pPr>
      <w:r>
        <w:rPr>
          <w:rFonts w:ascii="Times New Roman" w:hAnsi="Times New Roman"/>
          <w:sz w:val="22"/>
          <w:szCs w:val="22"/>
        </w:rPr>
        <w:t xml:space="preserve">Where the client clearing agreement provides for the transfer of assets by way of security interest, when you transfer assets to us, you </w:t>
      </w:r>
      <w:r>
        <w:rPr>
          <w:rFonts w:ascii="Times New Roman" w:hAnsi="Times New Roman"/>
          <w:i/>
          <w:sz w:val="22"/>
          <w:szCs w:val="22"/>
        </w:rPr>
        <w:t>retain</w:t>
      </w:r>
      <w:r>
        <w:rPr>
          <w:rFonts w:ascii="Times New Roman" w:hAnsi="Times New Roman"/>
          <w:sz w:val="22"/>
          <w:szCs w:val="22"/>
        </w:rPr>
        <w:t xml:space="preserve"> full beneficial ownership of such assets. Such assets are transferred to us on the basis that the assets still belong to you, but you have granted us a security interest with respect to such assets. </w:t>
      </w:r>
    </w:p>
    <w:p w:rsidR="009E5A89" w:rsidRDefault="00C476C8">
      <w:pPr>
        <w:pStyle w:val="BodyText0"/>
        <w:rPr>
          <w:rFonts w:ascii="Times New Roman" w:hAnsi="Times New Roman"/>
          <w:sz w:val="22"/>
          <w:szCs w:val="22"/>
        </w:rPr>
      </w:pPr>
      <w:r>
        <w:rPr>
          <w:rFonts w:ascii="Times New Roman" w:hAnsi="Times New Roman"/>
          <w:sz w:val="22"/>
          <w:szCs w:val="22"/>
        </w:rPr>
        <w:t xml:space="preserve">We may enforce that security interest if you default in your obligations to us. Absent the exercise of any right of use by us (see below), only at the point of such enforcement would title in such assets or their liquidation value transfer to us. We will record in our books and records that we have received such assets from you with respect to the applicable Client Transaction. </w:t>
      </w:r>
    </w:p>
    <w:p w:rsidR="009E5A89" w:rsidRDefault="00C476C8">
      <w:pPr>
        <w:pStyle w:val="BodyText0"/>
        <w:rPr>
          <w:rFonts w:ascii="Times New Roman" w:hAnsi="Times New Roman"/>
          <w:sz w:val="22"/>
          <w:szCs w:val="22"/>
        </w:rPr>
      </w:pPr>
      <w:r>
        <w:rPr>
          <w:rFonts w:ascii="Times New Roman" w:hAnsi="Times New Roman"/>
          <w:sz w:val="22"/>
          <w:szCs w:val="22"/>
        </w:rPr>
        <w:t>Prior to any such default, you may also give us a right to use such assets. Until such time as we exercise such right of use, the assets continue to belong to you. Once we exercise the right of use, (e.g. by posting the assets to a CCP), the assets will cease to belong to you and in effect become our asset, at which point you will bear our credit risk in a similar way to the title transfer arrangements. The circumstances in which we may exercise such right of use and the purposes for which we may use any assets will be set out in the client clearing agreement between us.</w:t>
      </w:r>
    </w:p>
    <w:p w:rsidR="009E5A89" w:rsidRDefault="00C476C8">
      <w:pPr>
        <w:pStyle w:val="BodyText0"/>
        <w:rPr>
          <w:rFonts w:ascii="Times New Roman" w:hAnsi="Times New Roman"/>
          <w:b/>
          <w:sz w:val="22"/>
          <w:szCs w:val="22"/>
        </w:rPr>
      </w:pPr>
      <w:r>
        <w:rPr>
          <w:rFonts w:ascii="Times New Roman" w:hAnsi="Times New Roman"/>
          <w:b/>
          <w:sz w:val="22"/>
          <w:szCs w:val="22"/>
        </w:rPr>
        <w:t>What is the impact if we treat cash you transfer to us as client money in accordance with the FCA client money rules?</w:t>
      </w:r>
      <w:r>
        <w:rPr>
          <w:rStyle w:val="EndnoteReference"/>
          <w:rFonts w:ascii="Times New Roman" w:hAnsi="Times New Roman"/>
          <w:b/>
          <w:sz w:val="22"/>
          <w:szCs w:val="22"/>
        </w:rPr>
        <w:endnoteReference w:id="15"/>
      </w:r>
    </w:p>
    <w:p w:rsidR="009E5A89" w:rsidRDefault="00C476C8">
      <w:pPr>
        <w:pStyle w:val="BodyText0"/>
        <w:rPr>
          <w:rFonts w:ascii="Times New Roman" w:hAnsi="Times New Roman"/>
          <w:sz w:val="22"/>
          <w:szCs w:val="22"/>
        </w:rPr>
      </w:pPr>
      <w:r>
        <w:rPr>
          <w:rFonts w:ascii="Times New Roman" w:hAnsi="Times New Roman"/>
          <w:sz w:val="22"/>
          <w:szCs w:val="22"/>
        </w:rPr>
        <w:t xml:space="preserve">This question is separate to the question of what level of segregation you want and results from the FCA’s client money regime rather than EMIR. However, if we hold your cash as client money, your choice of account type could impact how any cash balance returned to us (or our insolvency practitioner) on our default is treated. Whether or not we will treat cash collateral that we receive from you or on your behalf as client money will be set out in the client clearing agreement related to the applicable Client Transaction. We may not treat cash as client money where we are a bank or you provide cash to us on a title transfer basis (see under </w:t>
      </w:r>
      <w:r>
        <w:rPr>
          <w:rFonts w:ascii="Times New Roman" w:hAnsi="Times New Roman"/>
          <w:i/>
          <w:sz w:val="22"/>
          <w:szCs w:val="22"/>
        </w:rPr>
        <w:t>“Do you provide assets to us on a title transfer or a security interest basis?”</w:t>
      </w:r>
      <w:r>
        <w:rPr>
          <w:rFonts w:ascii="Times New Roman" w:hAnsi="Times New Roman"/>
          <w:sz w:val="22"/>
          <w:szCs w:val="22"/>
        </w:rPr>
        <w:t xml:space="preserve"> above).</w:t>
      </w:r>
    </w:p>
    <w:p w:rsidR="009E5A89" w:rsidRDefault="00C476C8">
      <w:pPr>
        <w:pStyle w:val="BodyText0"/>
        <w:rPr>
          <w:rFonts w:ascii="Times New Roman" w:hAnsi="Times New Roman"/>
          <w:sz w:val="22"/>
          <w:szCs w:val="22"/>
        </w:rPr>
      </w:pPr>
      <w:r>
        <w:rPr>
          <w:rFonts w:ascii="Times New Roman" w:hAnsi="Times New Roman"/>
          <w:sz w:val="22"/>
          <w:szCs w:val="22"/>
        </w:rPr>
        <w:t>If we do treat cash transferred to us as client money, then we will follow the FCA client money rules in respect of such cash. In this case, unless we are declared to be in default by a CCP, the FCA client money rules apply in the same way to cash you provide to us as margin for Client Transactions as they apply to cash we treat as client money in relation to other types of business. We will be permitted to transfer client money held as margin to a CCP.</w:t>
      </w:r>
      <w:r>
        <w:rPr>
          <w:rStyle w:val="EndnoteReference"/>
          <w:rFonts w:ascii="Times New Roman" w:hAnsi="Times New Roman"/>
          <w:sz w:val="22"/>
          <w:szCs w:val="22"/>
        </w:rPr>
        <w:endnoteReference w:id="16"/>
      </w:r>
    </w:p>
    <w:p w:rsidR="009E5A89" w:rsidRDefault="00C476C8">
      <w:pPr>
        <w:pStyle w:val="BodyText0"/>
        <w:keepNext/>
        <w:rPr>
          <w:rFonts w:ascii="Times New Roman" w:hAnsi="Times New Roman"/>
          <w:sz w:val="22"/>
          <w:szCs w:val="22"/>
        </w:rPr>
      </w:pPr>
      <w:r>
        <w:rPr>
          <w:rFonts w:ascii="Times New Roman" w:hAnsi="Times New Roman"/>
          <w:sz w:val="22"/>
          <w:szCs w:val="22"/>
        </w:rPr>
        <w:t xml:space="preserve">However, if we are declared to be in default by a CCP and the CCP cannot port or return the balance to you directly and the balance has instead to be returned to us (or our insolvency practitioner) for the account of our clients (see </w:t>
      </w:r>
      <w:r>
        <w:rPr>
          <w:rFonts w:ascii="Times New Roman" w:hAnsi="Times New Roman"/>
          <w:i/>
          <w:sz w:val="22"/>
          <w:szCs w:val="22"/>
        </w:rPr>
        <w:t>“What happens if porting is not achieved”</w:t>
      </w:r>
      <w:r>
        <w:rPr>
          <w:rFonts w:ascii="Times New Roman" w:hAnsi="Times New Roman"/>
          <w:sz w:val="22"/>
          <w:szCs w:val="22"/>
        </w:rPr>
        <w:t xml:space="preserve"> in Part One A above), there are some important differences in how the FCA client money rules would apply. </w:t>
      </w:r>
    </w:p>
    <w:p w:rsidR="009E5A89" w:rsidRDefault="00C476C8">
      <w:pPr>
        <w:pStyle w:val="BodyText0"/>
        <w:numPr>
          <w:ilvl w:val="0"/>
          <w:numId w:val="5"/>
        </w:numPr>
        <w:rPr>
          <w:rFonts w:ascii="Times New Roman" w:hAnsi="Times New Roman"/>
          <w:sz w:val="22"/>
          <w:szCs w:val="22"/>
        </w:rPr>
      </w:pPr>
      <w:r>
        <w:rPr>
          <w:rFonts w:ascii="Times New Roman" w:hAnsi="Times New Roman"/>
          <w:sz w:val="22"/>
          <w:szCs w:val="22"/>
        </w:rPr>
        <w:t xml:space="preserve">If you select an Individual Client Account, then to the extent that any cash is paid to us by the CCP for your account, it will not form part of the client money pool and will instead be distributed to you. </w:t>
      </w:r>
    </w:p>
    <w:p w:rsidR="009E5A89" w:rsidRDefault="00C476C8">
      <w:pPr>
        <w:pStyle w:val="BodyText0"/>
        <w:ind w:left="413"/>
        <w:rPr>
          <w:rFonts w:ascii="Times New Roman" w:hAnsi="Times New Roman"/>
          <w:sz w:val="22"/>
          <w:szCs w:val="22"/>
        </w:rPr>
      </w:pPr>
      <w:r>
        <w:rPr>
          <w:rFonts w:ascii="Times New Roman" w:hAnsi="Times New Roman"/>
          <w:sz w:val="22"/>
          <w:szCs w:val="22"/>
        </w:rPr>
        <w:t>The client money pool is the mechanism through which our insolvency practitioner would normally gather together the client money relating to most of our clients for which we hold client money, wherever it is held, and from which it would distribute that client money in accordance with the FCA client money rules.</w:t>
      </w:r>
    </w:p>
    <w:p w:rsidR="009E5A89" w:rsidRDefault="00C476C8">
      <w:pPr>
        <w:pStyle w:val="BodyText0"/>
        <w:numPr>
          <w:ilvl w:val="0"/>
          <w:numId w:val="5"/>
        </w:numPr>
        <w:rPr>
          <w:rFonts w:ascii="Times New Roman" w:hAnsi="Times New Roman"/>
          <w:sz w:val="22"/>
          <w:szCs w:val="22"/>
        </w:rPr>
      </w:pPr>
      <w:r>
        <w:rPr>
          <w:rFonts w:ascii="Times New Roman" w:hAnsi="Times New Roman"/>
          <w:sz w:val="22"/>
          <w:szCs w:val="22"/>
        </w:rPr>
        <w:t>If you select an Omnibus Client Account, any cash paid to us by the CCP for the account of our clients is likely to form part of the client money pool and be subject to the normal client money rules on distribution.</w:t>
      </w:r>
      <w:r>
        <w:rPr>
          <w:rStyle w:val="EndnoteReference"/>
          <w:rFonts w:ascii="Times New Roman" w:hAnsi="Times New Roman"/>
          <w:sz w:val="22"/>
          <w:szCs w:val="22"/>
        </w:rPr>
        <w:endnoteReference w:id="17"/>
      </w:r>
      <w:r>
        <w:rPr>
          <w:rFonts w:ascii="Times New Roman" w:hAnsi="Times New Roman"/>
          <w:sz w:val="22"/>
          <w:szCs w:val="22"/>
        </w:rPr>
        <w:t xml:space="preserve"> However, there may be some exceptions to this, including where (a) we do not hold any excess margin (see under </w:t>
      </w:r>
      <w:r>
        <w:rPr>
          <w:rFonts w:ascii="Times New Roman" w:hAnsi="Times New Roman"/>
          <w:i/>
          <w:sz w:val="22"/>
          <w:szCs w:val="22"/>
        </w:rPr>
        <w:t>“How will any excess margin we call from you be treated?”</w:t>
      </w:r>
      <w:r>
        <w:rPr>
          <w:rFonts w:ascii="Times New Roman" w:hAnsi="Times New Roman"/>
          <w:sz w:val="22"/>
          <w:szCs w:val="22"/>
        </w:rPr>
        <w:t xml:space="preserve"> below) in relation to the Omnibus Client Account and (b) the CCP can tell us how the money paid to us should be allocated between the clients in the Omnibus Client Account.</w:t>
      </w:r>
    </w:p>
    <w:p w:rsidR="009E5A89" w:rsidRDefault="00C476C8">
      <w:pPr>
        <w:pStyle w:val="BodyText0"/>
        <w:rPr>
          <w:rFonts w:ascii="Times New Roman" w:hAnsi="Times New Roman"/>
          <w:b/>
          <w:sz w:val="22"/>
          <w:szCs w:val="22"/>
        </w:rPr>
      </w:pPr>
      <w:r>
        <w:rPr>
          <w:rFonts w:ascii="Times New Roman" w:hAnsi="Times New Roman"/>
          <w:b/>
          <w:sz w:val="22"/>
          <w:szCs w:val="22"/>
        </w:rPr>
        <w:t>How will any excess margin we call from you be treated?</w:t>
      </w:r>
      <w:r>
        <w:rPr>
          <w:rStyle w:val="EndnoteReference"/>
          <w:rFonts w:ascii="Times New Roman" w:hAnsi="Times New Roman"/>
          <w:b/>
          <w:sz w:val="22"/>
          <w:szCs w:val="22"/>
        </w:rPr>
        <w:endnoteReference w:id="18"/>
      </w:r>
    </w:p>
    <w:p w:rsidR="009E5A89" w:rsidRDefault="00C476C8">
      <w:pPr>
        <w:pStyle w:val="BodyText0"/>
        <w:rPr>
          <w:rFonts w:ascii="Times New Roman" w:hAnsi="Times New Roman"/>
          <w:sz w:val="22"/>
          <w:szCs w:val="22"/>
        </w:rPr>
      </w:pPr>
      <w:r>
        <w:rPr>
          <w:rFonts w:ascii="Times New Roman" w:hAnsi="Times New Roman"/>
          <w:sz w:val="22"/>
          <w:szCs w:val="22"/>
        </w:rPr>
        <w:t>We are required to treat excess margin in a particular way in relation to an Individual Client Account. Excess margin is any amount of assets we require from you or you provide to us in respect of a Client Transaction that is over and above the amount of assets the CCP requires from us in respect of the related CCP Transaction.</w:t>
      </w:r>
    </w:p>
    <w:p w:rsidR="009E5A89" w:rsidRDefault="00C476C8">
      <w:pPr>
        <w:pStyle w:val="BodyText0"/>
        <w:rPr>
          <w:rFonts w:ascii="Times New Roman" w:hAnsi="Times New Roman"/>
          <w:sz w:val="22"/>
          <w:szCs w:val="22"/>
        </w:rPr>
      </w:pPr>
      <w:r>
        <w:rPr>
          <w:rFonts w:ascii="Times New Roman" w:hAnsi="Times New Roman"/>
          <w:sz w:val="22"/>
          <w:szCs w:val="22"/>
        </w:rPr>
        <w:t xml:space="preserve">If you choose an Individual Client Account we are required to pass all excess </w:t>
      </w:r>
      <w:proofErr w:type="gramStart"/>
      <w:r>
        <w:rPr>
          <w:rFonts w:ascii="Times New Roman" w:hAnsi="Times New Roman"/>
          <w:sz w:val="22"/>
          <w:szCs w:val="22"/>
        </w:rPr>
        <w:t>margin</w:t>
      </w:r>
      <w:proofErr w:type="gramEnd"/>
      <w:r>
        <w:rPr>
          <w:rFonts w:ascii="Times New Roman" w:hAnsi="Times New Roman"/>
          <w:sz w:val="22"/>
          <w:szCs w:val="22"/>
        </w:rPr>
        <w:t xml:space="preserve"> on to a CCP. If you provide us with assets which are not related to your individually segregated clearing activities at a particular CCP and such assets are not dedicated to cover your current positions with that CCP, then we do not need to post such assets on to that CCP. Also, if the excess margin you provide to us is not in the form of assets which are eligible to be posted to the CCP (in accordance with the CCP’s rules), unless we agree otherwise, we have no obligation to transform such assets into assets that would be eligible to be posted to the CCP. The details of this will be set out in the client clearing agreement between you and us.</w:t>
      </w:r>
    </w:p>
    <w:p w:rsidR="009E5A89" w:rsidRDefault="00C476C8">
      <w:pPr>
        <w:pStyle w:val="BodyText0"/>
        <w:rPr>
          <w:rFonts w:ascii="Times New Roman" w:hAnsi="Times New Roman"/>
          <w:sz w:val="22"/>
          <w:szCs w:val="22"/>
        </w:rPr>
      </w:pPr>
      <w:r>
        <w:rPr>
          <w:rFonts w:ascii="Times New Roman" w:hAnsi="Times New Roman"/>
          <w:sz w:val="22"/>
          <w:szCs w:val="22"/>
        </w:rPr>
        <w:t>If you provide us with collateral in the form of a bank guarantee</w:t>
      </w:r>
      <w:r w:rsidR="00722ED4">
        <w:rPr>
          <w:rFonts w:ascii="Times New Roman" w:hAnsi="Times New Roman"/>
          <w:sz w:val="22"/>
          <w:szCs w:val="22"/>
        </w:rPr>
        <w:t xml:space="preserve"> in our favour</w:t>
      </w:r>
      <w:r>
        <w:rPr>
          <w:rFonts w:ascii="Times New Roman" w:hAnsi="Times New Roman"/>
          <w:sz w:val="22"/>
          <w:szCs w:val="22"/>
        </w:rPr>
        <w:t>, we are not required to post on to the CCP an amount of assets equal to the value of the portion of the bank guarantee which exceeds the amount of margin we have called from you in respect of the</w:t>
      </w:r>
      <w:r w:rsidR="00722ED4">
        <w:rPr>
          <w:rFonts w:ascii="Times New Roman" w:hAnsi="Times New Roman"/>
          <w:sz w:val="22"/>
          <w:szCs w:val="22"/>
        </w:rPr>
        <w:t xml:space="preserve"> relevant</w:t>
      </w:r>
      <w:r>
        <w:rPr>
          <w:rFonts w:ascii="Times New Roman" w:hAnsi="Times New Roman"/>
          <w:sz w:val="22"/>
          <w:szCs w:val="22"/>
        </w:rPr>
        <w:t xml:space="preserve"> Client Transaction</w:t>
      </w:r>
      <w:r w:rsidR="00722ED4">
        <w:rPr>
          <w:rFonts w:ascii="Times New Roman" w:hAnsi="Times New Roman"/>
          <w:sz w:val="22"/>
          <w:szCs w:val="22"/>
        </w:rPr>
        <w:t>(s)</w:t>
      </w:r>
      <w:r>
        <w:rPr>
          <w:rFonts w:ascii="Times New Roman" w:hAnsi="Times New Roman"/>
          <w:sz w:val="22"/>
          <w:szCs w:val="22"/>
        </w:rPr>
        <w:t>.</w:t>
      </w:r>
    </w:p>
    <w:p w:rsidR="009E5A89" w:rsidRDefault="00C476C8">
      <w:pPr>
        <w:pStyle w:val="BodyText0"/>
        <w:rPr>
          <w:rFonts w:ascii="Times New Roman" w:hAnsi="Times New Roman"/>
          <w:sz w:val="22"/>
          <w:szCs w:val="22"/>
        </w:rPr>
      </w:pPr>
      <w:r>
        <w:rPr>
          <w:rFonts w:ascii="Times New Roman" w:hAnsi="Times New Roman"/>
          <w:sz w:val="22"/>
          <w:szCs w:val="22"/>
        </w:rPr>
        <w:t>If you choose an Omnibus Client Account, we are not required to pass any excess margin on to the CCP. Depending on the terms on which we hold excess margin, you may take credit risk on us in respect of it.</w:t>
      </w:r>
    </w:p>
    <w:p w:rsidR="009E5A89" w:rsidRDefault="00C476C8">
      <w:pPr>
        <w:pStyle w:val="BodyText0"/>
        <w:keepNext/>
        <w:rPr>
          <w:rFonts w:ascii="Times New Roman" w:hAnsi="Times New Roman"/>
          <w:b/>
          <w:sz w:val="22"/>
          <w:szCs w:val="22"/>
        </w:rPr>
      </w:pPr>
      <w:r>
        <w:rPr>
          <w:rFonts w:ascii="Times New Roman" w:hAnsi="Times New Roman"/>
          <w:b/>
          <w:sz w:val="22"/>
          <w:szCs w:val="22"/>
        </w:rPr>
        <w:t>Will you get back the same type of asset as you originally provided to us as margin for a Client Transaction?</w:t>
      </w:r>
    </w:p>
    <w:p w:rsidR="009E5A89" w:rsidRDefault="00C476C8">
      <w:pPr>
        <w:pStyle w:val="BodyText0"/>
        <w:keepNext/>
        <w:rPr>
          <w:rFonts w:ascii="Times New Roman" w:hAnsi="Times New Roman"/>
          <w:sz w:val="22"/>
          <w:szCs w:val="22"/>
        </w:rPr>
      </w:pPr>
      <w:r>
        <w:rPr>
          <w:rFonts w:ascii="Times New Roman" w:hAnsi="Times New Roman"/>
          <w:sz w:val="22"/>
          <w:szCs w:val="22"/>
        </w:rPr>
        <w:t xml:space="preserve">In a business as usual situation, whether we will deliver the same type of asset to you that you originally provided to us will be governed by the client clearing agreement between us. </w:t>
      </w:r>
    </w:p>
    <w:p w:rsidR="009E5A89" w:rsidRDefault="00C476C8">
      <w:pPr>
        <w:pStyle w:val="BodyText0"/>
        <w:rPr>
          <w:rFonts w:ascii="Times New Roman" w:hAnsi="Times New Roman"/>
          <w:sz w:val="22"/>
          <w:szCs w:val="22"/>
        </w:rPr>
      </w:pPr>
      <w:r>
        <w:rPr>
          <w:rFonts w:ascii="Times New Roman" w:hAnsi="Times New Roman"/>
          <w:sz w:val="22"/>
          <w:szCs w:val="22"/>
        </w:rPr>
        <w:t>In the event of our default, if you are due a payment, you may not receive back the same type of asset that you originally provided to us. This is because the CCP is likely to have wide discretion to liquidate and value assets and make payments in various forms, and also because the CCP may not know what form of asset you originally provided to us as margin for the Client Transaction and as a result of any asset transformation services we may provide. This risk is present regardless of what type of client account you select.</w:t>
      </w:r>
    </w:p>
    <w:p w:rsidR="009E5A89" w:rsidRDefault="00C476C8">
      <w:pPr>
        <w:jc w:val="left"/>
        <w:rPr>
          <w:rFonts w:ascii="Times New Roman" w:hAnsi="Times New Roman" w:cs="Times New Roman"/>
          <w:b/>
          <w:sz w:val="22"/>
          <w:szCs w:val="22"/>
          <w:u w:val="single"/>
        </w:rPr>
      </w:pPr>
      <w:r>
        <w:rPr>
          <w:rFonts w:ascii="Times New Roman" w:hAnsi="Times New Roman" w:cs="Times New Roman"/>
          <w:sz w:val="22"/>
          <w:szCs w:val="22"/>
        </w:rPr>
        <w:t>Please see Part One C for a consideration of the main insolvency considerations.</w:t>
      </w:r>
      <w:r>
        <w:rPr>
          <w:rFonts w:ascii="Times New Roman" w:hAnsi="Times New Roman" w:cs="Times New Roman"/>
          <w:b/>
          <w:sz w:val="22"/>
          <w:szCs w:val="22"/>
        </w:rPr>
        <w:br w:type="page"/>
      </w:r>
      <w:r>
        <w:rPr>
          <w:rFonts w:ascii="Times New Roman" w:hAnsi="Times New Roman" w:cs="Times New Roman"/>
          <w:b/>
          <w:sz w:val="22"/>
          <w:szCs w:val="22"/>
          <w:u w:val="single"/>
        </w:rPr>
        <w:t>Part One C: What are the main insolvency considerations?</w:t>
      </w:r>
      <w:r>
        <w:rPr>
          <w:rFonts w:ascii="Times New Roman" w:hAnsi="Times New Roman" w:cs="Times New Roman"/>
          <w:noProof/>
          <w:color w:val="000000" w:themeColor="text1"/>
          <w:sz w:val="22"/>
          <w:szCs w:val="22"/>
          <w:lang w:eastAsia="en-GB"/>
        </w:rPr>
        <w:t xml:space="preserve"> </w:t>
      </w:r>
    </w:p>
    <w:p w:rsidR="009E5A89" w:rsidRDefault="00C476C8">
      <w:pPr>
        <w:pStyle w:val="BodyText0"/>
        <w:rPr>
          <w:rFonts w:ascii="Times New Roman" w:hAnsi="Times New Roman"/>
          <w:b/>
          <w:sz w:val="22"/>
          <w:szCs w:val="22"/>
        </w:rPr>
      </w:pPr>
      <w:r>
        <w:rPr>
          <w:rFonts w:ascii="Times New Roman" w:hAnsi="Times New Roman"/>
          <w:b/>
          <w:sz w:val="22"/>
          <w:szCs w:val="22"/>
        </w:rPr>
        <w:t>General insolvency risks</w:t>
      </w:r>
    </w:p>
    <w:p w:rsidR="009E5A89" w:rsidRDefault="00C476C8">
      <w:pPr>
        <w:pStyle w:val="BodyText0"/>
        <w:rPr>
          <w:rFonts w:ascii="Times New Roman" w:hAnsi="Times New Roman"/>
          <w:sz w:val="22"/>
          <w:szCs w:val="22"/>
        </w:rPr>
      </w:pPr>
      <w:r>
        <w:rPr>
          <w:rFonts w:ascii="Times New Roman" w:hAnsi="Times New Roman"/>
          <w:sz w:val="22"/>
          <w:szCs w:val="22"/>
        </w:rPr>
        <w:t>If we enter into insolvency proceedings, you may not receive all of your assets back or retain the benefit of your positions and there are likely to be time delays and costs (e.g. funding costs and legal fees) connected with recovering those assets. These risks arise in relation to both Individual Client Accounts and Omnibus Client Accounts because:</w:t>
      </w:r>
    </w:p>
    <w:p w:rsidR="009E5A89" w:rsidRDefault="00C476C8">
      <w:pPr>
        <w:pStyle w:val="BodyText0"/>
        <w:numPr>
          <w:ilvl w:val="0"/>
          <w:numId w:val="5"/>
        </w:numPr>
        <w:rPr>
          <w:rFonts w:ascii="Times New Roman" w:hAnsi="Times New Roman"/>
          <w:sz w:val="22"/>
          <w:szCs w:val="22"/>
        </w:rPr>
      </w:pPr>
      <w:r>
        <w:rPr>
          <w:rFonts w:ascii="Times New Roman" w:hAnsi="Times New Roman"/>
          <w:sz w:val="22"/>
          <w:szCs w:val="22"/>
        </w:rPr>
        <w:t>except for CCP-specific porting solutions described earlier and the comments below under “</w:t>
      </w:r>
      <w:r>
        <w:rPr>
          <w:rFonts w:ascii="Times New Roman" w:hAnsi="Times New Roman"/>
          <w:i/>
          <w:sz w:val="22"/>
          <w:szCs w:val="22"/>
        </w:rPr>
        <w:t>Margin rights</w:t>
      </w:r>
      <w:r>
        <w:rPr>
          <w:rFonts w:ascii="Times New Roman" w:hAnsi="Times New Roman"/>
          <w:sz w:val="22"/>
          <w:szCs w:val="22"/>
        </w:rPr>
        <w:t>”, you will not have any rights directly against the CCP; and you will only have contractual claims against us (i.e. rather than being able to recover particular assets as owner);</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our</w:t>
      </w:r>
      <w:proofErr w:type="gramEnd"/>
      <w:r>
        <w:rPr>
          <w:rFonts w:ascii="Times New Roman" w:hAnsi="Times New Roman"/>
          <w:sz w:val="22"/>
          <w:szCs w:val="22"/>
        </w:rPr>
        <w:t xml:space="preserve"> insolvency proceedings are most likely to be a version of a process called administration (although it is possible for us to enter into liquidation and other proceedings). In administration, subject to a few exceptions, you will not be able to take any action against us without court or insolvency official consent (which can be a time consuming process with an uncertain outcome); and</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any</w:t>
      </w:r>
      <w:proofErr w:type="gramEnd"/>
      <w:r>
        <w:rPr>
          <w:rFonts w:ascii="Times New Roman" w:hAnsi="Times New Roman"/>
          <w:sz w:val="22"/>
          <w:szCs w:val="22"/>
        </w:rPr>
        <w:t xml:space="preserve"> stage of a cleared transaction (e.g. Client Transactions, CCP Transactions and porting) may be challenged by our insolvency official if, broadly speaking, it was not on arm’s length terms. If successful, the court has broad powers to unwind or vary all of those stages.</w:t>
      </w:r>
    </w:p>
    <w:p w:rsidR="009E5A89" w:rsidRDefault="00C476C8">
      <w:pPr>
        <w:pStyle w:val="BodyText0"/>
        <w:rPr>
          <w:rFonts w:ascii="Times New Roman" w:hAnsi="Times New Roman"/>
          <w:sz w:val="22"/>
          <w:szCs w:val="22"/>
        </w:rPr>
      </w:pPr>
      <w:r>
        <w:rPr>
          <w:rFonts w:ascii="Times New Roman" w:hAnsi="Times New Roman"/>
          <w:sz w:val="22"/>
          <w:szCs w:val="22"/>
        </w:rPr>
        <w:t>Please also note that:</w:t>
      </w:r>
    </w:p>
    <w:p w:rsidR="009E5A89" w:rsidRDefault="00C476C8">
      <w:pPr>
        <w:pStyle w:val="BodyText0"/>
        <w:numPr>
          <w:ilvl w:val="0"/>
          <w:numId w:val="5"/>
        </w:numPr>
        <w:rPr>
          <w:rFonts w:ascii="Times New Roman" w:hAnsi="Times New Roman"/>
          <w:sz w:val="22"/>
          <w:szCs w:val="22"/>
        </w:rPr>
      </w:pPr>
      <w:r>
        <w:rPr>
          <w:rFonts w:ascii="Times New Roman" w:hAnsi="Times New Roman"/>
          <w:sz w:val="22"/>
          <w:szCs w:val="22"/>
        </w:rPr>
        <w:t>insolvency law may override the terms of contractual agreements, so you should consider the legal framework as well as the terms of disclosures and legal agreements;</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large part of your protection comes from CCP arrangements and the legal regimes surrounding them. Therefore, you should understand these in order to evaluate the level of protection that you have on our default. It is important that you review the relevant disclosures by the CCP in this respect; and</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we</w:t>
      </w:r>
      <w:proofErr w:type="gramEnd"/>
      <w:r>
        <w:rPr>
          <w:rFonts w:ascii="Times New Roman" w:hAnsi="Times New Roman"/>
          <w:sz w:val="22"/>
          <w:szCs w:val="22"/>
        </w:rPr>
        <w:t xml:space="preserve"> are the English branch of [●] which is incorporated in [●].  As a general rule, English courts will not put branches of foreign entities into English insolvency proceedings, a position which is reinforced by EU law.  This means that, despite us acting through an English branch, most of our insolvency-related questions will be determined by [●] law.  This means that, because this disclosure only relates to English law, you should also read our [●] law disclosure.  Additionally:</w:t>
      </w:r>
    </w:p>
    <w:p w:rsidR="009E5A89" w:rsidRDefault="00C476C8">
      <w:pPr>
        <w:pStyle w:val="BodyTextIndent1"/>
        <w:ind w:left="1134" w:hanging="283"/>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proofErr w:type="gramStart"/>
      <w:r>
        <w:rPr>
          <w:rFonts w:ascii="Times New Roman" w:hAnsi="Times New Roman"/>
          <w:sz w:val="22"/>
          <w:szCs w:val="22"/>
        </w:rPr>
        <w:t>in</w:t>
      </w:r>
      <w:proofErr w:type="gramEnd"/>
      <w:r>
        <w:rPr>
          <w:rFonts w:ascii="Times New Roman" w:hAnsi="Times New Roman"/>
          <w:sz w:val="22"/>
          <w:szCs w:val="22"/>
        </w:rPr>
        <w:t xml:space="preserve"> relatively limited cases, English courts will take insolvency jurisdiction even in relation to English branches of foreign companies; and</w:t>
      </w:r>
    </w:p>
    <w:p w:rsidR="009E5A89" w:rsidRDefault="00C476C8">
      <w:pPr>
        <w:pStyle w:val="BodyTextIndent1"/>
        <w:ind w:left="1134" w:hanging="283"/>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 xml:space="preserve">the interaction of key default issues – e.g. porting, recovery of assets, close-out netting and other insolvency matters – are likely to be determined by a combination of [●] law, English law and the law of the location of any collateral.  </w:t>
      </w:r>
    </w:p>
    <w:p w:rsidR="009E5A89" w:rsidRDefault="00C476C8">
      <w:pPr>
        <w:pStyle w:val="BodyText0"/>
        <w:ind w:left="851"/>
        <w:rPr>
          <w:rFonts w:ascii="Times New Roman" w:hAnsi="Times New Roman"/>
          <w:sz w:val="22"/>
          <w:szCs w:val="22"/>
        </w:rPr>
      </w:pPr>
      <w:r>
        <w:rPr>
          <w:rFonts w:ascii="Times New Roman" w:hAnsi="Times New Roman"/>
          <w:sz w:val="22"/>
          <w:szCs w:val="22"/>
        </w:rPr>
        <w:t>We suggest that you take legal advice on the interaction of these legal systems because it is beyond the scope of this disclosure.</w:t>
      </w:r>
      <w:r>
        <w:rPr>
          <w:rStyle w:val="EndnoteReference"/>
          <w:rFonts w:ascii="Times New Roman" w:hAnsi="Times New Roman"/>
          <w:sz w:val="22"/>
          <w:szCs w:val="22"/>
        </w:rPr>
        <w:endnoteReference w:id="19"/>
      </w:r>
    </w:p>
    <w:p w:rsidR="007E68C1" w:rsidRDefault="007E68C1">
      <w:pPr>
        <w:pStyle w:val="BodyText0"/>
        <w:ind w:left="851"/>
        <w:rPr>
          <w:rFonts w:ascii="Times New Roman" w:hAnsi="Times New Roman"/>
          <w:sz w:val="22"/>
          <w:szCs w:val="22"/>
        </w:rPr>
      </w:pPr>
    </w:p>
    <w:p w:rsidR="007E68C1" w:rsidRDefault="007E68C1">
      <w:pPr>
        <w:pStyle w:val="BodyText0"/>
        <w:ind w:left="851"/>
        <w:rPr>
          <w:rFonts w:ascii="Times New Roman" w:hAnsi="Times New Roman"/>
          <w:sz w:val="22"/>
          <w:szCs w:val="22"/>
        </w:rPr>
      </w:pPr>
    </w:p>
    <w:p w:rsidR="009E5A89" w:rsidRDefault="00C476C8">
      <w:pPr>
        <w:pStyle w:val="BodyText0"/>
        <w:rPr>
          <w:rFonts w:ascii="Times New Roman" w:hAnsi="Times New Roman"/>
          <w:b/>
          <w:sz w:val="22"/>
          <w:szCs w:val="22"/>
        </w:rPr>
      </w:pPr>
      <w:r>
        <w:rPr>
          <w:rFonts w:ascii="Times New Roman" w:hAnsi="Times New Roman"/>
          <w:b/>
          <w:sz w:val="22"/>
          <w:szCs w:val="22"/>
        </w:rPr>
        <w:t>Insolvency of CCPs and others</w:t>
      </w:r>
    </w:p>
    <w:p w:rsidR="009E5A89" w:rsidRDefault="00C476C8">
      <w:pPr>
        <w:pStyle w:val="BodyText0"/>
        <w:rPr>
          <w:rFonts w:ascii="Times New Roman" w:hAnsi="Times New Roman"/>
          <w:sz w:val="22"/>
          <w:szCs w:val="22"/>
        </w:rPr>
      </w:pPr>
      <w:proofErr w:type="gramStart"/>
      <w:r>
        <w:rPr>
          <w:rFonts w:ascii="Times New Roman" w:hAnsi="Times New Roman"/>
          <w:sz w:val="22"/>
          <w:szCs w:val="22"/>
        </w:rPr>
        <w:t>Except as set out in this section “</w:t>
      </w:r>
      <w:r>
        <w:rPr>
          <w:rFonts w:ascii="Times New Roman" w:hAnsi="Times New Roman"/>
          <w:i/>
          <w:sz w:val="22"/>
          <w:szCs w:val="22"/>
        </w:rPr>
        <w:t xml:space="preserve">Insolvency of CCPs and </w:t>
      </w:r>
      <w:r>
        <w:rPr>
          <w:rFonts w:ascii="Times New Roman" w:hAnsi="Times New Roman"/>
          <w:sz w:val="22"/>
          <w:szCs w:val="22"/>
        </w:rPr>
        <w:t>others”, this disclosure deals only with our insolvency.</w:t>
      </w:r>
      <w:proofErr w:type="gramEnd"/>
      <w:r>
        <w:rPr>
          <w:rFonts w:ascii="Times New Roman" w:hAnsi="Times New Roman"/>
          <w:sz w:val="22"/>
          <w:szCs w:val="22"/>
        </w:rPr>
        <w:t xml:space="preserve"> You may also not receive all of your assets back or retain the benefit of your positions if other parties in the clearing structure default – e.g. the CCP itself, a custodian or a settlement agent.</w:t>
      </w:r>
    </w:p>
    <w:p w:rsidR="009E5A89" w:rsidRDefault="00C476C8">
      <w:pPr>
        <w:pStyle w:val="BodyText0"/>
        <w:rPr>
          <w:rFonts w:ascii="Times New Roman" w:hAnsi="Times New Roman"/>
          <w:sz w:val="22"/>
          <w:szCs w:val="22"/>
        </w:rPr>
      </w:pPr>
      <w:r>
        <w:rPr>
          <w:rFonts w:ascii="Times New Roman" w:hAnsi="Times New Roman"/>
          <w:sz w:val="22"/>
          <w:szCs w:val="22"/>
        </w:rPr>
        <w:t xml:space="preserve">In relation to CCP insolvency, broadly speaking our (and therefore your) rights will depend on the law of the country in which the CCP is incorporated (i.e. not necessarily English law) and the specific protections that the CCP has put in place. You should review the relevant CCP disclosures carefully in this respect and take legal advice to fully understand the risks in this scenario. </w:t>
      </w:r>
    </w:p>
    <w:p w:rsidR="009E5A89" w:rsidRDefault="00C476C8">
      <w:pPr>
        <w:pStyle w:val="BodyText0"/>
        <w:rPr>
          <w:rFonts w:ascii="Times New Roman" w:hAnsi="Times New Roman"/>
          <w:sz w:val="22"/>
          <w:szCs w:val="22"/>
        </w:rPr>
      </w:pPr>
      <w:r>
        <w:rPr>
          <w:rFonts w:ascii="Times New Roman" w:hAnsi="Times New Roman"/>
          <w:sz w:val="22"/>
          <w:szCs w:val="22"/>
        </w:rPr>
        <w:t>In addition, please note the following:</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we</w:t>
      </w:r>
      <w:proofErr w:type="gramEnd"/>
      <w:r>
        <w:rPr>
          <w:rFonts w:ascii="Times New Roman" w:hAnsi="Times New Roman"/>
          <w:sz w:val="22"/>
          <w:szCs w:val="22"/>
        </w:rPr>
        <w:t xml:space="preserve"> expect that an insolvency official will be appointed to manage the CCP.  Our rights against the CCP will depend on the relevant insolvency law and/or that official;</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it</w:t>
      </w:r>
      <w:proofErr w:type="gramEnd"/>
      <w:r>
        <w:rPr>
          <w:rFonts w:ascii="Times New Roman" w:hAnsi="Times New Roman"/>
          <w:sz w:val="22"/>
          <w:szCs w:val="22"/>
        </w:rPr>
        <w:t xml:space="preserve"> will be difficult or impossible to port CCP Transactions and related margin, so it would be reasonable to expect that they will be terminated at CCP level.  The steps, timing, level of control and risks relating to that process will depend on the CCP, its rules and the relevant insolvency law.  However, it is likely that there will be material delay and uncertainty around when and how much assets or cash we will receive back from the CCP.  Subject to the bullet points below, it is likely that we will only receive back only a percentage of assets available depending on the overall assets and liabilities of the CCP;</w:t>
      </w:r>
    </w:p>
    <w:p w:rsidR="009E5A89" w:rsidRDefault="00C476C8">
      <w:pPr>
        <w:pStyle w:val="BodyText0"/>
        <w:numPr>
          <w:ilvl w:val="0"/>
          <w:numId w:val="5"/>
        </w:numPr>
        <w:rPr>
          <w:rFonts w:ascii="Times New Roman" w:hAnsi="Times New Roman"/>
          <w:sz w:val="22"/>
          <w:szCs w:val="22"/>
        </w:rPr>
      </w:pPr>
      <w:r>
        <w:rPr>
          <w:rFonts w:ascii="Times New Roman" w:hAnsi="Times New Roman"/>
          <w:sz w:val="22"/>
          <w:szCs w:val="22"/>
        </w:rPr>
        <w:t>it is unlikely that you will have a direct claim against the CCP because of the principal-to-principal model described in Part One A;</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under</w:t>
      </w:r>
      <w:proofErr w:type="gramEnd"/>
      <w:r>
        <w:rPr>
          <w:rFonts w:ascii="Times New Roman" w:hAnsi="Times New Roman"/>
          <w:sz w:val="22"/>
          <w:szCs w:val="22"/>
        </w:rPr>
        <w:t xml:space="preserve"> the client clearing agreement, Client Transactions will terminate at the same time as the matching CCP Transactions unless the relevant CCP rules provide otherwise.  This will result in a net sum owing between you and us.  However, your claims against us are limited recourse so that you will only receive amounts from us in relation to Client Transactions if we receive equivalent amounts from the CCP in relation to relevant CCP Transactions;</w:t>
      </w:r>
      <w:r>
        <w:rPr>
          <w:rStyle w:val="EndnoteReference"/>
          <w:rFonts w:ascii="Times New Roman" w:hAnsi="Times New Roman"/>
          <w:sz w:val="22"/>
          <w:szCs w:val="22"/>
        </w:rPr>
        <w:endnoteReference w:id="20"/>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if</w:t>
      </w:r>
      <w:proofErr w:type="gramEnd"/>
      <w:r>
        <w:rPr>
          <w:rFonts w:ascii="Times New Roman" w:hAnsi="Times New Roman"/>
          <w:sz w:val="22"/>
          <w:szCs w:val="22"/>
        </w:rPr>
        <w:t xml:space="preserve"> recovery of margin in this scenario is important, then you should explore “bankruptcy remote” or “physical segregation” structures offered by some CCPs. These tend to be offered only in relation to Individual Client Accounts and generally involve either:</w:t>
      </w:r>
    </w:p>
    <w:p w:rsidR="009E5A89" w:rsidRDefault="00C476C8">
      <w:pPr>
        <w:pStyle w:val="BodyTextIndent1"/>
        <w:ind w:left="1134" w:hanging="283"/>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you or us retaining assets in your/our name and only giving a security interest over that margin to the CCP (i.e. it allows the CCP to apply margin  if we default but should keep the assets out of the CCP's insolvency if it defaults); or</w:t>
      </w:r>
    </w:p>
    <w:p w:rsidR="009E5A89" w:rsidRDefault="00C476C8">
      <w:pPr>
        <w:pStyle w:val="BodyTextIndent1"/>
        <w:ind w:left="1134" w:hanging="283"/>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the CCP holding the assets in a blocked or controlled margin account and giving a security interest (or similar legal right) over the margin back to us, to you and/or to a trustee on our behalf.</w:t>
      </w:r>
    </w:p>
    <w:p w:rsidR="009E5A89" w:rsidRDefault="00C476C8">
      <w:pPr>
        <w:pStyle w:val="BodyTextIndent1"/>
        <w:ind w:left="851"/>
        <w:rPr>
          <w:rFonts w:ascii="Times New Roman" w:hAnsi="Times New Roman"/>
          <w:sz w:val="22"/>
          <w:szCs w:val="22"/>
        </w:rPr>
      </w:pPr>
      <w:r>
        <w:rPr>
          <w:rFonts w:ascii="Times New Roman" w:hAnsi="Times New Roman"/>
          <w:sz w:val="22"/>
          <w:szCs w:val="22"/>
        </w:rPr>
        <w:t xml:space="preserve">It is beyond the scope of this disclosure to analyse such options but your due diligence on them should include analysis of matters such as whether other creditors of the type described in </w:t>
      </w:r>
      <w:r>
        <w:rPr>
          <w:rFonts w:ascii="Times New Roman" w:hAnsi="Times New Roman"/>
          <w:i/>
          <w:sz w:val="22"/>
          <w:szCs w:val="22"/>
        </w:rPr>
        <w:t>“Porting – preferential creditors”</w:t>
      </w:r>
      <w:r>
        <w:rPr>
          <w:rFonts w:ascii="Times New Roman" w:hAnsi="Times New Roman"/>
          <w:sz w:val="22"/>
          <w:szCs w:val="22"/>
        </w:rPr>
        <w:t xml:space="preserve"> below will have priority claims to margin; whether margin or positions on one account could be applied against margin or positions on another account (notwithstanding the contractual agreement in the CCP’s rules); the likely time needed to recover margin; whether the margin will be recovered as assets or cash equivalent; and any likely challenges to the legal effectiveness of the structure (especially as a result of the CCP’s insolvency).</w:t>
      </w:r>
    </w:p>
    <w:p w:rsidR="007E68C1" w:rsidRDefault="007E68C1">
      <w:pPr>
        <w:pStyle w:val="BodyTextIndent1"/>
        <w:ind w:left="851"/>
        <w:rPr>
          <w:rFonts w:ascii="Times New Roman" w:hAnsi="Times New Roman"/>
          <w:sz w:val="22"/>
          <w:szCs w:val="22"/>
        </w:rPr>
      </w:pPr>
    </w:p>
    <w:p w:rsidR="009E5A89" w:rsidRDefault="00C476C8">
      <w:pPr>
        <w:pStyle w:val="BodyText0"/>
        <w:rPr>
          <w:rFonts w:ascii="Times New Roman" w:hAnsi="Times New Roman"/>
          <w:b/>
          <w:sz w:val="22"/>
          <w:szCs w:val="22"/>
        </w:rPr>
      </w:pPr>
      <w:r>
        <w:rPr>
          <w:rFonts w:ascii="Times New Roman" w:hAnsi="Times New Roman"/>
          <w:b/>
          <w:sz w:val="22"/>
          <w:szCs w:val="22"/>
        </w:rPr>
        <w:t>Margin rights</w:t>
      </w:r>
    </w:p>
    <w:p w:rsidR="009E5A89" w:rsidRDefault="00C476C8">
      <w:pPr>
        <w:pStyle w:val="BodyText0"/>
        <w:rPr>
          <w:rFonts w:ascii="Times New Roman" w:hAnsi="Times New Roman"/>
          <w:sz w:val="22"/>
          <w:szCs w:val="22"/>
        </w:rPr>
      </w:pPr>
      <w:r>
        <w:rPr>
          <w:rFonts w:ascii="Times New Roman" w:hAnsi="Times New Roman"/>
          <w:sz w:val="22"/>
          <w:szCs w:val="22"/>
        </w:rPr>
        <w:t>If you provide assets to us by way of security interest and we have not exercised a right of use over those assets, then you should have a legal right to recover the balance of those assets (after settling your obligations to us) ahead of other creditors. However, please note that, depending on the exact set up of our security arrangements, it may be that some preferential creditors will still have a prior claim to your assets (please see “</w:t>
      </w:r>
      <w:r>
        <w:rPr>
          <w:rFonts w:ascii="Times New Roman" w:hAnsi="Times New Roman"/>
          <w:i/>
          <w:sz w:val="22"/>
          <w:szCs w:val="22"/>
        </w:rPr>
        <w:t>Porting – preferential creditors</w:t>
      </w:r>
      <w:r>
        <w:rPr>
          <w:rFonts w:ascii="Times New Roman" w:hAnsi="Times New Roman"/>
          <w:sz w:val="22"/>
          <w:szCs w:val="22"/>
        </w:rPr>
        <w:t>” below which deals with a similar point).</w:t>
      </w:r>
    </w:p>
    <w:p w:rsidR="009E5A89" w:rsidRDefault="00C476C8">
      <w:pPr>
        <w:pStyle w:val="BodyText0"/>
        <w:rPr>
          <w:rFonts w:ascii="Times New Roman" w:hAnsi="Times New Roman"/>
          <w:sz w:val="22"/>
          <w:szCs w:val="22"/>
        </w:rPr>
      </w:pPr>
      <w:r>
        <w:rPr>
          <w:rFonts w:ascii="Times New Roman" w:hAnsi="Times New Roman"/>
          <w:sz w:val="22"/>
          <w:szCs w:val="22"/>
        </w:rPr>
        <w:t>If you have retained the assets (e.g. in a custody account over which you have given us a security interest) then you will have the best chance of recovering them. If you have transferred the assets to our name by way of security (e.g. by giving us a mortgage over the assets) then you bear more risk if there is a shortfall in any of the assets that we are holding. Generally speaking, your risk of loss will be highest in relation to non-client money cash margin; lower in relation to securities held by us in an omnibus account; and lower still if securities are segregated in our books and records and at custody level identifying you as the client.</w:t>
      </w:r>
    </w:p>
    <w:p w:rsidR="009E5A89" w:rsidRDefault="00C476C8">
      <w:pPr>
        <w:pStyle w:val="BodyText0"/>
        <w:rPr>
          <w:rFonts w:ascii="Times New Roman" w:hAnsi="Times New Roman"/>
          <w:sz w:val="22"/>
          <w:szCs w:val="22"/>
        </w:rPr>
      </w:pPr>
      <w:r>
        <w:rPr>
          <w:rFonts w:ascii="Times New Roman" w:hAnsi="Times New Roman"/>
          <w:sz w:val="22"/>
          <w:szCs w:val="22"/>
        </w:rPr>
        <w:t>The actual result will be highly fact specific and will depend on, amongst other things, the exact terms of our legal arrangements; how we have operated accounts; and claims that other intermediaries (e.g. custodians and settlement systems) have to those assets.</w:t>
      </w:r>
    </w:p>
    <w:p w:rsidR="009E5A89" w:rsidRDefault="00C476C8">
      <w:pPr>
        <w:pStyle w:val="BodyText0"/>
        <w:rPr>
          <w:rFonts w:ascii="Times New Roman" w:hAnsi="Times New Roman"/>
          <w:sz w:val="22"/>
          <w:szCs w:val="22"/>
        </w:rPr>
      </w:pPr>
      <w:r>
        <w:rPr>
          <w:rFonts w:ascii="Times New Roman" w:hAnsi="Times New Roman"/>
          <w:sz w:val="22"/>
          <w:szCs w:val="22"/>
        </w:rPr>
        <w:t>As an exception to this general position, we would also expect client money protection (please see Part One B) to be effective in our insolvency.</w:t>
      </w:r>
    </w:p>
    <w:p w:rsidR="009E5A89" w:rsidRDefault="00C476C8">
      <w:pPr>
        <w:pStyle w:val="BodyText0"/>
        <w:rPr>
          <w:rFonts w:ascii="Times New Roman" w:hAnsi="Times New Roman"/>
          <w:sz w:val="22"/>
          <w:szCs w:val="22"/>
        </w:rPr>
      </w:pPr>
      <w:r>
        <w:rPr>
          <w:rFonts w:ascii="Times New Roman" w:hAnsi="Times New Roman"/>
          <w:sz w:val="22"/>
          <w:szCs w:val="22"/>
        </w:rPr>
        <w:t>We do not expect the above position to change materially if you have an Individual Client Account or an Omnibus Client Account.</w:t>
      </w:r>
    </w:p>
    <w:p w:rsidR="009E5A89" w:rsidRDefault="00C476C8">
      <w:pPr>
        <w:pStyle w:val="BodyText0"/>
        <w:rPr>
          <w:rFonts w:ascii="Times New Roman" w:hAnsi="Times New Roman"/>
          <w:b/>
          <w:sz w:val="22"/>
          <w:szCs w:val="22"/>
        </w:rPr>
      </w:pPr>
      <w:r>
        <w:rPr>
          <w:rFonts w:ascii="Times New Roman" w:hAnsi="Times New Roman"/>
          <w:b/>
          <w:sz w:val="22"/>
          <w:szCs w:val="22"/>
        </w:rPr>
        <w:t>Companies Act 1989, Part VII</w:t>
      </w:r>
    </w:p>
    <w:p w:rsidR="009E5A89" w:rsidRDefault="00C476C8">
      <w:pPr>
        <w:pStyle w:val="BodyText0"/>
        <w:rPr>
          <w:rFonts w:ascii="Times New Roman" w:hAnsi="Times New Roman"/>
          <w:sz w:val="22"/>
          <w:szCs w:val="22"/>
        </w:rPr>
      </w:pPr>
      <w:r>
        <w:rPr>
          <w:rFonts w:ascii="Times New Roman" w:hAnsi="Times New Roman"/>
          <w:sz w:val="22"/>
          <w:szCs w:val="22"/>
        </w:rPr>
        <w:t>Part VII applies because we are an English company (generally speaking, it does not apply to non-English companies) and gives specific protection against some of the legal risks that arise on our insolvency. Generally speaking, if we are declared in default by a CCP that has the benefit of Part VII protection, then our insolvency official cannot challenge actions taken by the CCP against us under its default rules:</w:t>
      </w:r>
    </w:p>
    <w:p w:rsidR="009E5A89" w:rsidRDefault="00C476C8">
      <w:pPr>
        <w:pStyle w:val="BodyText0"/>
        <w:numPr>
          <w:ilvl w:val="0"/>
          <w:numId w:val="5"/>
        </w:numPr>
        <w:rPr>
          <w:rFonts w:ascii="Times New Roman" w:hAnsi="Times New Roman"/>
          <w:sz w:val="22"/>
          <w:szCs w:val="22"/>
        </w:rPr>
      </w:pPr>
      <w:r>
        <w:rPr>
          <w:rFonts w:ascii="Times New Roman" w:hAnsi="Times New Roman"/>
          <w:sz w:val="22"/>
          <w:szCs w:val="22"/>
        </w:rPr>
        <w:t>to settle our CCP Transactions or to transfer those CCP Transactions and related assets to a back-up clearing broker; or</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to</w:t>
      </w:r>
      <w:proofErr w:type="gramEnd"/>
      <w:r>
        <w:rPr>
          <w:rFonts w:ascii="Times New Roman" w:hAnsi="Times New Roman"/>
          <w:sz w:val="22"/>
          <w:szCs w:val="22"/>
        </w:rPr>
        <w:t xml:space="preserve"> transfer our Client Transactions with you and related assets to the same back-up clearing broker.</w:t>
      </w:r>
    </w:p>
    <w:p w:rsidR="009E5A89" w:rsidRDefault="00C476C8">
      <w:pPr>
        <w:pStyle w:val="BodyText0"/>
        <w:rPr>
          <w:rFonts w:ascii="Times New Roman" w:hAnsi="Times New Roman"/>
          <w:sz w:val="22"/>
          <w:szCs w:val="22"/>
        </w:rPr>
      </w:pPr>
      <w:r>
        <w:rPr>
          <w:rFonts w:ascii="Times New Roman" w:hAnsi="Times New Roman"/>
          <w:sz w:val="22"/>
          <w:szCs w:val="22"/>
        </w:rPr>
        <w:t>This Part VII protection generally applies to actions taken by English CCPs that have been (re)authorised by the Bank of England. It can also protect actions taken by non-English CCPs that have been authorised or recognised by other competent authorities or ESMA (as applicable) provided that the non-English CCP’s default provisions either meet certain requirements set out in the UK Recognition Requirements</w:t>
      </w:r>
      <w:r>
        <w:rPr>
          <w:rStyle w:val="FootnoteReference"/>
          <w:rFonts w:ascii="Times New Roman" w:hAnsi="Times New Roman"/>
          <w:sz w:val="22"/>
          <w:szCs w:val="22"/>
        </w:rPr>
        <w:footnoteReference w:id="1"/>
      </w:r>
      <w:r>
        <w:rPr>
          <w:rFonts w:ascii="Times New Roman" w:hAnsi="Times New Roman"/>
          <w:sz w:val="22"/>
          <w:szCs w:val="22"/>
        </w:rPr>
        <w:t xml:space="preserve"> or the non-English CCP has applied for and the Bank has granted an order stating that Part VII will apply to transfers of assets and positions under that non-English CCP’s default provisions.</w:t>
      </w:r>
    </w:p>
    <w:p w:rsidR="009E5A89" w:rsidRDefault="00C476C8">
      <w:pPr>
        <w:pStyle w:val="BodyText0"/>
        <w:rPr>
          <w:rFonts w:ascii="Times New Roman" w:hAnsi="Times New Roman"/>
          <w:sz w:val="22"/>
          <w:szCs w:val="22"/>
        </w:rPr>
      </w:pPr>
      <w:r>
        <w:rPr>
          <w:rFonts w:ascii="Times New Roman" w:hAnsi="Times New Roman"/>
          <w:sz w:val="22"/>
          <w:szCs w:val="22"/>
        </w:rPr>
        <w:t xml:space="preserve">In either case, Part VII focuses on protecting counterparties from our default. It is not clear that it would provide any wider protection – </w:t>
      </w:r>
      <w:proofErr w:type="spellStart"/>
      <w:r>
        <w:rPr>
          <w:rFonts w:ascii="Times New Roman" w:hAnsi="Times New Roman"/>
          <w:sz w:val="22"/>
          <w:szCs w:val="22"/>
        </w:rPr>
        <w:t>eg</w:t>
      </w:r>
      <w:proofErr w:type="spellEnd"/>
      <w:r>
        <w:rPr>
          <w:rFonts w:ascii="Times New Roman" w:hAnsi="Times New Roman"/>
          <w:sz w:val="22"/>
          <w:szCs w:val="22"/>
        </w:rPr>
        <w:t xml:space="preserve">. </w:t>
      </w:r>
      <w:proofErr w:type="gramStart"/>
      <w:r>
        <w:rPr>
          <w:rFonts w:ascii="Times New Roman" w:hAnsi="Times New Roman"/>
          <w:sz w:val="22"/>
          <w:szCs w:val="22"/>
        </w:rPr>
        <w:t>if</w:t>
      </w:r>
      <w:proofErr w:type="gramEnd"/>
      <w:r>
        <w:rPr>
          <w:rFonts w:ascii="Times New Roman" w:hAnsi="Times New Roman"/>
          <w:sz w:val="22"/>
          <w:szCs w:val="22"/>
        </w:rPr>
        <w:t xml:space="preserve"> the CCP itself became insolvent.</w:t>
      </w:r>
    </w:p>
    <w:p w:rsidR="009E5A89" w:rsidRDefault="00C476C8">
      <w:pPr>
        <w:pStyle w:val="BodyText0"/>
        <w:rPr>
          <w:rFonts w:ascii="Times New Roman" w:hAnsi="Times New Roman"/>
          <w:sz w:val="22"/>
          <w:szCs w:val="22"/>
        </w:rPr>
      </w:pPr>
      <w:r>
        <w:rPr>
          <w:rFonts w:ascii="Times New Roman" w:hAnsi="Times New Roman"/>
          <w:sz w:val="22"/>
          <w:szCs w:val="22"/>
        </w:rPr>
        <w:t xml:space="preserve">Please note that Part VII is a complex and unclear piece of legislation and this summary is not a substitute for detailed legal analysis – particularly of Part VII in the context of the relevant CCP’s regulatory authorisations and default rules - with your professional advisors. </w:t>
      </w:r>
    </w:p>
    <w:p w:rsidR="009E5A89" w:rsidRDefault="00C476C8">
      <w:pPr>
        <w:pStyle w:val="BodyText0"/>
        <w:rPr>
          <w:rFonts w:ascii="Times New Roman" w:hAnsi="Times New Roman"/>
          <w:sz w:val="22"/>
          <w:szCs w:val="22"/>
        </w:rPr>
      </w:pPr>
      <w:r>
        <w:rPr>
          <w:rFonts w:ascii="Times New Roman" w:hAnsi="Times New Roman"/>
          <w:sz w:val="22"/>
          <w:szCs w:val="22"/>
        </w:rPr>
        <w:t>Please see below an outline of some specific insolvency risks and related Part VII commentary.</w:t>
      </w:r>
    </w:p>
    <w:p w:rsidR="009E5A89" w:rsidRDefault="00C476C8">
      <w:pPr>
        <w:pStyle w:val="BodyText0"/>
        <w:rPr>
          <w:rFonts w:ascii="Times New Roman" w:hAnsi="Times New Roman"/>
          <w:sz w:val="22"/>
          <w:szCs w:val="22"/>
        </w:rPr>
      </w:pPr>
      <w:r>
        <w:rPr>
          <w:rFonts w:ascii="Times New Roman" w:hAnsi="Times New Roman"/>
          <w:sz w:val="22"/>
          <w:szCs w:val="22"/>
        </w:rPr>
        <w:t xml:space="preserve">The protection is from insolvency law so will not necessarily help, for example, with the issue described under </w:t>
      </w:r>
      <w:r>
        <w:rPr>
          <w:rFonts w:ascii="Times New Roman" w:hAnsi="Times New Roman"/>
          <w:i/>
          <w:sz w:val="22"/>
          <w:szCs w:val="22"/>
        </w:rPr>
        <w:t>“Porting – preferential creditors”</w:t>
      </w:r>
      <w:r>
        <w:rPr>
          <w:rFonts w:ascii="Times New Roman" w:hAnsi="Times New Roman"/>
          <w:sz w:val="22"/>
          <w:szCs w:val="22"/>
        </w:rPr>
        <w:t xml:space="preserve"> below because that relates, at least in part, to security law.</w:t>
      </w:r>
    </w:p>
    <w:p w:rsidR="009E5A89" w:rsidRDefault="00C476C8">
      <w:pPr>
        <w:pStyle w:val="BodyText0"/>
        <w:keepNext/>
        <w:rPr>
          <w:rFonts w:ascii="Times New Roman" w:hAnsi="Times New Roman"/>
          <w:b/>
          <w:sz w:val="22"/>
          <w:szCs w:val="22"/>
        </w:rPr>
      </w:pPr>
      <w:r>
        <w:rPr>
          <w:rFonts w:ascii="Times New Roman" w:hAnsi="Times New Roman"/>
          <w:b/>
          <w:sz w:val="22"/>
          <w:szCs w:val="22"/>
        </w:rPr>
        <w:t>Close-out netting</w:t>
      </w:r>
    </w:p>
    <w:p w:rsidR="009E5A89" w:rsidRDefault="00C476C8">
      <w:pPr>
        <w:pStyle w:val="BodyText0"/>
        <w:rPr>
          <w:rFonts w:ascii="Times New Roman" w:hAnsi="Times New Roman"/>
          <w:sz w:val="22"/>
          <w:szCs w:val="22"/>
        </w:rPr>
      </w:pPr>
      <w:r>
        <w:rPr>
          <w:rFonts w:ascii="Times New Roman" w:hAnsi="Times New Roman"/>
          <w:sz w:val="22"/>
          <w:szCs w:val="22"/>
        </w:rPr>
        <w:t>If we default and the CCP cannot port the CCP Transactions and collateral (e.g. because a back-up clearing broker cannot be found) then we would expect it to terminate and net our CCP Transactions and apply related assets.</w:t>
      </w:r>
    </w:p>
    <w:p w:rsidR="009E5A89" w:rsidRDefault="00C476C8">
      <w:pPr>
        <w:pStyle w:val="BodyText0"/>
        <w:rPr>
          <w:rFonts w:ascii="Times New Roman" w:hAnsi="Times New Roman"/>
          <w:sz w:val="22"/>
          <w:szCs w:val="22"/>
        </w:rPr>
      </w:pPr>
      <w:r>
        <w:rPr>
          <w:rFonts w:ascii="Times New Roman" w:hAnsi="Times New Roman"/>
          <w:sz w:val="22"/>
          <w:szCs w:val="22"/>
        </w:rPr>
        <w:t xml:space="preserve">You and we would want this </w:t>
      </w:r>
      <w:r w:rsidR="00961430">
        <w:rPr>
          <w:rFonts w:ascii="Times New Roman" w:hAnsi="Times New Roman"/>
          <w:sz w:val="22"/>
          <w:szCs w:val="22"/>
        </w:rPr>
        <w:t>to work differently from normal</w:t>
      </w:r>
      <w:r>
        <w:rPr>
          <w:rFonts w:ascii="Times New Roman" w:hAnsi="Times New Roman"/>
          <w:sz w:val="22"/>
          <w:szCs w:val="22"/>
        </w:rPr>
        <w:t xml:space="preserve"> bilateral close-out netting that would apply to all positions and assets between us and the CCP – e.g. assets on an Individual Client Account relating to you could be netted with our house or another client account at the CCP.</w:t>
      </w:r>
    </w:p>
    <w:p w:rsidR="009E5A89" w:rsidRDefault="00C476C8">
      <w:pPr>
        <w:pStyle w:val="BodyText0"/>
        <w:rPr>
          <w:rFonts w:ascii="Times New Roman" w:hAnsi="Times New Roman"/>
          <w:sz w:val="22"/>
          <w:szCs w:val="22"/>
        </w:rPr>
      </w:pPr>
      <w:r>
        <w:rPr>
          <w:rFonts w:ascii="Times New Roman" w:hAnsi="Times New Roman"/>
          <w:sz w:val="22"/>
          <w:szCs w:val="22"/>
        </w:rPr>
        <w:t>There is a risk that this netting across accounts could happen automatically as a result of ordinary English insolvency law. However, to the extent that the CCP has Part VII protection, this should not occur.</w:t>
      </w:r>
    </w:p>
    <w:p w:rsidR="009E5A89" w:rsidRDefault="00C476C8">
      <w:pPr>
        <w:pStyle w:val="BodyText0"/>
        <w:rPr>
          <w:rFonts w:ascii="Times New Roman" w:hAnsi="Times New Roman"/>
          <w:sz w:val="22"/>
          <w:szCs w:val="22"/>
        </w:rPr>
      </w:pPr>
      <w:r>
        <w:rPr>
          <w:rFonts w:ascii="Times New Roman" w:hAnsi="Times New Roman"/>
          <w:sz w:val="22"/>
          <w:szCs w:val="22"/>
        </w:rPr>
        <w:t xml:space="preserve">A similar risk occurs between us and you in relation to Client Transactions. </w:t>
      </w:r>
    </w:p>
    <w:p w:rsidR="009E5A89" w:rsidRDefault="00C476C8">
      <w:pPr>
        <w:pStyle w:val="BodyText0"/>
        <w:rPr>
          <w:rFonts w:ascii="Times New Roman" w:hAnsi="Times New Roman"/>
          <w:sz w:val="22"/>
          <w:szCs w:val="22"/>
        </w:rPr>
      </w:pPr>
      <w:r>
        <w:rPr>
          <w:rFonts w:ascii="Times New Roman" w:hAnsi="Times New Roman"/>
          <w:sz w:val="22"/>
          <w:szCs w:val="22"/>
        </w:rPr>
        <w:t>It is most likely to materialise in a pre-porting period during which English law may automatically set off Client Transactions and collateral relating to one CCP with Client Transactions and collateral relating to another. This risk arises regardless of what you and we may provide for in our clearing documentation. Whilst the resulting termination amount should represent our net exposure to each other, it will make porting difficult or impossible.</w:t>
      </w:r>
    </w:p>
    <w:p w:rsidR="009E5A89" w:rsidRDefault="00C476C8">
      <w:pPr>
        <w:pStyle w:val="BodyText0"/>
        <w:rPr>
          <w:rFonts w:ascii="Times New Roman" w:hAnsi="Times New Roman"/>
          <w:sz w:val="22"/>
          <w:szCs w:val="22"/>
        </w:rPr>
      </w:pPr>
      <w:r>
        <w:rPr>
          <w:rFonts w:ascii="Times New Roman" w:hAnsi="Times New Roman"/>
          <w:sz w:val="22"/>
          <w:szCs w:val="22"/>
        </w:rPr>
        <w:t>It is unclear whether Part VII provides you protection in this case. However, there are certain industry-wide legal opinions that are being prepared on the effectiveness of close-out provisions in standard client clearing agreements. You should seek legal advice and/or access to such opinions for more information in this respect.</w:t>
      </w:r>
    </w:p>
    <w:p w:rsidR="009E5A89" w:rsidRDefault="00C476C8">
      <w:pPr>
        <w:pStyle w:val="BodyText0"/>
        <w:rPr>
          <w:rFonts w:ascii="Times New Roman" w:hAnsi="Times New Roman"/>
          <w:sz w:val="22"/>
          <w:szCs w:val="22"/>
        </w:rPr>
      </w:pPr>
      <w:r>
        <w:rPr>
          <w:rFonts w:ascii="Times New Roman" w:hAnsi="Times New Roman"/>
          <w:sz w:val="22"/>
          <w:szCs w:val="22"/>
        </w:rPr>
        <w:t>Please also note more generally that your freedom to close out Client Transactions is more limited under the client clearing agreement than in other arrangements that you may be used to. In particular, the main termination event under our client clearing agreement is that the relevant CCP has declared us to be in default under the CCP’s rules. The intention is to match the treatment of CCP Transactions and Client Transactions as much as possible. However, this may mean that – unless the CCP declares a default under its rules - you cannot terminate Client Transactions for common reasons such as a payment or insolvency default on our part.</w:t>
      </w:r>
      <w:r>
        <w:rPr>
          <w:rStyle w:val="EndnoteReference"/>
          <w:rFonts w:ascii="Times New Roman" w:hAnsi="Times New Roman"/>
          <w:sz w:val="22"/>
          <w:szCs w:val="22"/>
        </w:rPr>
        <w:endnoteReference w:id="21"/>
      </w:r>
    </w:p>
    <w:p w:rsidR="009E5A89" w:rsidRDefault="00C476C8">
      <w:pPr>
        <w:pStyle w:val="BodyText0"/>
        <w:rPr>
          <w:rFonts w:ascii="Times New Roman" w:hAnsi="Times New Roman"/>
          <w:b/>
          <w:sz w:val="22"/>
          <w:szCs w:val="22"/>
        </w:rPr>
      </w:pPr>
      <w:r>
        <w:rPr>
          <w:rFonts w:ascii="Times New Roman" w:hAnsi="Times New Roman"/>
          <w:b/>
          <w:sz w:val="22"/>
          <w:szCs w:val="22"/>
        </w:rPr>
        <w:t>Porting - prohibition</w:t>
      </w:r>
    </w:p>
    <w:p w:rsidR="009E5A89" w:rsidRDefault="00C476C8">
      <w:pPr>
        <w:pStyle w:val="BodyText0"/>
        <w:rPr>
          <w:rFonts w:ascii="Times New Roman" w:hAnsi="Times New Roman"/>
          <w:sz w:val="22"/>
          <w:szCs w:val="22"/>
        </w:rPr>
      </w:pPr>
      <w:r>
        <w:rPr>
          <w:rFonts w:ascii="Times New Roman" w:hAnsi="Times New Roman"/>
          <w:sz w:val="22"/>
          <w:szCs w:val="22"/>
        </w:rPr>
        <w:t>As mentioned above, except in specific (e.g. physically segregated) structures, a CCP only owes us (not you) obligations in relation to CCP Transactions and related assets.</w:t>
      </w:r>
    </w:p>
    <w:p w:rsidR="009E5A89" w:rsidRDefault="00C476C8">
      <w:pPr>
        <w:pStyle w:val="BodyText0"/>
        <w:rPr>
          <w:rFonts w:ascii="Times New Roman" w:hAnsi="Times New Roman"/>
          <w:sz w:val="22"/>
          <w:szCs w:val="22"/>
        </w:rPr>
      </w:pPr>
      <w:r>
        <w:rPr>
          <w:rFonts w:ascii="Times New Roman" w:hAnsi="Times New Roman"/>
          <w:sz w:val="22"/>
          <w:szCs w:val="22"/>
        </w:rPr>
        <w:t>As a result, when these contracts and assets are transferred to a back-up clearing broker, there is a risk of insolvency challenge because our rights have effectively been taken from us on or around the time of our insolvency. Applicable laws may not permit this and there is a risk that the courts may therefore not permit, or may unwind, any porting and related Client Transactions with your back-up clearing broker.</w:t>
      </w:r>
    </w:p>
    <w:p w:rsidR="009E5A89" w:rsidRDefault="00C476C8">
      <w:pPr>
        <w:pStyle w:val="BodyText0"/>
        <w:rPr>
          <w:rFonts w:ascii="Times New Roman" w:hAnsi="Times New Roman"/>
          <w:sz w:val="22"/>
          <w:szCs w:val="22"/>
        </w:rPr>
      </w:pPr>
      <w:r>
        <w:rPr>
          <w:rFonts w:ascii="Times New Roman" w:hAnsi="Times New Roman"/>
          <w:sz w:val="22"/>
          <w:szCs w:val="22"/>
        </w:rPr>
        <w:t>That said</w:t>
      </w:r>
      <w:proofErr w:type="gramStart"/>
      <w:r>
        <w:rPr>
          <w:rFonts w:ascii="Times New Roman" w:hAnsi="Times New Roman"/>
          <w:sz w:val="22"/>
          <w:szCs w:val="22"/>
        </w:rPr>
        <w:t>,</w:t>
      </w:r>
      <w:proofErr w:type="gramEnd"/>
      <w:r>
        <w:rPr>
          <w:rFonts w:ascii="Times New Roman" w:hAnsi="Times New Roman"/>
          <w:sz w:val="22"/>
          <w:szCs w:val="22"/>
        </w:rPr>
        <w:t xml:space="preserve"> we expect the risk of challenge to be low in relation to CCP Transactions and matching transfer of Client Transactions that are ported in accordance with the default rules of a CCP that has Part VII protection.</w:t>
      </w:r>
    </w:p>
    <w:p w:rsidR="009E5A89" w:rsidRDefault="00C476C8">
      <w:pPr>
        <w:pStyle w:val="BodyText0"/>
        <w:keepNext/>
        <w:rPr>
          <w:rFonts w:ascii="Times New Roman" w:hAnsi="Times New Roman"/>
          <w:b/>
          <w:sz w:val="22"/>
          <w:szCs w:val="22"/>
        </w:rPr>
      </w:pPr>
      <w:r>
        <w:rPr>
          <w:rFonts w:ascii="Times New Roman" w:hAnsi="Times New Roman"/>
          <w:b/>
          <w:sz w:val="22"/>
          <w:szCs w:val="22"/>
        </w:rPr>
        <w:t>Porting - preferential creditors</w:t>
      </w:r>
    </w:p>
    <w:p w:rsidR="009E5A89" w:rsidRDefault="00C476C8">
      <w:pPr>
        <w:pStyle w:val="BodyText0"/>
        <w:keepNext/>
        <w:rPr>
          <w:rFonts w:ascii="Times New Roman" w:hAnsi="Times New Roman"/>
          <w:sz w:val="22"/>
          <w:szCs w:val="22"/>
        </w:rPr>
      </w:pPr>
      <w:r>
        <w:rPr>
          <w:rFonts w:ascii="Times New Roman" w:hAnsi="Times New Roman"/>
          <w:sz w:val="22"/>
          <w:szCs w:val="22"/>
        </w:rPr>
        <w:t xml:space="preserve">As mentioned under </w:t>
      </w:r>
      <w:r>
        <w:rPr>
          <w:rFonts w:ascii="Times New Roman" w:hAnsi="Times New Roman"/>
          <w:i/>
          <w:sz w:val="22"/>
          <w:szCs w:val="22"/>
        </w:rPr>
        <w:t>“What happens if we are declared to be in default by a CCP?”</w:t>
      </w:r>
      <w:r>
        <w:rPr>
          <w:rFonts w:ascii="Times New Roman" w:hAnsi="Times New Roman"/>
          <w:sz w:val="22"/>
          <w:szCs w:val="22"/>
        </w:rPr>
        <w:t xml:space="preserve"> in Part One A, a CCP’s porting structure may be based on or supported by a security interest. This can take different forms but generally involves us creating security over our rights against the CCP in relation to an Individual Client Account or Omnibus Client account in your favour or in favour of another person (e.g. an independent trustee) to hold the security on your behalf. Broadly speaking, the security interest should support the argument that these assets are not part of our insolvency estate (i.e. are not to be shared with our other creditors).</w:t>
      </w:r>
    </w:p>
    <w:p w:rsidR="009E5A89" w:rsidRDefault="00C476C8">
      <w:pPr>
        <w:pStyle w:val="BodyText0"/>
        <w:rPr>
          <w:rFonts w:ascii="Times New Roman" w:hAnsi="Times New Roman"/>
          <w:sz w:val="22"/>
          <w:szCs w:val="22"/>
        </w:rPr>
      </w:pPr>
      <w:r>
        <w:rPr>
          <w:rFonts w:ascii="Times New Roman" w:hAnsi="Times New Roman"/>
          <w:sz w:val="22"/>
          <w:szCs w:val="22"/>
        </w:rPr>
        <w:t>However, depending on the exact structure, insolvency law gives certain statutory creditors priority over secured creditors. This means that some creditors may have a claim on client account assets ahead of you. Statutory creditors are likely to include, amongst others, our insolvency official (e.g. in respect of its costs and expenses), a relatively small amount of unsecured creditors, some employee salaries and pension contributions.</w:t>
      </w:r>
    </w:p>
    <w:p w:rsidR="009E5A89" w:rsidRDefault="00C476C8">
      <w:pPr>
        <w:pStyle w:val="BodyText0"/>
        <w:keepNext/>
        <w:keepLines/>
        <w:rPr>
          <w:rFonts w:ascii="Times New Roman" w:hAnsi="Times New Roman"/>
          <w:b/>
          <w:sz w:val="22"/>
          <w:szCs w:val="22"/>
        </w:rPr>
      </w:pPr>
      <w:r>
        <w:rPr>
          <w:rFonts w:ascii="Times New Roman" w:hAnsi="Times New Roman"/>
          <w:b/>
          <w:sz w:val="22"/>
          <w:szCs w:val="22"/>
        </w:rPr>
        <w:t>Mismatch of CCP/Client Transactions and assets</w:t>
      </w:r>
    </w:p>
    <w:p w:rsidR="009E5A89" w:rsidRDefault="00C476C8">
      <w:pPr>
        <w:pStyle w:val="BodyText0"/>
        <w:keepNext/>
        <w:keepLines/>
        <w:rPr>
          <w:rFonts w:ascii="Times New Roman" w:hAnsi="Times New Roman"/>
          <w:sz w:val="22"/>
          <w:szCs w:val="22"/>
        </w:rPr>
      </w:pPr>
      <w:r>
        <w:rPr>
          <w:rFonts w:ascii="Times New Roman" w:hAnsi="Times New Roman"/>
          <w:sz w:val="22"/>
          <w:szCs w:val="22"/>
        </w:rPr>
        <w:t>It could be that our net assets in relation to CCP Transactions do not match our net obligations to each other in relation to the matching Client Transactions. This can slow down or make porting impossible either operationally or legally.</w:t>
      </w:r>
    </w:p>
    <w:p w:rsidR="009E5A89" w:rsidRDefault="00C476C8">
      <w:pPr>
        <w:pStyle w:val="BodyText0"/>
        <w:rPr>
          <w:rFonts w:ascii="Times New Roman" w:hAnsi="Times New Roman"/>
          <w:sz w:val="22"/>
          <w:szCs w:val="22"/>
        </w:rPr>
      </w:pPr>
      <w:r>
        <w:rPr>
          <w:rFonts w:ascii="Times New Roman" w:hAnsi="Times New Roman"/>
          <w:sz w:val="22"/>
          <w:szCs w:val="22"/>
        </w:rPr>
        <w:t>For example, it may occur at CCP level as a result of Fellow Client Risk (see the explanation of this term in Part Two of this document) in an Omnibus Client Account, with the result that there are insufficient assets available for porting to satisfy our obligations to you in relation to the Client Transactions.</w:t>
      </w:r>
    </w:p>
    <w:p w:rsidR="009E5A89" w:rsidRDefault="00C476C8">
      <w:pPr>
        <w:pStyle w:val="BodyText0"/>
        <w:rPr>
          <w:rFonts w:ascii="Times New Roman" w:hAnsi="Times New Roman"/>
          <w:sz w:val="22"/>
          <w:szCs w:val="22"/>
        </w:rPr>
      </w:pPr>
      <w:r>
        <w:rPr>
          <w:rFonts w:ascii="Times New Roman" w:hAnsi="Times New Roman"/>
          <w:sz w:val="22"/>
          <w:szCs w:val="22"/>
        </w:rPr>
        <w:t>Alternatively, it could be that all of your Client Transactions with us are netted automatically as a result of English insolvency law (please see above under “</w:t>
      </w:r>
      <w:r>
        <w:rPr>
          <w:rFonts w:ascii="Times New Roman" w:hAnsi="Times New Roman"/>
          <w:i/>
          <w:sz w:val="22"/>
          <w:szCs w:val="22"/>
        </w:rPr>
        <w:t>Close-out netting”</w:t>
      </w:r>
      <w:r>
        <w:rPr>
          <w:rFonts w:ascii="Times New Roman" w:hAnsi="Times New Roman"/>
          <w:sz w:val="22"/>
          <w:szCs w:val="22"/>
        </w:rPr>
        <w:t>).</w:t>
      </w:r>
    </w:p>
    <w:p w:rsidR="009E5A89" w:rsidRDefault="00C476C8">
      <w:pPr>
        <w:pStyle w:val="BodyText0"/>
        <w:rPr>
          <w:rFonts w:ascii="Times New Roman" w:hAnsi="Times New Roman"/>
          <w:b/>
          <w:sz w:val="22"/>
          <w:szCs w:val="22"/>
        </w:rPr>
      </w:pPr>
      <w:r>
        <w:rPr>
          <w:rFonts w:ascii="Times New Roman" w:hAnsi="Times New Roman"/>
          <w:b/>
          <w:sz w:val="22"/>
          <w:szCs w:val="22"/>
        </w:rPr>
        <w:t>Banking Act 2009</w:t>
      </w:r>
    </w:p>
    <w:p w:rsidR="009E5A89" w:rsidRDefault="00C476C8">
      <w:pPr>
        <w:pStyle w:val="BodyText0"/>
        <w:rPr>
          <w:rFonts w:ascii="Times New Roman" w:hAnsi="Times New Roman"/>
          <w:sz w:val="22"/>
          <w:szCs w:val="22"/>
        </w:rPr>
      </w:pPr>
      <w:r>
        <w:rPr>
          <w:rFonts w:ascii="Times New Roman" w:hAnsi="Times New Roman"/>
          <w:sz w:val="22"/>
          <w:szCs w:val="22"/>
        </w:rPr>
        <w:t>The Banking Act applies because we are an English company that falls within its scope. As a result, in serious circumstances, we may be nationalised or we (or any of our assets and liabilities) may be transferred to a third party by a combination of the Treasury, Bank of England or FCA. In that case, your counterparty and/or your counterparty risk may change. It is unlikely that you will be able to stop such transfer or to enforce any early termination rights against us as a result of such transfer.</w:t>
      </w:r>
    </w:p>
    <w:p w:rsidR="009E5A89" w:rsidRDefault="00C476C8">
      <w:pPr>
        <w:spacing w:after="0"/>
        <w:jc w:val="left"/>
        <w:rPr>
          <w:rFonts w:ascii="Times New Roman" w:hAnsi="Times New Roman" w:cs="Times New Roman"/>
          <w:b/>
          <w:sz w:val="22"/>
          <w:szCs w:val="22"/>
          <w:u w:val="single"/>
          <w:lang w:eastAsia="en-CA"/>
        </w:rPr>
      </w:pPr>
      <w:r>
        <w:rPr>
          <w:rFonts w:ascii="Times New Roman" w:hAnsi="Times New Roman" w:cs="Times New Roman"/>
          <w:b/>
          <w:sz w:val="22"/>
          <w:szCs w:val="22"/>
          <w:u w:val="single"/>
        </w:rPr>
        <w:br w:type="page"/>
      </w:r>
    </w:p>
    <w:p w:rsidR="009E5A89" w:rsidRDefault="00C476C8">
      <w:pPr>
        <w:pStyle w:val="BodyText0"/>
        <w:jc w:val="left"/>
        <w:rPr>
          <w:rFonts w:ascii="Times New Roman" w:hAnsi="Times New Roman"/>
          <w:b/>
          <w:sz w:val="22"/>
          <w:szCs w:val="22"/>
          <w:u w:val="single"/>
        </w:rPr>
      </w:pPr>
      <w:r>
        <w:rPr>
          <w:rFonts w:ascii="Times New Roman" w:hAnsi="Times New Roman"/>
          <w:b/>
          <w:sz w:val="22"/>
          <w:szCs w:val="22"/>
          <w:u w:val="single"/>
        </w:rPr>
        <w:t>Part Two: CCP client account structures</w:t>
      </w:r>
      <w:r>
        <w:rPr>
          <w:rStyle w:val="EndnoteReference"/>
          <w:rFonts w:ascii="Times New Roman" w:hAnsi="Times New Roman"/>
          <w:b/>
          <w:sz w:val="22"/>
          <w:szCs w:val="22"/>
          <w:u w:val="single"/>
        </w:rPr>
        <w:endnoteReference w:id="22"/>
      </w:r>
    </w:p>
    <w:p w:rsidR="009E5A89" w:rsidRDefault="00C476C8">
      <w:pPr>
        <w:pStyle w:val="BodyText0"/>
        <w:rPr>
          <w:rFonts w:ascii="Times New Roman" w:hAnsi="Times New Roman"/>
          <w:sz w:val="22"/>
          <w:szCs w:val="22"/>
        </w:rPr>
      </w:pPr>
      <w:r>
        <w:rPr>
          <w:rFonts w:ascii="Times New Roman" w:hAnsi="Times New Roman"/>
          <w:sz w:val="22"/>
          <w:szCs w:val="22"/>
        </w:rPr>
        <w:t>As noted in Part One B, each CCP may offer at least one Omnibus Client Account and/or at least one Individual Client Account by changing some of the features. This Part Two contains an overview of the main levels of segregation within each account type of which we are aware that the CCPs offer, together with an overview of the main protections afforded by and the main legal implications of each.</w:t>
      </w:r>
    </w:p>
    <w:p w:rsidR="009E5A89" w:rsidRDefault="00C476C8">
      <w:pPr>
        <w:pStyle w:val="BodyText0"/>
        <w:rPr>
          <w:rFonts w:ascii="Times New Roman" w:hAnsi="Times New Roman"/>
          <w:sz w:val="22"/>
          <w:szCs w:val="22"/>
        </w:rPr>
      </w:pPr>
      <w:r>
        <w:rPr>
          <w:rFonts w:ascii="Times New Roman" w:hAnsi="Times New Roman"/>
          <w:sz w:val="22"/>
          <w:szCs w:val="22"/>
        </w:rPr>
        <w:t>The descriptions given in this Part Two are very high level and consider the typical features of these account types and levels of segregation. However, the particular characteristics of the accounts will affect the exact levels of protection they offer and the legal implications so you must review the information provided by the CCPs to fully understand the risks of the specific account we maintain in relation to you at each CCP. Each CCP is required to publish information about the account structures it offers and we have provided a link to the relevant part of the website of each CCP we use</w:t>
      </w:r>
      <w:r>
        <w:rPr>
          <w:rStyle w:val="EndnoteReference"/>
          <w:rFonts w:ascii="Times New Roman" w:hAnsi="Times New Roman"/>
          <w:sz w:val="22"/>
          <w:szCs w:val="22"/>
        </w:rPr>
        <w:endnoteReference w:id="23"/>
      </w:r>
      <w:r>
        <w:rPr>
          <w:rFonts w:ascii="Times New Roman" w:hAnsi="Times New Roman"/>
          <w:sz w:val="22"/>
          <w:szCs w:val="22"/>
        </w:rPr>
        <w:t xml:space="preserve">. You may also need to seek professional advice to understand the differences in detail. However, we hope that the questions raised and factors described in both parts of this document will help you to know which questions to ask and to understand the impact of the answers you receive. </w:t>
      </w:r>
    </w:p>
    <w:p w:rsidR="009E5A89" w:rsidRDefault="00C476C8">
      <w:pPr>
        <w:pStyle w:val="BodyText0"/>
        <w:rPr>
          <w:rFonts w:ascii="Times New Roman" w:hAnsi="Times New Roman"/>
          <w:sz w:val="22"/>
          <w:szCs w:val="22"/>
        </w:rPr>
      </w:pPr>
      <w:r>
        <w:rPr>
          <w:rFonts w:ascii="Times New Roman" w:hAnsi="Times New Roman"/>
          <w:sz w:val="22"/>
          <w:szCs w:val="22"/>
        </w:rPr>
        <w:t>The descriptions have been prepared on the basis of publicly available disclosure documents made available by a selection of CCPs. We are not responsible for, and do not accept any liability whatsoever, for any content or omissions or inaccuracies contained in the information produced by any CCP.</w:t>
      </w:r>
    </w:p>
    <w:p w:rsidR="009E5A89" w:rsidRDefault="00C476C8">
      <w:pPr>
        <w:pStyle w:val="BodyText0"/>
        <w:rPr>
          <w:rFonts w:ascii="Times New Roman" w:hAnsi="Times New Roman"/>
          <w:sz w:val="22"/>
          <w:szCs w:val="22"/>
        </w:rPr>
      </w:pPr>
      <w:r>
        <w:rPr>
          <w:rFonts w:ascii="Times New Roman" w:hAnsi="Times New Roman"/>
          <w:sz w:val="22"/>
          <w:szCs w:val="22"/>
        </w:rPr>
        <w:t>The Annex seeks to compare the main account types and levels of segregation against the following risks:</w:t>
      </w:r>
    </w:p>
    <w:tbl>
      <w:tblPr>
        <w:tblStyle w:val="TableGrid"/>
        <w:tblW w:w="0" w:type="auto"/>
        <w:tblInd w:w="108" w:type="dxa"/>
        <w:tblLook w:val="04A0" w:firstRow="1" w:lastRow="0" w:firstColumn="1" w:lastColumn="0" w:noHBand="0" w:noVBand="1"/>
      </w:tblPr>
      <w:tblGrid>
        <w:gridCol w:w="4903"/>
        <w:gridCol w:w="4276"/>
      </w:tblGrid>
      <w:tr w:rsidR="009E5A89">
        <w:trPr>
          <w:tblHeader/>
        </w:trPr>
        <w:tc>
          <w:tcPr>
            <w:tcW w:w="4903" w:type="dxa"/>
            <w:shd w:val="clear" w:color="auto" w:fill="BFBFBF" w:themeFill="background1" w:themeFillShade="BF"/>
          </w:tcPr>
          <w:p w:rsidR="009E5A89" w:rsidRDefault="00C476C8">
            <w:pPr>
              <w:pStyle w:val="BodyText0"/>
              <w:spacing w:before="120" w:after="120"/>
              <w:jc w:val="left"/>
              <w:rPr>
                <w:rFonts w:ascii="Times New Roman" w:hAnsi="Times New Roman"/>
                <w:b/>
                <w:sz w:val="22"/>
                <w:szCs w:val="22"/>
              </w:rPr>
            </w:pPr>
            <w:r>
              <w:rPr>
                <w:rFonts w:ascii="Times New Roman" w:hAnsi="Times New Roman"/>
                <w:b/>
                <w:sz w:val="22"/>
                <w:szCs w:val="22"/>
              </w:rPr>
              <w:t>Risks used to compare each account type and level of segregation</w:t>
            </w:r>
          </w:p>
        </w:tc>
        <w:tc>
          <w:tcPr>
            <w:tcW w:w="4276" w:type="dxa"/>
            <w:shd w:val="clear" w:color="auto" w:fill="BFBFBF" w:themeFill="background1" w:themeFillShade="BF"/>
          </w:tcPr>
          <w:p w:rsidR="009E5A89" w:rsidRDefault="00C476C8">
            <w:pPr>
              <w:pStyle w:val="BodyText0"/>
              <w:spacing w:before="120" w:after="120"/>
              <w:jc w:val="left"/>
              <w:rPr>
                <w:rFonts w:ascii="Times New Roman" w:hAnsi="Times New Roman"/>
                <w:b/>
                <w:sz w:val="22"/>
                <w:szCs w:val="22"/>
              </w:rPr>
            </w:pPr>
            <w:r>
              <w:rPr>
                <w:rFonts w:ascii="Times New Roman" w:hAnsi="Times New Roman"/>
                <w:b/>
                <w:sz w:val="22"/>
                <w:szCs w:val="22"/>
              </w:rPr>
              <w:t>Explanation of risk</w:t>
            </w:r>
          </w:p>
        </w:tc>
      </w:tr>
      <w:tr w:rsidR="009E5A89">
        <w:tc>
          <w:tcPr>
            <w:tcW w:w="4903"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Transit Risk</w:t>
            </w:r>
          </w:p>
        </w:tc>
        <w:tc>
          <w:tcPr>
            <w:tcW w:w="4276"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 xml:space="preserve">Whether you are exposed to us at any point in the process of providing or receiving margin in respect of Client Transactions. </w:t>
            </w:r>
          </w:p>
        </w:tc>
      </w:tr>
      <w:tr w:rsidR="009E5A89">
        <w:tc>
          <w:tcPr>
            <w:tcW w:w="4903"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Fellow Client Risk</w:t>
            </w:r>
          </w:p>
        </w:tc>
        <w:tc>
          <w:tcPr>
            <w:tcW w:w="4276"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 xml:space="preserve">Whether assets provided to the CCP in respect of CCP Transactions related to you could be used to cover losses in CCP Transactions relating to another client. </w:t>
            </w:r>
          </w:p>
        </w:tc>
      </w:tr>
      <w:tr w:rsidR="009E5A89">
        <w:tc>
          <w:tcPr>
            <w:tcW w:w="4903"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Liquidation Risk</w:t>
            </w:r>
          </w:p>
        </w:tc>
        <w:tc>
          <w:tcPr>
            <w:tcW w:w="4276"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Whether, if the CCP Transactions and assets relating to them were to be ported, there is a risk that any non-cash assets would be liquidated into cash. If this were to happen, the value given to such assets by the CCP may differ from what you perceive to be the full value of the assets.</w:t>
            </w:r>
          </w:p>
        </w:tc>
      </w:tr>
      <w:tr w:rsidR="009E5A89">
        <w:tc>
          <w:tcPr>
            <w:tcW w:w="4903"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Haircut Risk</w:t>
            </w:r>
          </w:p>
        </w:tc>
        <w:tc>
          <w:tcPr>
            <w:tcW w:w="4276"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 xml:space="preserve">Whether the value of the assets that relate to CCP Transactions might be reduced or not increase by as much as you expect because the CCP applied a haircut that did not properly reflect the value of the asset. </w:t>
            </w:r>
          </w:p>
        </w:tc>
      </w:tr>
      <w:tr w:rsidR="009E5A89">
        <w:tc>
          <w:tcPr>
            <w:tcW w:w="4903" w:type="dxa"/>
          </w:tcPr>
          <w:p w:rsidR="009E5A89" w:rsidRDefault="00C476C8">
            <w:pPr>
              <w:pStyle w:val="BodyText0"/>
              <w:keepNext/>
              <w:spacing w:before="120" w:after="120"/>
              <w:jc w:val="left"/>
              <w:rPr>
                <w:rFonts w:ascii="Times New Roman" w:hAnsi="Times New Roman"/>
                <w:sz w:val="22"/>
                <w:szCs w:val="22"/>
              </w:rPr>
            </w:pPr>
            <w:r>
              <w:rPr>
                <w:rFonts w:ascii="Times New Roman" w:hAnsi="Times New Roman"/>
                <w:sz w:val="22"/>
                <w:szCs w:val="22"/>
              </w:rPr>
              <w:t>Valuation Mutualisation Risk</w:t>
            </w:r>
          </w:p>
        </w:tc>
        <w:tc>
          <w:tcPr>
            <w:tcW w:w="4276" w:type="dxa"/>
          </w:tcPr>
          <w:p w:rsidR="009E5A89" w:rsidRDefault="00C476C8">
            <w:pPr>
              <w:pStyle w:val="BodyText0"/>
              <w:keepNext/>
              <w:spacing w:before="120" w:after="120"/>
              <w:jc w:val="left"/>
              <w:rPr>
                <w:rFonts w:ascii="Times New Roman" w:hAnsi="Times New Roman"/>
                <w:sz w:val="22"/>
                <w:szCs w:val="22"/>
              </w:rPr>
            </w:pPr>
            <w:r>
              <w:rPr>
                <w:rFonts w:ascii="Times New Roman" w:hAnsi="Times New Roman"/>
                <w:sz w:val="22"/>
                <w:szCs w:val="22"/>
              </w:rPr>
              <w:t>Whether the value of the assets that relate to CCP Transactions could be reduced or not increase by as much as you expect because the assets posted in relation to other clients’ CCP Transactions have decreased in value.</w:t>
            </w:r>
          </w:p>
        </w:tc>
      </w:tr>
      <w:tr w:rsidR="009E5A89">
        <w:tc>
          <w:tcPr>
            <w:tcW w:w="4903"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CCP Insolvency Risk</w:t>
            </w:r>
          </w:p>
        </w:tc>
        <w:tc>
          <w:tcPr>
            <w:tcW w:w="4276"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Whether you are exposed to the insolvency or other failure of the CCP.</w:t>
            </w:r>
          </w:p>
        </w:tc>
      </w:tr>
    </w:tbl>
    <w:p w:rsidR="009E5A89" w:rsidRDefault="009E5A89">
      <w:pPr>
        <w:rPr>
          <w:rFonts w:ascii="Times New Roman" w:hAnsi="Times New Roman" w:cs="Times New Roman"/>
          <w:sz w:val="22"/>
          <w:szCs w:val="22"/>
        </w:rPr>
        <w:sectPr w:rsidR="009E5A89">
          <w:headerReference w:type="default" r:id="rId9"/>
          <w:footerReference w:type="default" r:id="rId10"/>
          <w:headerReference w:type="first" r:id="rId11"/>
          <w:footerReference w:type="first" r:id="rId12"/>
          <w:endnotePr>
            <w:numFmt w:val="decimal"/>
          </w:endnotePr>
          <w:pgSz w:w="11907" w:h="16840" w:code="9"/>
          <w:pgMar w:top="1418" w:right="1418" w:bottom="1418" w:left="1418" w:header="851" w:footer="851" w:gutter="0"/>
          <w:cols w:space="708"/>
          <w:titlePg/>
          <w:docGrid w:linePitch="360"/>
        </w:sectPr>
      </w:pPr>
    </w:p>
    <w:p w:rsidR="009E5A89" w:rsidRDefault="00C476C8">
      <w:pPr>
        <w:keepNext/>
        <w:keepLines/>
        <w:rPr>
          <w:rFonts w:ascii="Times New Roman" w:hAnsi="Times New Roman" w:cs="Times New Roman"/>
          <w:sz w:val="22"/>
          <w:szCs w:val="22"/>
        </w:rPr>
      </w:pPr>
      <w:r>
        <w:rPr>
          <w:rFonts w:ascii="Times New Roman" w:hAnsi="Times New Roman" w:cs="Times New Roman"/>
          <w:b/>
          <w:sz w:val="22"/>
          <w:szCs w:val="22"/>
        </w:rPr>
        <w:t>Typical client account characteristics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3970"/>
        <w:gridCol w:w="4110"/>
        <w:gridCol w:w="4189"/>
      </w:tblGrid>
      <w:tr w:rsidR="009E5A89">
        <w:trPr>
          <w:tblHeader/>
        </w:trPr>
        <w:tc>
          <w:tcPr>
            <w:tcW w:w="686" w:type="pct"/>
            <w:tcBorders>
              <w:bottom w:val="single" w:sz="6" w:space="0" w:color="auto"/>
            </w:tcBorders>
            <w:shd w:val="clear" w:color="auto" w:fill="A6A6A6" w:themeFill="background1" w:themeFillShade="A6"/>
          </w:tcPr>
          <w:p w:rsidR="009E5A89" w:rsidRDefault="009E5A89">
            <w:pPr>
              <w:pStyle w:val="TableHeadingm"/>
              <w:keepNext w:val="0"/>
              <w:rPr>
                <w:rFonts w:ascii="Times New Roman" w:hAnsi="Times New Roman"/>
                <w:sz w:val="22"/>
                <w:szCs w:val="22"/>
              </w:rPr>
            </w:pPr>
          </w:p>
        </w:tc>
        <w:tc>
          <w:tcPr>
            <w:tcW w:w="1396" w:type="pct"/>
            <w:shd w:val="clear" w:color="auto" w:fill="A6A6A6" w:themeFill="background1" w:themeFillShade="A6"/>
          </w:tcPr>
          <w:p w:rsidR="009E5A89" w:rsidRDefault="00C476C8">
            <w:pPr>
              <w:pStyle w:val="TableHeadingm"/>
              <w:keepNext w:val="0"/>
              <w:rPr>
                <w:rFonts w:ascii="Times New Roman" w:hAnsi="Times New Roman"/>
                <w:sz w:val="22"/>
                <w:szCs w:val="22"/>
              </w:rPr>
            </w:pPr>
            <w:r>
              <w:rPr>
                <w:rFonts w:ascii="Times New Roman" w:hAnsi="Times New Roman"/>
                <w:sz w:val="22"/>
                <w:szCs w:val="22"/>
              </w:rPr>
              <w:t>Net Omnibus Client Account</w:t>
            </w:r>
          </w:p>
        </w:tc>
        <w:tc>
          <w:tcPr>
            <w:tcW w:w="1445" w:type="pct"/>
            <w:shd w:val="clear" w:color="auto" w:fill="A6A6A6" w:themeFill="background1" w:themeFillShade="A6"/>
          </w:tcPr>
          <w:p w:rsidR="009E5A89" w:rsidRDefault="00C476C8">
            <w:pPr>
              <w:pStyle w:val="TableHeadingm"/>
              <w:keepNext w:val="0"/>
              <w:rPr>
                <w:rFonts w:ascii="Times New Roman" w:hAnsi="Times New Roman"/>
                <w:sz w:val="22"/>
                <w:szCs w:val="22"/>
              </w:rPr>
            </w:pPr>
            <w:r>
              <w:rPr>
                <w:rFonts w:ascii="Times New Roman" w:hAnsi="Times New Roman"/>
                <w:sz w:val="22"/>
                <w:szCs w:val="22"/>
              </w:rPr>
              <w:t>Gross Omnibus Client Account</w:t>
            </w:r>
          </w:p>
        </w:tc>
        <w:tc>
          <w:tcPr>
            <w:tcW w:w="1473" w:type="pct"/>
            <w:shd w:val="clear" w:color="auto" w:fill="A6A6A6" w:themeFill="background1" w:themeFillShade="A6"/>
          </w:tcPr>
          <w:p w:rsidR="009E5A89" w:rsidRDefault="00C476C8">
            <w:pPr>
              <w:pStyle w:val="TableHeadingm"/>
              <w:keepNext w:val="0"/>
              <w:rPr>
                <w:rFonts w:ascii="Times New Roman" w:hAnsi="Times New Roman"/>
                <w:sz w:val="22"/>
                <w:szCs w:val="22"/>
              </w:rPr>
            </w:pPr>
            <w:r>
              <w:rPr>
                <w:rFonts w:ascii="Times New Roman" w:hAnsi="Times New Roman"/>
                <w:sz w:val="22"/>
                <w:szCs w:val="22"/>
              </w:rPr>
              <w:t>Individual Client Account</w:t>
            </w:r>
          </w:p>
        </w:tc>
      </w:tr>
      <w:tr w:rsidR="009E5A89">
        <w:tc>
          <w:tcPr>
            <w:tcW w:w="686" w:type="pct"/>
            <w:tcBorders>
              <w:top w:val="single" w:sz="6" w:space="0" w:color="auto"/>
              <w:bottom w:val="nil"/>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Who will the CCP Transactions recorded in the account relate to?</w:t>
            </w:r>
          </w:p>
        </w:tc>
        <w:tc>
          <w:tcPr>
            <w:tcW w:w="1396" w:type="pct"/>
            <w:tcBorders>
              <w:bottom w:val="nil"/>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 xml:space="preserve">Net Omnibus Client Accounts record both assets and CCP Transactions that relate to you and the assets and CCP Transactions that relate to one or more of our other clients. </w:t>
            </w:r>
          </w:p>
        </w:tc>
        <w:tc>
          <w:tcPr>
            <w:tcW w:w="1445" w:type="pct"/>
            <w:tcBorders>
              <w:bottom w:val="nil"/>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Gross Omnibus Client Accounts record assets and CCP Transactions that relate to you and the assets and CCP Transactions that relate to one or more of our other clients.</w:t>
            </w:r>
          </w:p>
        </w:tc>
        <w:tc>
          <w:tcPr>
            <w:tcW w:w="1473" w:type="pct"/>
            <w:tcBorders>
              <w:bottom w:val="nil"/>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Only assets and CCP Transactions that relate to you should be recorded in an Individual Client Account.</w:t>
            </w:r>
          </w:p>
        </w:tc>
      </w:tr>
      <w:tr w:rsidR="009E5A89">
        <w:tc>
          <w:tcPr>
            <w:tcW w:w="686" w:type="pct"/>
            <w:tcBorders>
              <w:top w:val="nil"/>
              <w:bottom w:val="nil"/>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 xml:space="preserve">Which losses can assets recorded in the account </w:t>
            </w:r>
            <w:proofErr w:type="gramStart"/>
            <w:r>
              <w:rPr>
                <w:rFonts w:ascii="Times New Roman" w:hAnsi="Times New Roman"/>
                <w:b/>
                <w:sz w:val="22"/>
                <w:szCs w:val="22"/>
              </w:rPr>
              <w:t>be</w:t>
            </w:r>
            <w:proofErr w:type="gramEnd"/>
            <w:r>
              <w:rPr>
                <w:rFonts w:ascii="Times New Roman" w:hAnsi="Times New Roman"/>
                <w:b/>
                <w:sz w:val="22"/>
                <w:szCs w:val="22"/>
              </w:rPr>
              <w:t xml:space="preserve"> used for?</w:t>
            </w:r>
          </w:p>
        </w:tc>
        <w:tc>
          <w:tcPr>
            <w:tcW w:w="1396"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Assets that are provided to the CCP as margin for a CCP Transaction recorded in a Net Omnibus Client Account may be used to cover any losses in that account, whether such losses relate to the CCP Transactions relating to you or CCP Transactions relating to another client.</w:t>
            </w:r>
          </w:p>
        </w:tc>
        <w:tc>
          <w:tcPr>
            <w:tcW w:w="1445" w:type="pct"/>
            <w:tcBorders>
              <w:top w:val="nil"/>
              <w:bottom w:val="nil"/>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 xml:space="preserve">Assets that are provided to the CCP as margin for the CCP Transactions recorded in a Gross Omnibus Client Account may be used to cover any losses in that account, whether such losses relate to the CCP Transactions relating to you or CCP Transactions relating to another client. </w:t>
            </w:r>
          </w:p>
        </w:tc>
        <w:tc>
          <w:tcPr>
            <w:tcW w:w="1473" w:type="pct"/>
            <w:tcBorders>
              <w:top w:val="nil"/>
              <w:bottom w:val="nil"/>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Assets that are provided to the CCP as margin for CCP Transactions recorded in an Individual Client Account may only be used to cover losses in that account.</w:t>
            </w:r>
          </w:p>
        </w:tc>
      </w:tr>
      <w:tr w:rsidR="009E5A89">
        <w:tc>
          <w:tcPr>
            <w:tcW w:w="686" w:type="pct"/>
            <w:tcBorders>
              <w:top w:val="nil"/>
              <w:bottom w:val="nil"/>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Will the CCP know which CCP Transactions and types of assets relate to you?</w:t>
            </w:r>
          </w:p>
        </w:tc>
        <w:tc>
          <w:tcPr>
            <w:tcW w:w="1396"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 xml:space="preserve">The CCP may not know which CCP Transactions and assets recorded in a Net Omnibus Client Account relate to you. </w:t>
            </w:r>
          </w:p>
          <w:p w:rsidR="009E5A89" w:rsidRDefault="009E5A89">
            <w:pPr>
              <w:pStyle w:val="BodyText0"/>
              <w:widowControl w:val="0"/>
              <w:rPr>
                <w:rFonts w:ascii="Times New Roman" w:hAnsi="Times New Roman"/>
                <w:i/>
                <w:sz w:val="22"/>
                <w:szCs w:val="22"/>
              </w:rPr>
            </w:pPr>
          </w:p>
        </w:tc>
        <w:tc>
          <w:tcPr>
            <w:tcW w:w="1445"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CCP may not know which CCP Transactions and assets recorded in a Gross Omnibus Client Account relate to you.</w:t>
            </w:r>
          </w:p>
          <w:p w:rsidR="009E5A89" w:rsidRDefault="009E5A89">
            <w:pPr>
              <w:pStyle w:val="BodyText0"/>
              <w:widowControl w:val="0"/>
              <w:rPr>
                <w:rFonts w:ascii="Times New Roman" w:hAnsi="Times New Roman"/>
                <w:i/>
                <w:sz w:val="22"/>
                <w:szCs w:val="22"/>
              </w:rPr>
            </w:pPr>
          </w:p>
        </w:tc>
        <w:tc>
          <w:tcPr>
            <w:tcW w:w="1473"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p w:rsidR="009E5A89" w:rsidRDefault="009E5A89">
            <w:pPr>
              <w:pStyle w:val="BodyText0"/>
              <w:widowControl w:val="0"/>
              <w:rPr>
                <w:rFonts w:ascii="Times New Roman" w:hAnsi="Times New Roman"/>
                <w:i/>
                <w:sz w:val="22"/>
                <w:szCs w:val="22"/>
              </w:rPr>
            </w:pPr>
          </w:p>
        </w:tc>
      </w:tr>
      <w:tr w:rsidR="009E5A89">
        <w:tc>
          <w:tcPr>
            <w:tcW w:w="686" w:type="pct"/>
            <w:tcBorders>
              <w:top w:val="nil"/>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Will the CCP record the assets provided by value only or will it identify the type of asset provided?</w:t>
            </w:r>
          </w:p>
        </w:tc>
        <w:tc>
          <w:tcPr>
            <w:tcW w:w="1396" w:type="pct"/>
            <w:tcBorders>
              <w:top w:val="nil"/>
              <w:bottom w:val="single" w:sz="6" w:space="0" w:color="auto"/>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CCP may identify in its records the type of asset provided as margin for the Net Omnibus Client Account but will not be able to identify which type of assets relate to any client’s CCP Transactions within that Net Omnibus Client Account.</w:t>
            </w:r>
          </w:p>
        </w:tc>
        <w:tc>
          <w:tcPr>
            <w:tcW w:w="1445" w:type="pct"/>
            <w:tcBorders>
              <w:top w:val="nil"/>
              <w:bottom w:val="single" w:sz="6" w:space="0" w:color="auto"/>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CCP may identify in its records the type of asset provided as margin for the Gross Omnibus Client Account but is unlikely to be able to identify anything other than the value of the assets provided in respect of any client’s CCP Transactions within that Gross Omnibus Client Account.</w:t>
            </w:r>
          </w:p>
          <w:p w:rsidR="009E5A89" w:rsidRDefault="009E5A89">
            <w:pPr>
              <w:pStyle w:val="BodyText0"/>
              <w:widowControl w:val="0"/>
              <w:rPr>
                <w:rFonts w:ascii="Times New Roman" w:hAnsi="Times New Roman"/>
                <w:sz w:val="22"/>
                <w:szCs w:val="22"/>
              </w:rPr>
            </w:pPr>
          </w:p>
        </w:tc>
        <w:tc>
          <w:tcPr>
            <w:tcW w:w="1473" w:type="pct"/>
            <w:tcBorders>
              <w:top w:val="nil"/>
              <w:bottom w:val="single" w:sz="6" w:space="0" w:color="auto"/>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The CCP should identify in its records the type of asset provided as margin for an Individual Client Account.</w:t>
            </w:r>
          </w:p>
        </w:tc>
      </w:tr>
      <w:tr w:rsidR="009E5A89">
        <w:tc>
          <w:tcPr>
            <w:tcW w:w="686" w:type="pct"/>
            <w:tcBorders>
              <w:bottom w:val="nil"/>
            </w:tcBorders>
          </w:tcPr>
          <w:p w:rsidR="009E5A89" w:rsidRDefault="00C476C8">
            <w:pPr>
              <w:pStyle w:val="BodyText0"/>
              <w:widowControl w:val="0"/>
              <w:jc w:val="left"/>
              <w:rPr>
                <w:rFonts w:ascii="Times New Roman" w:hAnsi="Times New Roman"/>
                <w:b/>
                <w:sz w:val="22"/>
                <w:szCs w:val="22"/>
              </w:rPr>
            </w:pPr>
            <w:r>
              <w:rPr>
                <w:rFonts w:ascii="Times New Roman" w:hAnsi="Times New Roman"/>
                <w:b/>
                <w:sz w:val="22"/>
                <w:szCs w:val="22"/>
              </w:rPr>
              <w:t>Will the CCP Transactions recorded in the account be netted?</w:t>
            </w:r>
          </w:p>
        </w:tc>
        <w:tc>
          <w:tcPr>
            <w:tcW w:w="1396" w:type="pct"/>
            <w:tcBorders>
              <w:top w:val="single" w:sz="6" w:space="0" w:color="auto"/>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It is likely that the CCP Transactions recorded in the account will be netted. This means that CCP Transactions that relate to you may be netted with CCP Transactions that relate to our other clients whose CCP Transactions are recorded in the same Net Omnibus Client account.</w:t>
            </w:r>
          </w:p>
          <w:p w:rsidR="009E5A89" w:rsidRDefault="009E5A89">
            <w:pPr>
              <w:pStyle w:val="BodyText0"/>
              <w:widowControl w:val="0"/>
              <w:rPr>
                <w:rFonts w:ascii="Times New Roman" w:hAnsi="Times New Roman"/>
                <w:i/>
                <w:sz w:val="22"/>
                <w:szCs w:val="22"/>
              </w:rPr>
            </w:pPr>
          </w:p>
        </w:tc>
        <w:tc>
          <w:tcPr>
            <w:tcW w:w="1445" w:type="pct"/>
            <w:tcBorders>
              <w:top w:val="single" w:sz="6" w:space="0" w:color="auto"/>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No</w:t>
            </w:r>
          </w:p>
          <w:p w:rsidR="009E5A89" w:rsidRDefault="009E5A89">
            <w:pPr>
              <w:pStyle w:val="BodyText0"/>
              <w:widowControl w:val="0"/>
              <w:rPr>
                <w:rFonts w:ascii="Times New Roman" w:hAnsi="Times New Roman"/>
                <w:i/>
                <w:sz w:val="22"/>
                <w:szCs w:val="22"/>
              </w:rPr>
            </w:pPr>
          </w:p>
        </w:tc>
        <w:tc>
          <w:tcPr>
            <w:tcW w:w="1473" w:type="pct"/>
            <w:tcBorders>
              <w:top w:val="single" w:sz="6" w:space="0" w:color="auto"/>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CCP Transactions are likely to be netted, but should not be netted against the CCP Transactions relating to any of our other clients.</w:t>
            </w:r>
          </w:p>
          <w:p w:rsidR="009E5A89" w:rsidRDefault="009E5A89">
            <w:pPr>
              <w:pStyle w:val="BodyText0"/>
              <w:widowControl w:val="0"/>
              <w:rPr>
                <w:rFonts w:ascii="Times New Roman" w:hAnsi="Times New Roman"/>
                <w:i/>
                <w:sz w:val="22"/>
                <w:szCs w:val="22"/>
              </w:rPr>
            </w:pPr>
          </w:p>
        </w:tc>
      </w:tr>
      <w:tr w:rsidR="009E5A89">
        <w:tc>
          <w:tcPr>
            <w:tcW w:w="686" w:type="pct"/>
            <w:tcBorders>
              <w:top w:val="nil"/>
              <w:bottom w:val="nil"/>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Will the margin be calculated on a gross or net basis?</w:t>
            </w:r>
          </w:p>
        </w:tc>
        <w:tc>
          <w:tcPr>
            <w:tcW w:w="1396"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margin will be calculated on a net basis.</w:t>
            </w:r>
          </w:p>
          <w:p w:rsidR="009E5A89" w:rsidRDefault="009E5A89">
            <w:pPr>
              <w:pStyle w:val="BodyText0"/>
              <w:widowControl w:val="0"/>
              <w:rPr>
                <w:rFonts w:ascii="Times New Roman" w:hAnsi="Times New Roman"/>
                <w:i/>
                <w:sz w:val="22"/>
                <w:szCs w:val="22"/>
              </w:rPr>
            </w:pPr>
          </w:p>
        </w:tc>
        <w:tc>
          <w:tcPr>
            <w:tcW w:w="1445"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margin will be calculated on a gross basis.</w:t>
            </w:r>
          </w:p>
          <w:p w:rsidR="009E5A89" w:rsidRDefault="009E5A89">
            <w:pPr>
              <w:pStyle w:val="BodyText0"/>
              <w:widowControl w:val="0"/>
              <w:rPr>
                <w:rFonts w:ascii="Times New Roman" w:hAnsi="Times New Roman"/>
                <w:i/>
                <w:sz w:val="22"/>
                <w:szCs w:val="22"/>
              </w:rPr>
            </w:pPr>
          </w:p>
        </w:tc>
        <w:tc>
          <w:tcPr>
            <w:tcW w:w="1473"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margin requirement for an Individual Client Account will typically be calculated on a net basis.</w:t>
            </w:r>
          </w:p>
          <w:p w:rsidR="009E5A89" w:rsidRDefault="009E5A89">
            <w:pPr>
              <w:pStyle w:val="BodyText0"/>
              <w:widowControl w:val="0"/>
              <w:rPr>
                <w:rFonts w:ascii="Times New Roman" w:hAnsi="Times New Roman"/>
                <w:i/>
                <w:sz w:val="22"/>
                <w:szCs w:val="22"/>
              </w:rPr>
            </w:pPr>
          </w:p>
        </w:tc>
      </w:tr>
      <w:tr w:rsidR="009E5A89">
        <w:tc>
          <w:tcPr>
            <w:tcW w:w="686" w:type="pct"/>
            <w:tcBorders>
              <w:top w:val="nil"/>
              <w:bottom w:val="single" w:sz="18" w:space="0" w:color="auto"/>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Will you have to enter into any documentation or operational arrangements directly with the CCP?</w:t>
            </w:r>
          </w:p>
        </w:tc>
        <w:tc>
          <w:tcPr>
            <w:tcW w:w="1396" w:type="pct"/>
            <w:tcBorders>
              <w:top w:val="nil"/>
              <w:bottom w:val="single" w:sz="18" w:space="0" w:color="auto"/>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You may have to enter into legal documentation to which the CCP is party. It is unlikely that you will have to set up any operational arrangements with the CCP directly.</w:t>
            </w:r>
          </w:p>
        </w:tc>
        <w:tc>
          <w:tcPr>
            <w:tcW w:w="1445" w:type="pct"/>
            <w:tcBorders>
              <w:top w:val="nil"/>
              <w:bottom w:val="single" w:sz="18" w:space="0" w:color="auto"/>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You may have to enter into legal documentation to which the CCP is a party. It is possible but unlikely that you will have to set up operational arrangements with the CCP directly.</w:t>
            </w:r>
          </w:p>
        </w:tc>
        <w:tc>
          <w:tcPr>
            <w:tcW w:w="1473" w:type="pct"/>
            <w:tcBorders>
              <w:top w:val="nil"/>
              <w:bottom w:val="single" w:sz="18" w:space="0" w:color="auto"/>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You may have to enter into legal documentation to which the CCP is a party. It is also possible that you will have to set up some operational arrangements with the CCP directly.</w:t>
            </w:r>
          </w:p>
        </w:tc>
      </w:tr>
      <w:tr w:rsidR="009E5A89">
        <w:trPr>
          <w:cantSplit/>
        </w:trPr>
        <w:tc>
          <w:tcPr>
            <w:tcW w:w="686" w:type="pct"/>
            <w:tcBorders>
              <w:top w:val="single" w:sz="18" w:space="0" w:color="auto"/>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Transit Risk</w:t>
            </w:r>
          </w:p>
          <w:p w:rsidR="009E5A89" w:rsidRDefault="009E5A89">
            <w:pPr>
              <w:pStyle w:val="BodyText0"/>
              <w:widowControl w:val="0"/>
              <w:rPr>
                <w:rFonts w:ascii="Times New Roman" w:hAnsi="Times New Roman"/>
                <w:b/>
                <w:sz w:val="22"/>
                <w:szCs w:val="22"/>
              </w:rPr>
            </w:pPr>
          </w:p>
          <w:p w:rsidR="009E5A89" w:rsidRDefault="009E5A89">
            <w:pPr>
              <w:pStyle w:val="BodyText0"/>
              <w:widowControl w:val="0"/>
              <w:rPr>
                <w:rFonts w:ascii="Times New Roman" w:hAnsi="Times New Roman"/>
                <w:b/>
                <w:sz w:val="22"/>
                <w:szCs w:val="22"/>
              </w:rPr>
            </w:pPr>
          </w:p>
        </w:tc>
        <w:tc>
          <w:tcPr>
            <w:tcW w:w="1396" w:type="pct"/>
            <w:tcBorders>
              <w:top w:val="single" w:sz="18"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45" w:type="pct"/>
            <w:tcBorders>
              <w:top w:val="single" w:sz="18"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73" w:type="pct"/>
            <w:tcBorders>
              <w:top w:val="single" w:sz="18" w:space="0" w:color="auto"/>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r>
      <w:tr w:rsidR="009E5A89">
        <w:trPr>
          <w:cantSplit/>
        </w:trPr>
        <w:tc>
          <w:tcPr>
            <w:tcW w:w="686" w:type="pct"/>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Fellow Client Risk</w:t>
            </w:r>
          </w:p>
        </w:tc>
        <w:tc>
          <w:tcPr>
            <w:tcW w:w="1396" w:type="pct"/>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45"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73" w:type="pct"/>
            <w:tcBorders>
              <w:bottom w:val="single" w:sz="6" w:space="0" w:color="auto"/>
            </w:tcBorders>
            <w:shd w:val="clear" w:color="auto" w:fill="00B050"/>
          </w:tcPr>
          <w:p w:rsidR="009E5A89" w:rsidRDefault="00C476C8">
            <w:pPr>
              <w:pStyle w:val="BodyText0"/>
              <w:widowControl w:val="0"/>
              <w:rPr>
                <w:rFonts w:ascii="Times New Roman" w:hAnsi="Times New Roman"/>
                <w:sz w:val="22"/>
                <w:szCs w:val="22"/>
              </w:rPr>
            </w:pPr>
            <w:r>
              <w:rPr>
                <w:rFonts w:ascii="Times New Roman" w:hAnsi="Times New Roman"/>
                <w:sz w:val="22"/>
                <w:szCs w:val="22"/>
              </w:rPr>
              <w:t>No</w:t>
            </w:r>
          </w:p>
        </w:tc>
      </w:tr>
      <w:tr w:rsidR="009E5A89">
        <w:trPr>
          <w:cantSplit/>
        </w:trPr>
        <w:tc>
          <w:tcPr>
            <w:tcW w:w="686" w:type="pct"/>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Liquidation Risk</w:t>
            </w:r>
          </w:p>
        </w:tc>
        <w:tc>
          <w:tcPr>
            <w:tcW w:w="1396"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 (unless the CCP is able to port the assets recorded in the account or is able to transfer the assets to you without needing to liquidate some or all of them first).</w:t>
            </w:r>
          </w:p>
        </w:tc>
        <w:tc>
          <w:tcPr>
            <w:tcW w:w="1445"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 (unless the CCP is able to port the assets recorded in the account or is able to transfer the assets to you without needing to liquidate some or all of them first).</w:t>
            </w:r>
          </w:p>
        </w:tc>
        <w:tc>
          <w:tcPr>
            <w:tcW w:w="1473"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 (unless the CCP is able to port the assets recorded in the account or is able to transfer the assets to you without needing to liquidate some or all of them first).</w:t>
            </w:r>
          </w:p>
        </w:tc>
      </w:tr>
      <w:tr w:rsidR="009E5A89">
        <w:trPr>
          <w:cantSplit/>
        </w:trPr>
        <w:tc>
          <w:tcPr>
            <w:tcW w:w="686" w:type="pct"/>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Haircut Risk</w:t>
            </w:r>
          </w:p>
        </w:tc>
        <w:tc>
          <w:tcPr>
            <w:tcW w:w="1396" w:type="pct"/>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45"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73"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r>
      <w:tr w:rsidR="009E5A89">
        <w:trPr>
          <w:cantSplit/>
        </w:trPr>
        <w:tc>
          <w:tcPr>
            <w:tcW w:w="686" w:type="pct"/>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Valuation Mutualisation Risk</w:t>
            </w:r>
          </w:p>
        </w:tc>
        <w:tc>
          <w:tcPr>
            <w:tcW w:w="1396"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45"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73" w:type="pct"/>
            <w:tcBorders>
              <w:bottom w:val="single" w:sz="6" w:space="0" w:color="auto"/>
            </w:tcBorders>
            <w:shd w:val="clear" w:color="auto" w:fill="00B050"/>
          </w:tcPr>
          <w:p w:rsidR="009E5A89" w:rsidRDefault="00C476C8">
            <w:pPr>
              <w:pStyle w:val="BodyText0"/>
              <w:widowControl w:val="0"/>
              <w:rPr>
                <w:rFonts w:ascii="Times New Roman" w:hAnsi="Times New Roman"/>
                <w:sz w:val="22"/>
                <w:szCs w:val="22"/>
              </w:rPr>
            </w:pPr>
            <w:r>
              <w:rPr>
                <w:rFonts w:ascii="Times New Roman" w:hAnsi="Times New Roman"/>
                <w:sz w:val="22"/>
                <w:szCs w:val="22"/>
              </w:rPr>
              <w:t>No</w:t>
            </w:r>
          </w:p>
        </w:tc>
      </w:tr>
      <w:tr w:rsidR="009E5A89">
        <w:trPr>
          <w:cantSplit/>
        </w:trPr>
        <w:tc>
          <w:tcPr>
            <w:tcW w:w="686" w:type="pct"/>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CCP Insolvency Risk</w:t>
            </w:r>
          </w:p>
        </w:tc>
        <w:tc>
          <w:tcPr>
            <w:tcW w:w="1396"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45"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73"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r>
      <w:tr w:rsidR="009E5A89">
        <w:trPr>
          <w:cantSplit/>
        </w:trPr>
        <w:tc>
          <w:tcPr>
            <w:tcW w:w="686" w:type="pct"/>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How likely it is that porting will be achieved if we default?</w:t>
            </w:r>
          </w:p>
        </w:tc>
        <w:tc>
          <w:tcPr>
            <w:tcW w:w="1396" w:type="pct"/>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There is a significant risk that porting will not be achieved in respect of positions and assets recorded in a Net Omnibus Client account.</w:t>
            </w:r>
          </w:p>
        </w:tc>
        <w:tc>
          <w:tcPr>
            <w:tcW w:w="1445" w:type="pct"/>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 xml:space="preserve">There is a significant risk </w:t>
            </w:r>
            <w:r>
              <w:rPr>
                <w:rFonts w:ascii="Times New Roman" w:hAnsi="Times New Roman"/>
                <w:sz w:val="22"/>
                <w:szCs w:val="22"/>
                <w:shd w:val="clear" w:color="auto" w:fill="FF0000"/>
              </w:rPr>
              <w:t xml:space="preserve">that porting will not be achieved in respect of positions and assets recorded in a Gross Omnibus Client account. </w:t>
            </w:r>
          </w:p>
        </w:tc>
        <w:tc>
          <w:tcPr>
            <w:tcW w:w="1473" w:type="pct"/>
            <w:shd w:val="clear" w:color="auto" w:fill="00B050"/>
          </w:tcPr>
          <w:p w:rsidR="009E5A89" w:rsidRDefault="00C476C8">
            <w:pPr>
              <w:pStyle w:val="BodyText0"/>
              <w:widowControl w:val="0"/>
              <w:rPr>
                <w:rFonts w:ascii="Times New Roman" w:hAnsi="Times New Roman"/>
                <w:sz w:val="22"/>
                <w:szCs w:val="22"/>
              </w:rPr>
            </w:pPr>
            <w:r>
              <w:rPr>
                <w:rFonts w:ascii="Times New Roman" w:hAnsi="Times New Roman"/>
                <w:sz w:val="22"/>
                <w:szCs w:val="22"/>
              </w:rPr>
              <w:t>If you have satisfied all of the CCP’s and back-up clearing member’s conditions, porting is more readily facilitated in the event of our default.</w:t>
            </w:r>
          </w:p>
        </w:tc>
      </w:tr>
    </w:tbl>
    <w:p w:rsidR="009E5A89" w:rsidRDefault="009E5A89">
      <w:pPr>
        <w:pStyle w:val="TableSpacer"/>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C476C8">
      <w:pPr>
        <w:spacing w:after="0"/>
        <w:jc w:val="left"/>
        <w:rPr>
          <w:rFonts w:ascii="Times New Roman" w:hAnsi="Times New Roman" w:cs="Times New Roman"/>
          <w:sz w:val="22"/>
          <w:szCs w:val="22"/>
          <w:u w:val="single"/>
          <w:lang w:eastAsia="en-CA"/>
        </w:rPr>
      </w:pPr>
      <w:r>
        <w:rPr>
          <w:rFonts w:ascii="Times New Roman" w:hAnsi="Times New Roman" w:cs="Times New Roman"/>
          <w:sz w:val="22"/>
          <w:szCs w:val="22"/>
          <w:u w:val="single"/>
        </w:rPr>
        <w:br w:type="page"/>
      </w:r>
    </w:p>
    <w:p w:rsidR="009E5A89" w:rsidRDefault="00C476C8">
      <w:pPr>
        <w:pStyle w:val="BodyText0"/>
        <w:rPr>
          <w:rFonts w:ascii="Times New Roman" w:hAnsi="Times New Roman"/>
          <w:b/>
          <w:sz w:val="22"/>
          <w:szCs w:val="22"/>
        </w:rPr>
      </w:pPr>
      <w:r>
        <w:rPr>
          <w:rFonts w:ascii="Times New Roman" w:hAnsi="Times New Roman"/>
          <w:b/>
          <w:sz w:val="22"/>
          <w:szCs w:val="22"/>
        </w:rPr>
        <w:t>Additional features that may be available for Individual Client Accounts</w:t>
      </w:r>
    </w:p>
    <w:p w:rsidR="009E5A89" w:rsidRDefault="00C476C8">
      <w:pPr>
        <w:pStyle w:val="BodyText0"/>
        <w:rPr>
          <w:rFonts w:ascii="Times New Roman" w:hAnsi="Times New Roman"/>
          <w:sz w:val="22"/>
          <w:szCs w:val="22"/>
        </w:rPr>
      </w:pPr>
      <w:r>
        <w:rPr>
          <w:rFonts w:ascii="Times New Roman" w:hAnsi="Times New Roman"/>
          <w:sz w:val="22"/>
          <w:szCs w:val="22"/>
        </w:rPr>
        <w:t xml:space="preserve">Some CCPs may offer additional Individual Client Accounts with special features that have been designed to mitigate certain of the risks identified under </w:t>
      </w:r>
      <w:r>
        <w:rPr>
          <w:rFonts w:ascii="Times New Roman" w:hAnsi="Times New Roman"/>
          <w:i/>
          <w:sz w:val="22"/>
          <w:szCs w:val="22"/>
        </w:rPr>
        <w:t>“Typical account structures”</w:t>
      </w:r>
      <w:r>
        <w:rPr>
          <w:rFonts w:ascii="Times New Roman" w:hAnsi="Times New Roman"/>
          <w:sz w:val="22"/>
          <w:szCs w:val="22"/>
        </w:rPr>
        <w:t xml:space="preserve"> above. Below is a high level overview of some of the common additional features. The </w:t>
      </w:r>
      <w:proofErr w:type="gramStart"/>
      <w:r>
        <w:rPr>
          <w:rFonts w:ascii="Times New Roman" w:hAnsi="Times New Roman"/>
          <w:sz w:val="22"/>
          <w:szCs w:val="22"/>
        </w:rPr>
        <w:t>extent</w:t>
      </w:r>
      <w:proofErr w:type="gramEnd"/>
      <w:r>
        <w:rPr>
          <w:rFonts w:ascii="Times New Roman" w:hAnsi="Times New Roman"/>
          <w:sz w:val="22"/>
          <w:szCs w:val="22"/>
        </w:rPr>
        <w:t xml:space="preserve"> to which any risks are mitigated by these additional features, if at all, will depend on the structures used by an individual CCP. Again, therefore, you must review the information provided by the CCPs in order to evaluate the actual risks to you and you may need some professional advice. It is likely that these additional features will only be available to certain types of clients that meet each CCP’s requirements. These additional features are not required by EMIR. Accordingly, not all CCPs will offer them nor are we obliged to facilitate access to them.</w:t>
      </w:r>
    </w:p>
    <w:tbl>
      <w:tblPr>
        <w:tblStyle w:val="TableGrid"/>
        <w:tblW w:w="0" w:type="auto"/>
        <w:tblLook w:val="04A0" w:firstRow="1" w:lastRow="0" w:firstColumn="1" w:lastColumn="0" w:noHBand="0" w:noVBand="1"/>
      </w:tblPr>
      <w:tblGrid>
        <w:gridCol w:w="2943"/>
        <w:gridCol w:w="8080"/>
        <w:gridCol w:w="3197"/>
      </w:tblGrid>
      <w:tr w:rsidR="009E5A89">
        <w:tc>
          <w:tcPr>
            <w:tcW w:w="2943" w:type="dxa"/>
            <w:shd w:val="clear" w:color="auto" w:fill="BFBFBF" w:themeFill="background1" w:themeFillShade="BF"/>
          </w:tcPr>
          <w:p w:rsidR="009E5A89" w:rsidRDefault="00C476C8">
            <w:pPr>
              <w:pStyle w:val="BodyText0"/>
              <w:rPr>
                <w:rFonts w:ascii="Times New Roman" w:hAnsi="Times New Roman"/>
                <w:b/>
                <w:sz w:val="22"/>
                <w:szCs w:val="22"/>
              </w:rPr>
            </w:pPr>
            <w:r>
              <w:rPr>
                <w:rFonts w:ascii="Times New Roman" w:hAnsi="Times New Roman"/>
                <w:b/>
                <w:sz w:val="22"/>
                <w:szCs w:val="22"/>
              </w:rPr>
              <w:t>Additional feature</w:t>
            </w:r>
          </w:p>
        </w:tc>
        <w:tc>
          <w:tcPr>
            <w:tcW w:w="8080" w:type="dxa"/>
            <w:shd w:val="clear" w:color="auto" w:fill="BFBFBF" w:themeFill="background1" w:themeFillShade="BF"/>
          </w:tcPr>
          <w:p w:rsidR="009E5A89" w:rsidRDefault="00C476C8">
            <w:pPr>
              <w:pStyle w:val="BodyText0"/>
              <w:rPr>
                <w:rFonts w:ascii="Times New Roman" w:hAnsi="Times New Roman"/>
                <w:b/>
                <w:sz w:val="22"/>
                <w:szCs w:val="22"/>
              </w:rPr>
            </w:pPr>
            <w:r>
              <w:rPr>
                <w:rFonts w:ascii="Times New Roman" w:hAnsi="Times New Roman"/>
                <w:b/>
                <w:sz w:val="22"/>
                <w:szCs w:val="22"/>
              </w:rPr>
              <w:t>High level overview of the additional feature</w:t>
            </w:r>
          </w:p>
        </w:tc>
        <w:tc>
          <w:tcPr>
            <w:tcW w:w="3197" w:type="dxa"/>
            <w:shd w:val="clear" w:color="auto" w:fill="BFBFBF" w:themeFill="background1" w:themeFillShade="BF"/>
          </w:tcPr>
          <w:p w:rsidR="009E5A89" w:rsidRDefault="00C476C8">
            <w:pPr>
              <w:pStyle w:val="BodyText0"/>
              <w:rPr>
                <w:rFonts w:ascii="Times New Roman" w:hAnsi="Times New Roman"/>
                <w:b/>
                <w:sz w:val="22"/>
                <w:szCs w:val="22"/>
              </w:rPr>
            </w:pPr>
            <w:r>
              <w:rPr>
                <w:rFonts w:ascii="Times New Roman" w:hAnsi="Times New Roman"/>
                <w:b/>
                <w:sz w:val="22"/>
                <w:szCs w:val="22"/>
              </w:rPr>
              <w:t>Which risks might this feature mitigate?</w:t>
            </w:r>
          </w:p>
        </w:tc>
      </w:tr>
      <w:tr w:rsidR="009E5A89">
        <w:tc>
          <w:tcPr>
            <w:tcW w:w="2943" w:type="dxa"/>
          </w:tcPr>
          <w:p w:rsidR="009E5A89" w:rsidRDefault="00C476C8">
            <w:pPr>
              <w:pStyle w:val="BodyText0"/>
              <w:rPr>
                <w:rFonts w:ascii="Times New Roman" w:hAnsi="Times New Roman"/>
                <w:b/>
                <w:sz w:val="22"/>
                <w:szCs w:val="22"/>
              </w:rPr>
            </w:pPr>
            <w:r>
              <w:rPr>
                <w:rFonts w:ascii="Times New Roman" w:hAnsi="Times New Roman"/>
                <w:b/>
                <w:sz w:val="22"/>
                <w:szCs w:val="22"/>
              </w:rPr>
              <w:t>Extended porting period</w:t>
            </w:r>
          </w:p>
        </w:tc>
        <w:tc>
          <w:tcPr>
            <w:tcW w:w="8080" w:type="dxa"/>
          </w:tcPr>
          <w:p w:rsidR="009E5A89" w:rsidRDefault="00C476C8">
            <w:pPr>
              <w:pStyle w:val="BodyText0"/>
              <w:widowControl w:val="0"/>
              <w:rPr>
                <w:rFonts w:ascii="Times New Roman" w:hAnsi="Times New Roman"/>
                <w:sz w:val="22"/>
                <w:szCs w:val="22"/>
              </w:rPr>
            </w:pPr>
            <w:r>
              <w:rPr>
                <w:rFonts w:ascii="Times New Roman" w:hAnsi="Times New Roman"/>
                <w:sz w:val="22"/>
                <w:szCs w:val="22"/>
              </w:rPr>
              <w:t>In the event of our default, this feature has been designed to allow more time for porting to be achieved.</w:t>
            </w:r>
          </w:p>
          <w:p w:rsidR="009E5A89" w:rsidRDefault="00C476C8">
            <w:pPr>
              <w:pStyle w:val="BodyText0"/>
              <w:rPr>
                <w:rFonts w:ascii="Times New Roman" w:hAnsi="Times New Roman"/>
                <w:sz w:val="22"/>
                <w:szCs w:val="22"/>
              </w:rPr>
            </w:pPr>
            <w:r>
              <w:rPr>
                <w:rFonts w:ascii="Times New Roman" w:hAnsi="Times New Roman"/>
                <w:sz w:val="22"/>
                <w:szCs w:val="22"/>
              </w:rPr>
              <w:t xml:space="preserve">For a set period of time (decided by the CCP) following our default, the CCP Transactions and assets that relate to you will continue to be held in an account which the CCP will identify as directly relating to you. If you find a back-up clearing broker, these CCP Transactions and assets will then be transferred to one of their client accounts. If you do not find a back-up clearing broker, they will be terminated and </w:t>
            </w:r>
            <w:proofErr w:type="gramStart"/>
            <w:r>
              <w:rPr>
                <w:rFonts w:ascii="Times New Roman" w:hAnsi="Times New Roman"/>
                <w:sz w:val="22"/>
                <w:szCs w:val="22"/>
              </w:rPr>
              <w:t>the  close</w:t>
            </w:r>
            <w:proofErr w:type="gramEnd"/>
            <w:r>
              <w:rPr>
                <w:rFonts w:ascii="Times New Roman" w:hAnsi="Times New Roman"/>
                <w:sz w:val="22"/>
                <w:szCs w:val="22"/>
              </w:rPr>
              <w:t>-out value returned to you.</w:t>
            </w:r>
          </w:p>
          <w:p w:rsidR="009E5A89" w:rsidRDefault="00C476C8">
            <w:pPr>
              <w:pStyle w:val="BodyText0"/>
              <w:widowControl w:val="0"/>
              <w:rPr>
                <w:rFonts w:ascii="Times New Roman" w:hAnsi="Times New Roman"/>
                <w:sz w:val="22"/>
                <w:szCs w:val="22"/>
              </w:rPr>
            </w:pPr>
            <w:r>
              <w:rPr>
                <w:rFonts w:ascii="Times New Roman" w:hAnsi="Times New Roman"/>
                <w:sz w:val="22"/>
                <w:szCs w:val="22"/>
              </w:rPr>
              <w:t xml:space="preserve">Where the CCP treats the Client as an interim Clearing Member, it is possible that the CCP may expect you to contribute to the default fund and may require additional margin, including variation margin, to be provided in respect of the CCP Transactions transferred to you. </w:t>
            </w:r>
          </w:p>
          <w:p w:rsidR="009E5A89" w:rsidRDefault="00C476C8">
            <w:pPr>
              <w:pStyle w:val="BodyText0"/>
              <w:widowControl w:val="0"/>
              <w:rPr>
                <w:rFonts w:ascii="Times New Roman" w:hAnsi="Times New Roman"/>
                <w:sz w:val="22"/>
                <w:szCs w:val="22"/>
              </w:rPr>
            </w:pPr>
            <w:r>
              <w:rPr>
                <w:rFonts w:ascii="Times New Roman" w:hAnsi="Times New Roman"/>
                <w:sz w:val="22"/>
                <w:szCs w:val="22"/>
              </w:rPr>
              <w:t>It is possible that you may have to set up such accounts as the CCP requires and have the ability to make payments directly to the CCP. The CCP may also have an additional list of requirements that you will have to satisfy to be able to use the extended porting period.</w:t>
            </w:r>
          </w:p>
        </w:tc>
        <w:tc>
          <w:tcPr>
            <w:tcW w:w="3197" w:type="dxa"/>
          </w:tcPr>
          <w:p w:rsidR="009E5A89" w:rsidRDefault="00C476C8">
            <w:pPr>
              <w:pStyle w:val="BodyText0"/>
              <w:rPr>
                <w:rFonts w:ascii="Times New Roman" w:hAnsi="Times New Roman"/>
                <w:sz w:val="22"/>
                <w:szCs w:val="22"/>
              </w:rPr>
            </w:pPr>
            <w:r>
              <w:rPr>
                <w:rFonts w:ascii="Times New Roman" w:hAnsi="Times New Roman"/>
                <w:sz w:val="22"/>
                <w:szCs w:val="22"/>
              </w:rPr>
              <w:t>This may make porting more likely to be achieved.</w:t>
            </w:r>
          </w:p>
        </w:tc>
      </w:tr>
      <w:tr w:rsidR="009E5A89">
        <w:tc>
          <w:tcPr>
            <w:tcW w:w="2943" w:type="dxa"/>
          </w:tcPr>
          <w:p w:rsidR="009E5A89" w:rsidRDefault="00C476C8">
            <w:pPr>
              <w:pStyle w:val="BodyText0"/>
              <w:rPr>
                <w:rFonts w:ascii="Times New Roman" w:hAnsi="Times New Roman"/>
                <w:b/>
                <w:sz w:val="22"/>
                <w:szCs w:val="22"/>
              </w:rPr>
            </w:pPr>
            <w:r>
              <w:rPr>
                <w:rFonts w:ascii="Times New Roman" w:hAnsi="Times New Roman"/>
                <w:b/>
                <w:sz w:val="22"/>
                <w:szCs w:val="22"/>
              </w:rPr>
              <w:t>Separate custody account (in the name of the CCP) for the assets that have been provided as margin for positions relating to you</w:t>
            </w:r>
          </w:p>
        </w:tc>
        <w:tc>
          <w:tcPr>
            <w:tcW w:w="8080" w:type="dxa"/>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assets relating to your positions are held in a separate account (in the CCP’s name) at the CCP’s custodian from any other assets held for the CCP.</w:t>
            </w:r>
          </w:p>
          <w:p w:rsidR="009E5A89" w:rsidRDefault="00C476C8">
            <w:pPr>
              <w:pStyle w:val="BodyText0"/>
              <w:widowControl w:val="0"/>
              <w:rPr>
                <w:rFonts w:ascii="Times New Roman" w:hAnsi="Times New Roman"/>
                <w:sz w:val="22"/>
                <w:szCs w:val="22"/>
              </w:rPr>
            </w:pPr>
            <w:r>
              <w:rPr>
                <w:rFonts w:ascii="Times New Roman" w:hAnsi="Times New Roman"/>
                <w:sz w:val="22"/>
                <w:szCs w:val="22"/>
              </w:rPr>
              <w:t>It is likely that you will have to enter into additional legal documentation with us and the CCP.</w:t>
            </w:r>
          </w:p>
          <w:p w:rsidR="009E5A89" w:rsidRDefault="009E5A89">
            <w:pPr>
              <w:pStyle w:val="BodyText0"/>
              <w:rPr>
                <w:rFonts w:ascii="Times New Roman" w:hAnsi="Times New Roman"/>
                <w:sz w:val="22"/>
                <w:szCs w:val="22"/>
              </w:rPr>
            </w:pPr>
          </w:p>
        </w:tc>
        <w:tc>
          <w:tcPr>
            <w:tcW w:w="3197" w:type="dxa"/>
          </w:tcPr>
          <w:p w:rsidR="009E5A89" w:rsidRDefault="00C476C8">
            <w:pPr>
              <w:pStyle w:val="BodyText0"/>
              <w:rPr>
                <w:rFonts w:ascii="Times New Roman" w:hAnsi="Times New Roman"/>
                <w:sz w:val="22"/>
                <w:szCs w:val="22"/>
              </w:rPr>
            </w:pPr>
            <w:r>
              <w:rPr>
                <w:rFonts w:ascii="Times New Roman" w:hAnsi="Times New Roman"/>
                <w:sz w:val="22"/>
                <w:szCs w:val="22"/>
              </w:rPr>
              <w:t>This may make porting more likely to be achieved.</w:t>
            </w:r>
          </w:p>
        </w:tc>
      </w:tr>
      <w:tr w:rsidR="009E5A89">
        <w:tc>
          <w:tcPr>
            <w:tcW w:w="2943" w:type="dxa"/>
          </w:tcPr>
          <w:p w:rsidR="009E5A89" w:rsidRDefault="00C476C8">
            <w:pPr>
              <w:pStyle w:val="BodyText0"/>
              <w:rPr>
                <w:rFonts w:ascii="Times New Roman" w:hAnsi="Times New Roman"/>
                <w:b/>
                <w:sz w:val="22"/>
                <w:szCs w:val="22"/>
              </w:rPr>
            </w:pPr>
            <w:r>
              <w:rPr>
                <w:rFonts w:ascii="Times New Roman" w:hAnsi="Times New Roman"/>
                <w:b/>
                <w:sz w:val="22"/>
                <w:szCs w:val="22"/>
              </w:rPr>
              <w:t>Ability for you to keep assets required as margin for positions relating to you in a custody account in your name.</w:t>
            </w:r>
          </w:p>
        </w:tc>
        <w:tc>
          <w:tcPr>
            <w:tcW w:w="8080" w:type="dxa"/>
          </w:tcPr>
          <w:p w:rsidR="009E5A89" w:rsidRDefault="00C476C8">
            <w:pPr>
              <w:pStyle w:val="BodyText0"/>
              <w:rPr>
                <w:rFonts w:ascii="Times New Roman" w:hAnsi="Times New Roman"/>
                <w:sz w:val="22"/>
                <w:szCs w:val="22"/>
              </w:rPr>
            </w:pPr>
            <w:r>
              <w:rPr>
                <w:rFonts w:ascii="Times New Roman" w:hAnsi="Times New Roman"/>
                <w:sz w:val="22"/>
                <w:szCs w:val="22"/>
              </w:rPr>
              <w:t xml:space="preserve">It is likely that you will have to enter into additional legal documentation and security arrangements with us and the CCP, and any custodian or settlement bank used under this structure. </w:t>
            </w:r>
          </w:p>
          <w:p w:rsidR="009E5A89" w:rsidRDefault="00C476C8">
            <w:pPr>
              <w:pStyle w:val="BodyText0"/>
              <w:rPr>
                <w:rFonts w:ascii="Times New Roman" w:hAnsi="Times New Roman"/>
                <w:sz w:val="22"/>
                <w:szCs w:val="22"/>
              </w:rPr>
            </w:pPr>
            <w:r>
              <w:rPr>
                <w:rFonts w:ascii="Times New Roman" w:hAnsi="Times New Roman"/>
                <w:sz w:val="22"/>
                <w:szCs w:val="22"/>
              </w:rPr>
              <w:t>This additional feature may be restricted to certain types of non-cash assets.</w:t>
            </w:r>
          </w:p>
          <w:p w:rsidR="009E5A89" w:rsidRDefault="00C476C8">
            <w:pPr>
              <w:pStyle w:val="BodyText0"/>
              <w:rPr>
                <w:rFonts w:ascii="Times New Roman" w:hAnsi="Times New Roman"/>
                <w:sz w:val="22"/>
                <w:szCs w:val="22"/>
              </w:rPr>
            </w:pPr>
            <w:r>
              <w:rPr>
                <w:rFonts w:ascii="Times New Roman" w:hAnsi="Times New Roman"/>
                <w:sz w:val="22"/>
                <w:szCs w:val="22"/>
              </w:rPr>
              <w:t>The custodian may be specified by or require the approval of the CCP.</w:t>
            </w:r>
          </w:p>
          <w:p w:rsidR="009E5A89" w:rsidRDefault="00C476C8">
            <w:pPr>
              <w:pStyle w:val="BodyText0"/>
              <w:rPr>
                <w:rFonts w:ascii="Times New Roman" w:hAnsi="Times New Roman"/>
                <w:sz w:val="22"/>
                <w:szCs w:val="22"/>
              </w:rPr>
            </w:pPr>
            <w:r>
              <w:rPr>
                <w:rFonts w:ascii="Times New Roman" w:hAnsi="Times New Roman"/>
                <w:sz w:val="22"/>
                <w:szCs w:val="22"/>
              </w:rPr>
              <w:t>There will be additional operational requirements that you will need to meet in order to use this type of additional feature.</w:t>
            </w:r>
          </w:p>
        </w:tc>
        <w:tc>
          <w:tcPr>
            <w:tcW w:w="3197" w:type="dxa"/>
          </w:tcPr>
          <w:p w:rsidR="009E5A89" w:rsidRDefault="00C476C8">
            <w:pPr>
              <w:pStyle w:val="BodyText0"/>
              <w:rPr>
                <w:rFonts w:ascii="Times New Roman" w:hAnsi="Times New Roman"/>
                <w:sz w:val="22"/>
                <w:szCs w:val="22"/>
              </w:rPr>
            </w:pPr>
            <w:r>
              <w:rPr>
                <w:rFonts w:ascii="Times New Roman" w:hAnsi="Times New Roman"/>
                <w:sz w:val="22"/>
                <w:szCs w:val="22"/>
              </w:rPr>
              <w:t>Transit Risk</w:t>
            </w:r>
          </w:p>
          <w:p w:rsidR="009E5A89" w:rsidRDefault="00C476C8">
            <w:pPr>
              <w:pStyle w:val="BodyText0"/>
              <w:rPr>
                <w:rFonts w:ascii="Times New Roman" w:hAnsi="Times New Roman"/>
                <w:sz w:val="22"/>
                <w:szCs w:val="22"/>
              </w:rPr>
            </w:pPr>
            <w:r>
              <w:rPr>
                <w:rFonts w:ascii="Times New Roman" w:hAnsi="Times New Roman"/>
                <w:sz w:val="22"/>
                <w:szCs w:val="22"/>
              </w:rPr>
              <w:t>CCP Insolvency Risk</w:t>
            </w:r>
          </w:p>
          <w:p w:rsidR="009E5A89" w:rsidRDefault="00C476C8">
            <w:pPr>
              <w:pStyle w:val="BodyText0"/>
              <w:rPr>
                <w:rFonts w:ascii="Times New Roman" w:hAnsi="Times New Roman"/>
                <w:sz w:val="22"/>
                <w:szCs w:val="22"/>
              </w:rPr>
            </w:pPr>
            <w:r>
              <w:rPr>
                <w:rFonts w:ascii="Times New Roman" w:hAnsi="Times New Roman"/>
                <w:sz w:val="22"/>
                <w:szCs w:val="22"/>
              </w:rPr>
              <w:t>This may make porting more likely to be achieved.</w:t>
            </w:r>
          </w:p>
        </w:tc>
      </w:tr>
      <w:tr w:rsidR="009E5A89">
        <w:tc>
          <w:tcPr>
            <w:tcW w:w="2943" w:type="dxa"/>
          </w:tcPr>
          <w:p w:rsidR="009E5A89" w:rsidRDefault="00C476C8">
            <w:pPr>
              <w:pStyle w:val="BodyText0"/>
              <w:rPr>
                <w:rFonts w:ascii="Times New Roman" w:hAnsi="Times New Roman"/>
                <w:b/>
                <w:sz w:val="22"/>
                <w:szCs w:val="22"/>
              </w:rPr>
            </w:pPr>
            <w:r>
              <w:rPr>
                <w:rFonts w:ascii="Times New Roman" w:hAnsi="Times New Roman"/>
                <w:b/>
                <w:sz w:val="22"/>
                <w:szCs w:val="22"/>
              </w:rPr>
              <w:t>Ability for you to post margin directly to the CCP.</w:t>
            </w:r>
          </w:p>
        </w:tc>
        <w:tc>
          <w:tcPr>
            <w:tcW w:w="8080" w:type="dxa"/>
          </w:tcPr>
          <w:p w:rsidR="009E5A89" w:rsidRDefault="00C476C8">
            <w:pPr>
              <w:pStyle w:val="BodyText0"/>
              <w:rPr>
                <w:rFonts w:ascii="Times New Roman" w:hAnsi="Times New Roman"/>
                <w:sz w:val="22"/>
                <w:szCs w:val="22"/>
              </w:rPr>
            </w:pPr>
            <w:r>
              <w:rPr>
                <w:rFonts w:ascii="Times New Roman" w:hAnsi="Times New Roman"/>
                <w:sz w:val="22"/>
                <w:szCs w:val="22"/>
              </w:rPr>
              <w:t>You may be able to post margin directly to the CCP rather than you posting it to us, and us in turn posting it on to the CCP.</w:t>
            </w:r>
          </w:p>
          <w:p w:rsidR="009E5A89" w:rsidRDefault="00C476C8">
            <w:pPr>
              <w:pStyle w:val="BodyText0"/>
              <w:rPr>
                <w:rFonts w:ascii="Times New Roman" w:hAnsi="Times New Roman"/>
                <w:sz w:val="22"/>
                <w:szCs w:val="22"/>
              </w:rPr>
            </w:pPr>
            <w:r>
              <w:rPr>
                <w:rFonts w:ascii="Times New Roman" w:hAnsi="Times New Roman"/>
                <w:sz w:val="22"/>
                <w:szCs w:val="22"/>
              </w:rPr>
              <w:t>This form of account may require you to have an account with particular custodians and settlement banks. The custodians and settlement banks are likely to be specified by the CCP.</w:t>
            </w:r>
          </w:p>
          <w:p w:rsidR="009E5A89" w:rsidRDefault="00C476C8">
            <w:pPr>
              <w:pStyle w:val="BodyText0"/>
              <w:rPr>
                <w:rFonts w:ascii="Times New Roman" w:hAnsi="Times New Roman"/>
                <w:sz w:val="22"/>
                <w:szCs w:val="22"/>
              </w:rPr>
            </w:pPr>
            <w:r>
              <w:rPr>
                <w:rFonts w:ascii="Times New Roman" w:hAnsi="Times New Roman"/>
                <w:sz w:val="22"/>
                <w:szCs w:val="22"/>
              </w:rPr>
              <w:t>You will have to enter into additional legal documentation with us and the CCP.</w:t>
            </w:r>
          </w:p>
          <w:p w:rsidR="009E5A89" w:rsidRDefault="00C476C8">
            <w:pPr>
              <w:pStyle w:val="BodyText0"/>
              <w:rPr>
                <w:rFonts w:ascii="Times New Roman" w:hAnsi="Times New Roman"/>
                <w:sz w:val="22"/>
                <w:szCs w:val="22"/>
              </w:rPr>
            </w:pPr>
            <w:r>
              <w:rPr>
                <w:rFonts w:ascii="Times New Roman" w:hAnsi="Times New Roman"/>
                <w:sz w:val="22"/>
                <w:szCs w:val="22"/>
              </w:rPr>
              <w:t>There will be additional operational requirements which you will need to meet in order to use this type of additional feature.</w:t>
            </w:r>
          </w:p>
        </w:tc>
        <w:tc>
          <w:tcPr>
            <w:tcW w:w="3197" w:type="dxa"/>
          </w:tcPr>
          <w:p w:rsidR="009E5A89" w:rsidRDefault="00C476C8">
            <w:pPr>
              <w:pStyle w:val="BodyText0"/>
              <w:rPr>
                <w:rFonts w:ascii="Times New Roman" w:hAnsi="Times New Roman"/>
                <w:sz w:val="22"/>
                <w:szCs w:val="22"/>
              </w:rPr>
            </w:pPr>
            <w:r>
              <w:rPr>
                <w:rFonts w:ascii="Times New Roman" w:hAnsi="Times New Roman"/>
                <w:sz w:val="22"/>
                <w:szCs w:val="22"/>
              </w:rPr>
              <w:t>Transit Risk</w:t>
            </w:r>
          </w:p>
          <w:p w:rsidR="009E5A89" w:rsidRDefault="009E5A89">
            <w:pPr>
              <w:pStyle w:val="BodyText0"/>
              <w:rPr>
                <w:rFonts w:ascii="Times New Roman" w:hAnsi="Times New Roman"/>
                <w:sz w:val="22"/>
                <w:szCs w:val="22"/>
              </w:rPr>
            </w:pPr>
          </w:p>
        </w:tc>
      </w:tr>
    </w:tbl>
    <w:p w:rsidR="009E5A89" w:rsidRDefault="009E5A89">
      <w:pPr>
        <w:pStyle w:val="BodyText0"/>
        <w:rPr>
          <w:rFonts w:ascii="Times New Roman" w:hAnsi="Times New Roman"/>
          <w:sz w:val="22"/>
          <w:szCs w:val="22"/>
        </w:rPr>
        <w:sectPr w:rsidR="009E5A89">
          <w:footerReference w:type="default" r:id="rId13"/>
          <w:headerReference w:type="first" r:id="rId14"/>
          <w:endnotePr>
            <w:numFmt w:val="decimal"/>
          </w:endnotePr>
          <w:pgSz w:w="16840" w:h="11907" w:orient="landscape" w:code="9"/>
          <w:pgMar w:top="1418" w:right="1418" w:bottom="1418" w:left="1418" w:header="851" w:footer="851" w:gutter="0"/>
          <w:cols w:space="708"/>
          <w:vAlign w:val="center"/>
          <w:docGrid w:linePitch="360"/>
        </w:sectPr>
      </w:pPr>
    </w:p>
    <w:p w:rsidR="009E5A89" w:rsidRDefault="00C476C8">
      <w:pPr>
        <w:pStyle w:val="BodyText0"/>
        <w:jc w:val="center"/>
        <w:rPr>
          <w:rFonts w:ascii="Times New Roman" w:hAnsi="Times New Roman"/>
          <w:b/>
          <w:sz w:val="22"/>
          <w:szCs w:val="22"/>
          <w:u w:val="single"/>
        </w:rPr>
      </w:pPr>
      <w:bookmarkStart w:id="1" w:name="temp_007354"/>
      <w:bookmarkEnd w:id="1"/>
      <w:r>
        <w:rPr>
          <w:rFonts w:ascii="Times New Roman" w:hAnsi="Times New Roman"/>
          <w:b/>
          <w:sz w:val="22"/>
          <w:szCs w:val="22"/>
          <w:u w:val="single"/>
        </w:rPr>
        <w:t>Links to CCP disclosure documents</w:t>
      </w:r>
    </w:p>
    <w:p w:rsidR="009E5A89" w:rsidRDefault="00C476C8">
      <w:pPr>
        <w:pStyle w:val="BodyText0"/>
        <w:rPr>
          <w:rFonts w:ascii="Times New Roman" w:hAnsi="Times New Roman"/>
          <w:sz w:val="22"/>
          <w:szCs w:val="22"/>
        </w:rPr>
      </w:pPr>
      <w:r>
        <w:rPr>
          <w:rFonts w:ascii="Times New Roman" w:hAnsi="Times New Roman"/>
          <w:sz w:val="22"/>
          <w:szCs w:val="22"/>
        </w:rPr>
        <w:t>Please note that these links have been included for convenience only. In the event that any of them do not work, you should contact the relevant CCP directly.</w:t>
      </w:r>
    </w:p>
    <w:p w:rsidR="009E5A89" w:rsidRDefault="00C476C8">
      <w:pPr>
        <w:pStyle w:val="BodyText0"/>
        <w:rPr>
          <w:rFonts w:ascii="Times New Roman" w:hAnsi="Times New Roman"/>
          <w:sz w:val="22"/>
          <w:szCs w:val="22"/>
        </w:rPr>
      </w:pPr>
      <w:r>
        <w:rPr>
          <w:rFonts w:ascii="Times New Roman" w:hAnsi="Times New Roman"/>
          <w:sz w:val="22"/>
          <w:szCs w:val="22"/>
        </w:rPr>
        <w:t xml:space="preserve">Eurex Clearing AG: </w:t>
      </w:r>
    </w:p>
    <w:p w:rsidR="009E5A89" w:rsidRDefault="00561FDD">
      <w:pPr>
        <w:pStyle w:val="BodyText0"/>
        <w:rPr>
          <w:rFonts w:ascii="Times New Roman" w:hAnsi="Times New Roman"/>
          <w:sz w:val="22"/>
          <w:szCs w:val="22"/>
        </w:rPr>
      </w:pPr>
      <w:hyperlink r:id="rId15" w:history="1">
        <w:r w:rsidR="00C476C8">
          <w:rPr>
            <w:rStyle w:val="Hyperlink"/>
            <w:rFonts w:ascii="Times New Roman" w:hAnsi="Times New Roman"/>
            <w:sz w:val="22"/>
            <w:szCs w:val="22"/>
          </w:rPr>
          <w:t>http://www.eurexclearing.com/clearing-en/risk-management/client-asset-protection/143894/</w:t>
        </w:r>
      </w:hyperlink>
    </w:p>
    <w:p w:rsidR="009E5A89" w:rsidRDefault="00C476C8">
      <w:pPr>
        <w:pStyle w:val="BodyText0"/>
        <w:rPr>
          <w:rFonts w:ascii="Times New Roman" w:hAnsi="Times New Roman"/>
          <w:sz w:val="22"/>
          <w:szCs w:val="22"/>
        </w:rPr>
      </w:pPr>
      <w:r>
        <w:rPr>
          <w:rFonts w:ascii="Times New Roman" w:hAnsi="Times New Roman"/>
          <w:sz w:val="22"/>
          <w:szCs w:val="22"/>
        </w:rPr>
        <w:t>LCH Clearnet Ltd:</w:t>
      </w:r>
    </w:p>
    <w:p w:rsidR="00FB255D" w:rsidRPr="003D263C" w:rsidRDefault="00561FDD">
      <w:pPr>
        <w:pStyle w:val="BodyText0"/>
        <w:rPr>
          <w:rFonts w:ascii="Times New Roman" w:hAnsi="Times New Roman"/>
          <w:color w:val="1F497D"/>
          <w:sz w:val="22"/>
          <w:szCs w:val="22"/>
        </w:rPr>
      </w:pPr>
      <w:hyperlink r:id="rId16" w:history="1">
        <w:r w:rsidR="00FB255D" w:rsidRPr="003D263C">
          <w:rPr>
            <w:rStyle w:val="Hyperlink"/>
            <w:rFonts w:ascii="Times New Roman" w:hAnsi="Times New Roman"/>
            <w:color w:val="000000"/>
            <w:sz w:val="22"/>
            <w:szCs w:val="22"/>
          </w:rPr>
          <w:t>http://www.lchclearnet.com/about_us/corporate_governance/ltd_account_structures_under_emir.asp</w:t>
        </w:r>
      </w:hyperlink>
      <w:r w:rsidR="00FB255D" w:rsidRPr="003D263C">
        <w:rPr>
          <w:rFonts w:ascii="Times New Roman" w:hAnsi="Times New Roman"/>
          <w:color w:val="1F497D"/>
          <w:sz w:val="22"/>
          <w:szCs w:val="22"/>
        </w:rPr>
        <w:t xml:space="preserve"> </w:t>
      </w:r>
    </w:p>
    <w:p w:rsidR="009E5A89" w:rsidRDefault="00C476C8">
      <w:pPr>
        <w:pStyle w:val="BodyText0"/>
        <w:rPr>
          <w:rFonts w:ascii="Times New Roman" w:hAnsi="Times New Roman"/>
          <w:sz w:val="22"/>
          <w:szCs w:val="22"/>
        </w:rPr>
      </w:pPr>
      <w:r>
        <w:rPr>
          <w:rFonts w:ascii="Times New Roman" w:hAnsi="Times New Roman"/>
          <w:sz w:val="22"/>
          <w:szCs w:val="22"/>
        </w:rPr>
        <w:t>LCH Clearnet SA:</w:t>
      </w:r>
    </w:p>
    <w:p w:rsidR="009E5A89" w:rsidRPr="003D263C" w:rsidRDefault="00561FDD">
      <w:pPr>
        <w:pStyle w:val="BodyText0"/>
        <w:rPr>
          <w:rFonts w:ascii="Times New Roman" w:hAnsi="Times New Roman"/>
          <w:sz w:val="22"/>
          <w:szCs w:val="22"/>
        </w:rPr>
      </w:pPr>
      <w:hyperlink r:id="rId17" w:history="1">
        <w:r w:rsidR="00FB255D" w:rsidRPr="003D263C">
          <w:rPr>
            <w:rStyle w:val="Hyperlink"/>
            <w:rFonts w:ascii="Times New Roman" w:hAnsi="Times New Roman"/>
            <w:color w:val="000000"/>
            <w:sz w:val="22"/>
            <w:szCs w:val="22"/>
          </w:rPr>
          <w:t>http://www.lchclearnet.com/about_us/corporate_governance/sa_account_structures_under_emir.asp</w:t>
        </w:r>
      </w:hyperlink>
      <w:r w:rsidR="00FB255D" w:rsidRPr="003D263C">
        <w:rPr>
          <w:rFonts w:ascii="Times New Roman" w:hAnsi="Times New Roman"/>
          <w:color w:val="1F497D"/>
          <w:sz w:val="22"/>
          <w:szCs w:val="22"/>
        </w:rPr>
        <w:t xml:space="preserve"> </w:t>
      </w:r>
    </w:p>
    <w:p w:rsidR="009E5A89" w:rsidRDefault="00C476C8">
      <w:pPr>
        <w:pStyle w:val="BodyText0"/>
        <w:rPr>
          <w:rFonts w:ascii="Times New Roman" w:hAnsi="Times New Roman"/>
          <w:sz w:val="22"/>
          <w:szCs w:val="22"/>
          <w:lang w:val="pl-PL"/>
        </w:rPr>
      </w:pPr>
      <w:r>
        <w:rPr>
          <w:rFonts w:ascii="Times New Roman" w:hAnsi="Times New Roman"/>
          <w:sz w:val="22"/>
          <w:szCs w:val="22"/>
          <w:lang w:val="pl-PL"/>
        </w:rPr>
        <w:t>Nasdaq OMX:</w:t>
      </w:r>
    </w:p>
    <w:p w:rsidR="009E5A89" w:rsidRDefault="00561FDD">
      <w:pPr>
        <w:pStyle w:val="BodyText0"/>
        <w:rPr>
          <w:rFonts w:ascii="Times New Roman" w:hAnsi="Times New Roman"/>
          <w:sz w:val="22"/>
          <w:szCs w:val="22"/>
          <w:lang w:val="pl-PL"/>
        </w:rPr>
      </w:pPr>
      <w:hyperlink r:id="rId18" w:history="1">
        <w:r w:rsidR="00C476C8">
          <w:rPr>
            <w:rStyle w:val="Hyperlink"/>
            <w:rFonts w:ascii="Times New Roman" w:hAnsi="Times New Roman"/>
            <w:sz w:val="22"/>
            <w:szCs w:val="22"/>
            <w:lang w:val="pl-PL"/>
          </w:rPr>
          <w:t>http://www.nasdaqomx.com/europeanclearing/newsmandatorychanges/segregationportability</w:t>
        </w:r>
      </w:hyperlink>
    </w:p>
    <w:p w:rsidR="009E5A89" w:rsidRDefault="009E5A89">
      <w:pPr>
        <w:pStyle w:val="BodyText0"/>
        <w:rPr>
          <w:rFonts w:ascii="Times New Roman" w:hAnsi="Times New Roman"/>
          <w:sz w:val="22"/>
          <w:szCs w:val="22"/>
          <w:lang w:val="pl-PL"/>
        </w:rPr>
      </w:pPr>
    </w:p>
    <w:p w:rsidR="009E5A89" w:rsidRDefault="009E5A89">
      <w:pPr>
        <w:pStyle w:val="BodyText0"/>
        <w:jc w:val="center"/>
        <w:rPr>
          <w:rFonts w:ascii="Times New Roman" w:hAnsi="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eastAsia="en-CA"/>
        </w:rPr>
      </w:pPr>
    </w:p>
    <w:sectPr w:rsidR="009E5A89">
      <w:footerReference w:type="default" r:id="rId19"/>
      <w:footerReference w:type="first" r:id="rId20"/>
      <w:pgSz w:w="11907" w:h="16840" w:code="9"/>
      <w:pgMar w:top="1418" w:right="1418" w:bottom="1418" w:left="1418" w:header="851" w:footer="567"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26" w:rsidRDefault="00A85526">
      <w:r>
        <w:separator/>
      </w:r>
    </w:p>
  </w:endnote>
  <w:endnote w:type="continuationSeparator" w:id="0">
    <w:p w:rsidR="00A85526" w:rsidRDefault="00A85526">
      <w:r>
        <w:continuationSeparator/>
      </w:r>
    </w:p>
  </w:endnote>
  <w:endnote w:id="1">
    <w:p w:rsidR="009E5A89" w:rsidRDefault="00C476C8">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The Guidance Notes included in this annotated version of the Clearing Member Disclosure Document are for general information only and do not constitute legal advice. If in doubt, users of the Disclosure Document should seek legal advice. This document has been drafted to assist firms to implement a requirement under Article 39(7) EMIR. The explanations included in the document are high level summaries and analyses of several complex and/or new areas of law and regulation and arrangements put in place by a series of CCPs, many of which are not yet finalised or fully explained in the public domain. This work is based on the interpretation of these matters by Norton Rose Fulbright LLP (</w:t>
      </w:r>
      <w:r w:rsidR="00BE7F2A">
        <w:rPr>
          <w:rFonts w:ascii="Times New Roman" w:hAnsi="Times New Roman" w:cs="Times New Roman"/>
        </w:rPr>
        <w:t xml:space="preserve">as influenced by members of FIA </w:t>
      </w:r>
      <w:r>
        <w:rPr>
          <w:rFonts w:ascii="Times New Roman" w:hAnsi="Times New Roman" w:cs="Times New Roman"/>
        </w:rPr>
        <w:t xml:space="preserve">and ISDA) as at 12 February 2014 but the underlying law and CCP arrangements may change over time and it will not necessarily be updated. The document as drafted may not be sufficient to enable any particular firm to comply with Article 39(7) and may need tailoring to reflect its needs and those of its clients. In particular, the document has been prepared on the basis of English law and it should be noted that issues under other laws may be relevant: for example, the law governing the CCP rules or related agreements; the law governing the firm’s insolvency; the law of the jurisdiction of incorporation of the CCP; and the law of the location of any assets. </w:t>
      </w:r>
    </w:p>
    <w:p w:rsidR="009E5A89" w:rsidRDefault="009E5A89">
      <w:pPr>
        <w:pStyle w:val="EndnoteText"/>
        <w:rPr>
          <w:rFonts w:ascii="Times New Roman" w:hAnsi="Times New Roman" w:cs="Times New Roman"/>
          <w:lang w:val="en-GB"/>
        </w:rPr>
      </w:pPr>
    </w:p>
  </w:endnote>
  <w:endnote w:id="2">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document has been drafted as a template that can be used as a starting point for firms seeking to comply with their obligations under Article 39(7) EMIR (subject to footnote 5). Firms may wish to amend certain parts of the document by deleting, changing, expanding or supplementing certain sections to reflect the nature of their own organisation, the way in which they organise the derivatives clearing activity and the terms of their relationships with clients. These Guidance Notes indicate some of the areas where and reasons why this might be appropriate but members should feel free to make whatever amendments they</w:t>
      </w:r>
      <w:r w:rsidR="00BE7F2A">
        <w:rPr>
          <w:rFonts w:ascii="Times New Roman" w:hAnsi="Times New Roman" w:cs="Times New Roman"/>
        </w:rPr>
        <w:t xml:space="preserve"> wish. Users may include FIA </w:t>
      </w:r>
      <w:r>
        <w:rPr>
          <w:rFonts w:ascii="Times New Roman" w:hAnsi="Times New Roman" w:cs="Times New Roman"/>
        </w:rPr>
        <w:t>and ISDA logos on the Disclosure Document provided that no amendments are made to the text as is set out in this document (</w:t>
      </w:r>
      <w:proofErr w:type="gramStart"/>
      <w:r>
        <w:rPr>
          <w:rFonts w:ascii="Times New Roman" w:hAnsi="Times New Roman" w:cs="Times New Roman"/>
        </w:rPr>
        <w:t>except</w:t>
      </w:r>
      <w:proofErr w:type="gramEnd"/>
      <w:r>
        <w:rPr>
          <w:rFonts w:ascii="Times New Roman" w:hAnsi="Times New Roman" w:cs="Times New Roman"/>
        </w:rPr>
        <w:t xml:space="preserve"> as otherwise provided for in these Guidance Notes). If users make any other amendments to the document, they are not permitted to use </w:t>
      </w:r>
      <w:r w:rsidR="00BE7F2A">
        <w:rPr>
          <w:rFonts w:ascii="Times New Roman" w:hAnsi="Times New Roman" w:cs="Times New Roman"/>
        </w:rPr>
        <w:t xml:space="preserve">FIA </w:t>
      </w:r>
      <w:r>
        <w:rPr>
          <w:rFonts w:ascii="Times New Roman" w:hAnsi="Times New Roman" w:cs="Times New Roman"/>
        </w:rPr>
        <w:t>or ISDA logos.</w:t>
      </w:r>
    </w:p>
    <w:p w:rsidR="009E5A89" w:rsidRDefault="009E5A89">
      <w:pPr>
        <w:pStyle w:val="EndnoteText"/>
        <w:rPr>
          <w:rFonts w:ascii="Times New Roman" w:hAnsi="Times New Roman" w:cs="Times New Roman"/>
        </w:rPr>
      </w:pPr>
    </w:p>
    <w:p w:rsidR="009E5A89" w:rsidRDefault="00C476C8">
      <w:pPr>
        <w:pStyle w:val="EndnoteText"/>
        <w:rPr>
          <w:rFonts w:ascii="Times New Roman" w:hAnsi="Times New Roman" w:cs="Times New Roman"/>
        </w:rPr>
      </w:pPr>
      <w:r>
        <w:rPr>
          <w:rFonts w:ascii="Times New Roman" w:hAnsi="Times New Roman" w:cs="Times New Roman"/>
        </w:rPr>
        <w:t xml:space="preserve">The document has been developed on the basis of discussion among members of </w:t>
      </w:r>
      <w:r w:rsidR="003E1421">
        <w:rPr>
          <w:rFonts w:ascii="Times New Roman" w:hAnsi="Times New Roman" w:cs="Times New Roman"/>
        </w:rPr>
        <w:t>FIA</w:t>
      </w:r>
      <w:r>
        <w:rPr>
          <w:rFonts w:ascii="Times New Roman" w:hAnsi="Times New Roman" w:cs="Times New Roman"/>
        </w:rPr>
        <w:t xml:space="preserve"> and ISDA.</w:t>
      </w:r>
    </w:p>
    <w:p w:rsidR="009E5A89" w:rsidRDefault="009E5A89">
      <w:pPr>
        <w:pStyle w:val="EndnoteText"/>
        <w:rPr>
          <w:rFonts w:ascii="Times New Roman" w:hAnsi="Times New Roman" w:cs="Times New Roman"/>
          <w:lang w:val="en-GB"/>
        </w:rPr>
      </w:pPr>
    </w:p>
  </w:endnote>
  <w:endnote w:id="3">
    <w:p w:rsidR="009E5A89" w:rsidRDefault="00C476C8">
      <w:pPr>
        <w:pStyle w:val="EndnoteText"/>
        <w:rPr>
          <w:rFonts w:ascii="Times New Roman" w:hAnsi="Times New Roman" w:cs="Times New Roman"/>
          <w:lang w:val="en-GB"/>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lang w:val="en-GB"/>
        </w:rPr>
        <w:t>Regulation (EU) No 648/2012 on OTC derivatives, central counterparties and trade repositories.</w:t>
      </w:r>
    </w:p>
    <w:p w:rsidR="009E5A89" w:rsidRDefault="009E5A89">
      <w:pPr>
        <w:pStyle w:val="EndnoteText"/>
        <w:rPr>
          <w:rFonts w:ascii="Times New Roman" w:hAnsi="Times New Roman" w:cs="Times New Roman"/>
          <w:lang w:val="en-GB"/>
        </w:rPr>
      </w:pPr>
    </w:p>
  </w:endnote>
  <w:endnote w:id="4">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ESMA Questions and Answers on EMIR dated November 2013 confirm that EU clearing members of non-EU CCPs are not required to comply with Article 39 when offering client clearing on non-EU CCPs. </w:t>
      </w:r>
    </w:p>
    <w:p w:rsidR="009E5A89" w:rsidRDefault="009E5A89">
      <w:pPr>
        <w:pStyle w:val="EndnoteText"/>
        <w:rPr>
          <w:rFonts w:ascii="Times New Roman" w:hAnsi="Times New Roman" w:cs="Times New Roman"/>
          <w:lang w:val="en-GB"/>
        </w:rPr>
      </w:pPr>
    </w:p>
  </w:endnote>
  <w:endnote w:id="5">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document has not been designed to include information about the costs associated with the different levels of protection under Article 39(7) EMIR or prices and fees associated with the services provided or discounts and rebates and conditions to benefit from them required by Article 38 EMIR. Further guidance on the fee disclosures that Clearing Members are required to make can be found in the ESMA Questions and Answers on EMIR dated February 2014.</w:t>
      </w:r>
    </w:p>
    <w:p w:rsidR="009E5A89" w:rsidRDefault="009E5A89">
      <w:pPr>
        <w:pStyle w:val="EndnoteText"/>
        <w:rPr>
          <w:rFonts w:ascii="Times New Roman" w:hAnsi="Times New Roman" w:cs="Times New Roman"/>
          <w:lang w:val="en-GB"/>
        </w:rPr>
      </w:pPr>
    </w:p>
  </w:endnote>
  <w:endnote w:id="6">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See footnote 1 above.</w:t>
      </w:r>
    </w:p>
    <w:p w:rsidR="009E5A89" w:rsidRDefault="009E5A89">
      <w:pPr>
        <w:pStyle w:val="EndnoteText"/>
        <w:rPr>
          <w:rFonts w:ascii="Times New Roman" w:hAnsi="Times New Roman" w:cs="Times New Roman"/>
          <w:lang w:val="en-GB"/>
        </w:rPr>
      </w:pPr>
    </w:p>
  </w:endnote>
  <w:endnote w:id="7">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document assumes that all CCPs that will be used by a Clearing Member operate a principal to principal rather than an agency model. It would need to be supplemented and each section of the document revisited if any of the CCPs were to operate on an agency basis. Norton Rose Fulbright has not validated that each of the CCPs listed at the end of the document operates on a principal to principal rather than an agency model.</w:t>
      </w:r>
    </w:p>
    <w:p w:rsidR="009E5A89" w:rsidRDefault="009E5A89">
      <w:pPr>
        <w:pStyle w:val="EndnoteText"/>
        <w:rPr>
          <w:rFonts w:ascii="Times New Roman" w:hAnsi="Times New Roman" w:cs="Times New Roman"/>
          <w:lang w:val="en-GB"/>
        </w:rPr>
      </w:pPr>
    </w:p>
  </w:endnote>
  <w:endnote w:id="8">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document assumes there is a contractual relationship in place between the clearing broker and the client which sets out certain arrangements that are referred to throughout the document. This contractual relationship is described as a “client clearing agreement”. Firms may wish to amend these references to better reflect their contractual documentation and what it covers.</w:t>
      </w:r>
    </w:p>
    <w:p w:rsidR="009E5A89" w:rsidRDefault="009E5A89">
      <w:pPr>
        <w:pStyle w:val="EndnoteText"/>
        <w:rPr>
          <w:rFonts w:ascii="Times New Roman" w:hAnsi="Times New Roman" w:cs="Times New Roman"/>
          <w:lang w:val="en-GB"/>
        </w:rPr>
      </w:pPr>
    </w:p>
  </w:endnote>
  <w:endnote w:id="9">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document assumes the Firm is a clearing member of each CCP through which it clears Client Transactions. It has not been drafted with indirect client clearing arrangements in mind, either where the Firm is the clearing member or the client of another clearing member.</w:t>
      </w:r>
    </w:p>
    <w:p w:rsidR="009E5A89" w:rsidRDefault="009E5A89">
      <w:pPr>
        <w:pStyle w:val="EndnoteText"/>
        <w:rPr>
          <w:rFonts w:ascii="Times New Roman" w:hAnsi="Times New Roman" w:cs="Times New Roman"/>
          <w:lang w:val="en-GB"/>
        </w:rPr>
      </w:pPr>
    </w:p>
  </w:endnote>
  <w:endnote w:id="10">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This meaning is derived from Article 39(9) EMIR.</w:t>
      </w:r>
    </w:p>
    <w:p w:rsidR="009E5A89" w:rsidRDefault="009E5A89">
      <w:pPr>
        <w:pStyle w:val="EndnoteText"/>
        <w:rPr>
          <w:rFonts w:ascii="Times New Roman" w:hAnsi="Times New Roman" w:cs="Times New Roman"/>
          <w:lang w:val="en-GB"/>
        </w:rPr>
      </w:pPr>
    </w:p>
  </w:endnote>
  <w:endnote w:id="11">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This description is based on Articles 39(2) and 39(9) </w:t>
      </w:r>
      <w:proofErr w:type="gramStart"/>
      <w:r>
        <w:rPr>
          <w:rFonts w:ascii="Times New Roman" w:hAnsi="Times New Roman" w:cs="Times New Roman"/>
        </w:rPr>
        <w:t>EMIR</w:t>
      </w:r>
      <w:proofErr w:type="gramEnd"/>
      <w:r>
        <w:rPr>
          <w:rFonts w:ascii="Times New Roman" w:hAnsi="Times New Roman" w:cs="Times New Roman"/>
        </w:rPr>
        <w:t>.</w:t>
      </w:r>
    </w:p>
    <w:p w:rsidR="009E5A89" w:rsidRDefault="009E5A89">
      <w:pPr>
        <w:pStyle w:val="EndnoteText"/>
        <w:rPr>
          <w:rFonts w:ascii="Times New Roman" w:hAnsi="Times New Roman" w:cs="Times New Roman"/>
          <w:lang w:val="en-GB"/>
        </w:rPr>
      </w:pPr>
    </w:p>
  </w:endnote>
  <w:endnote w:id="12">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This description is based on Articles 39(3) and 39(9) </w:t>
      </w:r>
      <w:proofErr w:type="gramStart"/>
      <w:r>
        <w:rPr>
          <w:rFonts w:ascii="Times New Roman" w:hAnsi="Times New Roman" w:cs="Times New Roman"/>
        </w:rPr>
        <w:t>EMIR</w:t>
      </w:r>
      <w:proofErr w:type="gramEnd"/>
      <w:r>
        <w:rPr>
          <w:rFonts w:ascii="Times New Roman" w:hAnsi="Times New Roman" w:cs="Times New Roman"/>
        </w:rPr>
        <w:t>.</w:t>
      </w:r>
    </w:p>
    <w:p w:rsidR="009E5A89" w:rsidRDefault="009E5A89">
      <w:pPr>
        <w:pStyle w:val="EndnoteText"/>
        <w:rPr>
          <w:rFonts w:ascii="Times New Roman" w:hAnsi="Times New Roman" w:cs="Times New Roman"/>
          <w:lang w:val="en-GB"/>
        </w:rPr>
      </w:pPr>
    </w:p>
  </w:endnote>
  <w:endnote w:id="13">
    <w:p w:rsidR="009E5A89" w:rsidRDefault="00C476C8">
      <w:pPr>
        <w:pStyle w:val="EndnoteText"/>
        <w:rPr>
          <w:rFonts w:ascii="Times New Roman" w:hAnsi="Times New Roman" w:cs="Times New Roman"/>
          <w:i/>
        </w:rPr>
      </w:pPr>
      <w:r>
        <w:rPr>
          <w:rStyle w:val="EndnoteReference"/>
          <w:rFonts w:ascii="Times New Roman" w:hAnsi="Times New Roman" w:cs="Times New Roman"/>
          <w:i/>
        </w:rPr>
        <w:endnoteRef/>
      </w:r>
      <w:r>
        <w:rPr>
          <w:rFonts w:ascii="Times New Roman" w:hAnsi="Times New Roman" w:cs="Times New Roman"/>
          <w:i/>
        </w:rPr>
        <w:t xml:space="preserve"> [Firms may consider amending or deleting part of this question and answer if they permit the Client to provide margin only in a narrower form of assets or in a wider form.]</w:t>
      </w:r>
    </w:p>
    <w:p w:rsidR="009E5A89" w:rsidRDefault="009E5A89">
      <w:pPr>
        <w:pStyle w:val="EndnoteText"/>
        <w:rPr>
          <w:rFonts w:ascii="Times New Roman" w:hAnsi="Times New Roman" w:cs="Times New Roman"/>
          <w:lang w:val="en-GB"/>
        </w:rPr>
      </w:pPr>
    </w:p>
  </w:endnote>
  <w:endnote w:id="14">
    <w:p w:rsidR="009E5A89" w:rsidRDefault="00C476C8">
      <w:pPr>
        <w:pStyle w:val="EndnoteText"/>
        <w:rPr>
          <w:rFonts w:ascii="Times New Roman" w:hAnsi="Times New Roman" w:cs="Times New Roman"/>
          <w:i/>
        </w:rPr>
      </w:pPr>
      <w:r>
        <w:rPr>
          <w:rStyle w:val="EndnoteReference"/>
          <w:rFonts w:ascii="Times New Roman" w:hAnsi="Times New Roman" w:cs="Times New Roman"/>
          <w:i/>
        </w:rPr>
        <w:endnoteRef/>
      </w:r>
      <w:r>
        <w:rPr>
          <w:rFonts w:ascii="Times New Roman" w:hAnsi="Times New Roman" w:cs="Times New Roman"/>
          <w:i/>
        </w:rPr>
        <w:t xml:space="preserve"> [Firms may consider amending or deleting part of this question if they only permit the Client to transfer assets by one means or another and, if they take a security interest but are not given a right of use.]</w:t>
      </w:r>
    </w:p>
    <w:p w:rsidR="009E5A89" w:rsidRDefault="009E5A89">
      <w:pPr>
        <w:pStyle w:val="EndnoteText"/>
        <w:rPr>
          <w:rFonts w:ascii="Times New Roman" w:hAnsi="Times New Roman" w:cs="Times New Roman"/>
          <w:lang w:val="en-GB"/>
        </w:rPr>
      </w:pPr>
    </w:p>
  </w:endnote>
  <w:endnote w:id="15">
    <w:p w:rsidR="009E5A89" w:rsidRDefault="00C476C8">
      <w:pPr>
        <w:pStyle w:val="EndnoteText"/>
        <w:rPr>
          <w:rFonts w:ascii="Times New Roman" w:hAnsi="Times New Roman" w:cs="Times New Roman"/>
          <w:i/>
        </w:rPr>
      </w:pPr>
      <w:r>
        <w:rPr>
          <w:rStyle w:val="EndnoteReference"/>
          <w:rFonts w:ascii="Times New Roman" w:hAnsi="Times New Roman" w:cs="Times New Roman"/>
          <w:i/>
        </w:rPr>
        <w:endnoteRef/>
      </w:r>
      <w:r>
        <w:rPr>
          <w:rFonts w:ascii="Times New Roman" w:hAnsi="Times New Roman" w:cs="Times New Roman"/>
          <w:i/>
        </w:rPr>
        <w:t xml:space="preserve"> [Firms may consider amending or deleting this question if they cannot or do not hold cash received from or in respect of Clients as client money.]</w:t>
      </w:r>
    </w:p>
    <w:p w:rsidR="009E5A89" w:rsidRDefault="009E5A89">
      <w:pPr>
        <w:pStyle w:val="EndnoteText"/>
        <w:rPr>
          <w:rFonts w:ascii="Times New Roman" w:hAnsi="Times New Roman" w:cs="Times New Roman"/>
          <w:lang w:val="en-GB"/>
        </w:rPr>
      </w:pPr>
    </w:p>
  </w:endnote>
  <w:endnote w:id="16">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answer to this question is not intended to be a comprehensive explanation of the protections afforded by the FCA’s client money regime. It seeks only to explain where the way the client money regime normally operates would be impacted by EMIR.</w:t>
      </w:r>
    </w:p>
    <w:p w:rsidR="009E5A89" w:rsidRDefault="009E5A89">
      <w:pPr>
        <w:pStyle w:val="EndnoteText"/>
        <w:rPr>
          <w:rFonts w:ascii="Times New Roman" w:hAnsi="Times New Roman" w:cs="Times New Roman"/>
          <w:lang w:val="en-GB"/>
        </w:rPr>
      </w:pPr>
    </w:p>
  </w:endnote>
  <w:endnote w:id="17">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This paragraph uses the term “is likely to” because client money might not form part of the client money pool where the circumstances set out in CASS </w:t>
      </w:r>
      <w:proofErr w:type="gramStart"/>
      <w:r>
        <w:rPr>
          <w:rFonts w:ascii="Times New Roman" w:hAnsi="Times New Roman" w:cs="Times New Roman"/>
        </w:rPr>
        <w:t>7A.2.4(</w:t>
      </w:r>
      <w:proofErr w:type="gramEnd"/>
      <w:r>
        <w:rPr>
          <w:rFonts w:ascii="Times New Roman" w:hAnsi="Times New Roman" w:cs="Times New Roman"/>
        </w:rPr>
        <w:t>3)(c) exist. The document does not accommodate the concept of sub-pools as proposed in FCA CP 13/5 but this section would also need to be updated to reflect them if they were used and a separate sub-pool disclosure document prepared.</w:t>
      </w:r>
    </w:p>
    <w:p w:rsidR="009E5A89" w:rsidRDefault="009E5A89">
      <w:pPr>
        <w:pStyle w:val="EndnoteText"/>
        <w:rPr>
          <w:rFonts w:ascii="Times New Roman" w:hAnsi="Times New Roman" w:cs="Times New Roman"/>
          <w:lang w:val="en-GB"/>
        </w:rPr>
      </w:pPr>
    </w:p>
  </w:endnote>
  <w:endnote w:id="18">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This section refers to excess margin as described in Article 39(6) and the ESMA Questions and Answers on EMIR dated February 2014.</w:t>
      </w:r>
    </w:p>
    <w:p w:rsidR="009E5A89" w:rsidRDefault="009E5A89">
      <w:pPr>
        <w:pStyle w:val="EndnoteText"/>
        <w:rPr>
          <w:rFonts w:ascii="Times New Roman" w:hAnsi="Times New Roman" w:cs="Times New Roman"/>
          <w:lang w:val="en-GB"/>
        </w:rPr>
      </w:pPr>
    </w:p>
  </w:endnote>
  <w:endnote w:id="19">
    <w:p w:rsidR="009E5A89" w:rsidRDefault="00C476C8">
      <w:pPr>
        <w:pStyle w:val="EndnoteText"/>
        <w:rPr>
          <w:rFonts w:ascii="Times New Roman" w:hAnsi="Times New Roman" w:cs="Times New Roman"/>
          <w:i/>
        </w:rPr>
      </w:pPr>
      <w:r>
        <w:rPr>
          <w:rStyle w:val="EndnoteReference"/>
          <w:rFonts w:ascii="Times New Roman" w:hAnsi="Times New Roman" w:cs="Times New Roman"/>
          <w:i/>
        </w:rPr>
        <w:endnoteRef/>
      </w:r>
      <w:r>
        <w:rPr>
          <w:rFonts w:ascii="Times New Roman" w:hAnsi="Times New Roman" w:cs="Times New Roman"/>
          <w:i/>
        </w:rPr>
        <w:t xml:space="preserve"> [This option should only be included if the clearing member is a branch (rather than a subsidiary) of a foreign entity.]</w:t>
      </w:r>
    </w:p>
    <w:p w:rsidR="009E5A89" w:rsidRDefault="009E5A89">
      <w:pPr>
        <w:pStyle w:val="EndnoteText"/>
        <w:rPr>
          <w:rFonts w:ascii="Times New Roman" w:hAnsi="Times New Roman" w:cs="Times New Roman"/>
        </w:rPr>
      </w:pPr>
    </w:p>
  </w:endnote>
  <w:endnote w:id="20">
    <w:p w:rsidR="009E5A89" w:rsidRDefault="00C476C8">
      <w:pPr>
        <w:pStyle w:val="EndnoteText"/>
        <w:rPr>
          <w:rFonts w:ascii="Times New Roman" w:hAnsi="Times New Roman" w:cs="Times New Roman"/>
          <w:i/>
        </w:rPr>
      </w:pPr>
      <w:r>
        <w:rPr>
          <w:rStyle w:val="EndnoteReference"/>
          <w:rFonts w:ascii="Times New Roman" w:hAnsi="Times New Roman" w:cs="Times New Roman"/>
          <w:i/>
        </w:rPr>
        <w:endnoteRef/>
      </w:r>
      <w:r>
        <w:rPr>
          <w:rFonts w:ascii="Times New Roman" w:hAnsi="Times New Roman" w:cs="Times New Roman"/>
          <w:i/>
        </w:rPr>
        <w:t xml:space="preserve"> [This option needs to be tailored to the terms of the relevant client clearing agreement.]</w:t>
      </w:r>
    </w:p>
    <w:p w:rsidR="009E5A89" w:rsidRDefault="009E5A89">
      <w:pPr>
        <w:pStyle w:val="EndnoteText"/>
        <w:rPr>
          <w:rFonts w:ascii="Times New Roman" w:hAnsi="Times New Roman" w:cs="Times New Roman"/>
        </w:rPr>
      </w:pPr>
    </w:p>
  </w:endnote>
  <w:endnote w:id="21">
    <w:p w:rsidR="009E5A89" w:rsidRDefault="00C476C8">
      <w:pPr>
        <w:pStyle w:val="EndnoteText"/>
        <w:rPr>
          <w:rFonts w:ascii="Times New Roman" w:hAnsi="Times New Roman" w:cs="Times New Roman"/>
          <w:i/>
        </w:rPr>
      </w:pPr>
      <w:r>
        <w:rPr>
          <w:rStyle w:val="EndnoteReference"/>
          <w:rFonts w:ascii="Times New Roman" w:hAnsi="Times New Roman" w:cs="Times New Roman"/>
          <w:i/>
        </w:rPr>
        <w:endnoteRef/>
      </w:r>
      <w:r>
        <w:rPr>
          <w:rFonts w:ascii="Times New Roman" w:hAnsi="Times New Roman" w:cs="Times New Roman"/>
          <w:i/>
        </w:rPr>
        <w:t xml:space="preserve"> [This option needs to be tailored to the terms of the relevant client clearing agreement.]</w:t>
      </w:r>
    </w:p>
    <w:p w:rsidR="009E5A89" w:rsidRDefault="009E5A89">
      <w:pPr>
        <w:pStyle w:val="EndnoteText"/>
        <w:rPr>
          <w:rFonts w:ascii="Times New Roman" w:hAnsi="Times New Roman" w:cs="Times New Roman"/>
        </w:rPr>
      </w:pPr>
    </w:p>
  </w:endnote>
  <w:endnote w:id="22">
    <w:p w:rsidR="009E5A89" w:rsidRDefault="00C476C8">
      <w:pPr>
        <w:pStyle w:val="EndnoteText"/>
        <w:rPr>
          <w:rFonts w:ascii="Times New Roman" w:hAnsi="Times New Roman" w:cs="Times New Roman"/>
          <w:lang w:val="en-GB"/>
        </w:rPr>
      </w:pPr>
      <w:r>
        <w:rPr>
          <w:rStyle w:val="EndnoteReference"/>
          <w:rFonts w:ascii="Times New Roman" w:hAnsi="Times New Roman" w:cs="Times New Roman"/>
        </w:rPr>
        <w:endnoteRef/>
      </w:r>
      <w:r>
        <w:rPr>
          <w:rFonts w:ascii="Times New Roman" w:hAnsi="Times New Roman" w:cs="Times New Roman"/>
        </w:rPr>
        <w:t xml:space="preserve"> In preparing this document r</w:t>
      </w:r>
      <w:proofErr w:type="spellStart"/>
      <w:r>
        <w:rPr>
          <w:rFonts w:ascii="Times New Roman" w:hAnsi="Times New Roman" w:cs="Times New Roman"/>
          <w:lang w:val="en-GB"/>
        </w:rPr>
        <w:t>eference</w:t>
      </w:r>
      <w:proofErr w:type="spellEnd"/>
      <w:r>
        <w:rPr>
          <w:rFonts w:ascii="Times New Roman" w:hAnsi="Times New Roman" w:cs="Times New Roman"/>
          <w:lang w:val="en-GB"/>
        </w:rPr>
        <w:t xml:space="preserve"> has been made to the client account disclosure documentation made available on the websites of the following CCPs: LCH </w:t>
      </w:r>
      <w:proofErr w:type="spellStart"/>
      <w:r>
        <w:rPr>
          <w:rFonts w:ascii="Times New Roman" w:hAnsi="Times New Roman" w:cs="Times New Roman"/>
          <w:lang w:val="en-GB"/>
        </w:rPr>
        <w:t>Clearnet</w:t>
      </w:r>
      <w:proofErr w:type="spellEnd"/>
      <w:r>
        <w:rPr>
          <w:rFonts w:ascii="Times New Roman" w:hAnsi="Times New Roman" w:cs="Times New Roman"/>
          <w:lang w:val="en-GB"/>
        </w:rPr>
        <w:t xml:space="preserve"> Limited, Eurex Clearing AG, NASDAQ OMX Clearing and CME Clearing Europe Limited as at 24 October 2013.</w:t>
      </w:r>
    </w:p>
    <w:p w:rsidR="009E5A89" w:rsidRDefault="009E5A89">
      <w:pPr>
        <w:pStyle w:val="EndnoteText"/>
        <w:rPr>
          <w:rFonts w:ascii="Times New Roman" w:hAnsi="Times New Roman" w:cs="Times New Roman"/>
          <w:lang w:val="en-GB"/>
        </w:rPr>
      </w:pPr>
    </w:p>
  </w:endnote>
  <w:endnote w:id="23">
    <w:p w:rsidR="009E5A89" w:rsidRDefault="00C476C8">
      <w:pPr>
        <w:pStyle w:val="EndnoteText"/>
        <w:rPr>
          <w:rFonts w:ascii="Times New Roman" w:hAnsi="Times New Roman" w:cs="Times New Roman"/>
          <w:lang w:val="en-GB"/>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lang w:val="en-GB"/>
        </w:rPr>
        <w:t xml:space="preserve">The links are to the documents used to prepare the summary in Part Two. It is not clear whether these are the documents published by the CCPs pursuant to Article 39(7) and we assume they may be updated in due course in any event.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pPr>
      <w:pStyle w:val="Footer"/>
    </w:pPr>
    <w:r>
      <w:rPr>
        <w:noProof/>
        <w:lang w:val="en-US" w:eastAsia="en-US"/>
      </w:rPr>
      <mc:AlternateContent>
        <mc:Choice Requires="wps">
          <w:drawing>
            <wp:anchor distT="360045" distB="0" distL="114300" distR="114300" simplePos="0" relativeHeight="251659264" behindDoc="0" locked="1" layoutInCell="1" allowOverlap="1" wp14:anchorId="151D3957" wp14:editId="1D2D8544">
              <wp:simplePos x="0" y="0"/>
              <wp:positionH relativeFrom="margin">
                <wp:posOffset>4445</wp:posOffset>
              </wp:positionH>
              <wp:positionV relativeFrom="paragraph">
                <wp:posOffset>-81915</wp:posOffset>
              </wp:positionV>
              <wp:extent cx="6119495" cy="697230"/>
              <wp:effectExtent l="0" t="0" r="14605" b="7620"/>
              <wp:wrapNone/>
              <wp:docPr id="40" name="DocsID_PF4158487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C476C8">
                          <w:pPr>
                            <w:pStyle w:val="Default"/>
                            <w:jc w:val="center"/>
                            <w:rPr>
                              <w:sz w:val="20"/>
                              <w:szCs w:val="20"/>
                            </w:rPr>
                          </w:pPr>
                          <w:proofErr w:type="gramStart"/>
                          <w:r>
                            <w:rPr>
                              <w:i/>
                              <w:iCs/>
                              <w:sz w:val="20"/>
                              <w:szCs w:val="20"/>
                              <w:lang w:val="en-US"/>
                            </w:rPr>
                            <w:t>Copyright © 201</w:t>
                          </w:r>
                          <w:r w:rsidR="00C52FA0">
                            <w:rPr>
                              <w:i/>
                              <w:iCs/>
                              <w:sz w:val="20"/>
                              <w:szCs w:val="20"/>
                              <w:lang w:val="en-US"/>
                            </w:rPr>
                            <w:t>4</w:t>
                          </w:r>
                          <w:r>
                            <w:rPr>
                              <w:i/>
                              <w:iCs/>
                              <w:sz w:val="20"/>
                              <w:szCs w:val="20"/>
                              <w:lang w:val="en-US"/>
                            </w:rPr>
                            <w:t xml:space="preserve"> by the International Swaps and Derivatives Association, Inc. and </w:t>
                          </w:r>
                          <w:r w:rsidR="003E1421">
                            <w:rPr>
                              <w:i/>
                              <w:iCs/>
                              <w:sz w:val="20"/>
                              <w:szCs w:val="20"/>
                              <w:lang w:val="en-US"/>
                            </w:rPr>
                            <w:t>FIA, Inc</w:t>
                          </w:r>
                          <w:r>
                            <w:rPr>
                              <w:i/>
                              <w:iCs/>
                              <w:sz w:val="20"/>
                              <w:szCs w:val="20"/>
                              <w:lang w:val="en-US"/>
                            </w:rPr>
                            <w:t>.</w:t>
                          </w:r>
                          <w:proofErr w:type="gramEnd"/>
                          <w:r>
                            <w:rPr>
                              <w:i/>
                              <w:iCs/>
                              <w:sz w:val="20"/>
                              <w:szCs w:val="20"/>
                              <w:lang w:val="en-US"/>
                            </w:rPr>
                            <w:t xml:space="preserve"> Neither the International Swaps and Derivatives Association, Inc. nor </w:t>
                          </w:r>
                          <w:r w:rsidR="003E1421">
                            <w:rPr>
                              <w:i/>
                              <w:iCs/>
                              <w:sz w:val="20"/>
                              <w:szCs w:val="20"/>
                              <w:lang w:val="en-US"/>
                            </w:rPr>
                            <w:t>FIA</w:t>
                          </w:r>
                          <w:r>
                            <w:rPr>
                              <w:i/>
                              <w:iCs/>
                              <w:sz w:val="20"/>
                              <w:szCs w:val="20"/>
                              <w:lang w:val="en-US"/>
                            </w:rPr>
                            <w:t xml:space="preserve">, </w:t>
                          </w:r>
                          <w:r w:rsidR="003E1421">
                            <w:rPr>
                              <w:i/>
                              <w:iCs/>
                              <w:sz w:val="20"/>
                              <w:szCs w:val="20"/>
                              <w:lang w:val="en-US"/>
                            </w:rPr>
                            <w:t xml:space="preserve">Inc. </w:t>
                          </w:r>
                          <w:r>
                            <w:rPr>
                              <w:i/>
                              <w:iCs/>
                              <w:sz w:val="20"/>
                              <w:szCs w:val="20"/>
                              <w:lang w:val="en-US"/>
                            </w:rPr>
                            <w:t>has reviewed or endorsed any modifications that may have been made to this document.</w:t>
                          </w:r>
                        </w:p>
                        <w:p w:rsidR="009E5A89" w:rsidRDefault="00C476C8">
                          <w:pPr>
                            <w:tabs>
                              <w:tab w:val="center" w:pos="4820"/>
                            </w:tabs>
                            <w:jc w:val="center"/>
                            <w:rPr>
                              <w:sz w:val="16"/>
                            </w:rPr>
                          </w:pPr>
                          <w:r>
                            <w:rPr>
                              <w:sz w:val="16"/>
                            </w:rPr>
                            <w:fldChar w:fldCharType="begin"/>
                          </w:r>
                          <w:r>
                            <w:rPr>
                              <w:sz w:val="16"/>
                            </w:rPr>
                            <w:instrText xml:space="preserve"> PAGE   \* MERGEFORMAT </w:instrText>
                          </w:r>
                          <w:r>
                            <w:rPr>
                              <w:sz w:val="16"/>
                            </w:rPr>
                            <w:fldChar w:fldCharType="separate"/>
                          </w:r>
                          <w:r w:rsidR="00561FDD">
                            <w:rPr>
                              <w:noProof/>
                              <w:sz w:val="16"/>
                            </w:rPr>
                            <w:t>18</w:t>
                          </w:r>
                          <w:r>
                            <w:rPr>
                              <w:noProof/>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158487462" o:spid="_x0000_s1042" type="#_x0000_t202" style="position:absolute;margin-left:.35pt;margin-top:-6.45pt;width:481.85pt;height:54.9pt;z-index:251659264;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" filled="f" stroked="f">
              <v:textbox inset="0,0,0,0">
                <w:txbxContent>
                  <w:p w:rsidR="009E5A89" w:rsidRDefault="00C476C8">
                    <w:pPr>
                      <w:pStyle w:val="Default"/>
                      <w:jc w:val="center"/>
                      <w:rPr>
                        <w:sz w:val="20"/>
                        <w:szCs w:val="20"/>
                      </w:rPr>
                    </w:pPr>
                    <w:proofErr w:type="gramStart"/>
                    <w:r>
                      <w:rPr>
                        <w:i/>
                        <w:iCs/>
                        <w:sz w:val="20"/>
                        <w:szCs w:val="20"/>
                        <w:lang w:val="en-US"/>
                      </w:rPr>
                      <w:t>Copyright © 201</w:t>
                    </w:r>
                    <w:r w:rsidR="00C52FA0">
                      <w:rPr>
                        <w:i/>
                        <w:iCs/>
                        <w:sz w:val="20"/>
                        <w:szCs w:val="20"/>
                        <w:lang w:val="en-US"/>
                      </w:rPr>
                      <w:t>4</w:t>
                    </w:r>
                    <w:r>
                      <w:rPr>
                        <w:i/>
                        <w:iCs/>
                        <w:sz w:val="20"/>
                        <w:szCs w:val="20"/>
                        <w:lang w:val="en-US"/>
                      </w:rPr>
                      <w:t xml:space="preserve"> by the International Swaps and Derivatives Association, Inc. and </w:t>
                    </w:r>
                    <w:r w:rsidR="003E1421">
                      <w:rPr>
                        <w:i/>
                        <w:iCs/>
                        <w:sz w:val="20"/>
                        <w:szCs w:val="20"/>
                        <w:lang w:val="en-US"/>
                      </w:rPr>
                      <w:t>FIA, Inc</w:t>
                    </w:r>
                    <w:r>
                      <w:rPr>
                        <w:i/>
                        <w:iCs/>
                        <w:sz w:val="20"/>
                        <w:szCs w:val="20"/>
                        <w:lang w:val="en-US"/>
                      </w:rPr>
                      <w:t>.</w:t>
                    </w:r>
                    <w:proofErr w:type="gramEnd"/>
                    <w:r>
                      <w:rPr>
                        <w:i/>
                        <w:iCs/>
                        <w:sz w:val="20"/>
                        <w:szCs w:val="20"/>
                        <w:lang w:val="en-US"/>
                      </w:rPr>
                      <w:t xml:space="preserve"> Neither the International Swaps and Derivatives Association, Inc. nor </w:t>
                    </w:r>
                    <w:r w:rsidR="003E1421">
                      <w:rPr>
                        <w:i/>
                        <w:iCs/>
                        <w:sz w:val="20"/>
                        <w:szCs w:val="20"/>
                        <w:lang w:val="en-US"/>
                      </w:rPr>
                      <w:t>FIA</w:t>
                    </w:r>
                    <w:r>
                      <w:rPr>
                        <w:i/>
                        <w:iCs/>
                        <w:sz w:val="20"/>
                        <w:szCs w:val="20"/>
                        <w:lang w:val="en-US"/>
                      </w:rPr>
                      <w:t xml:space="preserve">, </w:t>
                    </w:r>
                    <w:r w:rsidR="003E1421">
                      <w:rPr>
                        <w:i/>
                        <w:iCs/>
                        <w:sz w:val="20"/>
                        <w:szCs w:val="20"/>
                        <w:lang w:val="en-US"/>
                      </w:rPr>
                      <w:t xml:space="preserve">Inc. </w:t>
                    </w:r>
                    <w:r>
                      <w:rPr>
                        <w:i/>
                        <w:iCs/>
                        <w:sz w:val="20"/>
                        <w:szCs w:val="20"/>
                        <w:lang w:val="en-US"/>
                      </w:rPr>
                      <w:t>has reviewed or endorsed any modifications that may have been made to this document.</w:t>
                    </w:r>
                  </w:p>
                  <w:p w:rsidR="009E5A89" w:rsidRDefault="00C476C8">
                    <w:pPr>
                      <w:tabs>
                        <w:tab w:val="center" w:pos="4820"/>
                      </w:tabs>
                      <w:jc w:val="center"/>
                      <w:rPr>
                        <w:sz w:val="16"/>
                      </w:rPr>
                    </w:pPr>
                    <w:r>
                      <w:rPr>
                        <w:sz w:val="16"/>
                      </w:rPr>
                      <w:fldChar w:fldCharType="begin"/>
                    </w:r>
                    <w:r>
                      <w:rPr>
                        <w:sz w:val="16"/>
                      </w:rPr>
                      <w:instrText xml:space="preserve"> PAGE   \* MERGEFORMAT </w:instrText>
                    </w:r>
                    <w:r>
                      <w:rPr>
                        <w:sz w:val="16"/>
                      </w:rPr>
                      <w:fldChar w:fldCharType="separate"/>
                    </w:r>
                    <w:r w:rsidR="00561FDD">
                      <w:rPr>
                        <w:noProof/>
                        <w:sz w:val="16"/>
                      </w:rPr>
                      <w:t>18</w:t>
                    </w:r>
                    <w:r>
                      <w:rPr>
                        <w:noProof/>
                        <w:sz w:val="16"/>
                      </w:rPr>
                      <w:fldChar w:fldCharType="end"/>
                    </w:r>
                  </w:p>
                </w:txbxContent>
              </v:textbox>
              <w10:wrap anchorx="margin"/>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pPr>
      <w:pStyle w:val="Default"/>
      <w:jc w:val="center"/>
      <w:rPr>
        <w:i/>
        <w:sz w:val="20"/>
        <w:szCs w:val="20"/>
      </w:rPr>
    </w:pPr>
    <w:r>
      <w:rPr>
        <w:i/>
        <w:iCs/>
        <w:sz w:val="20"/>
        <w:szCs w:val="20"/>
        <w:lang w:val="en-US"/>
      </w:rPr>
      <w:t>Copyright © 201</w:t>
    </w:r>
    <w:r w:rsidR="003E1421">
      <w:rPr>
        <w:i/>
        <w:iCs/>
        <w:sz w:val="20"/>
        <w:szCs w:val="20"/>
        <w:lang w:val="en-US"/>
      </w:rPr>
      <w:t>6</w:t>
    </w:r>
    <w:r>
      <w:rPr>
        <w:i/>
        <w:iCs/>
        <w:sz w:val="20"/>
        <w:szCs w:val="20"/>
        <w:lang w:val="en-US"/>
      </w:rPr>
      <w:t xml:space="preserve"> by the International Swaps and Derivatives Association, Inc. and</w:t>
    </w:r>
    <w:r w:rsidR="00CC5776">
      <w:rPr>
        <w:i/>
        <w:iCs/>
        <w:sz w:val="20"/>
        <w:szCs w:val="20"/>
        <w:lang w:val="en-US"/>
      </w:rPr>
      <w:t xml:space="preserve"> FIA</w:t>
    </w:r>
    <w:r w:rsidR="003E1421">
      <w:rPr>
        <w:i/>
        <w:iCs/>
        <w:sz w:val="20"/>
        <w:szCs w:val="20"/>
        <w:lang w:val="en-US"/>
      </w:rPr>
      <w:t>, Inc</w:t>
    </w:r>
    <w:r>
      <w:rPr>
        <w:i/>
        <w:iCs/>
        <w:sz w:val="20"/>
        <w:szCs w:val="20"/>
        <w:lang w:val="en-US"/>
      </w:rPr>
      <w:t>. Neither the International Swaps and Deriv</w:t>
    </w:r>
    <w:r w:rsidR="00CC5776">
      <w:rPr>
        <w:i/>
        <w:iCs/>
        <w:sz w:val="20"/>
        <w:szCs w:val="20"/>
        <w:lang w:val="en-US"/>
      </w:rPr>
      <w:t xml:space="preserve">atives </w:t>
    </w:r>
    <w:r w:rsidR="003E1421">
      <w:rPr>
        <w:i/>
        <w:iCs/>
        <w:sz w:val="20"/>
        <w:szCs w:val="20"/>
        <w:lang w:val="en-US"/>
      </w:rPr>
      <w:t>Association, Inc. nor FIA</w:t>
    </w:r>
    <w:r>
      <w:rPr>
        <w:i/>
        <w:iCs/>
        <w:sz w:val="20"/>
        <w:szCs w:val="20"/>
        <w:lang w:val="en-US"/>
      </w:rPr>
      <w:t xml:space="preserve">, </w:t>
    </w:r>
    <w:r w:rsidR="003E1421">
      <w:rPr>
        <w:i/>
        <w:iCs/>
        <w:sz w:val="20"/>
        <w:szCs w:val="20"/>
        <w:lang w:val="en-US"/>
      </w:rPr>
      <w:t xml:space="preserve">Inc. </w:t>
    </w:r>
    <w:r>
      <w:rPr>
        <w:i/>
        <w:iCs/>
        <w:sz w:val="20"/>
        <w:szCs w:val="20"/>
        <w:lang w:val="en-US"/>
      </w:rPr>
      <w:t>has reviewed or endorsed any modifications that may have been made to this document.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pPr>
      <w:pStyle w:val="Default"/>
      <w:jc w:val="center"/>
      <w:rPr>
        <w:sz w:val="20"/>
        <w:szCs w:val="20"/>
      </w:rPr>
    </w:pPr>
    <w:r>
      <w:rPr>
        <w:i/>
        <w:iCs/>
        <w:sz w:val="20"/>
        <w:szCs w:val="20"/>
        <w:lang w:val="en-US"/>
      </w:rPr>
      <w:t>Copyright © 201</w:t>
    </w:r>
    <w:r w:rsidR="003E1421">
      <w:rPr>
        <w:i/>
        <w:iCs/>
        <w:sz w:val="20"/>
        <w:szCs w:val="20"/>
        <w:lang w:val="en-US"/>
      </w:rPr>
      <w:t>6</w:t>
    </w:r>
    <w:r>
      <w:rPr>
        <w:i/>
        <w:iCs/>
        <w:sz w:val="20"/>
        <w:szCs w:val="20"/>
        <w:lang w:val="en-US"/>
      </w:rPr>
      <w:t xml:space="preserve"> by the International Swaps and Derivatives Association, Inc. and </w:t>
    </w:r>
    <w:r w:rsidR="003E1421">
      <w:rPr>
        <w:i/>
        <w:iCs/>
        <w:sz w:val="20"/>
        <w:szCs w:val="20"/>
        <w:lang w:val="en-US"/>
      </w:rPr>
      <w:t>FIA, Inc</w:t>
    </w:r>
    <w:r>
      <w:rPr>
        <w:i/>
        <w:iCs/>
        <w:sz w:val="20"/>
        <w:szCs w:val="20"/>
        <w:lang w:val="en-US"/>
      </w:rPr>
      <w:t xml:space="preserve">. Neither the International Swaps and Derivatives Association, Inc. nor </w:t>
    </w:r>
    <w:r w:rsidR="003E1421">
      <w:rPr>
        <w:i/>
        <w:iCs/>
        <w:sz w:val="20"/>
        <w:szCs w:val="20"/>
        <w:lang w:val="en-US"/>
      </w:rPr>
      <w:t>FIA</w:t>
    </w:r>
    <w:r>
      <w:rPr>
        <w:i/>
        <w:iCs/>
        <w:sz w:val="20"/>
        <w:szCs w:val="20"/>
        <w:lang w:val="en-US"/>
      </w:rPr>
      <w:t xml:space="preserve">, </w:t>
    </w:r>
    <w:r w:rsidR="003E1421">
      <w:rPr>
        <w:i/>
        <w:iCs/>
        <w:sz w:val="20"/>
        <w:szCs w:val="20"/>
        <w:lang w:val="en-US"/>
      </w:rPr>
      <w:t xml:space="preserve">Inc. </w:t>
    </w:r>
    <w:r>
      <w:rPr>
        <w:i/>
        <w:iCs/>
        <w:sz w:val="20"/>
        <w:szCs w:val="20"/>
        <w:lang w:val="en-US"/>
      </w:rPr>
      <w:t>has reviewed or endorsed any modifications that may have been made to this document.</w:t>
    </w:r>
  </w:p>
  <w:p w:rsidR="009E5A89" w:rsidRDefault="00C476C8">
    <w:pPr>
      <w:pStyle w:val="Footer"/>
      <w:tabs>
        <w:tab w:val="center" w:pos="7088"/>
      </w:tabs>
    </w:pPr>
    <w:r>
      <w:rPr>
        <w:noProof/>
        <w:lang w:val="en-US" w:eastAsia="en-US"/>
      </w:rPr>
      <mc:AlternateContent>
        <mc:Choice Requires="wps">
          <w:drawing>
            <wp:anchor distT="360045" distB="0" distL="114300" distR="114300" simplePos="0" relativeHeight="251657216" behindDoc="0" locked="1" layoutInCell="1" allowOverlap="1" wp14:anchorId="032FB9D5" wp14:editId="58F8D43A">
              <wp:simplePos x="0" y="0"/>
              <wp:positionH relativeFrom="margin">
                <wp:posOffset>1185545</wp:posOffset>
              </wp:positionH>
              <wp:positionV relativeFrom="paragraph">
                <wp:posOffset>2540</wp:posOffset>
              </wp:positionV>
              <wp:extent cx="4938395" cy="611505"/>
              <wp:effectExtent l="0" t="0" r="14605" b="17145"/>
              <wp:wrapNone/>
              <wp:docPr id="36" name="DocsID_PF4158477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3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9E5A89">
                          <w:pPr>
                            <w:pStyle w:val="DocsID"/>
                            <w:spacing w:before="5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48A7D7" id="_x0000_t202" coordsize="21600,21600" o:spt="202" path="m,l,21600r21600,l21600,xe">
              <v:stroke joinstyle="miter"/>
              <v:path gradientshapeok="t" o:connecttype="rect"/>
            </v:shapetype>
            <v:shape id="DocsID_PF4158477243" o:spid="_x0000_s1044" type="#_x0000_t202" style="position:absolute;margin-left:93.35pt;margin-top:.2pt;width:388.85pt;height:48.15pt;z-index:251657216;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" filled="f" stroked="f">
              <v:textbox inset="0,0,0,0">
                <w:txbxContent>
                  <w:p w:rsidR="009E5A89" w:rsidRDefault="009E5A89">
                    <w:pPr>
                      <w:pStyle w:val="DocsID"/>
                      <w:spacing w:before="560"/>
                    </w:pPr>
                  </w:p>
                </w:txbxContent>
              </v:textbox>
              <w10:wrap anchorx="margin"/>
              <w10:anchorlock/>
            </v:shape>
          </w:pict>
        </mc:Fallback>
      </mc:AlternateContent>
    </w:r>
    <w:r>
      <w:rPr>
        <w:noProof/>
        <w:lang w:val="en-US" w:eastAsia="en-US"/>
      </w:rPr>
      <mc:AlternateContent>
        <mc:Choice Requires="wps">
          <w:drawing>
            <wp:anchor distT="360045" distB="0" distL="114300" distR="114300" simplePos="0" relativeHeight="251656192" behindDoc="0" locked="1" layoutInCell="1" allowOverlap="1" wp14:anchorId="5CF2A996" wp14:editId="6460BB47">
              <wp:simplePos x="0" y="0"/>
              <wp:positionH relativeFrom="margin">
                <wp:posOffset>1699895</wp:posOffset>
              </wp:positionH>
              <wp:positionV relativeFrom="paragraph">
                <wp:posOffset>2540</wp:posOffset>
              </wp:positionV>
              <wp:extent cx="5833110" cy="612140"/>
              <wp:effectExtent l="0" t="0" r="15240" b="1651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9E5A89">
                          <w:pPr>
                            <w:pStyle w:val="DocsID"/>
                            <w:spacing w:before="5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C96282" id="Text Box 34" o:spid="_x0000_s1045" type="#_x0000_t202" style="position:absolute;margin-left:133.85pt;margin-top:.2pt;width:459.3pt;height:48.2pt;z-index:251656192;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qeswIAALI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" filled="f" stroked="f">
              <v:textbox inset="0,0,0,0">
                <w:txbxContent>
                  <w:p w:rsidR="009E5A89" w:rsidRDefault="009E5A89">
                    <w:pPr>
                      <w:pStyle w:val="DocsID"/>
                      <w:spacing w:before="560"/>
                    </w:pPr>
                  </w:p>
                </w:txbxContent>
              </v:textbox>
              <w10:wrap anchorx="margin"/>
              <w10:anchorlock/>
            </v:shape>
          </w:pict>
        </mc:Fallback>
      </mc:AlternateContent>
    </w:r>
    <w:r>
      <w:rPr>
        <w:noProof/>
        <w:lang w:val="en-US" w:eastAsia="en-US"/>
      </w:rPr>
      <mc:AlternateContent>
        <mc:Choice Requires="wps">
          <w:drawing>
            <wp:anchor distT="360045" distB="0" distL="114300" distR="114300" simplePos="0" relativeHeight="251655168" behindDoc="0" locked="1" layoutInCell="1" allowOverlap="1" wp14:anchorId="6DFD8030" wp14:editId="312B92C5">
              <wp:simplePos x="0" y="0"/>
              <wp:positionH relativeFrom="margin">
                <wp:posOffset>4445</wp:posOffset>
              </wp:positionH>
              <wp:positionV relativeFrom="paragraph">
                <wp:posOffset>-1905</wp:posOffset>
              </wp:positionV>
              <wp:extent cx="9732645" cy="360045"/>
              <wp:effectExtent l="0" t="0" r="1905" b="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26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C476C8">
                          <w:pPr>
                            <w:pStyle w:val="DocsID"/>
                            <w:tabs>
                              <w:tab w:val="center" w:pos="7088"/>
                            </w:tabs>
                          </w:pPr>
                          <w:r>
                            <w:tab/>
                          </w:r>
                          <w:r>
                            <w:tab/>
                          </w:r>
                          <w:r>
                            <w:fldChar w:fldCharType="begin"/>
                          </w:r>
                          <w:r>
                            <w:instrText xml:space="preserve"> PAGE   \* MERGEFORMAT </w:instrText>
                          </w:r>
                          <w:r>
                            <w:fldChar w:fldCharType="separate"/>
                          </w:r>
                          <w:r w:rsidR="00561FDD">
                            <w:rPr>
                              <w:noProof/>
                            </w:rPr>
                            <w:t>23</w:t>
                          </w:r>
                          <w:r>
                            <w:rPr>
                              <w:noProof/>
                            </w:rPr>
                            <w:fldChar w:fldCharType="end"/>
                          </w: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5" type="#_x0000_t202" style="position:absolute;margin-left:.35pt;margin-top:-.15pt;width:766.35pt;height:28.35pt;z-index:251655168;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" filled="f" stroked="f">
              <v:textbox inset="0,0,0,14.4pt">
                <w:txbxContent>
                  <w:p w:rsidR="009E5A89" w:rsidRDefault="00C476C8">
                    <w:pPr>
                      <w:pStyle w:val="DocsID"/>
                      <w:tabs>
                        <w:tab w:val="center" w:pos="7088"/>
                      </w:tabs>
                    </w:pPr>
                    <w:r>
                      <w:tab/>
                    </w:r>
                    <w:r>
                      <w:tab/>
                    </w:r>
                    <w:r>
                      <w:fldChar w:fldCharType="begin"/>
                    </w:r>
                    <w:r>
                      <w:instrText xml:space="preserve"> PAGE   \* MERGEFORMAT </w:instrText>
                    </w:r>
                    <w:r>
                      <w:fldChar w:fldCharType="separate"/>
                    </w:r>
                    <w:r w:rsidR="00561FDD">
                      <w:rPr>
                        <w:noProof/>
                      </w:rPr>
                      <w:t>23</w:t>
                    </w:r>
                    <w:r>
                      <w:rPr>
                        <w:noProof/>
                      </w:rPr>
                      <w:fldChar w:fldCharType="end"/>
                    </w:r>
                  </w:p>
                </w:txbxContent>
              </v:textbox>
              <w10:wrap type="topAndBottom" anchorx="margin"/>
              <w10:anchorlock/>
            </v:shape>
          </w:pict>
        </mc:Fallback>
      </mc:AlternateConten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pPr>
      <w:pStyle w:val="Footer"/>
      <w:jc w:val="center"/>
    </w:pPr>
    <w:r>
      <w:rPr>
        <w:noProof/>
        <w:lang w:val="en-US" w:eastAsia="en-US"/>
      </w:rPr>
      <mc:AlternateContent>
        <mc:Choice Requires="wps">
          <w:drawing>
            <wp:anchor distT="360045" distB="0" distL="114300" distR="114300" simplePos="0" relativeHeight="251663360" behindDoc="0" locked="1" layoutInCell="1" allowOverlap="1">
              <wp:simplePos x="0" y="0"/>
              <wp:positionH relativeFrom="margin">
                <wp:posOffset>4445</wp:posOffset>
              </wp:positionH>
              <wp:positionV relativeFrom="paragraph">
                <wp:posOffset>1270</wp:posOffset>
              </wp:positionV>
              <wp:extent cx="6120000" cy="612000"/>
              <wp:effectExtent l="0" t="0" r="14605" b="17145"/>
              <wp:wrapNone/>
              <wp:docPr id="37" name="DocsID_PF4167553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561FDD">
                          <w:pPr>
                            <w:pStyle w:val="DocsID"/>
                            <w:spacing w:before="560"/>
                          </w:pPr>
                          <w:r>
                            <w:fldChar w:fldCharType="begin"/>
                          </w:r>
                          <w:r>
                            <w:instrText xml:space="preserve"> DOCPROPERTY "DocsID"  \* MERGEFORMAT </w:instrText>
                          </w:r>
                          <w:r>
                            <w:fldChar w:fldCharType="separate"/>
                          </w:r>
                          <w:r w:rsidR="00315FF9">
                            <w:t>CFD-#14407687-v2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167553383" o:spid="_x0000_s1046" type="#_x0000_t202" style="position:absolute;left:0;text-align:left;margin-left:.35pt;margin-top:.1pt;width:481.9pt;height:48.2pt;z-index:251663360;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" filled="f" stroked="f">
              <v:textbox inset="0,0,0,0">
                <w:txbxContent>
                  <w:p w:rsidR="009E5A89" w:rsidRDefault="008D62E8">
                    <w:pPr>
                      <w:pStyle w:val="DocsID"/>
                      <w:spacing w:before="560"/>
                    </w:pPr>
                    <w:fldSimple w:instr=" DOCPROPERTY &quot;DocsID&quot;  \* MERGEFORMAT ">
                      <w:r w:rsidR="00315FF9">
                        <w:t>CFD-#14407687-v2</w:t>
                      </w:r>
                    </w:fldSimple>
                  </w:p>
                </w:txbxContent>
              </v:textbox>
              <w10:wrap anchorx="margin"/>
              <w10:anchorlock/>
            </v:shape>
          </w:pict>
        </mc:Fallback>
      </mc:AlternateContent>
    </w:r>
  </w:p>
  <w:p w:rsidR="009E5A89" w:rsidRDefault="009E5A89">
    <w:pPr>
      <w:pStyle w:val="Footer"/>
      <w:spacing w:before="5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pPr>
      <w:pStyle w:val="Footer"/>
      <w:spacing w:before="5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26" w:rsidRDefault="00A85526">
      <w:r>
        <w:separator/>
      </w:r>
    </w:p>
  </w:footnote>
  <w:footnote w:type="continuationSeparator" w:id="0">
    <w:p w:rsidR="00A85526" w:rsidRDefault="00A85526">
      <w:r>
        <w:continuationSeparator/>
      </w:r>
    </w:p>
  </w:footnote>
  <w:footnote w:id="1">
    <w:p w:rsidR="009E5A89" w:rsidRDefault="00C476C8">
      <w:pPr>
        <w:pStyle w:val="FootnoteText"/>
        <w:rPr>
          <w:lang w:val="en-GB"/>
        </w:rPr>
      </w:pPr>
      <w:r>
        <w:rPr>
          <w:rStyle w:val="FootnoteReference"/>
        </w:rPr>
        <w:footnoteRef/>
      </w:r>
      <w:r>
        <w:t xml:space="preserve"> </w:t>
      </w:r>
      <w:r>
        <w:rPr>
          <w:lang w:val="en-GB"/>
        </w:rPr>
        <w:t>Financial Services and Markets Act 2000 (Recognition Requirements for Investment Exchanges and Clearing Houses) Regulations 2001 SI 2001/995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pPr>
      <w:pStyle w:val="Header"/>
    </w:pPr>
    <w:r>
      <w:rPr>
        <w:noProof/>
        <w:lang w:val="en-US" w:eastAsia="en-US"/>
      </w:rPr>
      <w:drawing>
        <wp:inline distT="0" distB="0" distL="0" distR="0" wp14:anchorId="461A933B" wp14:editId="048F2025">
          <wp:extent cx="1724025" cy="4286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428625"/>
                  </a:xfrm>
                  <a:prstGeom prst="rect">
                    <a:avLst/>
                  </a:prstGeom>
                  <a:noFill/>
                  <a:ln>
                    <a:noFill/>
                  </a:ln>
                </pic:spPr>
              </pic:pic>
            </a:graphicData>
          </a:graphic>
        </wp:inline>
      </w:drawing>
    </w:r>
    <w:r w:rsidR="00561FDD">
      <w:tab/>
    </w:r>
    <w:r w:rsidR="00561FDD">
      <w:tab/>
    </w:r>
    <w:r w:rsidR="00561FDD">
      <w:rPr>
        <w:rFonts w:ascii="Times New Roman" w:hAnsi="Times New Roman"/>
        <w:noProof/>
        <w:szCs w:val="20"/>
        <w:lang w:val="en-US" w:eastAsia="en-US"/>
      </w:rPr>
      <w:drawing>
        <wp:inline distT="0" distB="0" distL="0" distR="0" wp14:anchorId="4435B85B" wp14:editId="5BEE4A42">
          <wp:extent cx="762000" cy="391423"/>
          <wp:effectExtent l="0" t="0" r="0" b="8890"/>
          <wp:docPr id="10" name="Picture 10" descr="FI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A_LOGO_4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39142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9E5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376"/>
    <w:multiLevelType w:val="hybridMultilevel"/>
    <w:tmpl w:val="99F0180A"/>
    <w:lvl w:ilvl="0" w:tplc="08090001">
      <w:start w:val="1"/>
      <w:numFmt w:val="bullet"/>
      <w:lvlText w:val=""/>
      <w:lvlJc w:val="left"/>
      <w:pPr>
        <w:ind w:left="1146" w:hanging="72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20521604"/>
    <w:multiLevelType w:val="hybridMultilevel"/>
    <w:tmpl w:val="26D4DE44"/>
    <w:name w:val="Parties"/>
    <w:lvl w:ilvl="0" w:tplc="7478ACE0">
      <w:start w:val="1"/>
      <w:numFmt w:val="decimal"/>
      <w:pStyle w:val="PartiesNumbered"/>
      <w:lvlText w:val="(%1)"/>
      <w:lvlJc w:val="left"/>
      <w:pPr>
        <w:ind w:left="567" w:hanging="567"/>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76C0202"/>
    <w:multiLevelType w:val="hybridMultilevel"/>
    <w:tmpl w:val="7B468C28"/>
    <w:name w:val="Recital-4154171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143DC7"/>
    <w:multiLevelType w:val="hybridMultilevel"/>
    <w:tmpl w:val="9C1C4FA8"/>
    <w:lvl w:ilvl="0" w:tplc="194A9B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C44FA6"/>
    <w:multiLevelType w:val="hybridMultilevel"/>
    <w:tmpl w:val="CA9C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5F5386"/>
    <w:multiLevelType w:val="hybridMultilevel"/>
    <w:tmpl w:val="24681D32"/>
    <w:name w:val="Recital-41541719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3C113E"/>
    <w:multiLevelType w:val="hybridMultilevel"/>
    <w:tmpl w:val="73EE0C6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nsid w:val="551E1D04"/>
    <w:multiLevelType w:val="hybridMultilevel"/>
    <w:tmpl w:val="9BE0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74435B"/>
    <w:multiLevelType w:val="hybridMultilevel"/>
    <w:tmpl w:val="52B8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E041AB"/>
    <w:multiLevelType w:val="hybridMultilevel"/>
    <w:tmpl w:val="22E6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0"/>
  </w:num>
  <w:num w:numId="5">
    <w:abstractNumId w:val="6"/>
  </w:num>
  <w:num w:numId="6">
    <w:abstractNumId w:val="4"/>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drawingGridHorizontalSpacing w:val="181"/>
  <w:drawingGridVerticalSpacing w:val="181"/>
  <w:displayVerticalDrawingGridEvery w:val="2"/>
  <w:doNotUseMarginsForDrawingGridOrigin/>
  <w:drawingGridVerticalOrigin w:val="1985"/>
  <w:characterSpacingControl w:val="doNotCompress"/>
  <w:hdrShapeDefaults>
    <o:shapedefaults v:ext="edit" spidmax="8193"/>
  </w:hdrShapeDefaults>
  <w:footnotePr>
    <w:footnote w:id="-1"/>
    <w:footnote w:id="0"/>
  </w:footnotePr>
  <w:endnotePr>
    <w:numFmt w:val="decimal"/>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perType" w:val="plain"/>
  </w:docVars>
  <w:rsids>
    <w:rsidRoot w:val="009E5A89"/>
    <w:rsid w:val="00193E6C"/>
    <w:rsid w:val="00315FF9"/>
    <w:rsid w:val="00396C33"/>
    <w:rsid w:val="003D263C"/>
    <w:rsid w:val="003E1421"/>
    <w:rsid w:val="00561FDD"/>
    <w:rsid w:val="0056543E"/>
    <w:rsid w:val="00722ED4"/>
    <w:rsid w:val="007E68C1"/>
    <w:rsid w:val="008D62E8"/>
    <w:rsid w:val="00961430"/>
    <w:rsid w:val="009D17F2"/>
    <w:rsid w:val="009E5A89"/>
    <w:rsid w:val="00A538AA"/>
    <w:rsid w:val="00A85526"/>
    <w:rsid w:val="00B7535E"/>
    <w:rsid w:val="00BE7F2A"/>
    <w:rsid w:val="00C476C8"/>
    <w:rsid w:val="00C52FA0"/>
    <w:rsid w:val="00CC5776"/>
    <w:rsid w:val="00FB255D"/>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29" w:qFormat="1"/>
    <w:lsdException w:name="heading 1" w:semiHidden="0" w:unhideWhenUsed="0"/>
    <w:lsdException w:name="heading 2" w:semiHidden="0"/>
    <w:lsdException w:name="heading 3" w:semiHidden="0"/>
    <w:lsdException w:name="heading 4" w:semiHidden="0"/>
    <w:lsdException w:name="heading 5" w:semiHidden="0"/>
    <w:lsdException w:name="heading 6" w:semiHidden="0"/>
    <w:lsdException w:name="page number" w:uiPriority="29" w:qFormat="1"/>
    <w:lsdException w:name="Title" w:semiHidden="0" w:unhideWhenUsed="0"/>
    <w:lsdException w:name="Closing" w:uiPriority="29" w:qFormat="1"/>
    <w:lsdException w:name="Default Paragraph Font" w:qFormat="1"/>
    <w:lsdException w:name="Subtitle" w:semiHidden="0"/>
    <w:lsdException w:name="Date" w:semiHidden="0" w:uiPriority="29" w:qFormat="1"/>
    <w:lsdException w:name="Strong" w:unhideWhenUsed="0"/>
    <w:lsdException w:name="Emphasis" w:unhideWhenUsed="0"/>
    <w:lsdException w:name="HTML Top of Form" w:uiPriority="0" w:unhideWhenUsed="0"/>
    <w:lsdException w:name="HTML Bottom of Form" w:uiPriority="0" w:unhideWhenUsed="0"/>
    <w:lsdException w:name="Table Grid" w:semiHidden="0" w:unhideWhenUsed="0"/>
    <w:lsdException w:name="No Spacing" w:semiHidden="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nhideWhenUsed="0"/>
    <w:lsdException w:name="Quote" w:unhideWhenUsed="0"/>
    <w:lsdException w:name="Intense Quote"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unhideWhenUsed="0"/>
    <w:lsdException w:name="Intense Emphasis" w:unhideWhenUsed="0"/>
    <w:lsdException w:name="Subtle Reference" w:unhideWhenUsed="0"/>
    <w:lsdException w:name="Intense Reference" w:unhideWhenUsed="0"/>
    <w:lsdException w:name="Book Title" w:unhideWhenUsed="0"/>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basedOn w:val="Normal"/>
    <w:next w:val="Normal"/>
    <w:uiPriority w:val="99"/>
    <w:semiHidden/>
    <w:unhideWhenUsed/>
    <w:pPr>
      <w:keepNext/>
      <w:spacing w:before="120"/>
      <w:jc w:val="left"/>
      <w:outlineLvl w:val="0"/>
    </w:pPr>
    <w:rPr>
      <w:b/>
      <w:bCs/>
    </w:rPr>
  </w:style>
  <w:style w:type="paragraph" w:styleId="Heading2">
    <w:name w:val="heading 2"/>
    <w:basedOn w:val="Normal"/>
    <w:next w:val="Normal"/>
    <w:uiPriority w:val="99"/>
    <w:semiHidden/>
    <w:unhideWhenUsed/>
    <w:pPr>
      <w:keepNext/>
      <w:spacing w:before="120"/>
      <w:jc w:val="left"/>
      <w:outlineLvl w:val="1"/>
    </w:pPr>
    <w:rPr>
      <w:b/>
      <w:bCs/>
      <w:i/>
      <w:iCs/>
    </w:rPr>
  </w:style>
  <w:style w:type="paragraph" w:styleId="Heading3">
    <w:name w:val="heading 3"/>
    <w:basedOn w:val="Normal"/>
    <w:next w:val="Normal"/>
    <w:uiPriority w:val="99"/>
    <w:semiHidden/>
    <w:unhideWhenUsed/>
    <w:pPr>
      <w:keepNext/>
      <w:spacing w:before="120"/>
      <w:jc w:val="left"/>
      <w:outlineLvl w:val="2"/>
    </w:pPr>
  </w:style>
  <w:style w:type="paragraph" w:styleId="Heading4">
    <w:name w:val="heading 4"/>
    <w:basedOn w:val="Normal"/>
    <w:next w:val="Normal"/>
    <w:uiPriority w:val="99"/>
    <w:semiHidden/>
    <w:unhideWhenUsed/>
    <w:pPr>
      <w:keepNext/>
      <w:spacing w:before="120"/>
      <w:jc w:val="left"/>
      <w:outlineLvl w:val="3"/>
    </w:pPr>
    <w:rPr>
      <w:i/>
      <w:iCs/>
    </w:rPr>
  </w:style>
  <w:style w:type="paragraph" w:styleId="Heading5">
    <w:name w:val="heading 5"/>
    <w:basedOn w:val="Normal"/>
    <w:next w:val="Normal"/>
    <w:uiPriority w:val="99"/>
    <w:semiHidden/>
    <w:unhideWhenUsed/>
    <w:pPr>
      <w:keepNext/>
      <w:spacing w:before="120"/>
      <w:jc w:val="left"/>
      <w:outlineLvl w:val="4"/>
    </w:pPr>
  </w:style>
  <w:style w:type="paragraph" w:styleId="Heading6">
    <w:name w:val="heading 6"/>
    <w:basedOn w:val="Normal"/>
    <w:next w:val="Normal"/>
    <w:uiPriority w:val="99"/>
    <w:semiHidden/>
    <w:unhideWhenUsed/>
    <w:pPr>
      <w:keepNext/>
      <w:spacing w:before="120"/>
      <w:jc w:val="left"/>
      <w:outlineLvl w:val="5"/>
    </w:pPr>
  </w:style>
  <w:style w:type="paragraph" w:styleId="Heading7">
    <w:name w:val="heading 7"/>
    <w:basedOn w:val="Normal"/>
    <w:next w:val="Normal"/>
    <w:uiPriority w:val="99"/>
    <w:semiHidden/>
    <w:unhideWhenUsed/>
    <w:pPr>
      <w:keepNext/>
      <w:spacing w:before="120"/>
      <w:jc w:val="left"/>
      <w:outlineLvl w:val="6"/>
    </w:pPr>
  </w:style>
  <w:style w:type="paragraph" w:styleId="Heading8">
    <w:name w:val="heading 8"/>
    <w:basedOn w:val="Normal"/>
    <w:next w:val="Normal"/>
    <w:uiPriority w:val="99"/>
    <w:semiHidden/>
    <w:unhideWhenUsed/>
    <w:pPr>
      <w:keepNext/>
      <w:spacing w:before="120"/>
      <w:jc w:val="left"/>
      <w:outlineLvl w:val="7"/>
    </w:pPr>
  </w:style>
  <w:style w:type="paragraph" w:styleId="Heading9">
    <w:name w:val="heading 9"/>
    <w:basedOn w:val="Normal"/>
    <w:next w:val="Normal"/>
    <w:uiPriority w:val="99"/>
    <w:semiHidden/>
    <w:unhideWhenUsed/>
    <w:pPr>
      <w:keepNext/>
      <w:spacing w:before="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style>
  <w:style w:type="paragraph" w:styleId="Header">
    <w:name w:val="header"/>
    <w:basedOn w:val="NormalSingle"/>
    <w:link w:val="HeaderChar"/>
    <w:uiPriority w:val="99"/>
    <w:unhideWhenUsed/>
    <w:pPr>
      <w:tabs>
        <w:tab w:val="center" w:pos="4535"/>
        <w:tab w:val="right" w:pos="9071"/>
      </w:tabs>
      <w:spacing w:after="0"/>
      <w:jc w:val="left"/>
    </w:pPr>
    <w:rPr>
      <w:lang w:eastAsia="fr-FR"/>
    </w:rPr>
  </w:style>
  <w:style w:type="paragraph" w:styleId="Footer">
    <w:name w:val="footer"/>
    <w:basedOn w:val="NormalSingle"/>
    <w:link w:val="FooterChar"/>
    <w:uiPriority w:val="99"/>
    <w:unhideWhenUsed/>
    <w:pPr>
      <w:tabs>
        <w:tab w:val="center" w:pos="4535"/>
        <w:tab w:val="right" w:pos="9071"/>
      </w:tabs>
      <w:spacing w:after="0"/>
      <w:jc w:val="left"/>
    </w:pPr>
    <w:rPr>
      <w:lang w:eastAsia="fr-FR"/>
    </w:rPr>
  </w:style>
  <w:style w:type="character" w:customStyle="1" w:styleId="Prompt">
    <w:name w:val="Prompt"/>
    <w:uiPriority w:val="29"/>
    <w:qFormat/>
    <w:rPr>
      <w:color w:val="auto"/>
    </w:rPr>
  </w:style>
  <w:style w:type="paragraph" w:styleId="TOC1">
    <w:name w:val="toc 1"/>
    <w:basedOn w:val="Normal"/>
    <w:next w:val="Normal"/>
    <w:autoRedefine/>
    <w:uiPriority w:val="99"/>
    <w:semiHidden/>
    <w:unhideWhenUsed/>
    <w:pPr>
      <w:tabs>
        <w:tab w:val="left" w:pos="720"/>
        <w:tab w:val="right" w:leader="dot" w:pos="9360"/>
      </w:tabs>
      <w:jc w:val="left"/>
    </w:pPr>
  </w:style>
  <w:style w:type="paragraph" w:styleId="TOC2">
    <w:name w:val="toc 2"/>
    <w:basedOn w:val="Normal"/>
    <w:next w:val="Normal"/>
    <w:autoRedefine/>
    <w:uiPriority w:val="99"/>
    <w:semiHidden/>
    <w:unhideWhenUsed/>
    <w:pPr>
      <w:tabs>
        <w:tab w:val="left" w:pos="1440"/>
        <w:tab w:val="right" w:leader="dot" w:pos="9360"/>
      </w:tabs>
      <w:ind w:left="720"/>
      <w:jc w:val="left"/>
    </w:pPr>
  </w:style>
  <w:style w:type="paragraph" w:styleId="Subtitle">
    <w:name w:val="Subtitle"/>
    <w:basedOn w:val="Normal"/>
    <w:next w:val="Normal"/>
    <w:uiPriority w:val="99"/>
    <w:semiHidden/>
    <w:unhideWhenUsed/>
    <w:pPr>
      <w:jc w:val="center"/>
    </w:pPr>
    <w:rPr>
      <w:b/>
      <w:bCs/>
    </w:rPr>
  </w:style>
  <w:style w:type="paragraph" w:styleId="Title">
    <w:name w:val="Title"/>
    <w:basedOn w:val="Normal"/>
    <w:next w:val="Normal"/>
    <w:uiPriority w:val="99"/>
    <w:semiHidden/>
    <w:unhideWhenUsed/>
    <w:pPr>
      <w:jc w:val="center"/>
    </w:pPr>
    <w:rPr>
      <w:b/>
      <w:bCs/>
      <w:sz w:val="24"/>
      <w:szCs w:val="28"/>
    </w:rPr>
  </w:style>
  <w:style w:type="character" w:styleId="PageNumber">
    <w:name w:val="page number"/>
    <w:uiPriority w:val="29"/>
    <w:unhideWhenUsed/>
    <w:qFormat/>
    <w:rPr>
      <w:sz w:val="20"/>
    </w:rPr>
  </w:style>
  <w:style w:type="paragraph" w:styleId="FootnoteText">
    <w:name w:val="footnote text"/>
    <w:link w:val="FootnoteTextChar"/>
    <w:uiPriority w:val="99"/>
    <w:semiHidden/>
    <w:unhideWhenUsed/>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zz1794baseaddress">
    <w:name w:val="zz1794base address"/>
    <w:uiPriority w:val="99"/>
    <w:semiHidden/>
    <w:qFormat/>
    <w:rPr>
      <w:rFonts w:ascii="Arial" w:hAnsi="Arial"/>
      <w:lang w:val="en-GB"/>
    </w:rPr>
  </w:style>
  <w:style w:type="character" w:customStyle="1" w:styleId="BodyTextChar">
    <w:name w:val="Body Text Char"/>
    <w:basedOn w:val="DefaultParagraphFont"/>
    <w:link w:val="BodyText"/>
    <w:uiPriority w:val="99"/>
    <w:rPr>
      <w:rFonts w:ascii="Arial" w:hAnsi="Arial" w:cs="Arial"/>
      <w:szCs w:val="24"/>
      <w:lang w:eastAsia="en-US"/>
    </w:rPr>
  </w:style>
  <w:style w:type="paragraph" w:customStyle="1" w:styleId="zz1794basebodytext">
    <w:name w:val="zz1794base body text"/>
    <w:uiPriority w:val="99"/>
    <w:semiHidden/>
    <w:qFormat/>
    <w:pPr>
      <w:spacing w:after="240"/>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BodyText0">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rPr>
      <w:rFonts w:cs="Times New Roman"/>
      <w:szCs w:val="20"/>
      <w:lang w:eastAsia="en-CA"/>
    </w:rPr>
  </w:style>
  <w:style w:type="paragraph" w:customStyle="1" w:styleId="BodyTextUserDefined2">
    <w:name w:val="#BodyText=User Defined 2"/>
    <w:basedOn w:val="Normal"/>
    <w:uiPriority w:val="3"/>
    <w:qFormat/>
    <w:rPr>
      <w:rFonts w:cs="Times New Roman"/>
      <w:szCs w:val="20"/>
      <w:lang w:eastAsia="en-CA"/>
    </w:rPr>
  </w:style>
  <w:style w:type="paragraph" w:customStyle="1" w:styleId="BodyTextUserDefined3">
    <w:name w:val="#BodyText=User Defined 3"/>
    <w:basedOn w:val="Normal"/>
    <w:uiPriority w:val="3"/>
    <w:qFormat/>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jc w:val="left"/>
    </w:pPr>
    <w:rPr>
      <w:rFonts w:cs="Times New Roman"/>
      <w:szCs w:val="20"/>
      <w:lang w:eastAsia="en-CA"/>
    </w:rPr>
  </w:style>
  <w:style w:type="paragraph" w:customStyle="1" w:styleId="AddressUserDefined2">
    <w:name w:val="$Address=User Defined 2"/>
    <w:basedOn w:val="Normal"/>
    <w:uiPriority w:val="15"/>
    <w:qFormat/>
    <w:pPr>
      <w:spacing w:after="0"/>
      <w:jc w:val="left"/>
    </w:pPr>
    <w:rPr>
      <w:rFonts w:cs="Times New Roman"/>
      <w:szCs w:val="20"/>
      <w:lang w:eastAsia="en-CA"/>
    </w:rPr>
  </w:style>
  <w:style w:type="paragraph" w:customStyle="1" w:styleId="AddressUserDefined3">
    <w:name w:val="$Address=User Defined 3"/>
    <w:basedOn w:val="Normal"/>
    <w:uiPriority w:val="15"/>
    <w:qFormat/>
    <w:pPr>
      <w:spacing w:after="0"/>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jc w:val="left"/>
    </w:pPr>
    <w:rPr>
      <w:rFonts w:cs="Times New Roman"/>
      <w:szCs w:val="20"/>
      <w:lang w:eastAsia="en-CA"/>
    </w:rPr>
  </w:style>
  <w:style w:type="paragraph" w:customStyle="1" w:styleId="MiscUserDefined2">
    <w:name w:val="$Misc=User Defined 2"/>
    <w:basedOn w:val="Normal"/>
    <w:uiPriority w:val="16"/>
    <w:qFormat/>
    <w:pPr>
      <w:jc w:val="left"/>
    </w:pPr>
    <w:rPr>
      <w:rFonts w:cs="Times New Roman"/>
      <w:szCs w:val="20"/>
      <w:lang w:eastAsia="en-CA"/>
    </w:rPr>
  </w:style>
  <w:style w:type="paragraph" w:customStyle="1" w:styleId="MiscUserDefined3">
    <w:name w:val="$Misc=User Defined 3"/>
    <w:basedOn w:val="Normal"/>
    <w:uiPriority w:val="16"/>
    <w:qFormat/>
    <w:pPr>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pPr>
      <w:jc w:val="left"/>
    </w:pPr>
    <w:rPr>
      <w:rFonts w:cs="Times New Roman"/>
      <w:szCs w:val="20"/>
      <w:lang w:eastAsia="en-CA"/>
    </w:rPr>
  </w:style>
  <w:style w:type="paragraph" w:customStyle="1" w:styleId="PartiesUserDefined2">
    <w:name w:val="*Parties=User Defined 2"/>
    <w:basedOn w:val="Normal"/>
    <w:uiPriority w:val="10"/>
    <w:qFormat/>
    <w:pPr>
      <w:jc w:val="left"/>
    </w:pPr>
    <w:rPr>
      <w:rFonts w:cs="Times New Roman"/>
      <w:szCs w:val="20"/>
      <w:lang w:eastAsia="en-CA"/>
    </w:rPr>
  </w:style>
  <w:style w:type="paragraph" w:customStyle="1" w:styleId="PartiesUserDefined3">
    <w:name w:val="*Parties=User Defined 3"/>
    <w:basedOn w:val="Normal"/>
    <w:uiPriority w:val="10"/>
    <w:qFormat/>
    <w:pPr>
      <w:jc w:val="left"/>
    </w:pPr>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rPr>
      <w:rFonts w:cs="Times New Roman"/>
      <w:szCs w:val="20"/>
      <w:lang w:eastAsia="en-CA"/>
    </w:rPr>
  </w:style>
  <w:style w:type="paragraph" w:customStyle="1" w:styleId="QuotesUserDefined2">
    <w:name w:val="@Quotes=User Defined 2"/>
    <w:basedOn w:val="Normal"/>
    <w:uiPriority w:val="14"/>
    <w:qFormat/>
    <w:rPr>
      <w:rFonts w:cs="Times New Roman"/>
      <w:szCs w:val="20"/>
      <w:lang w:eastAsia="en-CA"/>
    </w:rPr>
  </w:style>
  <w:style w:type="paragraph" w:customStyle="1" w:styleId="QuotesUserDefined3">
    <w:name w:val="@Quotes=User Defined 3"/>
    <w:basedOn w:val="Normal"/>
    <w:uiPriority w:val="14"/>
    <w:qFormat/>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jc w:val="left"/>
    </w:pPr>
    <w:rPr>
      <w:rFonts w:cs="Times New Roman"/>
      <w:szCs w:val="20"/>
      <w:lang w:eastAsia="en-CA"/>
    </w:rPr>
  </w:style>
  <w:style w:type="paragraph" w:customStyle="1" w:styleId="TableUserDefined2">
    <w:name w:val="^Table=User Defined 2"/>
    <w:basedOn w:val="Normal"/>
    <w:uiPriority w:val="20"/>
    <w:qFormat/>
    <w:pPr>
      <w:spacing w:before="120" w:after="120"/>
      <w:jc w:val="left"/>
    </w:pPr>
    <w:rPr>
      <w:rFonts w:cs="Times New Roman"/>
      <w:szCs w:val="20"/>
      <w:lang w:eastAsia="en-CA"/>
    </w:rPr>
  </w:style>
  <w:style w:type="paragraph" w:customStyle="1" w:styleId="TableUserDefined3">
    <w:name w:val="^Table=User Defined 3"/>
    <w:basedOn w:val="Normal"/>
    <w:uiPriority w:val="20"/>
    <w:qFormat/>
    <w:pPr>
      <w:spacing w:before="120" w:after="120"/>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rPr>
      <w:rFonts w:ascii="Arial" w:hAnsi="Arial" w:cs="Arial"/>
      <w:szCs w:val="24"/>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rPr>
      <w:rFonts w:ascii="Arial" w:hAnsi="Arial" w:cs="Arial"/>
      <w:sz w:val="16"/>
      <w:szCs w:val="16"/>
      <w:lang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rPr>
      <w:rFonts w:ascii="Arial" w:hAnsi="Arial" w:cs="Arial"/>
      <w:szCs w:val="24"/>
      <w:lang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rPr>
      <w:rFonts w:ascii="Arial" w:hAnsi="Arial" w:cs="Arial"/>
      <w:szCs w:val="24"/>
      <w:lang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rPr>
      <w:rFonts w:ascii="Arial" w:hAnsi="Arial" w:cs="Arial"/>
      <w:szCs w:val="24"/>
      <w:lang w:eastAsia="en-US"/>
    </w:rPr>
  </w:style>
  <w:style w:type="paragraph" w:styleId="BodyTextIndent20">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0"/>
    <w:uiPriority w:val="99"/>
    <w:rPr>
      <w:rFonts w:ascii="Arial" w:hAnsi="Arial" w:cs="Arial"/>
      <w:szCs w:val="24"/>
      <w:lang w:eastAsia="en-US"/>
    </w:rPr>
  </w:style>
  <w:style w:type="paragraph" w:styleId="BodyTextIndent30">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0"/>
    <w:uiPriority w:val="99"/>
    <w:rPr>
      <w:rFonts w:ascii="Arial" w:hAnsi="Arial" w:cs="Arial"/>
      <w:sz w:val="16"/>
      <w:szCs w:val="16"/>
      <w:lang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pPr>
    <w:rPr>
      <w:b/>
      <w:bCs/>
      <w:color w:val="4F81BD" w:themeColor="accent1"/>
      <w:sz w:val="18"/>
      <w:szCs w:val="18"/>
    </w:rPr>
  </w:style>
  <w:style w:type="paragraph" w:styleId="Closing">
    <w:name w:val="Closing"/>
    <w:basedOn w:val="Normal"/>
    <w:link w:val="ClosingChar"/>
    <w:uiPriority w:val="29"/>
    <w:unhideWhenUsed/>
    <w:qFormat/>
    <w:pPr>
      <w:spacing w:after="0"/>
      <w:ind w:left="4252"/>
    </w:pPr>
  </w:style>
  <w:style w:type="character" w:customStyle="1" w:styleId="ClosingChar">
    <w:name w:val="Closing Char"/>
    <w:basedOn w:val="DefaultParagraphFont"/>
    <w:link w:val="Closing"/>
    <w:uiPriority w:val="29"/>
    <w:rPr>
      <w:rFonts w:ascii="Arial" w:hAnsi="Arial" w:cs="Arial"/>
      <w:szCs w:val="24"/>
      <w:lang w:eastAsia="en-US"/>
    </w:rPr>
  </w:style>
  <w:style w:type="table" w:styleId="ColorfulGrid">
    <w:name w:val="Colorful Grid"/>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rPr>
      <w:rFonts w:ascii="Arial" w:hAnsi="Arial" w:cs="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rPr>
      <w:rFonts w:ascii="Arial" w:hAnsi="Arial" w:cs="Arial"/>
      <w:b/>
      <w:bCs/>
      <w:lang w:eastAsia="en-US"/>
    </w:rPr>
  </w:style>
  <w:style w:type="table" w:styleId="DarkList">
    <w:name w:val="Dark List"/>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29"/>
    <w:rPr>
      <w:rFonts w:ascii="Arial" w:hAnsi="Arial" w:cs="Arial"/>
      <w:szCs w:val="24"/>
      <w:lang w:eastAsia="en-US"/>
    </w:r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lang w:eastAsia="en-US"/>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rPr>
      <w:rFonts w:ascii="Arial" w:hAnsi="Arial" w:cs="Arial"/>
      <w:szCs w:val="24"/>
      <w:lang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link w:val="EndnoteTextChar"/>
    <w:uiPriority w:val="99"/>
    <w:semiHidden/>
    <w:unhideWhenUsed/>
    <w:rPr>
      <w:rFonts w:ascii="Arial" w:hAnsi="Arial" w:cs="Arial"/>
      <w:sz w:val="16"/>
      <w:lang w:eastAsia="en-US"/>
    </w:rPr>
  </w:style>
  <w:style w:type="character" w:customStyle="1" w:styleId="EndnoteTextChar">
    <w:name w:val="Endnote Text Char"/>
    <w:basedOn w:val="DefaultParagraphFont"/>
    <w:link w:val="EndnoteText"/>
    <w:uiPriority w:val="99"/>
    <w:semiHidden/>
    <w:rPr>
      <w:rFonts w:ascii="Arial" w:hAnsi="Arial" w:cs="Arial"/>
      <w:sz w:val="16"/>
      <w:lang w:eastAsia="en-US"/>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rPr>
      <w:rFonts w:ascii="Arial" w:hAnsi="Arial" w:cs="Arial"/>
      <w:i/>
      <w:iCs/>
      <w:szCs w:val="24"/>
      <w:lang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Normal"/>
    <w:next w:val="Normal"/>
    <w:autoRedefine/>
    <w:uiPriority w:val="99"/>
    <w:semiHidden/>
    <w:unhideWhenUsed/>
    <w:pPr>
      <w:spacing w:after="0"/>
      <w:ind w:left="400" w:hanging="200"/>
    </w:pPr>
  </w:style>
  <w:style w:type="paragraph" w:styleId="Index3">
    <w:name w:val="index 3"/>
    <w:basedOn w:val="Normal"/>
    <w:next w:val="Normal"/>
    <w:autoRedefine/>
    <w:uiPriority w:val="99"/>
    <w:semiHidden/>
    <w:unhideWhenUsed/>
    <w:pPr>
      <w:spacing w:after="0"/>
      <w:ind w:left="600" w:hanging="200"/>
    </w:pPr>
  </w:style>
  <w:style w:type="paragraph" w:styleId="Index4">
    <w:name w:val="index 4"/>
    <w:basedOn w:val="Normal"/>
    <w:next w:val="Normal"/>
    <w:autoRedefine/>
    <w:uiPriority w:val="99"/>
    <w:semiHidden/>
    <w:unhideWhenUsed/>
    <w:pPr>
      <w:spacing w:after="0"/>
      <w:ind w:left="800" w:hanging="200"/>
    </w:pPr>
  </w:style>
  <w:style w:type="paragraph" w:styleId="Index5">
    <w:name w:val="index 5"/>
    <w:basedOn w:val="Normal"/>
    <w:next w:val="Normal"/>
    <w:autoRedefine/>
    <w:uiPriority w:val="99"/>
    <w:semiHidden/>
    <w:unhideWhenUsed/>
    <w:pPr>
      <w:spacing w:after="0"/>
      <w:ind w:left="1000" w:hanging="200"/>
    </w:pPr>
  </w:style>
  <w:style w:type="paragraph" w:styleId="Index6">
    <w:name w:val="index 6"/>
    <w:basedOn w:val="Normal"/>
    <w:next w:val="Normal"/>
    <w:autoRedefine/>
    <w:uiPriority w:val="99"/>
    <w:semiHidden/>
    <w:unhideWhenUsed/>
    <w:pPr>
      <w:spacing w:after="0"/>
      <w:ind w:left="1200" w:hanging="200"/>
    </w:pPr>
  </w:style>
  <w:style w:type="paragraph" w:styleId="Index7">
    <w:name w:val="index 7"/>
    <w:basedOn w:val="Normal"/>
    <w:next w:val="Normal"/>
    <w:autoRedefine/>
    <w:uiPriority w:val="99"/>
    <w:semiHidden/>
    <w:unhideWhenUsed/>
    <w:pPr>
      <w:spacing w:after="0"/>
      <w:ind w:left="1400" w:hanging="200"/>
    </w:pPr>
  </w:style>
  <w:style w:type="paragraph" w:styleId="Index8">
    <w:name w:val="index 8"/>
    <w:basedOn w:val="Normal"/>
    <w:next w:val="Normal"/>
    <w:autoRedefine/>
    <w:uiPriority w:val="99"/>
    <w:semiHidden/>
    <w:unhideWhenUsed/>
    <w:pPr>
      <w:spacing w:after="0"/>
      <w:ind w:left="1600" w:hanging="200"/>
    </w:pPr>
  </w:style>
  <w:style w:type="paragraph" w:styleId="Index9">
    <w:name w:val="index 9"/>
    <w:basedOn w:val="Normal"/>
    <w:next w:val="Normal"/>
    <w:autoRedefine/>
    <w:uiPriority w:val="99"/>
    <w:semiHidden/>
    <w:unhideWhenUsed/>
    <w:pPr>
      <w:spacing w:after="0"/>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Pr>
      <w:rFonts w:ascii="Arial" w:hAnsi="Arial" w:cs="Arial"/>
      <w:b/>
      <w:bCs/>
      <w:i/>
      <w:iCs/>
      <w:color w:val="4F81BD" w:themeColor="accent1"/>
      <w:szCs w:val="24"/>
      <w:lang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tabs>
        <w:tab w:val="num" w:pos="360"/>
      </w:tabs>
      <w:contextualSpacing/>
    </w:pPr>
  </w:style>
  <w:style w:type="paragraph" w:styleId="ListBullet2">
    <w:name w:val="List Bullet 2"/>
    <w:basedOn w:val="Normal"/>
    <w:uiPriority w:val="99"/>
    <w:semiHidden/>
    <w:unhideWhenUsed/>
    <w:pPr>
      <w:tabs>
        <w:tab w:val="num" w:pos="360"/>
      </w:tabs>
      <w:contextualSpacing/>
    </w:pPr>
  </w:style>
  <w:style w:type="paragraph" w:styleId="ListBullet3">
    <w:name w:val="List Bullet 3"/>
    <w:basedOn w:val="Normal"/>
    <w:uiPriority w:val="99"/>
    <w:semiHidden/>
    <w:unhideWhenUsed/>
    <w:pPr>
      <w:tabs>
        <w:tab w:val="num" w:pos="360"/>
      </w:tabs>
      <w:contextualSpacing/>
    </w:pPr>
  </w:style>
  <w:style w:type="paragraph" w:styleId="ListBullet4">
    <w:name w:val="List Bullet 4"/>
    <w:basedOn w:val="Normal"/>
    <w:uiPriority w:val="99"/>
    <w:semiHidden/>
    <w:unhideWhenUsed/>
    <w:pPr>
      <w:tabs>
        <w:tab w:val="num" w:pos="360"/>
      </w:tabs>
      <w:contextualSpacing/>
    </w:pPr>
  </w:style>
  <w:style w:type="paragraph" w:styleId="ListBullet5">
    <w:name w:val="List Bullet 5"/>
    <w:basedOn w:val="Normal"/>
    <w:uiPriority w:val="99"/>
    <w:semiHidden/>
    <w:unhideWhenUsed/>
    <w:pPr>
      <w:tabs>
        <w:tab w:val="num" w:pos="360"/>
      </w:tabs>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tabs>
        <w:tab w:val="num" w:pos="360"/>
      </w:tabs>
      <w:contextualSpacing/>
    </w:pPr>
  </w:style>
  <w:style w:type="paragraph" w:styleId="ListNumber2">
    <w:name w:val="List Number 2"/>
    <w:basedOn w:val="Normal"/>
    <w:uiPriority w:val="99"/>
    <w:semiHidden/>
    <w:unhideWhenUsed/>
    <w:pPr>
      <w:tabs>
        <w:tab w:val="num" w:pos="360"/>
      </w:tabs>
      <w:contextualSpacing/>
    </w:pPr>
  </w:style>
  <w:style w:type="paragraph" w:styleId="ListNumber3">
    <w:name w:val="List Number 3"/>
    <w:basedOn w:val="Normal"/>
    <w:uiPriority w:val="99"/>
    <w:semiHidden/>
    <w:unhideWhenUsed/>
    <w:pPr>
      <w:tabs>
        <w:tab w:val="num" w:pos="360"/>
      </w:tabs>
      <w:contextualSpacing/>
    </w:pPr>
  </w:style>
  <w:style w:type="paragraph" w:styleId="ListNumber4">
    <w:name w:val="List Number 4"/>
    <w:basedOn w:val="Normal"/>
    <w:uiPriority w:val="99"/>
    <w:semiHidden/>
    <w:unhideWhenUsed/>
    <w:pPr>
      <w:tabs>
        <w:tab w:val="num" w:pos="360"/>
      </w:tabs>
      <w:contextualSpacing/>
    </w:pPr>
  </w:style>
  <w:style w:type="paragraph" w:styleId="ListNumber5">
    <w:name w:val="List Number 5"/>
    <w:basedOn w:val="Normal"/>
    <w:uiPriority w:val="99"/>
    <w:semiHidden/>
    <w:unhideWhenUsed/>
    <w:pPr>
      <w:tabs>
        <w:tab w:val="num" w:pos="360"/>
      </w:tabs>
      <w:contextualSpacing/>
    </w:pPr>
  </w:style>
  <w:style w:type="paragraph" w:styleId="ListParagraph">
    <w:name w:val="List Paragraph"/>
    <w:basedOn w:val="Normal"/>
    <w:uiPriority w:val="99"/>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rPr>
      <w:rFonts w:ascii="Consolas" w:hAnsi="Consolas" w:cs="Consolas"/>
      <w:lang w:eastAsia="en-US"/>
    </w:rPr>
  </w:style>
  <w:style w:type="table" w:styleId="MediumGrid1">
    <w:name w:val="Medium Grid 1"/>
    <w:basedOn w:val="TableNormal"/>
    <w:uiPriority w:val="99"/>
    <w:semiHidden/>
    <w:unhideWhenUse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pPr>
      <w:jc w:val="both"/>
    </w:pPr>
    <w:rPr>
      <w:rFonts w:ascii="Arial" w:hAnsi="Arial" w:cs="Arial"/>
      <w:szCs w:val="24"/>
      <w:lang w:eastAsia="en-US"/>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rPr>
      <w:rFonts w:ascii="Arial" w:hAnsi="Arial" w:cs="Arial"/>
      <w:szCs w:val="24"/>
      <w:lang w:eastAsia="en-US"/>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eastAsia="en-US"/>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99"/>
    <w:rPr>
      <w:rFonts w:ascii="Arial" w:hAnsi="Arial" w:cs="Arial"/>
      <w:i/>
      <w:iCs/>
      <w:color w:val="000000" w:themeColor="text1"/>
      <w:szCs w:val="24"/>
      <w:lang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29"/>
    <w:rPr>
      <w:rFonts w:ascii="Arial" w:hAnsi="Arial" w:cs="Arial"/>
      <w:szCs w:val="24"/>
      <w:lang w:eastAsia="en-US"/>
    </w:rPr>
  </w:style>
  <w:style w:type="paragraph" w:styleId="Signature">
    <w:name w:val="Signature"/>
    <w:basedOn w:val="Normal"/>
    <w:link w:val="SignatureChar"/>
    <w:uiPriority w:val="99"/>
    <w:semiHidden/>
    <w:unhideWhenUsed/>
    <w:pPr>
      <w:spacing w:after="0"/>
      <w:ind w:left="4252"/>
    </w:pPr>
  </w:style>
  <w:style w:type="character" w:customStyle="1" w:styleId="SignatureChar">
    <w:name w:val="Signature Char"/>
    <w:basedOn w:val="DefaultParagraphFont"/>
    <w:link w:val="Signature"/>
    <w:uiPriority w:val="99"/>
    <w:rPr>
      <w:rFonts w:ascii="Arial" w:hAnsi="Arial" w:cs="Arial"/>
      <w:szCs w:val="24"/>
      <w:lang w:eastAsia="en-US"/>
    </w:rPr>
  </w:style>
  <w:style w:type="character" w:styleId="Strong">
    <w:name w:val="Strong"/>
    <w:basedOn w:val="DefaultParagraphFont"/>
    <w:uiPriority w:val="99"/>
    <w:semiHidden/>
    <w:unhideWhenUsed/>
    <w:rPr>
      <w:b/>
      <w:bC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00" w:hanging="20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spacing w:after="100"/>
      <w:ind w:left="400"/>
    </w:pPr>
  </w:style>
  <w:style w:type="paragraph" w:styleId="TOC4">
    <w:name w:val="toc 4"/>
    <w:basedOn w:val="Normal"/>
    <w:next w:val="Normal"/>
    <w:autoRedefine/>
    <w:uiPriority w:val="99"/>
    <w:semiHidden/>
    <w:unhideWhenUsed/>
    <w:pPr>
      <w:spacing w:after="100"/>
      <w:ind w:left="600"/>
    </w:pPr>
  </w:style>
  <w:style w:type="paragraph" w:styleId="TOC5">
    <w:name w:val="toc 5"/>
    <w:basedOn w:val="Normal"/>
    <w:next w:val="Normal"/>
    <w:autoRedefine/>
    <w:uiPriority w:val="99"/>
    <w:semiHidden/>
    <w:unhideWhenUsed/>
    <w:pPr>
      <w:spacing w:after="100"/>
      <w:ind w:left="800"/>
    </w:pPr>
  </w:style>
  <w:style w:type="paragraph" w:styleId="TOC6">
    <w:name w:val="toc 6"/>
    <w:basedOn w:val="Normal"/>
    <w:next w:val="Normal"/>
    <w:autoRedefine/>
    <w:uiPriority w:val="99"/>
    <w:semiHidden/>
    <w:unhideWhenUsed/>
    <w:pPr>
      <w:spacing w:after="100"/>
      <w:ind w:left="1000"/>
    </w:pPr>
  </w:style>
  <w:style w:type="paragraph" w:styleId="TOC7">
    <w:name w:val="toc 7"/>
    <w:basedOn w:val="Normal"/>
    <w:next w:val="Normal"/>
    <w:autoRedefine/>
    <w:uiPriority w:val="99"/>
    <w:semiHidden/>
    <w:unhideWhenUsed/>
    <w:pPr>
      <w:spacing w:after="100"/>
      <w:ind w:left="1200"/>
    </w:pPr>
  </w:style>
  <w:style w:type="paragraph" w:styleId="TOC8">
    <w:name w:val="toc 8"/>
    <w:basedOn w:val="Normal"/>
    <w:next w:val="Normal"/>
    <w:autoRedefine/>
    <w:uiPriority w:val="99"/>
    <w:semiHidden/>
    <w:unhideWhenUsed/>
    <w:pPr>
      <w:spacing w:after="100"/>
      <w:ind w:left="1400"/>
    </w:pPr>
  </w:style>
  <w:style w:type="paragraph" w:styleId="TOC9">
    <w:name w:val="toc 9"/>
    <w:basedOn w:val="Normal"/>
    <w:next w:val="Normal"/>
    <w:autoRedefine/>
    <w:uiPriority w:val="99"/>
    <w:semiHidden/>
    <w:unhideWhenUsed/>
    <w:pPr>
      <w:spacing w:after="100"/>
      <w:ind w:left="1600"/>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pPr>
      <w:numPr>
        <w:numId w:val="1"/>
      </w:numPr>
      <w:spacing w:line="360" w:lineRule="auto"/>
    </w:pPr>
  </w:style>
  <w:style w:type="paragraph" w:customStyle="1" w:styleId="BodyTextPrecedentNote">
    <w:name w:val="#BodyText=Precedent Note"/>
    <w:basedOn w:val="BodyText0"/>
    <w:uiPriority w:val="3"/>
    <w:qFormat/>
    <w:rPr>
      <w:b/>
      <w:i/>
      <w:color w:val="002060"/>
    </w:rPr>
  </w:style>
  <w:style w:type="paragraph" w:customStyle="1" w:styleId="DocsID">
    <w:name w:val="DocsID"/>
    <w:basedOn w:val="Normal"/>
    <w:uiPriority w:val="29"/>
    <w:qFormat/>
    <w:pPr>
      <w:spacing w:before="20" w:after="0"/>
      <w:jc w:val="left"/>
    </w:pPr>
    <w:rPr>
      <w:rFonts w:cs="Times New Roman"/>
      <w:sz w:val="16"/>
      <w:szCs w:val="20"/>
    </w:rPr>
  </w:style>
  <w:style w:type="character" w:customStyle="1" w:styleId="HeaderChar">
    <w:name w:val="Header Char"/>
    <w:basedOn w:val="DefaultParagraphFont"/>
    <w:link w:val="Header"/>
    <w:uiPriority w:val="99"/>
    <w:rPr>
      <w:rFonts w:ascii="Arial" w:hAnsi="Arial" w:cs="Arial"/>
      <w:szCs w:val="24"/>
      <w:lang w:val="en-GB" w:eastAsia="fr-FR"/>
    </w:rPr>
  </w:style>
  <w:style w:type="character" w:customStyle="1" w:styleId="FooterChar">
    <w:name w:val="Footer Char"/>
    <w:basedOn w:val="DefaultParagraphFont"/>
    <w:link w:val="Footer"/>
    <w:uiPriority w:val="99"/>
    <w:rPr>
      <w:rFonts w:ascii="Arial" w:hAnsi="Arial" w:cs="Arial"/>
      <w:szCs w:val="24"/>
      <w:lang w:val="en-GB" w:eastAsia="fr-FR"/>
    </w:rPr>
  </w:style>
  <w:style w:type="character" w:customStyle="1" w:styleId="FootnoteTextChar">
    <w:name w:val="Footnote Text Char"/>
    <w:basedOn w:val="DefaultParagraphFont"/>
    <w:link w:val="FootnoteText"/>
    <w:uiPriority w:val="99"/>
    <w:semiHidden/>
    <w:rPr>
      <w:rFonts w:ascii="Arial" w:hAnsi="Arial" w:cs="Arial"/>
      <w:sz w:val="16"/>
      <w:lang w:eastAsia="en-US"/>
    </w:rPr>
  </w:style>
  <w:style w:type="paragraph" w:customStyle="1" w:styleId="Default">
    <w:name w:val="Default"/>
    <w:uiPriority w:val="29"/>
    <w:qFormat/>
    <w:pPr>
      <w:autoSpaceDE w:val="0"/>
      <w:autoSpaceDN w:val="0"/>
      <w:adjustRightInd w:val="0"/>
    </w:pPr>
    <w:rPr>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29" w:qFormat="1"/>
    <w:lsdException w:name="heading 1" w:semiHidden="0" w:unhideWhenUsed="0"/>
    <w:lsdException w:name="heading 2" w:semiHidden="0"/>
    <w:lsdException w:name="heading 3" w:semiHidden="0"/>
    <w:lsdException w:name="heading 4" w:semiHidden="0"/>
    <w:lsdException w:name="heading 5" w:semiHidden="0"/>
    <w:lsdException w:name="heading 6" w:semiHidden="0"/>
    <w:lsdException w:name="page number" w:uiPriority="29" w:qFormat="1"/>
    <w:lsdException w:name="Title" w:semiHidden="0" w:unhideWhenUsed="0"/>
    <w:lsdException w:name="Closing" w:uiPriority="29" w:qFormat="1"/>
    <w:lsdException w:name="Default Paragraph Font" w:qFormat="1"/>
    <w:lsdException w:name="Subtitle" w:semiHidden="0"/>
    <w:lsdException w:name="Date" w:semiHidden="0" w:uiPriority="29" w:qFormat="1"/>
    <w:lsdException w:name="Strong" w:unhideWhenUsed="0"/>
    <w:lsdException w:name="Emphasis" w:unhideWhenUsed="0"/>
    <w:lsdException w:name="HTML Top of Form" w:uiPriority="0" w:unhideWhenUsed="0"/>
    <w:lsdException w:name="HTML Bottom of Form" w:uiPriority="0" w:unhideWhenUsed="0"/>
    <w:lsdException w:name="Table Grid" w:semiHidden="0" w:unhideWhenUsed="0"/>
    <w:lsdException w:name="No Spacing" w:semiHidden="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nhideWhenUsed="0"/>
    <w:lsdException w:name="Quote" w:unhideWhenUsed="0"/>
    <w:lsdException w:name="Intense Quote"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unhideWhenUsed="0"/>
    <w:lsdException w:name="Intense Emphasis" w:unhideWhenUsed="0"/>
    <w:lsdException w:name="Subtle Reference" w:unhideWhenUsed="0"/>
    <w:lsdException w:name="Intense Reference" w:unhideWhenUsed="0"/>
    <w:lsdException w:name="Book Title" w:unhideWhenUsed="0"/>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basedOn w:val="Normal"/>
    <w:next w:val="Normal"/>
    <w:uiPriority w:val="99"/>
    <w:semiHidden/>
    <w:unhideWhenUsed/>
    <w:pPr>
      <w:keepNext/>
      <w:spacing w:before="120"/>
      <w:jc w:val="left"/>
      <w:outlineLvl w:val="0"/>
    </w:pPr>
    <w:rPr>
      <w:b/>
      <w:bCs/>
    </w:rPr>
  </w:style>
  <w:style w:type="paragraph" w:styleId="Heading2">
    <w:name w:val="heading 2"/>
    <w:basedOn w:val="Normal"/>
    <w:next w:val="Normal"/>
    <w:uiPriority w:val="99"/>
    <w:semiHidden/>
    <w:unhideWhenUsed/>
    <w:pPr>
      <w:keepNext/>
      <w:spacing w:before="120"/>
      <w:jc w:val="left"/>
      <w:outlineLvl w:val="1"/>
    </w:pPr>
    <w:rPr>
      <w:b/>
      <w:bCs/>
      <w:i/>
      <w:iCs/>
    </w:rPr>
  </w:style>
  <w:style w:type="paragraph" w:styleId="Heading3">
    <w:name w:val="heading 3"/>
    <w:basedOn w:val="Normal"/>
    <w:next w:val="Normal"/>
    <w:uiPriority w:val="99"/>
    <w:semiHidden/>
    <w:unhideWhenUsed/>
    <w:pPr>
      <w:keepNext/>
      <w:spacing w:before="120"/>
      <w:jc w:val="left"/>
      <w:outlineLvl w:val="2"/>
    </w:pPr>
  </w:style>
  <w:style w:type="paragraph" w:styleId="Heading4">
    <w:name w:val="heading 4"/>
    <w:basedOn w:val="Normal"/>
    <w:next w:val="Normal"/>
    <w:uiPriority w:val="99"/>
    <w:semiHidden/>
    <w:unhideWhenUsed/>
    <w:pPr>
      <w:keepNext/>
      <w:spacing w:before="120"/>
      <w:jc w:val="left"/>
      <w:outlineLvl w:val="3"/>
    </w:pPr>
    <w:rPr>
      <w:i/>
      <w:iCs/>
    </w:rPr>
  </w:style>
  <w:style w:type="paragraph" w:styleId="Heading5">
    <w:name w:val="heading 5"/>
    <w:basedOn w:val="Normal"/>
    <w:next w:val="Normal"/>
    <w:uiPriority w:val="99"/>
    <w:semiHidden/>
    <w:unhideWhenUsed/>
    <w:pPr>
      <w:keepNext/>
      <w:spacing w:before="120"/>
      <w:jc w:val="left"/>
      <w:outlineLvl w:val="4"/>
    </w:pPr>
  </w:style>
  <w:style w:type="paragraph" w:styleId="Heading6">
    <w:name w:val="heading 6"/>
    <w:basedOn w:val="Normal"/>
    <w:next w:val="Normal"/>
    <w:uiPriority w:val="99"/>
    <w:semiHidden/>
    <w:unhideWhenUsed/>
    <w:pPr>
      <w:keepNext/>
      <w:spacing w:before="120"/>
      <w:jc w:val="left"/>
      <w:outlineLvl w:val="5"/>
    </w:pPr>
  </w:style>
  <w:style w:type="paragraph" w:styleId="Heading7">
    <w:name w:val="heading 7"/>
    <w:basedOn w:val="Normal"/>
    <w:next w:val="Normal"/>
    <w:uiPriority w:val="99"/>
    <w:semiHidden/>
    <w:unhideWhenUsed/>
    <w:pPr>
      <w:keepNext/>
      <w:spacing w:before="120"/>
      <w:jc w:val="left"/>
      <w:outlineLvl w:val="6"/>
    </w:pPr>
  </w:style>
  <w:style w:type="paragraph" w:styleId="Heading8">
    <w:name w:val="heading 8"/>
    <w:basedOn w:val="Normal"/>
    <w:next w:val="Normal"/>
    <w:uiPriority w:val="99"/>
    <w:semiHidden/>
    <w:unhideWhenUsed/>
    <w:pPr>
      <w:keepNext/>
      <w:spacing w:before="120"/>
      <w:jc w:val="left"/>
      <w:outlineLvl w:val="7"/>
    </w:pPr>
  </w:style>
  <w:style w:type="paragraph" w:styleId="Heading9">
    <w:name w:val="heading 9"/>
    <w:basedOn w:val="Normal"/>
    <w:next w:val="Normal"/>
    <w:uiPriority w:val="99"/>
    <w:semiHidden/>
    <w:unhideWhenUsed/>
    <w:pPr>
      <w:keepNext/>
      <w:spacing w:before="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style>
  <w:style w:type="paragraph" w:styleId="Header">
    <w:name w:val="header"/>
    <w:basedOn w:val="NormalSingle"/>
    <w:link w:val="HeaderChar"/>
    <w:uiPriority w:val="99"/>
    <w:unhideWhenUsed/>
    <w:pPr>
      <w:tabs>
        <w:tab w:val="center" w:pos="4535"/>
        <w:tab w:val="right" w:pos="9071"/>
      </w:tabs>
      <w:spacing w:after="0"/>
      <w:jc w:val="left"/>
    </w:pPr>
    <w:rPr>
      <w:lang w:eastAsia="fr-FR"/>
    </w:rPr>
  </w:style>
  <w:style w:type="paragraph" w:styleId="Footer">
    <w:name w:val="footer"/>
    <w:basedOn w:val="NormalSingle"/>
    <w:link w:val="FooterChar"/>
    <w:uiPriority w:val="99"/>
    <w:unhideWhenUsed/>
    <w:pPr>
      <w:tabs>
        <w:tab w:val="center" w:pos="4535"/>
        <w:tab w:val="right" w:pos="9071"/>
      </w:tabs>
      <w:spacing w:after="0"/>
      <w:jc w:val="left"/>
    </w:pPr>
    <w:rPr>
      <w:lang w:eastAsia="fr-FR"/>
    </w:rPr>
  </w:style>
  <w:style w:type="character" w:customStyle="1" w:styleId="Prompt">
    <w:name w:val="Prompt"/>
    <w:uiPriority w:val="29"/>
    <w:qFormat/>
    <w:rPr>
      <w:color w:val="auto"/>
    </w:rPr>
  </w:style>
  <w:style w:type="paragraph" w:styleId="TOC1">
    <w:name w:val="toc 1"/>
    <w:basedOn w:val="Normal"/>
    <w:next w:val="Normal"/>
    <w:autoRedefine/>
    <w:uiPriority w:val="99"/>
    <w:semiHidden/>
    <w:unhideWhenUsed/>
    <w:pPr>
      <w:tabs>
        <w:tab w:val="left" w:pos="720"/>
        <w:tab w:val="right" w:leader="dot" w:pos="9360"/>
      </w:tabs>
      <w:jc w:val="left"/>
    </w:pPr>
  </w:style>
  <w:style w:type="paragraph" w:styleId="TOC2">
    <w:name w:val="toc 2"/>
    <w:basedOn w:val="Normal"/>
    <w:next w:val="Normal"/>
    <w:autoRedefine/>
    <w:uiPriority w:val="99"/>
    <w:semiHidden/>
    <w:unhideWhenUsed/>
    <w:pPr>
      <w:tabs>
        <w:tab w:val="left" w:pos="1440"/>
        <w:tab w:val="right" w:leader="dot" w:pos="9360"/>
      </w:tabs>
      <w:ind w:left="720"/>
      <w:jc w:val="left"/>
    </w:pPr>
  </w:style>
  <w:style w:type="paragraph" w:styleId="Subtitle">
    <w:name w:val="Subtitle"/>
    <w:basedOn w:val="Normal"/>
    <w:next w:val="Normal"/>
    <w:uiPriority w:val="99"/>
    <w:semiHidden/>
    <w:unhideWhenUsed/>
    <w:pPr>
      <w:jc w:val="center"/>
    </w:pPr>
    <w:rPr>
      <w:b/>
      <w:bCs/>
    </w:rPr>
  </w:style>
  <w:style w:type="paragraph" w:styleId="Title">
    <w:name w:val="Title"/>
    <w:basedOn w:val="Normal"/>
    <w:next w:val="Normal"/>
    <w:uiPriority w:val="99"/>
    <w:semiHidden/>
    <w:unhideWhenUsed/>
    <w:pPr>
      <w:jc w:val="center"/>
    </w:pPr>
    <w:rPr>
      <w:b/>
      <w:bCs/>
      <w:sz w:val="24"/>
      <w:szCs w:val="28"/>
    </w:rPr>
  </w:style>
  <w:style w:type="character" w:styleId="PageNumber">
    <w:name w:val="page number"/>
    <w:uiPriority w:val="29"/>
    <w:unhideWhenUsed/>
    <w:qFormat/>
    <w:rPr>
      <w:sz w:val="20"/>
    </w:rPr>
  </w:style>
  <w:style w:type="paragraph" w:styleId="FootnoteText">
    <w:name w:val="footnote text"/>
    <w:link w:val="FootnoteTextChar"/>
    <w:uiPriority w:val="99"/>
    <w:semiHidden/>
    <w:unhideWhenUsed/>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zz1794baseaddress">
    <w:name w:val="zz1794base address"/>
    <w:uiPriority w:val="99"/>
    <w:semiHidden/>
    <w:qFormat/>
    <w:rPr>
      <w:rFonts w:ascii="Arial" w:hAnsi="Arial"/>
      <w:lang w:val="en-GB"/>
    </w:rPr>
  </w:style>
  <w:style w:type="character" w:customStyle="1" w:styleId="BodyTextChar">
    <w:name w:val="Body Text Char"/>
    <w:basedOn w:val="DefaultParagraphFont"/>
    <w:link w:val="BodyText"/>
    <w:uiPriority w:val="99"/>
    <w:rPr>
      <w:rFonts w:ascii="Arial" w:hAnsi="Arial" w:cs="Arial"/>
      <w:szCs w:val="24"/>
      <w:lang w:eastAsia="en-US"/>
    </w:rPr>
  </w:style>
  <w:style w:type="paragraph" w:customStyle="1" w:styleId="zz1794basebodytext">
    <w:name w:val="zz1794base body text"/>
    <w:uiPriority w:val="99"/>
    <w:semiHidden/>
    <w:qFormat/>
    <w:pPr>
      <w:spacing w:after="240"/>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BodyText0">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rPr>
      <w:rFonts w:cs="Times New Roman"/>
      <w:szCs w:val="20"/>
      <w:lang w:eastAsia="en-CA"/>
    </w:rPr>
  </w:style>
  <w:style w:type="paragraph" w:customStyle="1" w:styleId="BodyTextUserDefined2">
    <w:name w:val="#BodyText=User Defined 2"/>
    <w:basedOn w:val="Normal"/>
    <w:uiPriority w:val="3"/>
    <w:qFormat/>
    <w:rPr>
      <w:rFonts w:cs="Times New Roman"/>
      <w:szCs w:val="20"/>
      <w:lang w:eastAsia="en-CA"/>
    </w:rPr>
  </w:style>
  <w:style w:type="paragraph" w:customStyle="1" w:styleId="BodyTextUserDefined3">
    <w:name w:val="#BodyText=User Defined 3"/>
    <w:basedOn w:val="Normal"/>
    <w:uiPriority w:val="3"/>
    <w:qFormat/>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jc w:val="left"/>
    </w:pPr>
    <w:rPr>
      <w:rFonts w:cs="Times New Roman"/>
      <w:szCs w:val="20"/>
      <w:lang w:eastAsia="en-CA"/>
    </w:rPr>
  </w:style>
  <w:style w:type="paragraph" w:customStyle="1" w:styleId="AddressUserDefined2">
    <w:name w:val="$Address=User Defined 2"/>
    <w:basedOn w:val="Normal"/>
    <w:uiPriority w:val="15"/>
    <w:qFormat/>
    <w:pPr>
      <w:spacing w:after="0"/>
      <w:jc w:val="left"/>
    </w:pPr>
    <w:rPr>
      <w:rFonts w:cs="Times New Roman"/>
      <w:szCs w:val="20"/>
      <w:lang w:eastAsia="en-CA"/>
    </w:rPr>
  </w:style>
  <w:style w:type="paragraph" w:customStyle="1" w:styleId="AddressUserDefined3">
    <w:name w:val="$Address=User Defined 3"/>
    <w:basedOn w:val="Normal"/>
    <w:uiPriority w:val="15"/>
    <w:qFormat/>
    <w:pPr>
      <w:spacing w:after="0"/>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jc w:val="left"/>
    </w:pPr>
    <w:rPr>
      <w:rFonts w:cs="Times New Roman"/>
      <w:szCs w:val="20"/>
      <w:lang w:eastAsia="en-CA"/>
    </w:rPr>
  </w:style>
  <w:style w:type="paragraph" w:customStyle="1" w:styleId="MiscUserDefined2">
    <w:name w:val="$Misc=User Defined 2"/>
    <w:basedOn w:val="Normal"/>
    <w:uiPriority w:val="16"/>
    <w:qFormat/>
    <w:pPr>
      <w:jc w:val="left"/>
    </w:pPr>
    <w:rPr>
      <w:rFonts w:cs="Times New Roman"/>
      <w:szCs w:val="20"/>
      <w:lang w:eastAsia="en-CA"/>
    </w:rPr>
  </w:style>
  <w:style w:type="paragraph" w:customStyle="1" w:styleId="MiscUserDefined3">
    <w:name w:val="$Misc=User Defined 3"/>
    <w:basedOn w:val="Normal"/>
    <w:uiPriority w:val="16"/>
    <w:qFormat/>
    <w:pPr>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pPr>
      <w:jc w:val="left"/>
    </w:pPr>
    <w:rPr>
      <w:rFonts w:cs="Times New Roman"/>
      <w:szCs w:val="20"/>
      <w:lang w:eastAsia="en-CA"/>
    </w:rPr>
  </w:style>
  <w:style w:type="paragraph" w:customStyle="1" w:styleId="PartiesUserDefined2">
    <w:name w:val="*Parties=User Defined 2"/>
    <w:basedOn w:val="Normal"/>
    <w:uiPriority w:val="10"/>
    <w:qFormat/>
    <w:pPr>
      <w:jc w:val="left"/>
    </w:pPr>
    <w:rPr>
      <w:rFonts w:cs="Times New Roman"/>
      <w:szCs w:val="20"/>
      <w:lang w:eastAsia="en-CA"/>
    </w:rPr>
  </w:style>
  <w:style w:type="paragraph" w:customStyle="1" w:styleId="PartiesUserDefined3">
    <w:name w:val="*Parties=User Defined 3"/>
    <w:basedOn w:val="Normal"/>
    <w:uiPriority w:val="10"/>
    <w:qFormat/>
    <w:pPr>
      <w:jc w:val="left"/>
    </w:pPr>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rPr>
      <w:rFonts w:cs="Times New Roman"/>
      <w:szCs w:val="20"/>
      <w:lang w:eastAsia="en-CA"/>
    </w:rPr>
  </w:style>
  <w:style w:type="paragraph" w:customStyle="1" w:styleId="QuotesUserDefined2">
    <w:name w:val="@Quotes=User Defined 2"/>
    <w:basedOn w:val="Normal"/>
    <w:uiPriority w:val="14"/>
    <w:qFormat/>
    <w:rPr>
      <w:rFonts w:cs="Times New Roman"/>
      <w:szCs w:val="20"/>
      <w:lang w:eastAsia="en-CA"/>
    </w:rPr>
  </w:style>
  <w:style w:type="paragraph" w:customStyle="1" w:styleId="QuotesUserDefined3">
    <w:name w:val="@Quotes=User Defined 3"/>
    <w:basedOn w:val="Normal"/>
    <w:uiPriority w:val="14"/>
    <w:qFormat/>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jc w:val="left"/>
    </w:pPr>
    <w:rPr>
      <w:rFonts w:cs="Times New Roman"/>
      <w:szCs w:val="20"/>
      <w:lang w:eastAsia="en-CA"/>
    </w:rPr>
  </w:style>
  <w:style w:type="paragraph" w:customStyle="1" w:styleId="TableUserDefined2">
    <w:name w:val="^Table=User Defined 2"/>
    <w:basedOn w:val="Normal"/>
    <w:uiPriority w:val="20"/>
    <w:qFormat/>
    <w:pPr>
      <w:spacing w:before="120" w:after="120"/>
      <w:jc w:val="left"/>
    </w:pPr>
    <w:rPr>
      <w:rFonts w:cs="Times New Roman"/>
      <w:szCs w:val="20"/>
      <w:lang w:eastAsia="en-CA"/>
    </w:rPr>
  </w:style>
  <w:style w:type="paragraph" w:customStyle="1" w:styleId="TableUserDefined3">
    <w:name w:val="^Table=User Defined 3"/>
    <w:basedOn w:val="Normal"/>
    <w:uiPriority w:val="20"/>
    <w:qFormat/>
    <w:pPr>
      <w:spacing w:before="120" w:after="120"/>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rPr>
      <w:rFonts w:ascii="Arial" w:hAnsi="Arial" w:cs="Arial"/>
      <w:szCs w:val="24"/>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rPr>
      <w:rFonts w:ascii="Arial" w:hAnsi="Arial" w:cs="Arial"/>
      <w:sz w:val="16"/>
      <w:szCs w:val="16"/>
      <w:lang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rPr>
      <w:rFonts w:ascii="Arial" w:hAnsi="Arial" w:cs="Arial"/>
      <w:szCs w:val="24"/>
      <w:lang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rPr>
      <w:rFonts w:ascii="Arial" w:hAnsi="Arial" w:cs="Arial"/>
      <w:szCs w:val="24"/>
      <w:lang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rPr>
      <w:rFonts w:ascii="Arial" w:hAnsi="Arial" w:cs="Arial"/>
      <w:szCs w:val="24"/>
      <w:lang w:eastAsia="en-US"/>
    </w:rPr>
  </w:style>
  <w:style w:type="paragraph" w:styleId="BodyTextIndent20">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0"/>
    <w:uiPriority w:val="99"/>
    <w:rPr>
      <w:rFonts w:ascii="Arial" w:hAnsi="Arial" w:cs="Arial"/>
      <w:szCs w:val="24"/>
      <w:lang w:eastAsia="en-US"/>
    </w:rPr>
  </w:style>
  <w:style w:type="paragraph" w:styleId="BodyTextIndent30">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0"/>
    <w:uiPriority w:val="99"/>
    <w:rPr>
      <w:rFonts w:ascii="Arial" w:hAnsi="Arial" w:cs="Arial"/>
      <w:sz w:val="16"/>
      <w:szCs w:val="16"/>
      <w:lang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pPr>
    <w:rPr>
      <w:b/>
      <w:bCs/>
      <w:color w:val="4F81BD" w:themeColor="accent1"/>
      <w:sz w:val="18"/>
      <w:szCs w:val="18"/>
    </w:rPr>
  </w:style>
  <w:style w:type="paragraph" w:styleId="Closing">
    <w:name w:val="Closing"/>
    <w:basedOn w:val="Normal"/>
    <w:link w:val="ClosingChar"/>
    <w:uiPriority w:val="29"/>
    <w:unhideWhenUsed/>
    <w:qFormat/>
    <w:pPr>
      <w:spacing w:after="0"/>
      <w:ind w:left="4252"/>
    </w:pPr>
  </w:style>
  <w:style w:type="character" w:customStyle="1" w:styleId="ClosingChar">
    <w:name w:val="Closing Char"/>
    <w:basedOn w:val="DefaultParagraphFont"/>
    <w:link w:val="Closing"/>
    <w:uiPriority w:val="29"/>
    <w:rPr>
      <w:rFonts w:ascii="Arial" w:hAnsi="Arial" w:cs="Arial"/>
      <w:szCs w:val="24"/>
      <w:lang w:eastAsia="en-US"/>
    </w:rPr>
  </w:style>
  <w:style w:type="table" w:styleId="ColorfulGrid">
    <w:name w:val="Colorful Grid"/>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rPr>
      <w:rFonts w:ascii="Arial" w:hAnsi="Arial" w:cs="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rPr>
      <w:rFonts w:ascii="Arial" w:hAnsi="Arial" w:cs="Arial"/>
      <w:b/>
      <w:bCs/>
      <w:lang w:eastAsia="en-US"/>
    </w:rPr>
  </w:style>
  <w:style w:type="table" w:styleId="DarkList">
    <w:name w:val="Dark List"/>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29"/>
    <w:rPr>
      <w:rFonts w:ascii="Arial" w:hAnsi="Arial" w:cs="Arial"/>
      <w:szCs w:val="24"/>
      <w:lang w:eastAsia="en-US"/>
    </w:r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lang w:eastAsia="en-US"/>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rPr>
      <w:rFonts w:ascii="Arial" w:hAnsi="Arial" w:cs="Arial"/>
      <w:szCs w:val="24"/>
      <w:lang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link w:val="EndnoteTextChar"/>
    <w:uiPriority w:val="99"/>
    <w:semiHidden/>
    <w:unhideWhenUsed/>
    <w:rPr>
      <w:rFonts w:ascii="Arial" w:hAnsi="Arial" w:cs="Arial"/>
      <w:sz w:val="16"/>
      <w:lang w:eastAsia="en-US"/>
    </w:rPr>
  </w:style>
  <w:style w:type="character" w:customStyle="1" w:styleId="EndnoteTextChar">
    <w:name w:val="Endnote Text Char"/>
    <w:basedOn w:val="DefaultParagraphFont"/>
    <w:link w:val="EndnoteText"/>
    <w:uiPriority w:val="99"/>
    <w:semiHidden/>
    <w:rPr>
      <w:rFonts w:ascii="Arial" w:hAnsi="Arial" w:cs="Arial"/>
      <w:sz w:val="16"/>
      <w:lang w:eastAsia="en-US"/>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rPr>
      <w:rFonts w:ascii="Arial" w:hAnsi="Arial" w:cs="Arial"/>
      <w:i/>
      <w:iCs/>
      <w:szCs w:val="24"/>
      <w:lang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Normal"/>
    <w:next w:val="Normal"/>
    <w:autoRedefine/>
    <w:uiPriority w:val="99"/>
    <w:semiHidden/>
    <w:unhideWhenUsed/>
    <w:pPr>
      <w:spacing w:after="0"/>
      <w:ind w:left="400" w:hanging="200"/>
    </w:pPr>
  </w:style>
  <w:style w:type="paragraph" w:styleId="Index3">
    <w:name w:val="index 3"/>
    <w:basedOn w:val="Normal"/>
    <w:next w:val="Normal"/>
    <w:autoRedefine/>
    <w:uiPriority w:val="99"/>
    <w:semiHidden/>
    <w:unhideWhenUsed/>
    <w:pPr>
      <w:spacing w:after="0"/>
      <w:ind w:left="600" w:hanging="200"/>
    </w:pPr>
  </w:style>
  <w:style w:type="paragraph" w:styleId="Index4">
    <w:name w:val="index 4"/>
    <w:basedOn w:val="Normal"/>
    <w:next w:val="Normal"/>
    <w:autoRedefine/>
    <w:uiPriority w:val="99"/>
    <w:semiHidden/>
    <w:unhideWhenUsed/>
    <w:pPr>
      <w:spacing w:after="0"/>
      <w:ind w:left="800" w:hanging="200"/>
    </w:pPr>
  </w:style>
  <w:style w:type="paragraph" w:styleId="Index5">
    <w:name w:val="index 5"/>
    <w:basedOn w:val="Normal"/>
    <w:next w:val="Normal"/>
    <w:autoRedefine/>
    <w:uiPriority w:val="99"/>
    <w:semiHidden/>
    <w:unhideWhenUsed/>
    <w:pPr>
      <w:spacing w:after="0"/>
      <w:ind w:left="1000" w:hanging="200"/>
    </w:pPr>
  </w:style>
  <w:style w:type="paragraph" w:styleId="Index6">
    <w:name w:val="index 6"/>
    <w:basedOn w:val="Normal"/>
    <w:next w:val="Normal"/>
    <w:autoRedefine/>
    <w:uiPriority w:val="99"/>
    <w:semiHidden/>
    <w:unhideWhenUsed/>
    <w:pPr>
      <w:spacing w:after="0"/>
      <w:ind w:left="1200" w:hanging="200"/>
    </w:pPr>
  </w:style>
  <w:style w:type="paragraph" w:styleId="Index7">
    <w:name w:val="index 7"/>
    <w:basedOn w:val="Normal"/>
    <w:next w:val="Normal"/>
    <w:autoRedefine/>
    <w:uiPriority w:val="99"/>
    <w:semiHidden/>
    <w:unhideWhenUsed/>
    <w:pPr>
      <w:spacing w:after="0"/>
      <w:ind w:left="1400" w:hanging="200"/>
    </w:pPr>
  </w:style>
  <w:style w:type="paragraph" w:styleId="Index8">
    <w:name w:val="index 8"/>
    <w:basedOn w:val="Normal"/>
    <w:next w:val="Normal"/>
    <w:autoRedefine/>
    <w:uiPriority w:val="99"/>
    <w:semiHidden/>
    <w:unhideWhenUsed/>
    <w:pPr>
      <w:spacing w:after="0"/>
      <w:ind w:left="1600" w:hanging="200"/>
    </w:pPr>
  </w:style>
  <w:style w:type="paragraph" w:styleId="Index9">
    <w:name w:val="index 9"/>
    <w:basedOn w:val="Normal"/>
    <w:next w:val="Normal"/>
    <w:autoRedefine/>
    <w:uiPriority w:val="99"/>
    <w:semiHidden/>
    <w:unhideWhenUsed/>
    <w:pPr>
      <w:spacing w:after="0"/>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Pr>
      <w:rFonts w:ascii="Arial" w:hAnsi="Arial" w:cs="Arial"/>
      <w:b/>
      <w:bCs/>
      <w:i/>
      <w:iCs/>
      <w:color w:val="4F81BD" w:themeColor="accent1"/>
      <w:szCs w:val="24"/>
      <w:lang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tabs>
        <w:tab w:val="num" w:pos="360"/>
      </w:tabs>
      <w:contextualSpacing/>
    </w:pPr>
  </w:style>
  <w:style w:type="paragraph" w:styleId="ListBullet2">
    <w:name w:val="List Bullet 2"/>
    <w:basedOn w:val="Normal"/>
    <w:uiPriority w:val="99"/>
    <w:semiHidden/>
    <w:unhideWhenUsed/>
    <w:pPr>
      <w:tabs>
        <w:tab w:val="num" w:pos="360"/>
      </w:tabs>
      <w:contextualSpacing/>
    </w:pPr>
  </w:style>
  <w:style w:type="paragraph" w:styleId="ListBullet3">
    <w:name w:val="List Bullet 3"/>
    <w:basedOn w:val="Normal"/>
    <w:uiPriority w:val="99"/>
    <w:semiHidden/>
    <w:unhideWhenUsed/>
    <w:pPr>
      <w:tabs>
        <w:tab w:val="num" w:pos="360"/>
      </w:tabs>
      <w:contextualSpacing/>
    </w:pPr>
  </w:style>
  <w:style w:type="paragraph" w:styleId="ListBullet4">
    <w:name w:val="List Bullet 4"/>
    <w:basedOn w:val="Normal"/>
    <w:uiPriority w:val="99"/>
    <w:semiHidden/>
    <w:unhideWhenUsed/>
    <w:pPr>
      <w:tabs>
        <w:tab w:val="num" w:pos="360"/>
      </w:tabs>
      <w:contextualSpacing/>
    </w:pPr>
  </w:style>
  <w:style w:type="paragraph" w:styleId="ListBullet5">
    <w:name w:val="List Bullet 5"/>
    <w:basedOn w:val="Normal"/>
    <w:uiPriority w:val="99"/>
    <w:semiHidden/>
    <w:unhideWhenUsed/>
    <w:pPr>
      <w:tabs>
        <w:tab w:val="num" w:pos="360"/>
      </w:tabs>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tabs>
        <w:tab w:val="num" w:pos="360"/>
      </w:tabs>
      <w:contextualSpacing/>
    </w:pPr>
  </w:style>
  <w:style w:type="paragraph" w:styleId="ListNumber2">
    <w:name w:val="List Number 2"/>
    <w:basedOn w:val="Normal"/>
    <w:uiPriority w:val="99"/>
    <w:semiHidden/>
    <w:unhideWhenUsed/>
    <w:pPr>
      <w:tabs>
        <w:tab w:val="num" w:pos="360"/>
      </w:tabs>
      <w:contextualSpacing/>
    </w:pPr>
  </w:style>
  <w:style w:type="paragraph" w:styleId="ListNumber3">
    <w:name w:val="List Number 3"/>
    <w:basedOn w:val="Normal"/>
    <w:uiPriority w:val="99"/>
    <w:semiHidden/>
    <w:unhideWhenUsed/>
    <w:pPr>
      <w:tabs>
        <w:tab w:val="num" w:pos="360"/>
      </w:tabs>
      <w:contextualSpacing/>
    </w:pPr>
  </w:style>
  <w:style w:type="paragraph" w:styleId="ListNumber4">
    <w:name w:val="List Number 4"/>
    <w:basedOn w:val="Normal"/>
    <w:uiPriority w:val="99"/>
    <w:semiHidden/>
    <w:unhideWhenUsed/>
    <w:pPr>
      <w:tabs>
        <w:tab w:val="num" w:pos="360"/>
      </w:tabs>
      <w:contextualSpacing/>
    </w:pPr>
  </w:style>
  <w:style w:type="paragraph" w:styleId="ListNumber5">
    <w:name w:val="List Number 5"/>
    <w:basedOn w:val="Normal"/>
    <w:uiPriority w:val="99"/>
    <w:semiHidden/>
    <w:unhideWhenUsed/>
    <w:pPr>
      <w:tabs>
        <w:tab w:val="num" w:pos="360"/>
      </w:tabs>
      <w:contextualSpacing/>
    </w:pPr>
  </w:style>
  <w:style w:type="paragraph" w:styleId="ListParagraph">
    <w:name w:val="List Paragraph"/>
    <w:basedOn w:val="Normal"/>
    <w:uiPriority w:val="99"/>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rPr>
      <w:rFonts w:ascii="Consolas" w:hAnsi="Consolas" w:cs="Consolas"/>
      <w:lang w:eastAsia="en-US"/>
    </w:rPr>
  </w:style>
  <w:style w:type="table" w:styleId="MediumGrid1">
    <w:name w:val="Medium Grid 1"/>
    <w:basedOn w:val="TableNormal"/>
    <w:uiPriority w:val="99"/>
    <w:semiHidden/>
    <w:unhideWhenUse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pPr>
      <w:jc w:val="both"/>
    </w:pPr>
    <w:rPr>
      <w:rFonts w:ascii="Arial" w:hAnsi="Arial" w:cs="Arial"/>
      <w:szCs w:val="24"/>
      <w:lang w:eastAsia="en-US"/>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rPr>
      <w:rFonts w:ascii="Arial" w:hAnsi="Arial" w:cs="Arial"/>
      <w:szCs w:val="24"/>
      <w:lang w:eastAsia="en-US"/>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eastAsia="en-US"/>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99"/>
    <w:rPr>
      <w:rFonts w:ascii="Arial" w:hAnsi="Arial" w:cs="Arial"/>
      <w:i/>
      <w:iCs/>
      <w:color w:val="000000" w:themeColor="text1"/>
      <w:szCs w:val="24"/>
      <w:lang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29"/>
    <w:rPr>
      <w:rFonts w:ascii="Arial" w:hAnsi="Arial" w:cs="Arial"/>
      <w:szCs w:val="24"/>
      <w:lang w:eastAsia="en-US"/>
    </w:rPr>
  </w:style>
  <w:style w:type="paragraph" w:styleId="Signature">
    <w:name w:val="Signature"/>
    <w:basedOn w:val="Normal"/>
    <w:link w:val="SignatureChar"/>
    <w:uiPriority w:val="99"/>
    <w:semiHidden/>
    <w:unhideWhenUsed/>
    <w:pPr>
      <w:spacing w:after="0"/>
      <w:ind w:left="4252"/>
    </w:pPr>
  </w:style>
  <w:style w:type="character" w:customStyle="1" w:styleId="SignatureChar">
    <w:name w:val="Signature Char"/>
    <w:basedOn w:val="DefaultParagraphFont"/>
    <w:link w:val="Signature"/>
    <w:uiPriority w:val="99"/>
    <w:rPr>
      <w:rFonts w:ascii="Arial" w:hAnsi="Arial" w:cs="Arial"/>
      <w:szCs w:val="24"/>
      <w:lang w:eastAsia="en-US"/>
    </w:rPr>
  </w:style>
  <w:style w:type="character" w:styleId="Strong">
    <w:name w:val="Strong"/>
    <w:basedOn w:val="DefaultParagraphFont"/>
    <w:uiPriority w:val="99"/>
    <w:semiHidden/>
    <w:unhideWhenUsed/>
    <w:rPr>
      <w:b/>
      <w:bC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00" w:hanging="20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spacing w:after="100"/>
      <w:ind w:left="400"/>
    </w:pPr>
  </w:style>
  <w:style w:type="paragraph" w:styleId="TOC4">
    <w:name w:val="toc 4"/>
    <w:basedOn w:val="Normal"/>
    <w:next w:val="Normal"/>
    <w:autoRedefine/>
    <w:uiPriority w:val="99"/>
    <w:semiHidden/>
    <w:unhideWhenUsed/>
    <w:pPr>
      <w:spacing w:after="100"/>
      <w:ind w:left="600"/>
    </w:pPr>
  </w:style>
  <w:style w:type="paragraph" w:styleId="TOC5">
    <w:name w:val="toc 5"/>
    <w:basedOn w:val="Normal"/>
    <w:next w:val="Normal"/>
    <w:autoRedefine/>
    <w:uiPriority w:val="99"/>
    <w:semiHidden/>
    <w:unhideWhenUsed/>
    <w:pPr>
      <w:spacing w:after="100"/>
      <w:ind w:left="800"/>
    </w:pPr>
  </w:style>
  <w:style w:type="paragraph" w:styleId="TOC6">
    <w:name w:val="toc 6"/>
    <w:basedOn w:val="Normal"/>
    <w:next w:val="Normal"/>
    <w:autoRedefine/>
    <w:uiPriority w:val="99"/>
    <w:semiHidden/>
    <w:unhideWhenUsed/>
    <w:pPr>
      <w:spacing w:after="100"/>
      <w:ind w:left="1000"/>
    </w:pPr>
  </w:style>
  <w:style w:type="paragraph" w:styleId="TOC7">
    <w:name w:val="toc 7"/>
    <w:basedOn w:val="Normal"/>
    <w:next w:val="Normal"/>
    <w:autoRedefine/>
    <w:uiPriority w:val="99"/>
    <w:semiHidden/>
    <w:unhideWhenUsed/>
    <w:pPr>
      <w:spacing w:after="100"/>
      <w:ind w:left="1200"/>
    </w:pPr>
  </w:style>
  <w:style w:type="paragraph" w:styleId="TOC8">
    <w:name w:val="toc 8"/>
    <w:basedOn w:val="Normal"/>
    <w:next w:val="Normal"/>
    <w:autoRedefine/>
    <w:uiPriority w:val="99"/>
    <w:semiHidden/>
    <w:unhideWhenUsed/>
    <w:pPr>
      <w:spacing w:after="100"/>
      <w:ind w:left="1400"/>
    </w:pPr>
  </w:style>
  <w:style w:type="paragraph" w:styleId="TOC9">
    <w:name w:val="toc 9"/>
    <w:basedOn w:val="Normal"/>
    <w:next w:val="Normal"/>
    <w:autoRedefine/>
    <w:uiPriority w:val="99"/>
    <w:semiHidden/>
    <w:unhideWhenUsed/>
    <w:pPr>
      <w:spacing w:after="100"/>
      <w:ind w:left="1600"/>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pPr>
      <w:numPr>
        <w:numId w:val="1"/>
      </w:numPr>
      <w:spacing w:line="360" w:lineRule="auto"/>
    </w:pPr>
  </w:style>
  <w:style w:type="paragraph" w:customStyle="1" w:styleId="BodyTextPrecedentNote">
    <w:name w:val="#BodyText=Precedent Note"/>
    <w:basedOn w:val="BodyText0"/>
    <w:uiPriority w:val="3"/>
    <w:qFormat/>
    <w:rPr>
      <w:b/>
      <w:i/>
      <w:color w:val="002060"/>
    </w:rPr>
  </w:style>
  <w:style w:type="paragraph" w:customStyle="1" w:styleId="DocsID">
    <w:name w:val="DocsID"/>
    <w:basedOn w:val="Normal"/>
    <w:uiPriority w:val="29"/>
    <w:qFormat/>
    <w:pPr>
      <w:spacing w:before="20" w:after="0"/>
      <w:jc w:val="left"/>
    </w:pPr>
    <w:rPr>
      <w:rFonts w:cs="Times New Roman"/>
      <w:sz w:val="16"/>
      <w:szCs w:val="20"/>
    </w:rPr>
  </w:style>
  <w:style w:type="character" w:customStyle="1" w:styleId="HeaderChar">
    <w:name w:val="Header Char"/>
    <w:basedOn w:val="DefaultParagraphFont"/>
    <w:link w:val="Header"/>
    <w:uiPriority w:val="99"/>
    <w:rPr>
      <w:rFonts w:ascii="Arial" w:hAnsi="Arial" w:cs="Arial"/>
      <w:szCs w:val="24"/>
      <w:lang w:val="en-GB" w:eastAsia="fr-FR"/>
    </w:rPr>
  </w:style>
  <w:style w:type="character" w:customStyle="1" w:styleId="FooterChar">
    <w:name w:val="Footer Char"/>
    <w:basedOn w:val="DefaultParagraphFont"/>
    <w:link w:val="Footer"/>
    <w:uiPriority w:val="99"/>
    <w:rPr>
      <w:rFonts w:ascii="Arial" w:hAnsi="Arial" w:cs="Arial"/>
      <w:szCs w:val="24"/>
      <w:lang w:val="en-GB" w:eastAsia="fr-FR"/>
    </w:rPr>
  </w:style>
  <w:style w:type="character" w:customStyle="1" w:styleId="FootnoteTextChar">
    <w:name w:val="Footnote Text Char"/>
    <w:basedOn w:val="DefaultParagraphFont"/>
    <w:link w:val="FootnoteText"/>
    <w:uiPriority w:val="99"/>
    <w:semiHidden/>
    <w:rPr>
      <w:rFonts w:ascii="Arial" w:hAnsi="Arial" w:cs="Arial"/>
      <w:sz w:val="16"/>
      <w:lang w:eastAsia="en-US"/>
    </w:rPr>
  </w:style>
  <w:style w:type="paragraph" w:customStyle="1" w:styleId="Default">
    <w:name w:val="Default"/>
    <w:uiPriority w:val="29"/>
    <w:qFormat/>
    <w:pPr>
      <w:autoSpaceDE w:val="0"/>
      <w:autoSpaceDN w:val="0"/>
      <w:adjustRightInd w:val="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1559">
      <w:bodyDiv w:val="1"/>
      <w:marLeft w:val="0"/>
      <w:marRight w:val="0"/>
      <w:marTop w:val="0"/>
      <w:marBottom w:val="0"/>
      <w:divBdr>
        <w:top w:val="none" w:sz="0" w:space="0" w:color="auto"/>
        <w:left w:val="none" w:sz="0" w:space="0" w:color="auto"/>
        <w:bottom w:val="none" w:sz="0" w:space="0" w:color="auto"/>
        <w:right w:val="none" w:sz="0" w:space="0" w:color="auto"/>
      </w:divBdr>
    </w:div>
    <w:div w:id="155584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nasdaqomx.com/europeanclearing/newsmandatorychanges/segregationportabil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chclearnet.com/about_us/corporate_governance/sa_account_structures_under_emir.asp" TargetMode="External"/><Relationship Id="rId2" Type="http://schemas.openxmlformats.org/officeDocument/2006/relationships/numbering" Target="numbering.xml"/><Relationship Id="rId16" Type="http://schemas.openxmlformats.org/officeDocument/2006/relationships/hyperlink" Target="http://www.lchclearnet.com/about_us/corporate_governance/ltd_account_structures_under_emir.asp"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urexclearing.com/clearing-en/risk-management/client-asset-protection/143894/" TargetMode="Externa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2057\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86F8-82CE-4BF9-B57B-675D3A1C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8</TotalTime>
  <Pages>26</Pages>
  <Words>8565</Words>
  <Characters>48821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Blank</vt:lpstr>
    </vt:vector>
  </TitlesOfParts>
  <Company>Norton Rose Fulbright LLP</Company>
  <LinksUpToDate>false</LinksUpToDate>
  <CharactersWithSpaces>57272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Gilbey, Liz</dc:creator>
  <dc:description>English (U.K.) v1.04</dc:description>
  <cp:lastModifiedBy>Legal</cp:lastModifiedBy>
  <cp:revision>4</cp:revision>
  <cp:lastPrinted>2014-02-19T18:34:00Z</cp:lastPrinted>
  <dcterms:created xsi:type="dcterms:W3CDTF">2015-12-15T20:02:00Z</dcterms:created>
  <dcterms:modified xsi:type="dcterms:W3CDTF">2015-12-16T21:19:00Z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CFD-#14407687-v2</vt:lpwstr>
  </property>
</Properties>
</file>