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66649" w14:textId="4ED4C71F" w:rsidR="00F746C1" w:rsidRPr="00CC6599" w:rsidRDefault="003858EE" w:rsidP="00CF727F">
      <w:pPr>
        <w:jc w:val="both"/>
        <w:rPr>
          <w:rFonts w:ascii="Times New Roman" w:hAnsi="Times New Roman" w:cs="Times New Roman"/>
          <w:b/>
          <w:bCs/>
          <w:sz w:val="28"/>
          <w:szCs w:val="28"/>
          <w:u w:val="single"/>
        </w:rPr>
      </w:pPr>
      <w:r w:rsidRPr="00CC6599">
        <w:rPr>
          <w:rFonts w:ascii="Times New Roman" w:hAnsi="Times New Roman" w:cs="Times New Roman"/>
          <w:b/>
          <w:bCs/>
          <w:sz w:val="28"/>
          <w:szCs w:val="28"/>
          <w:u w:val="single"/>
        </w:rPr>
        <w:t xml:space="preserve">Summary of the impact of </w:t>
      </w:r>
      <w:r w:rsidR="00D02EFA">
        <w:rPr>
          <w:rFonts w:ascii="Times New Roman" w:hAnsi="Times New Roman" w:cs="Times New Roman"/>
          <w:b/>
          <w:bCs/>
          <w:sz w:val="28"/>
          <w:szCs w:val="28"/>
          <w:u w:val="single"/>
        </w:rPr>
        <w:t xml:space="preserve">IBOR </w:t>
      </w:r>
      <w:r w:rsidR="00F5591E" w:rsidRPr="00CC6599">
        <w:rPr>
          <w:rFonts w:ascii="Times New Roman" w:hAnsi="Times New Roman" w:cs="Times New Roman"/>
          <w:b/>
          <w:bCs/>
          <w:sz w:val="28"/>
          <w:szCs w:val="28"/>
          <w:u w:val="single"/>
        </w:rPr>
        <w:t xml:space="preserve">Benchmark cessation to </w:t>
      </w:r>
      <w:r w:rsidR="00187408" w:rsidRPr="00CC6599">
        <w:rPr>
          <w:rFonts w:ascii="Times New Roman" w:hAnsi="Times New Roman" w:cs="Times New Roman"/>
          <w:b/>
          <w:bCs/>
          <w:sz w:val="28"/>
          <w:szCs w:val="28"/>
          <w:u w:val="single"/>
        </w:rPr>
        <w:t>Regulatory Reporting (EMIR</w:t>
      </w:r>
      <w:r w:rsidR="00D02EFA">
        <w:rPr>
          <w:rFonts w:ascii="Times New Roman" w:hAnsi="Times New Roman" w:cs="Times New Roman"/>
          <w:b/>
          <w:bCs/>
          <w:sz w:val="28"/>
          <w:szCs w:val="28"/>
          <w:u w:val="single"/>
        </w:rPr>
        <w:t>,</w:t>
      </w:r>
      <w:r w:rsidR="00187408" w:rsidRPr="00CC6599">
        <w:rPr>
          <w:rFonts w:ascii="Times New Roman" w:hAnsi="Times New Roman" w:cs="Times New Roman"/>
          <w:b/>
          <w:bCs/>
          <w:sz w:val="28"/>
          <w:szCs w:val="28"/>
          <w:u w:val="single"/>
        </w:rPr>
        <w:t xml:space="preserve"> MiFID II</w:t>
      </w:r>
      <w:r w:rsidR="00D02EFA">
        <w:rPr>
          <w:rFonts w:ascii="Times New Roman" w:hAnsi="Times New Roman" w:cs="Times New Roman"/>
          <w:b/>
          <w:bCs/>
          <w:sz w:val="28"/>
          <w:szCs w:val="28"/>
          <w:u w:val="single"/>
        </w:rPr>
        <w:t xml:space="preserve"> and APAC regimes</w:t>
      </w:r>
      <w:r w:rsidR="00187408" w:rsidRPr="00CC6599">
        <w:rPr>
          <w:rFonts w:ascii="Times New Roman" w:hAnsi="Times New Roman" w:cs="Times New Roman"/>
          <w:b/>
          <w:bCs/>
          <w:sz w:val="28"/>
          <w:szCs w:val="28"/>
          <w:u w:val="single"/>
        </w:rPr>
        <w:t>)</w:t>
      </w:r>
    </w:p>
    <w:p w14:paraId="2EEA5485" w14:textId="4C7E024E" w:rsidR="00187408" w:rsidRDefault="00187408" w:rsidP="00CF727F">
      <w:pPr>
        <w:jc w:val="both"/>
        <w:rPr>
          <w:rFonts w:ascii="Times New Roman" w:hAnsi="Times New Roman" w:cs="Times New Roman"/>
        </w:rPr>
      </w:pPr>
    </w:p>
    <w:p w14:paraId="192B40E1" w14:textId="65532970" w:rsidR="00F7714C" w:rsidRPr="00F7714C" w:rsidRDefault="00F7714C" w:rsidP="00CF727F">
      <w:pPr>
        <w:jc w:val="both"/>
        <w:rPr>
          <w:rFonts w:ascii="Times New Roman" w:hAnsi="Times New Roman" w:cs="Times New Roman"/>
          <w:b/>
          <w:bCs/>
          <w:u w:val="single"/>
        </w:rPr>
      </w:pPr>
      <w:r w:rsidRPr="00F7714C">
        <w:rPr>
          <w:rFonts w:ascii="Times New Roman" w:hAnsi="Times New Roman" w:cs="Times New Roman"/>
          <w:b/>
          <w:bCs/>
          <w:u w:val="single"/>
        </w:rPr>
        <w:t>Background</w:t>
      </w:r>
    </w:p>
    <w:p w14:paraId="56817DB1" w14:textId="710B0EB7" w:rsidR="00881524" w:rsidRDefault="00881524" w:rsidP="00CF727F">
      <w:pPr>
        <w:jc w:val="both"/>
        <w:rPr>
          <w:rFonts w:ascii="Times New Roman" w:hAnsi="Times New Roman" w:cs="Times New Roman"/>
        </w:rPr>
      </w:pPr>
      <w:r>
        <w:rPr>
          <w:rFonts w:ascii="Times New Roman" w:hAnsi="Times New Roman" w:cs="Times New Roman"/>
        </w:rPr>
        <w:t>Th</w:t>
      </w:r>
      <w:r w:rsidRPr="00881524">
        <w:rPr>
          <w:rFonts w:ascii="Times New Roman" w:hAnsi="Times New Roman" w:cs="Times New Roman"/>
        </w:rPr>
        <w:t>e FCA confirmed</w:t>
      </w:r>
      <w:r>
        <w:rPr>
          <w:rFonts w:ascii="Times New Roman" w:hAnsi="Times New Roman" w:cs="Times New Roman"/>
        </w:rPr>
        <w:t xml:space="preserve"> on 5 March 2021</w:t>
      </w:r>
      <w:r w:rsidRPr="00881524">
        <w:rPr>
          <w:rFonts w:ascii="Times New Roman" w:hAnsi="Times New Roman" w:cs="Times New Roman"/>
        </w:rPr>
        <w:t xml:space="preserve"> that all seven tenors for both euro and Swiss franc LIBOR, overnight, one-week, two-month and 12-month sterling LIBOR, spot next, one-week, two-month and 12-month yen LIBOR and one-week and two-month US dollar LIBOR will permanently cease immediately after December 31, 2021. </w:t>
      </w:r>
      <w:r w:rsidR="00C03E0B">
        <w:rPr>
          <w:rFonts w:ascii="Times New Roman" w:hAnsi="Times New Roman" w:cs="Times New Roman"/>
        </w:rPr>
        <w:t xml:space="preserve">Publication of one-month, three-month and </w:t>
      </w:r>
      <w:proofErr w:type="gramStart"/>
      <w:r w:rsidR="00C03E0B">
        <w:rPr>
          <w:rFonts w:ascii="Times New Roman" w:hAnsi="Times New Roman" w:cs="Times New Roman"/>
        </w:rPr>
        <w:t>six month</w:t>
      </w:r>
      <w:proofErr w:type="gramEnd"/>
      <w:r w:rsidR="00C03E0B">
        <w:rPr>
          <w:rFonts w:ascii="Times New Roman" w:hAnsi="Times New Roman" w:cs="Times New Roman"/>
        </w:rPr>
        <w:t xml:space="preserve"> sterling and yen LIBOR will be ‘non-representative’ immediately after December 31, 2021.  </w:t>
      </w:r>
      <w:r w:rsidRPr="00881524">
        <w:rPr>
          <w:rFonts w:ascii="Times New Roman" w:hAnsi="Times New Roman" w:cs="Times New Roman"/>
        </w:rPr>
        <w:t>Publication of the overnight and 12-month US dollar LIBOR settings will cease for good immediately after June 30, 2023.</w:t>
      </w:r>
      <w:r w:rsidR="00C03E0B">
        <w:rPr>
          <w:rFonts w:ascii="Times New Roman" w:hAnsi="Times New Roman" w:cs="Times New Roman"/>
        </w:rPr>
        <w:t xml:space="preserve">  Publication of one-month, three-month and six-month US dollar LIBOR will either cease for good or be non-representative immediately after June 30, 2023.</w:t>
      </w:r>
    </w:p>
    <w:p w14:paraId="5803D85B" w14:textId="036D18E3" w:rsidR="006673FD" w:rsidRPr="006673FD" w:rsidRDefault="006673FD" w:rsidP="00CF727F">
      <w:pPr>
        <w:jc w:val="both"/>
        <w:rPr>
          <w:rFonts w:ascii="Times New Roman" w:hAnsi="Times New Roman" w:cs="Times New Roman"/>
        </w:rPr>
      </w:pPr>
      <w:r>
        <w:rPr>
          <w:rFonts w:ascii="Times New Roman" w:hAnsi="Times New Roman" w:cs="Times New Roman"/>
        </w:rPr>
        <w:t xml:space="preserve">Where market participants hold outstanding contracts with LIBOR exposure, regulators are encouraging </w:t>
      </w:r>
      <w:r w:rsidRPr="006673FD">
        <w:rPr>
          <w:rFonts w:ascii="Times New Roman" w:hAnsi="Times New Roman" w:cs="Times New Roman"/>
        </w:rPr>
        <w:t>such contracts are transferred to a risk</w:t>
      </w:r>
      <w:r w:rsidR="002A624C">
        <w:rPr>
          <w:rFonts w:ascii="Times New Roman" w:hAnsi="Times New Roman" w:cs="Times New Roman"/>
        </w:rPr>
        <w:t>-</w:t>
      </w:r>
      <w:r w:rsidRPr="006673FD">
        <w:rPr>
          <w:rFonts w:ascii="Times New Roman" w:hAnsi="Times New Roman" w:cs="Times New Roman"/>
        </w:rPr>
        <w:t>free rate (RFR). However, to address the risk that LIBOR is discontinued</w:t>
      </w:r>
      <w:r w:rsidR="00C03E0B">
        <w:rPr>
          <w:rFonts w:ascii="Times New Roman" w:hAnsi="Times New Roman" w:cs="Times New Roman"/>
        </w:rPr>
        <w:t xml:space="preserve"> or becomes non-representative</w:t>
      </w:r>
      <w:r w:rsidRPr="006673FD">
        <w:rPr>
          <w:rFonts w:ascii="Times New Roman" w:hAnsi="Times New Roman" w:cs="Times New Roman"/>
        </w:rPr>
        <w:t xml:space="preserve"> while market participants continue to have exposure to that rate, counterparties should agree to contractual fallback provisions that would provide for adjusted versions of the risk-free rates as replacement rates. To aid this, ISDA launched the IBOR Fallbacks Supplement and IBOR Fallbacks Protocol on 23 October 2020. There has been a high level of sign up to this Protocol, although counterparties may also choose to agree bespoke fallback provisions with their clients. </w:t>
      </w:r>
    </w:p>
    <w:p w14:paraId="2F8CC77C" w14:textId="4E788999" w:rsidR="006673FD" w:rsidRPr="006673FD" w:rsidRDefault="006673FD" w:rsidP="00CF727F">
      <w:pPr>
        <w:jc w:val="both"/>
        <w:rPr>
          <w:rFonts w:ascii="Times New Roman" w:hAnsi="Times New Roman" w:cs="Times New Roman"/>
        </w:rPr>
      </w:pPr>
      <w:r w:rsidRPr="006673FD">
        <w:rPr>
          <w:rFonts w:ascii="Times New Roman" w:hAnsi="Times New Roman" w:cs="Times New Roman"/>
        </w:rPr>
        <w:t xml:space="preserve">The fallback rates will be adjusted versions of the RFRs, and there are inherent structural differences between the LIBOR / IBORs and RFRs. IBORs are available in multiple tenors while RFRs are overnight rates. The IBOR rates also incorporate a bank credit risk premium and other factors. In creating the fallbacks, therefore, adjustments are needed to the RFRs to ensure contracts originally negotiated to reference an IBOR continue to meet the original objectives of the counterparties to the maximum extent possible once a fallback takes effect. </w:t>
      </w:r>
    </w:p>
    <w:p w14:paraId="5B72A161" w14:textId="705135B4" w:rsidR="006673FD" w:rsidRPr="006673FD" w:rsidRDefault="006673FD" w:rsidP="00CF727F">
      <w:pPr>
        <w:jc w:val="both"/>
        <w:rPr>
          <w:rFonts w:ascii="Times New Roman" w:hAnsi="Times New Roman" w:cs="Times New Roman"/>
        </w:rPr>
      </w:pPr>
      <w:r w:rsidRPr="006673FD">
        <w:rPr>
          <w:rFonts w:ascii="Times New Roman" w:hAnsi="Times New Roman" w:cs="Times New Roman"/>
        </w:rPr>
        <w:t>T</w:t>
      </w:r>
      <w:r w:rsidR="00C03E0B">
        <w:rPr>
          <w:rFonts w:ascii="Times New Roman" w:hAnsi="Times New Roman" w:cs="Times New Roman"/>
        </w:rPr>
        <w:t>o compute the fallbacks, t</w:t>
      </w:r>
      <w:r w:rsidRPr="006673FD">
        <w:rPr>
          <w:rFonts w:ascii="Times New Roman" w:hAnsi="Times New Roman" w:cs="Times New Roman"/>
        </w:rPr>
        <w:t xml:space="preserve">he RFRs will be compounded over the relevant IBOR </w:t>
      </w:r>
      <w:proofErr w:type="gramStart"/>
      <w:r w:rsidRPr="006673FD">
        <w:rPr>
          <w:rFonts w:ascii="Times New Roman" w:hAnsi="Times New Roman" w:cs="Times New Roman"/>
        </w:rPr>
        <w:t>period</w:t>
      </w:r>
      <w:proofErr w:type="gramEnd"/>
      <w:r w:rsidRPr="006673FD">
        <w:rPr>
          <w:rFonts w:ascii="Times New Roman" w:hAnsi="Times New Roman" w:cs="Times New Roman"/>
        </w:rPr>
        <w:t xml:space="preserve"> and a spread adjustment will be added to the compounded rate. The spread adjustment </w:t>
      </w:r>
      <w:r w:rsidR="00C03E0B">
        <w:rPr>
          <w:rFonts w:ascii="Times New Roman" w:hAnsi="Times New Roman" w:cs="Times New Roman"/>
        </w:rPr>
        <w:t>is</w:t>
      </w:r>
      <w:r w:rsidRPr="006673FD">
        <w:rPr>
          <w:rFonts w:ascii="Times New Roman" w:hAnsi="Times New Roman" w:cs="Times New Roman"/>
        </w:rPr>
        <w:t xml:space="preserve"> based on the median over a five-year period of the historical differences between the IBOR in the relevant tenor and the relevant RFR compounded over each corresponding period. Bloomberg </w:t>
      </w:r>
      <w:r w:rsidR="00C03E0B">
        <w:rPr>
          <w:rFonts w:ascii="Times New Roman" w:hAnsi="Times New Roman" w:cs="Times New Roman"/>
        </w:rPr>
        <w:t>publishes</w:t>
      </w:r>
      <w:r w:rsidRPr="006673FD">
        <w:rPr>
          <w:rFonts w:ascii="Times New Roman" w:hAnsi="Times New Roman" w:cs="Times New Roman"/>
        </w:rPr>
        <w:t xml:space="preserve"> the adjustments and all-in fallback rates via a variety of distribution platforms.</w:t>
      </w:r>
    </w:p>
    <w:p w14:paraId="57A5F1E9" w14:textId="0BEC229B" w:rsidR="006673FD" w:rsidRPr="006673FD" w:rsidRDefault="006673FD" w:rsidP="00CF727F">
      <w:pPr>
        <w:jc w:val="both"/>
        <w:rPr>
          <w:rFonts w:ascii="Times New Roman" w:hAnsi="Times New Roman" w:cs="Times New Roman"/>
        </w:rPr>
      </w:pPr>
      <w:r w:rsidRPr="006673FD">
        <w:rPr>
          <w:rFonts w:ascii="Times New Roman" w:hAnsi="Times New Roman" w:cs="Times New Roman"/>
        </w:rPr>
        <w:t xml:space="preserve">The purpose of a fallback is to be a replacement rate for when the relevant benchmark becomes unavailable. Fallbacks should not be considered as standalone reference rates and they do not change the contractually agreed reference rate of a trade. Fallbacks cannot be traded or identified as the underlying reference rate of a trade. </w:t>
      </w:r>
    </w:p>
    <w:p w14:paraId="01F084DA" w14:textId="42D19E8A" w:rsidR="006673FD" w:rsidRDefault="006673FD" w:rsidP="00CF727F">
      <w:pPr>
        <w:jc w:val="both"/>
        <w:rPr>
          <w:rFonts w:ascii="Times New Roman" w:hAnsi="Times New Roman" w:cs="Times New Roman"/>
        </w:rPr>
      </w:pPr>
      <w:r w:rsidRPr="006673FD">
        <w:rPr>
          <w:rFonts w:ascii="Times New Roman" w:hAnsi="Times New Roman" w:cs="Times New Roman"/>
        </w:rPr>
        <w:t> </w:t>
      </w:r>
    </w:p>
    <w:p w14:paraId="368EC969" w14:textId="2BB7C834" w:rsidR="000446A5" w:rsidRPr="000446A5" w:rsidRDefault="000446A5" w:rsidP="00CF727F">
      <w:pPr>
        <w:jc w:val="both"/>
        <w:rPr>
          <w:rFonts w:ascii="Times New Roman" w:hAnsi="Times New Roman" w:cs="Times New Roman"/>
          <w:b/>
          <w:bCs/>
          <w:u w:val="single"/>
        </w:rPr>
      </w:pPr>
      <w:r w:rsidRPr="000446A5">
        <w:rPr>
          <w:rFonts w:ascii="Times New Roman" w:hAnsi="Times New Roman" w:cs="Times New Roman"/>
          <w:b/>
          <w:bCs/>
          <w:u w:val="single"/>
        </w:rPr>
        <w:t>Impact on regulator</w:t>
      </w:r>
      <w:r w:rsidR="00583055">
        <w:rPr>
          <w:rFonts w:ascii="Times New Roman" w:hAnsi="Times New Roman" w:cs="Times New Roman"/>
          <w:b/>
          <w:bCs/>
          <w:u w:val="single"/>
        </w:rPr>
        <w:t>y</w:t>
      </w:r>
      <w:r w:rsidRPr="000446A5">
        <w:rPr>
          <w:rFonts w:ascii="Times New Roman" w:hAnsi="Times New Roman" w:cs="Times New Roman"/>
          <w:b/>
          <w:bCs/>
          <w:u w:val="single"/>
        </w:rPr>
        <w:t xml:space="preserve"> reporting</w:t>
      </w:r>
    </w:p>
    <w:p w14:paraId="129941BC" w14:textId="1D86D5E7" w:rsidR="000446A5" w:rsidRDefault="000446A5" w:rsidP="00CF727F">
      <w:pPr>
        <w:jc w:val="both"/>
        <w:rPr>
          <w:rFonts w:ascii="Times New Roman" w:hAnsi="Times New Roman" w:cs="Times New Roman"/>
        </w:rPr>
      </w:pPr>
      <w:r>
        <w:rPr>
          <w:rFonts w:ascii="Times New Roman" w:hAnsi="Times New Roman" w:cs="Times New Roman"/>
        </w:rPr>
        <w:t>Legally</w:t>
      </w:r>
      <w:r w:rsidR="004A36A0">
        <w:rPr>
          <w:rFonts w:ascii="Times New Roman" w:hAnsi="Times New Roman" w:cs="Times New Roman"/>
        </w:rPr>
        <w:t>,</w:t>
      </w:r>
      <w:r>
        <w:rPr>
          <w:rFonts w:ascii="Times New Roman" w:hAnsi="Times New Roman" w:cs="Times New Roman"/>
        </w:rPr>
        <w:t xml:space="preserve"> a LIBOR contract does not change upon cessation of the LIBOR rate </w:t>
      </w:r>
      <w:r w:rsidR="004A36A0">
        <w:rPr>
          <w:rFonts w:ascii="Times New Roman" w:hAnsi="Times New Roman" w:cs="Times New Roman"/>
        </w:rPr>
        <w:t xml:space="preserve">as </w:t>
      </w:r>
      <w:r>
        <w:rPr>
          <w:rFonts w:ascii="Times New Roman" w:hAnsi="Times New Roman" w:cs="Times New Roman"/>
        </w:rPr>
        <w:t xml:space="preserve">the fallback rate that will be triggered is part of the contract itself. However, regulators across global jurisdictions have stated it is essential for them to have transparency of the trade </w:t>
      </w:r>
      <w:r w:rsidR="004A36A0">
        <w:rPr>
          <w:rFonts w:ascii="Times New Roman" w:hAnsi="Times New Roman" w:cs="Times New Roman"/>
        </w:rPr>
        <w:t xml:space="preserve">economics </w:t>
      </w:r>
      <w:r>
        <w:rPr>
          <w:rFonts w:ascii="Times New Roman" w:hAnsi="Times New Roman" w:cs="Times New Roman"/>
        </w:rPr>
        <w:t xml:space="preserve">and </w:t>
      </w:r>
      <w:r w:rsidR="004A36A0">
        <w:rPr>
          <w:rFonts w:ascii="Times New Roman" w:hAnsi="Times New Roman" w:cs="Times New Roman"/>
        </w:rPr>
        <w:t xml:space="preserve">therefore </w:t>
      </w:r>
      <w:r>
        <w:rPr>
          <w:rFonts w:ascii="Times New Roman" w:hAnsi="Times New Roman" w:cs="Times New Roman"/>
        </w:rPr>
        <w:t>are requiring market participants to report updated trade details when a fallback rate is trigger</w:t>
      </w:r>
      <w:r w:rsidR="004A36A0">
        <w:rPr>
          <w:rFonts w:ascii="Times New Roman" w:hAnsi="Times New Roman" w:cs="Times New Roman"/>
        </w:rPr>
        <w:t xml:space="preserve">ed. Regulators also require </w:t>
      </w:r>
      <w:r>
        <w:rPr>
          <w:rFonts w:ascii="Times New Roman" w:hAnsi="Times New Roman" w:cs="Times New Roman"/>
        </w:rPr>
        <w:t>voluntary transfer</w:t>
      </w:r>
      <w:r w:rsidR="004A36A0">
        <w:rPr>
          <w:rFonts w:ascii="Times New Roman" w:hAnsi="Times New Roman" w:cs="Times New Roman"/>
        </w:rPr>
        <w:t>s</w:t>
      </w:r>
      <w:r>
        <w:rPr>
          <w:rFonts w:ascii="Times New Roman" w:hAnsi="Times New Roman" w:cs="Times New Roman"/>
        </w:rPr>
        <w:t xml:space="preserve"> to a RFR</w:t>
      </w:r>
      <w:r w:rsidR="004A36A0">
        <w:rPr>
          <w:rFonts w:ascii="Times New Roman" w:hAnsi="Times New Roman" w:cs="Times New Roman"/>
        </w:rPr>
        <w:t xml:space="preserve"> to be reported</w:t>
      </w:r>
      <w:r>
        <w:rPr>
          <w:rFonts w:ascii="Times New Roman" w:hAnsi="Times New Roman" w:cs="Times New Roman"/>
        </w:rPr>
        <w:t xml:space="preserve">. Regulators have published guidance in various formats for how they expect market participants to report fallback rates / RFRs. </w:t>
      </w:r>
      <w:r w:rsidR="004A36A0">
        <w:rPr>
          <w:rFonts w:ascii="Times New Roman" w:hAnsi="Times New Roman" w:cs="Times New Roman"/>
        </w:rPr>
        <w:t xml:space="preserve">Links to the </w:t>
      </w:r>
      <w:r>
        <w:rPr>
          <w:rFonts w:ascii="Times New Roman" w:hAnsi="Times New Roman" w:cs="Times New Roman"/>
        </w:rPr>
        <w:t>guidance can be found below:</w:t>
      </w:r>
    </w:p>
    <w:p w14:paraId="0775A7AC" w14:textId="253864DF" w:rsidR="000446A5" w:rsidRPr="001F4D30" w:rsidRDefault="000446A5" w:rsidP="00CF727F">
      <w:pPr>
        <w:jc w:val="both"/>
        <w:rPr>
          <w:rFonts w:ascii="Times New Roman" w:hAnsi="Times New Roman" w:cs="Times New Roman"/>
          <w:b/>
          <w:bCs/>
        </w:rPr>
      </w:pPr>
      <w:r w:rsidRPr="001F4D30">
        <w:rPr>
          <w:rFonts w:ascii="Times New Roman" w:hAnsi="Times New Roman" w:cs="Times New Roman"/>
          <w:b/>
          <w:bCs/>
        </w:rPr>
        <w:lastRenderedPageBreak/>
        <w:t>ESMA</w:t>
      </w:r>
    </w:p>
    <w:p w14:paraId="7F827388" w14:textId="0453205F" w:rsidR="000446A5" w:rsidRPr="00803EC1" w:rsidRDefault="000446A5" w:rsidP="00CF727F">
      <w:pPr>
        <w:pStyle w:val="ListParagraph"/>
        <w:numPr>
          <w:ilvl w:val="0"/>
          <w:numId w:val="3"/>
        </w:numPr>
        <w:jc w:val="both"/>
        <w:rPr>
          <w:rFonts w:ascii="Times New Roman" w:hAnsi="Times New Roman" w:cs="Times New Roman"/>
        </w:rPr>
      </w:pPr>
      <w:r w:rsidRPr="00803EC1">
        <w:rPr>
          <w:rFonts w:ascii="Times New Roman" w:hAnsi="Times New Roman" w:cs="Times New Roman"/>
        </w:rPr>
        <w:t xml:space="preserve">EMIR Q&amp;A TR Question 53 </w:t>
      </w:r>
      <w:r w:rsidR="009937CB" w:rsidRPr="00803EC1">
        <w:rPr>
          <w:rFonts w:ascii="Times New Roman" w:hAnsi="Times New Roman" w:cs="Times New Roman"/>
        </w:rPr>
        <w:t>(</w:t>
      </w:r>
      <w:hyperlink r:id="rId11" w:history="1">
        <w:r w:rsidR="009937CB" w:rsidRPr="00803EC1">
          <w:rPr>
            <w:rStyle w:val="Hyperlink"/>
            <w:rFonts w:ascii="Times New Roman" w:hAnsi="Times New Roman" w:cs="Times New Roman"/>
          </w:rPr>
          <w:t>https://www.esma.europa.eu/sites/default/files/library/esma70-1861941480-52_qa_on_emir_implementation.pdf</w:t>
        </w:r>
      </w:hyperlink>
      <w:r w:rsidR="009937CB" w:rsidRPr="00803EC1">
        <w:rPr>
          <w:rFonts w:ascii="Times New Roman" w:hAnsi="Times New Roman" w:cs="Times New Roman"/>
        </w:rPr>
        <w:t>)</w:t>
      </w:r>
    </w:p>
    <w:p w14:paraId="671DAC72" w14:textId="36A24B23" w:rsidR="000446A5" w:rsidRDefault="000446A5" w:rsidP="00CF727F">
      <w:pPr>
        <w:pStyle w:val="ListParagraph"/>
        <w:numPr>
          <w:ilvl w:val="0"/>
          <w:numId w:val="3"/>
        </w:numPr>
        <w:jc w:val="both"/>
        <w:rPr>
          <w:rFonts w:ascii="Times New Roman" w:hAnsi="Times New Roman" w:cs="Times New Roman"/>
        </w:rPr>
      </w:pPr>
      <w:r>
        <w:rPr>
          <w:rFonts w:ascii="Times New Roman" w:hAnsi="Times New Roman" w:cs="Times New Roman"/>
        </w:rPr>
        <w:t>MiFID Q&amp;A Question 18 (</w:t>
      </w:r>
      <w:hyperlink r:id="rId12" w:history="1">
        <w:r w:rsidR="00054DB1">
          <w:rPr>
            <w:rStyle w:val="Hyperlink"/>
          </w:rPr>
          <w:t>esma70-1861941480-56_qas_mifir_data_reporting.pdf (europa.eu)</w:t>
        </w:r>
      </w:hyperlink>
      <w:r>
        <w:rPr>
          <w:rFonts w:ascii="Times New Roman" w:hAnsi="Times New Roman" w:cs="Times New Roman"/>
        </w:rPr>
        <w:t xml:space="preserve">) </w:t>
      </w:r>
    </w:p>
    <w:p w14:paraId="6C8C5647" w14:textId="3E8E491B" w:rsidR="000446A5" w:rsidRPr="001F4D30" w:rsidRDefault="000446A5" w:rsidP="00CF727F">
      <w:pPr>
        <w:jc w:val="both"/>
        <w:rPr>
          <w:rFonts w:ascii="Times New Roman" w:hAnsi="Times New Roman" w:cs="Times New Roman"/>
          <w:b/>
          <w:bCs/>
        </w:rPr>
      </w:pPr>
      <w:r w:rsidRPr="001F4D30">
        <w:rPr>
          <w:rFonts w:ascii="Times New Roman" w:hAnsi="Times New Roman" w:cs="Times New Roman"/>
          <w:b/>
          <w:bCs/>
        </w:rPr>
        <w:t>FCA</w:t>
      </w:r>
    </w:p>
    <w:p w14:paraId="73977309" w14:textId="3481D82B" w:rsidR="000446A5" w:rsidRDefault="000446A5" w:rsidP="00CF727F">
      <w:pPr>
        <w:pStyle w:val="ListParagraph"/>
        <w:numPr>
          <w:ilvl w:val="0"/>
          <w:numId w:val="4"/>
        </w:numPr>
        <w:jc w:val="both"/>
        <w:rPr>
          <w:rFonts w:ascii="Times New Roman" w:hAnsi="Times New Roman" w:cs="Times New Roman"/>
        </w:rPr>
      </w:pPr>
      <w:r>
        <w:rPr>
          <w:rFonts w:ascii="Times New Roman" w:hAnsi="Times New Roman" w:cs="Times New Roman"/>
        </w:rPr>
        <w:t>EMIR news (</w:t>
      </w:r>
      <w:hyperlink r:id="rId13" w:history="1">
        <w:r w:rsidRPr="00512718">
          <w:rPr>
            <w:rStyle w:val="Hyperlink"/>
            <w:rFonts w:ascii="Times New Roman" w:hAnsi="Times New Roman" w:cs="Times New Roman"/>
          </w:rPr>
          <w:t>https://www.fca.org.uk/firms/uk-emir/news</w:t>
        </w:r>
      </w:hyperlink>
      <w:r>
        <w:rPr>
          <w:rFonts w:ascii="Times New Roman" w:hAnsi="Times New Roman" w:cs="Times New Roman"/>
        </w:rPr>
        <w:t>)</w:t>
      </w:r>
    </w:p>
    <w:p w14:paraId="6B4D72C4" w14:textId="73A01258" w:rsidR="000446A5" w:rsidRDefault="000446A5" w:rsidP="00CF727F">
      <w:pPr>
        <w:pStyle w:val="ListParagraph"/>
        <w:numPr>
          <w:ilvl w:val="0"/>
          <w:numId w:val="4"/>
        </w:numPr>
        <w:jc w:val="both"/>
        <w:rPr>
          <w:rFonts w:ascii="Times New Roman" w:hAnsi="Times New Roman" w:cs="Times New Roman"/>
        </w:rPr>
      </w:pPr>
      <w:r>
        <w:rPr>
          <w:rFonts w:ascii="Times New Roman" w:hAnsi="Times New Roman" w:cs="Times New Roman"/>
        </w:rPr>
        <w:t>MiFIR (</w:t>
      </w:r>
      <w:hyperlink r:id="rId14" w:history="1">
        <w:r w:rsidRPr="00512718">
          <w:rPr>
            <w:rStyle w:val="Hyperlink"/>
            <w:rFonts w:ascii="Times New Roman" w:hAnsi="Times New Roman" w:cs="Times New Roman"/>
          </w:rPr>
          <w:t>https://www.fca.org.uk/markets/transaction-reporting/uk-mifir-data-reporting-libor-transition</w:t>
        </w:r>
      </w:hyperlink>
      <w:r>
        <w:rPr>
          <w:rFonts w:ascii="Times New Roman" w:hAnsi="Times New Roman" w:cs="Times New Roman"/>
        </w:rPr>
        <w:t xml:space="preserve">) </w:t>
      </w:r>
    </w:p>
    <w:p w14:paraId="0ED099B0" w14:textId="77777777" w:rsidR="00A74390" w:rsidRDefault="000446A5" w:rsidP="00CF727F">
      <w:pPr>
        <w:jc w:val="both"/>
        <w:rPr>
          <w:rFonts w:ascii="Times New Roman" w:hAnsi="Times New Roman" w:cs="Times New Roman"/>
        </w:rPr>
      </w:pPr>
      <w:r w:rsidRPr="001F4D30">
        <w:rPr>
          <w:rFonts w:ascii="Times New Roman" w:hAnsi="Times New Roman" w:cs="Times New Roman"/>
          <w:b/>
          <w:bCs/>
        </w:rPr>
        <w:t>ASIC</w:t>
      </w:r>
      <w:r w:rsidR="001F4D30">
        <w:rPr>
          <w:rFonts w:ascii="Times New Roman" w:hAnsi="Times New Roman" w:cs="Times New Roman"/>
        </w:rPr>
        <w:t xml:space="preserve"> </w:t>
      </w:r>
    </w:p>
    <w:p w14:paraId="5EECAE8E" w14:textId="58ECD12E" w:rsidR="000446A5" w:rsidRPr="00A74390" w:rsidRDefault="00E97F2D" w:rsidP="00803EC1">
      <w:pPr>
        <w:pStyle w:val="ListParagraph"/>
        <w:numPr>
          <w:ilvl w:val="0"/>
          <w:numId w:val="12"/>
        </w:numPr>
        <w:jc w:val="both"/>
        <w:rPr>
          <w:rFonts w:ascii="Times New Roman" w:hAnsi="Times New Roman" w:cs="Times New Roman"/>
        </w:rPr>
      </w:pPr>
      <w:hyperlink r:id="rId15" w:history="1">
        <w:r w:rsidR="00A74390" w:rsidRPr="00803EC1">
          <w:rPr>
            <w:rStyle w:val="Hyperlink"/>
            <w:rFonts w:ascii="Times New Roman" w:hAnsi="Times New Roman" w:cs="Times New Roman"/>
            <w:lang w:val="en-US"/>
          </w:rPr>
          <w:t>ASIC's guidance</w:t>
        </w:r>
        <w:r w:rsidR="00A74390" w:rsidRPr="00940B1D">
          <w:rPr>
            <w:rStyle w:val="Hyperlink"/>
            <w:rFonts w:ascii="Times New Roman" w:hAnsi="Times New Roman" w:cs="Times New Roman"/>
            <w:b/>
            <w:bCs/>
            <w:lang w:val="en-US"/>
          </w:rPr>
          <w:t xml:space="preserve"> </w:t>
        </w:r>
      </w:hyperlink>
      <w:r w:rsidR="001F4D30" w:rsidRPr="00A74390">
        <w:rPr>
          <w:rFonts w:ascii="Times New Roman" w:hAnsi="Times New Roman" w:cs="Times New Roman"/>
        </w:rPr>
        <w:t xml:space="preserve"> </w:t>
      </w:r>
    </w:p>
    <w:p w14:paraId="4A04753B" w14:textId="4BF04407" w:rsidR="00A74390" w:rsidRDefault="00A74390" w:rsidP="00803EC1">
      <w:pPr>
        <w:jc w:val="both"/>
        <w:rPr>
          <w:rFonts w:ascii="Times New Roman" w:hAnsi="Times New Roman" w:cs="Times New Roman"/>
          <w:b/>
          <w:bCs/>
        </w:rPr>
      </w:pPr>
      <w:r w:rsidRPr="00803EC1">
        <w:rPr>
          <w:rFonts w:ascii="Times New Roman" w:hAnsi="Times New Roman" w:cs="Times New Roman"/>
          <w:b/>
          <w:bCs/>
        </w:rPr>
        <w:t xml:space="preserve">MAS </w:t>
      </w:r>
    </w:p>
    <w:p w14:paraId="5B6E9BF4" w14:textId="65F32683" w:rsidR="00A74390" w:rsidRPr="00803EC1" w:rsidRDefault="00E97F2D" w:rsidP="00803EC1">
      <w:pPr>
        <w:pStyle w:val="ListParagraph"/>
        <w:numPr>
          <w:ilvl w:val="0"/>
          <w:numId w:val="11"/>
        </w:numPr>
        <w:jc w:val="both"/>
        <w:rPr>
          <w:rFonts w:ascii="Times New Roman" w:hAnsi="Times New Roman" w:cs="Times New Roman"/>
          <w:b/>
          <w:bCs/>
        </w:rPr>
      </w:pPr>
      <w:hyperlink r:id="rId16" w:history="1">
        <w:r w:rsidR="00A74390" w:rsidRPr="008B6633">
          <w:rPr>
            <w:rStyle w:val="Hyperlink"/>
            <w:rFonts w:ascii="Times New Roman" w:hAnsi="Times New Roman" w:cs="Times New Roman"/>
            <w:lang w:val="en-SG"/>
          </w:rPr>
          <w:t>MAS</w:t>
        </w:r>
        <w:r w:rsidR="00A74390">
          <w:rPr>
            <w:rStyle w:val="Hyperlink"/>
            <w:rFonts w:ascii="Times New Roman" w:hAnsi="Times New Roman" w:cs="Times New Roman"/>
            <w:lang w:val="en-SG"/>
          </w:rPr>
          <w:t>’</w:t>
        </w:r>
        <w:r w:rsidR="00A74390" w:rsidRPr="008B6633">
          <w:rPr>
            <w:rStyle w:val="Hyperlink"/>
            <w:rFonts w:ascii="Times New Roman" w:hAnsi="Times New Roman" w:cs="Times New Roman"/>
            <w:lang w:val="en-SG"/>
          </w:rPr>
          <w:t xml:space="preserve"> FAQ on derivatives trade reporting</w:t>
        </w:r>
      </w:hyperlink>
    </w:p>
    <w:p w14:paraId="63A05276" w14:textId="35E823B4" w:rsidR="00A74390" w:rsidRPr="00803EC1" w:rsidRDefault="00A74390" w:rsidP="00803EC1">
      <w:pPr>
        <w:jc w:val="both"/>
        <w:rPr>
          <w:rFonts w:ascii="Times New Roman" w:hAnsi="Times New Roman" w:cs="Times New Roman"/>
          <w:b/>
          <w:bCs/>
        </w:rPr>
      </w:pPr>
      <w:r w:rsidRPr="00803EC1">
        <w:rPr>
          <w:rFonts w:ascii="Times New Roman" w:hAnsi="Times New Roman" w:cs="Times New Roman"/>
          <w:b/>
          <w:bCs/>
        </w:rPr>
        <w:t xml:space="preserve">HKMA/SFC </w:t>
      </w:r>
    </w:p>
    <w:p w14:paraId="6B67E4A7" w14:textId="77777777" w:rsidR="00A74390" w:rsidRPr="00803EC1" w:rsidRDefault="00A74390" w:rsidP="00803EC1">
      <w:pPr>
        <w:pStyle w:val="ListParagraph"/>
        <w:numPr>
          <w:ilvl w:val="0"/>
          <w:numId w:val="10"/>
        </w:numPr>
        <w:spacing w:after="0"/>
        <w:jc w:val="both"/>
        <w:rPr>
          <w:rFonts w:ascii="Times New Roman" w:hAnsi="Times New Roman" w:cs="Times New Roman"/>
          <w:lang w:val="en-SG"/>
        </w:rPr>
      </w:pPr>
      <w:r w:rsidRPr="00803EC1">
        <w:rPr>
          <w:rFonts w:ascii="Times New Roman" w:hAnsi="Times New Roman" w:cs="Times New Roman"/>
          <w:u w:val="single"/>
          <w:lang w:val="en-SG"/>
        </w:rPr>
        <w:t xml:space="preserve">HKMA/SFC’s </w:t>
      </w:r>
      <w:hyperlink r:id="rId17" w:history="1">
        <w:r w:rsidRPr="00803EC1">
          <w:rPr>
            <w:rStyle w:val="Hyperlink"/>
            <w:rFonts w:ascii="Times New Roman" w:hAnsi="Times New Roman" w:cs="Times New Roman"/>
            <w:lang w:val="en-SG"/>
          </w:rPr>
          <w:t>FAQ</w:t>
        </w:r>
      </w:hyperlink>
      <w:r w:rsidRPr="00803EC1">
        <w:rPr>
          <w:rFonts w:ascii="Times New Roman" w:hAnsi="Times New Roman" w:cs="Times New Roman"/>
          <w:lang w:val="en-SG"/>
        </w:rPr>
        <w:t xml:space="preserve"> </w:t>
      </w:r>
    </w:p>
    <w:p w14:paraId="25AE7E9E" w14:textId="77777777" w:rsidR="00A74390" w:rsidRPr="000446A5" w:rsidRDefault="00A74390" w:rsidP="00803EC1">
      <w:pPr>
        <w:jc w:val="both"/>
        <w:rPr>
          <w:rFonts w:ascii="Times New Roman" w:hAnsi="Times New Roman" w:cs="Times New Roman"/>
        </w:rPr>
      </w:pPr>
    </w:p>
    <w:p w14:paraId="07133267" w14:textId="082CFF9D" w:rsidR="001F4D30" w:rsidRDefault="004A36A0" w:rsidP="00803EC1">
      <w:pPr>
        <w:jc w:val="both"/>
        <w:rPr>
          <w:rFonts w:ascii="Times New Roman" w:hAnsi="Times New Roman" w:cs="Times New Roman"/>
        </w:rPr>
      </w:pPr>
      <w:r>
        <w:rPr>
          <w:rFonts w:ascii="Times New Roman" w:hAnsi="Times New Roman" w:cs="Times New Roman"/>
        </w:rPr>
        <w:t>W</w:t>
      </w:r>
      <w:r w:rsidR="001F4D30">
        <w:rPr>
          <w:rFonts w:ascii="Times New Roman" w:hAnsi="Times New Roman" w:cs="Times New Roman"/>
        </w:rPr>
        <w:t xml:space="preserve">hile the regulatory guidance provides guidance for much of the reporting requirements, there are still some elements not addressed. Therefore, members of the ISDA Data and Reporting </w:t>
      </w:r>
      <w:r>
        <w:rPr>
          <w:rFonts w:ascii="Times New Roman" w:hAnsi="Times New Roman" w:cs="Times New Roman"/>
        </w:rPr>
        <w:t>W</w:t>
      </w:r>
      <w:r w:rsidR="001F4D30">
        <w:rPr>
          <w:rFonts w:ascii="Times New Roman" w:hAnsi="Times New Roman" w:cs="Times New Roman"/>
        </w:rPr>
        <w:t xml:space="preserve">orking </w:t>
      </w:r>
      <w:r>
        <w:rPr>
          <w:rFonts w:ascii="Times New Roman" w:hAnsi="Times New Roman" w:cs="Times New Roman"/>
        </w:rPr>
        <w:t>G</w:t>
      </w:r>
      <w:r w:rsidR="001F4D30">
        <w:rPr>
          <w:rFonts w:ascii="Times New Roman" w:hAnsi="Times New Roman" w:cs="Times New Roman"/>
        </w:rPr>
        <w:t xml:space="preserve">roup calls (the </w:t>
      </w:r>
      <w:r>
        <w:rPr>
          <w:rFonts w:ascii="Times New Roman" w:hAnsi="Times New Roman" w:cs="Times New Roman"/>
        </w:rPr>
        <w:t>‘</w:t>
      </w:r>
      <w:r w:rsidR="001F4D30">
        <w:rPr>
          <w:rFonts w:ascii="Times New Roman" w:hAnsi="Times New Roman" w:cs="Times New Roman"/>
        </w:rPr>
        <w:t>ISDA Data and Reporting EMEA Working Group</w:t>
      </w:r>
      <w:r>
        <w:rPr>
          <w:rFonts w:ascii="Times New Roman" w:hAnsi="Times New Roman" w:cs="Times New Roman"/>
        </w:rPr>
        <w:t>’</w:t>
      </w:r>
      <w:r w:rsidR="001F4D30">
        <w:rPr>
          <w:rFonts w:ascii="Times New Roman" w:hAnsi="Times New Roman" w:cs="Times New Roman"/>
        </w:rPr>
        <w:t xml:space="preserve">, the </w:t>
      </w:r>
      <w:r>
        <w:rPr>
          <w:rFonts w:ascii="Times New Roman" w:hAnsi="Times New Roman" w:cs="Times New Roman"/>
        </w:rPr>
        <w:t>‘</w:t>
      </w:r>
      <w:r w:rsidR="001F4D30">
        <w:rPr>
          <w:rFonts w:ascii="Times New Roman" w:hAnsi="Times New Roman" w:cs="Times New Roman"/>
        </w:rPr>
        <w:t>ISDA Data and Reporting U.S. Compliance Working Group</w:t>
      </w:r>
      <w:r>
        <w:rPr>
          <w:rFonts w:ascii="Times New Roman" w:hAnsi="Times New Roman" w:cs="Times New Roman"/>
        </w:rPr>
        <w:t>’</w:t>
      </w:r>
      <w:r w:rsidR="001F4D30">
        <w:rPr>
          <w:rFonts w:ascii="Times New Roman" w:hAnsi="Times New Roman" w:cs="Times New Roman"/>
        </w:rPr>
        <w:t xml:space="preserve">, and the </w:t>
      </w:r>
      <w:r>
        <w:rPr>
          <w:rFonts w:ascii="Times New Roman" w:hAnsi="Times New Roman" w:cs="Times New Roman"/>
        </w:rPr>
        <w:t>‘</w:t>
      </w:r>
      <w:r w:rsidR="001F4D30">
        <w:rPr>
          <w:rFonts w:ascii="Times New Roman" w:hAnsi="Times New Roman" w:cs="Times New Roman"/>
        </w:rPr>
        <w:t>ISDA AEJ Data and Reporting Compliance Working Group</w:t>
      </w:r>
      <w:r>
        <w:rPr>
          <w:rFonts w:ascii="Times New Roman" w:hAnsi="Times New Roman" w:cs="Times New Roman"/>
        </w:rPr>
        <w:t>’</w:t>
      </w:r>
      <w:r w:rsidR="001F4D30">
        <w:rPr>
          <w:rFonts w:ascii="Times New Roman" w:hAnsi="Times New Roman" w:cs="Times New Roman"/>
        </w:rPr>
        <w:t xml:space="preserve">) have </w:t>
      </w:r>
      <w:r>
        <w:rPr>
          <w:rFonts w:ascii="Times New Roman" w:hAnsi="Times New Roman" w:cs="Times New Roman"/>
        </w:rPr>
        <w:t>considered</w:t>
      </w:r>
      <w:r w:rsidR="001F4D30">
        <w:rPr>
          <w:rFonts w:ascii="Times New Roman" w:hAnsi="Times New Roman" w:cs="Times New Roman"/>
        </w:rPr>
        <w:t xml:space="preserve"> </w:t>
      </w:r>
      <w:r>
        <w:rPr>
          <w:rFonts w:ascii="Times New Roman" w:hAnsi="Times New Roman" w:cs="Times New Roman"/>
        </w:rPr>
        <w:t xml:space="preserve">any </w:t>
      </w:r>
      <w:r w:rsidR="001F4D30">
        <w:rPr>
          <w:rFonts w:ascii="Times New Roman" w:hAnsi="Times New Roman" w:cs="Times New Roman"/>
        </w:rPr>
        <w:t xml:space="preserve">additional reporting clarification </w:t>
      </w:r>
      <w:r>
        <w:rPr>
          <w:rFonts w:ascii="Times New Roman" w:hAnsi="Times New Roman" w:cs="Times New Roman"/>
        </w:rPr>
        <w:t>required</w:t>
      </w:r>
      <w:r w:rsidR="001F4D30">
        <w:rPr>
          <w:rFonts w:ascii="Times New Roman" w:hAnsi="Times New Roman" w:cs="Times New Roman"/>
        </w:rPr>
        <w:t xml:space="preserve">. </w:t>
      </w:r>
    </w:p>
    <w:p w14:paraId="020C255F" w14:textId="77777777" w:rsidR="004A36A0" w:rsidRDefault="004A36A0" w:rsidP="00803EC1">
      <w:pPr>
        <w:jc w:val="both"/>
        <w:rPr>
          <w:rFonts w:ascii="Times New Roman" w:hAnsi="Times New Roman" w:cs="Times New Roman"/>
        </w:rPr>
      </w:pPr>
      <w:r>
        <w:rPr>
          <w:rFonts w:ascii="Times New Roman" w:hAnsi="Times New Roman" w:cs="Times New Roman"/>
        </w:rPr>
        <w:t>T</w:t>
      </w:r>
      <w:r w:rsidR="001F4D30">
        <w:rPr>
          <w:rFonts w:ascii="Times New Roman" w:hAnsi="Times New Roman" w:cs="Times New Roman"/>
        </w:rPr>
        <w:t xml:space="preserve">his document aims to consolidate the regulatory </w:t>
      </w:r>
      <w:r>
        <w:rPr>
          <w:rFonts w:ascii="Times New Roman" w:hAnsi="Times New Roman" w:cs="Times New Roman"/>
        </w:rPr>
        <w:t xml:space="preserve">guidance published by regulators </w:t>
      </w:r>
      <w:r w:rsidR="001F4D30">
        <w:rPr>
          <w:rFonts w:ascii="Times New Roman" w:hAnsi="Times New Roman" w:cs="Times New Roman"/>
        </w:rPr>
        <w:t xml:space="preserve">along with </w:t>
      </w:r>
      <w:r>
        <w:rPr>
          <w:rFonts w:ascii="Times New Roman" w:hAnsi="Times New Roman" w:cs="Times New Roman"/>
        </w:rPr>
        <w:t xml:space="preserve">the </w:t>
      </w:r>
      <w:r w:rsidR="001F4D30">
        <w:rPr>
          <w:rFonts w:ascii="Times New Roman" w:hAnsi="Times New Roman" w:cs="Times New Roman"/>
        </w:rPr>
        <w:t xml:space="preserve">additional </w:t>
      </w:r>
      <w:r>
        <w:rPr>
          <w:rFonts w:ascii="Times New Roman" w:hAnsi="Times New Roman" w:cs="Times New Roman"/>
        </w:rPr>
        <w:t xml:space="preserve">impacts to reporting requirements discussed within ISDA working groups that </w:t>
      </w:r>
      <w:r w:rsidR="001F4D30">
        <w:rPr>
          <w:rFonts w:ascii="Times New Roman" w:hAnsi="Times New Roman" w:cs="Times New Roman"/>
        </w:rPr>
        <w:t xml:space="preserve">market participants may want to consider </w:t>
      </w:r>
      <w:proofErr w:type="gramStart"/>
      <w:r w:rsidR="001F4D30">
        <w:rPr>
          <w:rFonts w:ascii="Times New Roman" w:hAnsi="Times New Roman" w:cs="Times New Roman"/>
        </w:rPr>
        <w:t>to meet</w:t>
      </w:r>
      <w:proofErr w:type="gramEnd"/>
      <w:r w:rsidR="001F4D30">
        <w:rPr>
          <w:rFonts w:ascii="Times New Roman" w:hAnsi="Times New Roman" w:cs="Times New Roman"/>
        </w:rPr>
        <w:t xml:space="preserve"> the obligations for reporting fallbacks and transfers to RFRs. </w:t>
      </w:r>
    </w:p>
    <w:p w14:paraId="11937AEC" w14:textId="4F173A71" w:rsidR="001F4D30" w:rsidRDefault="004A36A0" w:rsidP="00803EC1">
      <w:pPr>
        <w:jc w:val="both"/>
        <w:rPr>
          <w:rFonts w:ascii="Times New Roman" w:hAnsi="Times New Roman" w:cs="Times New Roman"/>
        </w:rPr>
      </w:pPr>
      <w:r>
        <w:rPr>
          <w:rFonts w:ascii="Times New Roman" w:hAnsi="Times New Roman" w:cs="Times New Roman"/>
        </w:rPr>
        <w:t xml:space="preserve">While this </w:t>
      </w:r>
      <w:r w:rsidR="001F4D30">
        <w:rPr>
          <w:rFonts w:ascii="Times New Roman" w:hAnsi="Times New Roman" w:cs="Times New Roman"/>
        </w:rPr>
        <w:t>summar</w:t>
      </w:r>
      <w:r>
        <w:rPr>
          <w:rFonts w:ascii="Times New Roman" w:hAnsi="Times New Roman" w:cs="Times New Roman"/>
        </w:rPr>
        <w:t>ises</w:t>
      </w:r>
      <w:r w:rsidR="001F4D30">
        <w:rPr>
          <w:rFonts w:ascii="Times New Roman" w:hAnsi="Times New Roman" w:cs="Times New Roman"/>
        </w:rPr>
        <w:t xml:space="preserve"> of the impact LIBOR cessation will have on regulatory reporting</w:t>
      </w:r>
      <w:r>
        <w:rPr>
          <w:rFonts w:ascii="Times New Roman" w:hAnsi="Times New Roman" w:cs="Times New Roman"/>
        </w:rPr>
        <w:t xml:space="preserve">, it should not </w:t>
      </w:r>
      <w:proofErr w:type="gramStart"/>
      <w:r>
        <w:rPr>
          <w:rFonts w:ascii="Times New Roman" w:hAnsi="Times New Roman" w:cs="Times New Roman"/>
        </w:rPr>
        <w:t>be considered to be</w:t>
      </w:r>
      <w:proofErr w:type="gramEnd"/>
      <w:r>
        <w:rPr>
          <w:rFonts w:ascii="Times New Roman" w:hAnsi="Times New Roman" w:cs="Times New Roman"/>
        </w:rPr>
        <w:t xml:space="preserve"> a </w:t>
      </w:r>
      <w:r w:rsidR="006E2421">
        <w:rPr>
          <w:rFonts w:ascii="Times New Roman" w:hAnsi="Times New Roman" w:cs="Times New Roman"/>
        </w:rPr>
        <w:t>reporting best practice. M</w:t>
      </w:r>
      <w:r w:rsidR="001F4D30">
        <w:rPr>
          <w:rFonts w:ascii="Times New Roman" w:hAnsi="Times New Roman" w:cs="Times New Roman"/>
        </w:rPr>
        <w:t xml:space="preserve">arket participants </w:t>
      </w:r>
      <w:r w:rsidR="006E2421">
        <w:rPr>
          <w:rFonts w:ascii="Times New Roman" w:hAnsi="Times New Roman" w:cs="Times New Roman"/>
        </w:rPr>
        <w:t xml:space="preserve">should </w:t>
      </w:r>
      <w:r w:rsidR="001F4D30">
        <w:rPr>
          <w:rFonts w:ascii="Times New Roman" w:hAnsi="Times New Roman" w:cs="Times New Roman"/>
        </w:rPr>
        <w:t xml:space="preserve">seek internal guidance on how to apply the requirements to meet their own reporting obligations. </w:t>
      </w:r>
    </w:p>
    <w:p w14:paraId="549B1A04" w14:textId="77777777" w:rsidR="00F7714C" w:rsidRPr="001E7E13" w:rsidRDefault="00F7714C" w:rsidP="00803EC1">
      <w:pPr>
        <w:jc w:val="both"/>
        <w:rPr>
          <w:rFonts w:ascii="Times New Roman" w:hAnsi="Times New Roman" w:cs="Times New Roman"/>
        </w:rPr>
      </w:pPr>
    </w:p>
    <w:p w14:paraId="3F04F780" w14:textId="7A86F8B3" w:rsidR="00F5591E" w:rsidRDefault="00F5591E" w:rsidP="00803EC1">
      <w:pPr>
        <w:jc w:val="both"/>
        <w:rPr>
          <w:rFonts w:ascii="Times New Roman" w:hAnsi="Times New Roman" w:cs="Times New Roman"/>
          <w:b/>
          <w:bCs/>
          <w:u w:val="single"/>
        </w:rPr>
      </w:pPr>
      <w:r w:rsidRPr="006E2421">
        <w:rPr>
          <w:rFonts w:ascii="Times New Roman" w:hAnsi="Times New Roman" w:cs="Times New Roman"/>
          <w:b/>
          <w:bCs/>
          <w:u w:val="single"/>
        </w:rPr>
        <w:t>EMIR</w:t>
      </w:r>
      <w:r w:rsidR="006E2421">
        <w:rPr>
          <w:rFonts w:ascii="Times New Roman" w:hAnsi="Times New Roman" w:cs="Times New Roman"/>
          <w:b/>
          <w:bCs/>
          <w:u w:val="single"/>
        </w:rPr>
        <w:t xml:space="preserve"> reporting</w:t>
      </w:r>
      <w:r w:rsidR="00BF2205" w:rsidRPr="006E2421">
        <w:rPr>
          <w:rFonts w:ascii="Times New Roman" w:hAnsi="Times New Roman" w:cs="Times New Roman"/>
          <w:b/>
          <w:bCs/>
          <w:u w:val="single"/>
        </w:rPr>
        <w:t xml:space="preserve"> (EU)</w:t>
      </w:r>
    </w:p>
    <w:p w14:paraId="0F9BCB5A" w14:textId="1808BFE5" w:rsidR="00FC2336" w:rsidRPr="00FC2336" w:rsidRDefault="00FC2336" w:rsidP="00803EC1">
      <w:pPr>
        <w:jc w:val="both"/>
        <w:rPr>
          <w:rFonts w:ascii="Times New Roman" w:hAnsi="Times New Roman" w:cs="Times New Roman"/>
          <w:b/>
          <w:bCs/>
        </w:rPr>
      </w:pPr>
      <w:r w:rsidRPr="00FC2336">
        <w:rPr>
          <w:rFonts w:ascii="Times New Roman" w:hAnsi="Times New Roman" w:cs="Times New Roman"/>
          <w:b/>
          <w:bCs/>
        </w:rPr>
        <w:t>Reporting a Fallback rate</w:t>
      </w:r>
    </w:p>
    <w:p w14:paraId="22B66127" w14:textId="3B4C99E7" w:rsidR="00FC2336" w:rsidRDefault="00FC2336" w:rsidP="00803EC1">
      <w:pPr>
        <w:jc w:val="both"/>
        <w:rPr>
          <w:rFonts w:ascii="Times New Roman" w:hAnsi="Times New Roman" w:cs="Times New Roman"/>
        </w:rPr>
      </w:pPr>
      <w:r>
        <w:rPr>
          <w:rFonts w:ascii="Times New Roman" w:hAnsi="Times New Roman" w:cs="Times New Roman"/>
        </w:rPr>
        <w:t>ESMA</w:t>
      </w:r>
      <w:r w:rsidR="00C03E0B">
        <w:rPr>
          <w:rFonts w:ascii="Times New Roman" w:hAnsi="Times New Roman" w:cs="Times New Roman"/>
        </w:rPr>
        <w:t>’</w:t>
      </w:r>
      <w:r w:rsidR="008B5DDC">
        <w:rPr>
          <w:rFonts w:ascii="Times New Roman" w:hAnsi="Times New Roman" w:cs="Times New Roman"/>
        </w:rPr>
        <w:t>s</w:t>
      </w:r>
      <w:r>
        <w:rPr>
          <w:rFonts w:ascii="Times New Roman" w:hAnsi="Times New Roman" w:cs="Times New Roman"/>
        </w:rPr>
        <w:t xml:space="preserve"> guidance is </w:t>
      </w:r>
      <w:r w:rsidR="008B5DDC">
        <w:rPr>
          <w:rFonts w:ascii="Times New Roman" w:hAnsi="Times New Roman" w:cs="Times New Roman"/>
        </w:rPr>
        <w:t>upon LIBOR cessation</w:t>
      </w:r>
      <w:r w:rsidR="00C03E0B">
        <w:rPr>
          <w:rFonts w:ascii="Times New Roman" w:hAnsi="Times New Roman" w:cs="Times New Roman"/>
        </w:rPr>
        <w:t xml:space="preserve"> or non-representativeness</w:t>
      </w:r>
      <w:r w:rsidR="008B5DDC">
        <w:rPr>
          <w:rFonts w:ascii="Times New Roman" w:hAnsi="Times New Roman" w:cs="Times New Roman"/>
        </w:rPr>
        <w:t xml:space="preserve">, any trades where the fallback rate has been triggered should be </w:t>
      </w:r>
      <w:r>
        <w:rPr>
          <w:rFonts w:ascii="Times New Roman" w:hAnsi="Times New Roman" w:cs="Times New Roman"/>
        </w:rPr>
        <w:t>report</w:t>
      </w:r>
      <w:r w:rsidR="008B5DDC">
        <w:rPr>
          <w:rFonts w:ascii="Times New Roman" w:hAnsi="Times New Roman" w:cs="Times New Roman"/>
        </w:rPr>
        <w:t xml:space="preserve">ed </w:t>
      </w:r>
      <w:r>
        <w:rPr>
          <w:rFonts w:ascii="Times New Roman" w:hAnsi="Times New Roman" w:cs="Times New Roman"/>
        </w:rPr>
        <w:t xml:space="preserve">with action type ‘Modify’ </w:t>
      </w:r>
      <w:r w:rsidR="00D44942">
        <w:rPr>
          <w:rFonts w:ascii="Times New Roman" w:hAnsi="Times New Roman" w:cs="Times New Roman"/>
        </w:rPr>
        <w:t>(see Q&amp;A TR Question 53(c))</w:t>
      </w:r>
      <w:r w:rsidR="008B5DDC">
        <w:rPr>
          <w:rFonts w:ascii="Times New Roman" w:hAnsi="Times New Roman" w:cs="Times New Roman"/>
        </w:rPr>
        <w:t>. The</w:t>
      </w:r>
      <w:r>
        <w:rPr>
          <w:rFonts w:ascii="Times New Roman" w:hAnsi="Times New Roman" w:cs="Times New Roman"/>
        </w:rPr>
        <w:t xml:space="preserve"> expectation </w:t>
      </w:r>
      <w:r w:rsidR="008B5DDC">
        <w:rPr>
          <w:rFonts w:ascii="Times New Roman" w:hAnsi="Times New Roman" w:cs="Times New Roman"/>
        </w:rPr>
        <w:t xml:space="preserve">is for </w:t>
      </w:r>
      <w:r>
        <w:rPr>
          <w:rFonts w:ascii="Times New Roman" w:hAnsi="Times New Roman" w:cs="Times New Roman"/>
        </w:rPr>
        <w:t xml:space="preserve">the following fields </w:t>
      </w:r>
      <w:r w:rsidR="008B5DDC">
        <w:rPr>
          <w:rFonts w:ascii="Times New Roman" w:hAnsi="Times New Roman" w:cs="Times New Roman"/>
        </w:rPr>
        <w:t xml:space="preserve">to </w:t>
      </w:r>
      <w:r>
        <w:rPr>
          <w:rFonts w:ascii="Times New Roman" w:hAnsi="Times New Roman" w:cs="Times New Roman"/>
        </w:rPr>
        <w:t xml:space="preserve">be </w:t>
      </w:r>
      <w:r w:rsidR="008B5DDC">
        <w:rPr>
          <w:rFonts w:ascii="Times New Roman" w:hAnsi="Times New Roman" w:cs="Times New Roman"/>
        </w:rPr>
        <w:t>updated</w:t>
      </w:r>
      <w:r>
        <w:rPr>
          <w:rFonts w:ascii="Times New Roman" w:hAnsi="Times New Roman" w:cs="Times New Roman"/>
        </w:rPr>
        <w:t>: Product Identification (2.6), Floating Rate of Leg 1 (2.55) and Floating Rate of Leg 2 (2.58).</w:t>
      </w:r>
    </w:p>
    <w:p w14:paraId="3809B928" w14:textId="7B46FA7C" w:rsidR="00FC2336" w:rsidRPr="00B8352E" w:rsidRDefault="00FC2336" w:rsidP="00803EC1">
      <w:pPr>
        <w:jc w:val="both"/>
        <w:rPr>
          <w:rFonts w:ascii="Times New Roman" w:hAnsi="Times New Roman" w:cs="Times New Roman"/>
          <w:u w:val="single"/>
        </w:rPr>
      </w:pPr>
      <w:r w:rsidRPr="00B8352E">
        <w:rPr>
          <w:rFonts w:ascii="Times New Roman" w:hAnsi="Times New Roman" w:cs="Times New Roman"/>
          <w:u w:val="single"/>
        </w:rPr>
        <w:t>Product Identification</w:t>
      </w:r>
      <w:r w:rsidR="00B8352E">
        <w:rPr>
          <w:rFonts w:ascii="Times New Roman" w:hAnsi="Times New Roman" w:cs="Times New Roman"/>
          <w:u w:val="single"/>
        </w:rPr>
        <w:t xml:space="preserve"> (2.6)</w:t>
      </w:r>
      <w:r w:rsidR="00D44942">
        <w:rPr>
          <w:rFonts w:ascii="Times New Roman" w:hAnsi="Times New Roman" w:cs="Times New Roman"/>
          <w:u w:val="single"/>
        </w:rPr>
        <w:t xml:space="preserve"> – derivative ISIN</w:t>
      </w:r>
    </w:p>
    <w:p w14:paraId="6569010E" w14:textId="77777777" w:rsidR="00C66A13" w:rsidRPr="00C66A13" w:rsidRDefault="00B8352E" w:rsidP="00803EC1">
      <w:pPr>
        <w:pStyle w:val="Default"/>
        <w:jc w:val="both"/>
        <w:rPr>
          <w:sz w:val="22"/>
          <w:szCs w:val="22"/>
        </w:rPr>
      </w:pPr>
      <w:r w:rsidRPr="00C66A13">
        <w:rPr>
          <w:sz w:val="22"/>
          <w:szCs w:val="22"/>
        </w:rPr>
        <w:t>TR Question 53(d) states that given “</w:t>
      </w:r>
      <w:r w:rsidRPr="00B8352E">
        <w:rPr>
          <w:color w:val="auto"/>
          <w:sz w:val="22"/>
          <w:szCs w:val="22"/>
        </w:rPr>
        <w:t>the derivative based on the fallback rate will be assigned a different ISIN than the equivalent derivative based on LIBOR, the counterparties should update the ISIN of the derivative when switching to a different rate</w:t>
      </w:r>
      <w:r w:rsidRPr="00C66A13">
        <w:rPr>
          <w:sz w:val="22"/>
          <w:szCs w:val="22"/>
        </w:rPr>
        <w:t xml:space="preserve">”. </w:t>
      </w:r>
    </w:p>
    <w:p w14:paraId="101176B9" w14:textId="77777777" w:rsidR="00C66A13" w:rsidRPr="00C66A13" w:rsidRDefault="00C66A13" w:rsidP="00803EC1">
      <w:pPr>
        <w:pStyle w:val="Default"/>
        <w:jc w:val="both"/>
        <w:rPr>
          <w:sz w:val="22"/>
          <w:szCs w:val="22"/>
        </w:rPr>
      </w:pPr>
    </w:p>
    <w:p w14:paraId="518D5D53" w14:textId="15D7B9D7" w:rsidR="00C66A13" w:rsidRPr="00C66A13" w:rsidRDefault="00B8352E" w:rsidP="00803EC1">
      <w:pPr>
        <w:pStyle w:val="Default"/>
        <w:jc w:val="both"/>
        <w:rPr>
          <w:sz w:val="22"/>
          <w:szCs w:val="22"/>
        </w:rPr>
      </w:pPr>
      <w:r w:rsidRPr="00C66A13">
        <w:rPr>
          <w:sz w:val="22"/>
          <w:szCs w:val="22"/>
        </w:rPr>
        <w:lastRenderedPageBreak/>
        <w:t xml:space="preserve">ESMA further clarified in a </w:t>
      </w:r>
      <w:r w:rsidR="008B5DDC">
        <w:rPr>
          <w:sz w:val="22"/>
          <w:szCs w:val="22"/>
        </w:rPr>
        <w:t xml:space="preserve">subsequent </w:t>
      </w:r>
      <w:r w:rsidRPr="00C66A13">
        <w:rPr>
          <w:sz w:val="22"/>
          <w:szCs w:val="22"/>
        </w:rPr>
        <w:t xml:space="preserve">letter to ISDA “the counterparties [of derivatives identified with an ISIN] should update the identifier with a new ISIN corresponding to the relevant RFR used as fallback rate.” This letter also </w:t>
      </w:r>
      <w:r w:rsidR="008B5DDC">
        <w:rPr>
          <w:sz w:val="22"/>
          <w:szCs w:val="22"/>
        </w:rPr>
        <w:t xml:space="preserve">identified </w:t>
      </w:r>
      <w:r w:rsidRPr="00C66A13">
        <w:rPr>
          <w:sz w:val="22"/>
          <w:szCs w:val="22"/>
        </w:rPr>
        <w:t>that ‘Option 1’ as presented in an ISDA letter to ESMA</w:t>
      </w:r>
      <w:r w:rsidRPr="00C66A13">
        <w:rPr>
          <w:rStyle w:val="FootnoteReference"/>
          <w:sz w:val="22"/>
          <w:szCs w:val="22"/>
        </w:rPr>
        <w:footnoteReference w:id="1"/>
      </w:r>
      <w:r w:rsidRPr="00C66A13">
        <w:rPr>
          <w:sz w:val="22"/>
          <w:szCs w:val="22"/>
        </w:rPr>
        <w:t xml:space="preserve"> is how the derivative ISIN should be created.</w:t>
      </w:r>
      <w:r w:rsidR="00C66A13" w:rsidRPr="00C66A13">
        <w:rPr>
          <w:sz w:val="22"/>
          <w:szCs w:val="22"/>
        </w:rPr>
        <w:t xml:space="preserve"> </w:t>
      </w:r>
      <w:r w:rsidR="008B5DDC">
        <w:rPr>
          <w:sz w:val="22"/>
          <w:szCs w:val="22"/>
        </w:rPr>
        <w:t xml:space="preserve">‘Option 1’ proposed that </w:t>
      </w:r>
      <w:r w:rsidR="00C66A13" w:rsidRPr="00C66A13">
        <w:rPr>
          <w:rStyle w:val="Strong"/>
          <w:b w:val="0"/>
          <w:bCs w:val="0"/>
          <w:sz w:val="22"/>
          <w:szCs w:val="22"/>
        </w:rPr>
        <w:t xml:space="preserve">the ‘Reference Rate’ attribute of the derivative ISIN </w:t>
      </w:r>
      <w:r w:rsidR="008B5DDC">
        <w:rPr>
          <w:rStyle w:val="Strong"/>
          <w:b w:val="0"/>
          <w:bCs w:val="0"/>
          <w:sz w:val="22"/>
          <w:szCs w:val="22"/>
        </w:rPr>
        <w:t xml:space="preserve">is populated </w:t>
      </w:r>
      <w:r w:rsidR="00C66A13" w:rsidRPr="00C66A13">
        <w:rPr>
          <w:rStyle w:val="Strong"/>
          <w:b w:val="0"/>
          <w:bCs w:val="0"/>
          <w:sz w:val="22"/>
          <w:szCs w:val="22"/>
        </w:rPr>
        <w:t xml:space="preserve">with the underlying RFR on which adjustments are applied to produce the </w:t>
      </w:r>
      <w:r w:rsidR="008B5DDC">
        <w:rPr>
          <w:rStyle w:val="Strong"/>
          <w:b w:val="0"/>
          <w:bCs w:val="0"/>
          <w:sz w:val="22"/>
          <w:szCs w:val="22"/>
        </w:rPr>
        <w:t>F</w:t>
      </w:r>
      <w:r w:rsidR="00C66A13" w:rsidRPr="00C66A13">
        <w:rPr>
          <w:rStyle w:val="Strong"/>
          <w:b w:val="0"/>
          <w:bCs w:val="0"/>
          <w:sz w:val="22"/>
          <w:szCs w:val="22"/>
        </w:rPr>
        <w:t xml:space="preserve">allback rate. The other attributes </w:t>
      </w:r>
      <w:r w:rsidR="008B5DDC">
        <w:rPr>
          <w:rStyle w:val="Strong"/>
          <w:b w:val="0"/>
          <w:bCs w:val="0"/>
          <w:sz w:val="22"/>
          <w:szCs w:val="22"/>
        </w:rPr>
        <w:t xml:space="preserve">of the ISIN </w:t>
      </w:r>
      <w:r w:rsidR="00C66A13" w:rsidRPr="00C66A13">
        <w:rPr>
          <w:rStyle w:val="Strong"/>
          <w:b w:val="0"/>
          <w:bCs w:val="0"/>
          <w:sz w:val="22"/>
          <w:szCs w:val="22"/>
        </w:rPr>
        <w:t xml:space="preserve">would remain unchanged, </w:t>
      </w:r>
      <w:proofErr w:type="gramStart"/>
      <w:r w:rsidR="00C66A13" w:rsidRPr="00C66A13">
        <w:rPr>
          <w:rStyle w:val="Strong"/>
          <w:b w:val="0"/>
          <w:bCs w:val="0"/>
          <w:sz w:val="22"/>
          <w:szCs w:val="22"/>
        </w:rPr>
        <w:t>e.g.</w:t>
      </w:r>
      <w:proofErr w:type="gramEnd"/>
      <w:r w:rsidR="00C66A13" w:rsidRPr="00C66A13">
        <w:rPr>
          <w:rStyle w:val="Strong"/>
          <w:b w:val="0"/>
          <w:bCs w:val="0"/>
          <w:sz w:val="22"/>
          <w:szCs w:val="22"/>
        </w:rPr>
        <w:t xml:space="preserve"> the Reference Rate Term Value and Reference Rate Term Unit values would be as they are for the original derivative ISIN based on the LIBOR rate.</w:t>
      </w:r>
      <w:r w:rsidR="00253B24">
        <w:rPr>
          <w:rStyle w:val="Strong"/>
          <w:b w:val="0"/>
          <w:bCs w:val="0"/>
          <w:sz w:val="22"/>
          <w:szCs w:val="22"/>
        </w:rPr>
        <w:t xml:space="preserve"> </w:t>
      </w:r>
      <w:r w:rsidR="001F7A31">
        <w:rPr>
          <w:rStyle w:val="Strong"/>
          <w:b w:val="0"/>
          <w:bCs w:val="0"/>
          <w:sz w:val="22"/>
          <w:szCs w:val="22"/>
        </w:rPr>
        <w:t xml:space="preserve">The </w:t>
      </w:r>
      <w:r w:rsidR="009A371C">
        <w:rPr>
          <w:rStyle w:val="Strong"/>
          <w:b w:val="0"/>
          <w:bCs w:val="0"/>
          <w:sz w:val="22"/>
          <w:szCs w:val="22"/>
        </w:rPr>
        <w:t>ISDA Data and Reporting EMEA W</w:t>
      </w:r>
      <w:r w:rsidR="001F7A31">
        <w:rPr>
          <w:rStyle w:val="Strong"/>
          <w:b w:val="0"/>
          <w:bCs w:val="0"/>
          <w:sz w:val="22"/>
          <w:szCs w:val="22"/>
        </w:rPr>
        <w:t xml:space="preserve">orking </w:t>
      </w:r>
      <w:r w:rsidR="009A371C">
        <w:rPr>
          <w:rStyle w:val="Strong"/>
          <w:b w:val="0"/>
          <w:bCs w:val="0"/>
          <w:sz w:val="22"/>
          <w:szCs w:val="22"/>
        </w:rPr>
        <w:t>G</w:t>
      </w:r>
      <w:r w:rsidR="001F7A31">
        <w:rPr>
          <w:rStyle w:val="Strong"/>
          <w:b w:val="0"/>
          <w:bCs w:val="0"/>
          <w:sz w:val="22"/>
          <w:szCs w:val="22"/>
        </w:rPr>
        <w:t xml:space="preserve">roup </w:t>
      </w:r>
      <w:r w:rsidR="009A371C">
        <w:rPr>
          <w:rStyle w:val="Strong"/>
          <w:b w:val="0"/>
          <w:bCs w:val="0"/>
          <w:sz w:val="22"/>
          <w:szCs w:val="22"/>
        </w:rPr>
        <w:t xml:space="preserve">understand that this extends to the </w:t>
      </w:r>
      <w:r w:rsidR="0062280D">
        <w:rPr>
          <w:rStyle w:val="Strong"/>
          <w:b w:val="0"/>
          <w:bCs w:val="0"/>
          <w:sz w:val="22"/>
          <w:szCs w:val="22"/>
        </w:rPr>
        <w:t xml:space="preserve">DSB </w:t>
      </w:r>
      <w:r w:rsidR="00253B24">
        <w:rPr>
          <w:rStyle w:val="Strong"/>
          <w:b w:val="0"/>
          <w:bCs w:val="0"/>
          <w:sz w:val="22"/>
          <w:szCs w:val="22"/>
        </w:rPr>
        <w:t xml:space="preserve">template </w:t>
      </w:r>
      <w:r w:rsidR="00A61A77">
        <w:rPr>
          <w:rStyle w:val="Strong"/>
          <w:b w:val="0"/>
          <w:bCs w:val="0"/>
          <w:sz w:val="22"/>
          <w:szCs w:val="22"/>
        </w:rPr>
        <w:t xml:space="preserve">use for </w:t>
      </w:r>
      <w:r w:rsidR="0062280D">
        <w:rPr>
          <w:rStyle w:val="Strong"/>
          <w:b w:val="0"/>
          <w:bCs w:val="0"/>
          <w:sz w:val="22"/>
          <w:szCs w:val="22"/>
        </w:rPr>
        <w:t>creating the OTC ISIN</w:t>
      </w:r>
      <w:r w:rsidR="00BC337B">
        <w:rPr>
          <w:rStyle w:val="Strong"/>
          <w:b w:val="0"/>
          <w:bCs w:val="0"/>
          <w:sz w:val="22"/>
          <w:szCs w:val="22"/>
        </w:rPr>
        <w:t xml:space="preserve">, </w:t>
      </w:r>
      <w:proofErr w:type="gramStart"/>
      <w:r w:rsidR="00BC337B">
        <w:rPr>
          <w:rStyle w:val="Strong"/>
          <w:b w:val="0"/>
          <w:bCs w:val="0"/>
          <w:sz w:val="22"/>
          <w:szCs w:val="22"/>
        </w:rPr>
        <w:t>i.e.</w:t>
      </w:r>
      <w:proofErr w:type="gramEnd"/>
      <w:r w:rsidR="00BC337B">
        <w:rPr>
          <w:rStyle w:val="Strong"/>
          <w:b w:val="0"/>
          <w:bCs w:val="0"/>
          <w:sz w:val="22"/>
          <w:szCs w:val="22"/>
        </w:rPr>
        <w:t xml:space="preserve"> </w:t>
      </w:r>
      <w:r w:rsidR="0062280D">
        <w:rPr>
          <w:rStyle w:val="Strong"/>
          <w:b w:val="0"/>
          <w:bCs w:val="0"/>
          <w:sz w:val="22"/>
          <w:szCs w:val="22"/>
        </w:rPr>
        <w:t xml:space="preserve">the </w:t>
      </w:r>
      <w:r w:rsidR="00A61A77">
        <w:rPr>
          <w:rStyle w:val="Strong"/>
          <w:b w:val="0"/>
          <w:bCs w:val="0"/>
          <w:sz w:val="22"/>
          <w:szCs w:val="22"/>
        </w:rPr>
        <w:t xml:space="preserve">same </w:t>
      </w:r>
      <w:r w:rsidR="0062280D">
        <w:rPr>
          <w:rStyle w:val="Strong"/>
          <w:b w:val="0"/>
          <w:bCs w:val="0"/>
          <w:sz w:val="22"/>
          <w:szCs w:val="22"/>
        </w:rPr>
        <w:t xml:space="preserve">template </w:t>
      </w:r>
      <w:r w:rsidR="00BC337B">
        <w:rPr>
          <w:rStyle w:val="Strong"/>
          <w:b w:val="0"/>
          <w:bCs w:val="0"/>
          <w:sz w:val="22"/>
          <w:szCs w:val="22"/>
        </w:rPr>
        <w:t xml:space="preserve">type </w:t>
      </w:r>
      <w:r w:rsidR="0062280D">
        <w:rPr>
          <w:rStyle w:val="Strong"/>
          <w:b w:val="0"/>
          <w:bCs w:val="0"/>
          <w:sz w:val="22"/>
          <w:szCs w:val="22"/>
        </w:rPr>
        <w:t xml:space="preserve">used </w:t>
      </w:r>
      <w:r w:rsidR="00BC337B">
        <w:rPr>
          <w:rStyle w:val="Strong"/>
          <w:b w:val="0"/>
          <w:bCs w:val="0"/>
          <w:sz w:val="22"/>
          <w:szCs w:val="22"/>
        </w:rPr>
        <w:t xml:space="preserve">for </w:t>
      </w:r>
      <w:r w:rsidR="0062280D">
        <w:rPr>
          <w:rStyle w:val="Strong"/>
          <w:b w:val="0"/>
          <w:bCs w:val="0"/>
          <w:sz w:val="22"/>
          <w:szCs w:val="22"/>
        </w:rPr>
        <w:t xml:space="preserve">creating the </w:t>
      </w:r>
      <w:r w:rsidR="00BC337B">
        <w:rPr>
          <w:rStyle w:val="Strong"/>
          <w:b w:val="0"/>
          <w:bCs w:val="0"/>
          <w:sz w:val="22"/>
          <w:szCs w:val="22"/>
        </w:rPr>
        <w:t xml:space="preserve">original OTC ISIN </w:t>
      </w:r>
      <w:r w:rsidR="00A61A77">
        <w:rPr>
          <w:rStyle w:val="Strong"/>
          <w:b w:val="0"/>
          <w:bCs w:val="0"/>
          <w:sz w:val="22"/>
          <w:szCs w:val="22"/>
        </w:rPr>
        <w:t xml:space="preserve">referencing </w:t>
      </w:r>
      <w:r w:rsidR="00BC337B">
        <w:rPr>
          <w:rStyle w:val="Strong"/>
          <w:b w:val="0"/>
          <w:bCs w:val="0"/>
          <w:sz w:val="22"/>
          <w:szCs w:val="22"/>
        </w:rPr>
        <w:t xml:space="preserve">the LIBOR rate would be used for the OTC ISIN </w:t>
      </w:r>
      <w:r w:rsidR="00396737">
        <w:rPr>
          <w:rStyle w:val="Strong"/>
          <w:b w:val="0"/>
          <w:bCs w:val="0"/>
          <w:sz w:val="22"/>
          <w:szCs w:val="22"/>
        </w:rPr>
        <w:t xml:space="preserve">when the </w:t>
      </w:r>
      <w:r w:rsidR="00BC337B">
        <w:rPr>
          <w:rStyle w:val="Strong"/>
          <w:b w:val="0"/>
          <w:bCs w:val="0"/>
          <w:sz w:val="22"/>
          <w:szCs w:val="22"/>
        </w:rPr>
        <w:t xml:space="preserve">fallback rate </w:t>
      </w:r>
      <w:r w:rsidR="00396737">
        <w:rPr>
          <w:rStyle w:val="Strong"/>
          <w:b w:val="0"/>
          <w:bCs w:val="0"/>
          <w:sz w:val="22"/>
          <w:szCs w:val="22"/>
        </w:rPr>
        <w:t>is triggered</w:t>
      </w:r>
      <w:r w:rsidR="0062280D">
        <w:rPr>
          <w:rStyle w:val="Strong"/>
          <w:b w:val="0"/>
          <w:bCs w:val="0"/>
          <w:sz w:val="22"/>
          <w:szCs w:val="22"/>
        </w:rPr>
        <w:t>.</w:t>
      </w:r>
      <w:r w:rsidR="004A5FA7">
        <w:rPr>
          <w:rStyle w:val="Strong"/>
          <w:b w:val="0"/>
          <w:bCs w:val="0"/>
          <w:sz w:val="22"/>
          <w:szCs w:val="22"/>
        </w:rPr>
        <w:t xml:space="preserve"> See Table 1 for an example of how these three ISIN attribute fields would be populated pre- and post-cessation of LIBOR.</w:t>
      </w:r>
    </w:p>
    <w:p w14:paraId="761A96A0" w14:textId="49F5DE5D" w:rsidR="00C66A13" w:rsidRDefault="00C66A13" w:rsidP="00803EC1">
      <w:pPr>
        <w:pStyle w:val="Default"/>
        <w:jc w:val="both"/>
        <w:rPr>
          <w:sz w:val="22"/>
          <w:szCs w:val="22"/>
        </w:rPr>
      </w:pPr>
    </w:p>
    <w:p w14:paraId="786064E8" w14:textId="46F0606F" w:rsidR="004A5FA7" w:rsidRPr="004A5FA7" w:rsidRDefault="004A5FA7" w:rsidP="00803EC1">
      <w:pPr>
        <w:pStyle w:val="Default"/>
        <w:jc w:val="both"/>
        <w:rPr>
          <w:b/>
          <w:bCs/>
          <w:sz w:val="22"/>
          <w:szCs w:val="22"/>
        </w:rPr>
      </w:pPr>
      <w:r w:rsidRPr="004A5FA7">
        <w:rPr>
          <w:b/>
          <w:bCs/>
          <w:sz w:val="22"/>
          <w:szCs w:val="22"/>
        </w:rPr>
        <w:t>Table 1</w:t>
      </w:r>
    </w:p>
    <w:tbl>
      <w:tblPr>
        <w:tblStyle w:val="TableGrid"/>
        <w:tblW w:w="9918" w:type="dxa"/>
        <w:tblLook w:val="04A0" w:firstRow="1" w:lastRow="0" w:firstColumn="1" w:lastColumn="0" w:noHBand="0" w:noVBand="1"/>
      </w:tblPr>
      <w:tblGrid>
        <w:gridCol w:w="3338"/>
        <w:gridCol w:w="3332"/>
        <w:gridCol w:w="3248"/>
      </w:tblGrid>
      <w:tr w:rsidR="00C66A13" w:rsidRPr="00C66A13" w14:paraId="479BCFDF" w14:textId="77777777" w:rsidTr="00AB51AC">
        <w:tc>
          <w:tcPr>
            <w:tcW w:w="3338" w:type="dxa"/>
            <w:shd w:val="clear" w:color="auto" w:fill="B4C6E7" w:themeFill="accent1" w:themeFillTint="66"/>
          </w:tcPr>
          <w:p w14:paraId="0F6840ED" w14:textId="77777777" w:rsidR="00C66A13" w:rsidRPr="00C66A13" w:rsidRDefault="00C66A13" w:rsidP="00803EC1">
            <w:pPr>
              <w:keepNext/>
              <w:keepLines/>
              <w:jc w:val="both"/>
              <w:rPr>
                <w:rFonts w:ascii="Times New Roman" w:hAnsi="Times New Roman" w:cs="Times New Roman"/>
                <w:b/>
                <w:bCs/>
              </w:rPr>
            </w:pPr>
            <w:r w:rsidRPr="00C66A13">
              <w:rPr>
                <w:rFonts w:ascii="Times New Roman" w:hAnsi="Times New Roman" w:cs="Times New Roman"/>
                <w:b/>
                <w:bCs/>
              </w:rPr>
              <w:t>ISO Attribute</w:t>
            </w:r>
          </w:p>
        </w:tc>
        <w:tc>
          <w:tcPr>
            <w:tcW w:w="3332" w:type="dxa"/>
            <w:shd w:val="clear" w:color="auto" w:fill="B4C6E7" w:themeFill="accent1" w:themeFillTint="66"/>
          </w:tcPr>
          <w:p w14:paraId="2D8F7D58" w14:textId="77777777" w:rsidR="00C66A13" w:rsidRPr="00C66A13" w:rsidRDefault="00C66A13" w:rsidP="00803EC1">
            <w:pPr>
              <w:keepNext/>
              <w:keepLines/>
              <w:jc w:val="both"/>
              <w:rPr>
                <w:rFonts w:ascii="Times New Roman" w:hAnsi="Times New Roman" w:cs="Times New Roman"/>
                <w:b/>
                <w:bCs/>
              </w:rPr>
            </w:pPr>
            <w:r w:rsidRPr="00C66A13">
              <w:rPr>
                <w:rFonts w:ascii="Times New Roman" w:hAnsi="Times New Roman" w:cs="Times New Roman"/>
                <w:b/>
                <w:bCs/>
              </w:rPr>
              <w:t>Pre-Index Cessation value</w:t>
            </w:r>
          </w:p>
        </w:tc>
        <w:tc>
          <w:tcPr>
            <w:tcW w:w="3248" w:type="dxa"/>
            <w:shd w:val="clear" w:color="auto" w:fill="FFE599" w:themeFill="accent4" w:themeFillTint="66"/>
          </w:tcPr>
          <w:p w14:paraId="74C86A1D" w14:textId="77777777" w:rsidR="00C66A13" w:rsidRPr="00C66A13" w:rsidRDefault="00C66A13" w:rsidP="00803EC1">
            <w:pPr>
              <w:keepNext/>
              <w:keepLines/>
              <w:jc w:val="both"/>
              <w:rPr>
                <w:rFonts w:ascii="Times New Roman" w:hAnsi="Times New Roman" w:cs="Times New Roman"/>
                <w:b/>
                <w:bCs/>
              </w:rPr>
            </w:pPr>
            <w:r w:rsidRPr="00C66A13">
              <w:rPr>
                <w:rFonts w:ascii="Times New Roman" w:hAnsi="Times New Roman" w:cs="Times New Roman"/>
                <w:b/>
                <w:bCs/>
              </w:rPr>
              <w:t xml:space="preserve">Potential value for Fallback rate </w:t>
            </w:r>
          </w:p>
        </w:tc>
      </w:tr>
      <w:tr w:rsidR="00C66A13" w:rsidRPr="00C66A13" w14:paraId="7F3291E5" w14:textId="77777777" w:rsidTr="00AB51AC">
        <w:tc>
          <w:tcPr>
            <w:tcW w:w="3338" w:type="dxa"/>
            <w:shd w:val="clear" w:color="auto" w:fill="auto"/>
          </w:tcPr>
          <w:p w14:paraId="3F82893C" w14:textId="77777777" w:rsidR="00C66A13" w:rsidRPr="00C66A13" w:rsidRDefault="00C66A13" w:rsidP="00803EC1">
            <w:pPr>
              <w:keepNext/>
              <w:keepLines/>
              <w:jc w:val="both"/>
              <w:rPr>
                <w:rFonts w:ascii="Times New Roman" w:hAnsi="Times New Roman" w:cs="Times New Roman"/>
              </w:rPr>
            </w:pPr>
            <w:r w:rsidRPr="00C66A13">
              <w:rPr>
                <w:rFonts w:ascii="Times New Roman" w:hAnsi="Times New Roman" w:cs="Times New Roman"/>
              </w:rPr>
              <w:t>Reference Rate</w:t>
            </w:r>
          </w:p>
        </w:tc>
        <w:tc>
          <w:tcPr>
            <w:tcW w:w="3332" w:type="dxa"/>
            <w:shd w:val="clear" w:color="auto" w:fill="auto"/>
          </w:tcPr>
          <w:p w14:paraId="0DD799DE" w14:textId="12369793" w:rsidR="00C66A13" w:rsidRPr="00C66A13" w:rsidRDefault="00C66A13" w:rsidP="00803EC1">
            <w:pPr>
              <w:keepNext/>
              <w:keepLines/>
              <w:jc w:val="both"/>
              <w:rPr>
                <w:rFonts w:ascii="Times New Roman" w:hAnsi="Times New Roman" w:cs="Times New Roman"/>
              </w:rPr>
            </w:pPr>
            <w:r w:rsidRPr="00C66A13">
              <w:rPr>
                <w:rFonts w:ascii="Times New Roman" w:hAnsi="Times New Roman" w:cs="Times New Roman"/>
              </w:rPr>
              <w:t>GBP-LIBOR-BBA</w:t>
            </w:r>
            <w:r w:rsidR="00AB51AC">
              <w:rPr>
                <w:rFonts w:ascii="Times New Roman" w:hAnsi="Times New Roman" w:cs="Times New Roman"/>
              </w:rPr>
              <w:t>*</w:t>
            </w:r>
          </w:p>
        </w:tc>
        <w:tc>
          <w:tcPr>
            <w:tcW w:w="3248" w:type="dxa"/>
            <w:shd w:val="clear" w:color="auto" w:fill="FFE599" w:themeFill="accent4" w:themeFillTint="66"/>
          </w:tcPr>
          <w:p w14:paraId="23368FAC" w14:textId="77777777" w:rsidR="00C66A13" w:rsidRPr="00C66A13" w:rsidRDefault="00C66A13" w:rsidP="00803EC1">
            <w:pPr>
              <w:keepNext/>
              <w:keepLines/>
              <w:jc w:val="both"/>
              <w:rPr>
                <w:rFonts w:ascii="Times New Roman" w:hAnsi="Times New Roman" w:cs="Times New Roman"/>
              </w:rPr>
            </w:pPr>
            <w:r w:rsidRPr="00C66A13">
              <w:rPr>
                <w:rFonts w:ascii="Times New Roman" w:hAnsi="Times New Roman" w:cs="Times New Roman"/>
              </w:rPr>
              <w:t>GBP-SONIA</w:t>
            </w:r>
          </w:p>
        </w:tc>
      </w:tr>
      <w:tr w:rsidR="00C66A13" w:rsidRPr="00C66A13" w14:paraId="1E1B6857" w14:textId="77777777" w:rsidTr="00AB51AC">
        <w:tc>
          <w:tcPr>
            <w:tcW w:w="3338" w:type="dxa"/>
            <w:shd w:val="clear" w:color="auto" w:fill="auto"/>
          </w:tcPr>
          <w:p w14:paraId="52140B48" w14:textId="77777777" w:rsidR="00C66A13" w:rsidRPr="00C66A13" w:rsidRDefault="00C66A13" w:rsidP="00803EC1">
            <w:pPr>
              <w:keepNext/>
              <w:keepLines/>
              <w:jc w:val="both"/>
              <w:rPr>
                <w:rFonts w:ascii="Times New Roman" w:hAnsi="Times New Roman" w:cs="Times New Roman"/>
              </w:rPr>
            </w:pPr>
            <w:r w:rsidRPr="00C66A13">
              <w:rPr>
                <w:rFonts w:ascii="Times New Roman" w:hAnsi="Times New Roman" w:cs="Times New Roman"/>
              </w:rPr>
              <w:t>Reference Rate Term Value</w:t>
            </w:r>
          </w:p>
        </w:tc>
        <w:tc>
          <w:tcPr>
            <w:tcW w:w="3332" w:type="dxa"/>
            <w:shd w:val="clear" w:color="auto" w:fill="auto"/>
          </w:tcPr>
          <w:p w14:paraId="6601A431" w14:textId="77777777" w:rsidR="00C66A13" w:rsidRPr="00C66A13" w:rsidRDefault="00C66A13" w:rsidP="00803EC1">
            <w:pPr>
              <w:keepNext/>
              <w:keepLines/>
              <w:jc w:val="both"/>
              <w:rPr>
                <w:rFonts w:ascii="Times New Roman" w:hAnsi="Times New Roman" w:cs="Times New Roman"/>
              </w:rPr>
            </w:pPr>
            <w:r w:rsidRPr="00C66A13">
              <w:rPr>
                <w:rFonts w:ascii="Times New Roman" w:hAnsi="Times New Roman" w:cs="Times New Roman"/>
              </w:rPr>
              <w:t>3</w:t>
            </w:r>
          </w:p>
        </w:tc>
        <w:tc>
          <w:tcPr>
            <w:tcW w:w="3248" w:type="dxa"/>
            <w:shd w:val="clear" w:color="auto" w:fill="FFE599" w:themeFill="accent4" w:themeFillTint="66"/>
          </w:tcPr>
          <w:p w14:paraId="6804E03D" w14:textId="77777777" w:rsidR="00C66A13" w:rsidRPr="00C66A13" w:rsidRDefault="00C66A13" w:rsidP="00803EC1">
            <w:pPr>
              <w:keepNext/>
              <w:keepLines/>
              <w:jc w:val="both"/>
              <w:rPr>
                <w:rFonts w:ascii="Times New Roman" w:hAnsi="Times New Roman" w:cs="Times New Roman"/>
              </w:rPr>
            </w:pPr>
            <w:r w:rsidRPr="00C66A13">
              <w:rPr>
                <w:rFonts w:ascii="Times New Roman" w:hAnsi="Times New Roman" w:cs="Times New Roman"/>
              </w:rPr>
              <w:t>3</w:t>
            </w:r>
          </w:p>
        </w:tc>
      </w:tr>
      <w:tr w:rsidR="00C66A13" w:rsidRPr="00C66A13" w14:paraId="0A32259F" w14:textId="77777777" w:rsidTr="00AB51AC">
        <w:trPr>
          <w:trHeight w:val="547"/>
        </w:trPr>
        <w:tc>
          <w:tcPr>
            <w:tcW w:w="3338" w:type="dxa"/>
            <w:shd w:val="clear" w:color="auto" w:fill="auto"/>
          </w:tcPr>
          <w:p w14:paraId="1C7EA5D4" w14:textId="77777777" w:rsidR="00C66A13" w:rsidRPr="00C66A13" w:rsidRDefault="00C66A13" w:rsidP="00803EC1">
            <w:pPr>
              <w:keepNext/>
              <w:keepLines/>
              <w:jc w:val="both"/>
              <w:rPr>
                <w:rFonts w:ascii="Times New Roman" w:hAnsi="Times New Roman" w:cs="Times New Roman"/>
              </w:rPr>
            </w:pPr>
            <w:r w:rsidRPr="00C66A13">
              <w:rPr>
                <w:rFonts w:ascii="Times New Roman" w:hAnsi="Times New Roman" w:cs="Times New Roman"/>
              </w:rPr>
              <w:t>Reference Rate Term Unit</w:t>
            </w:r>
          </w:p>
        </w:tc>
        <w:tc>
          <w:tcPr>
            <w:tcW w:w="3332" w:type="dxa"/>
            <w:shd w:val="clear" w:color="auto" w:fill="auto"/>
          </w:tcPr>
          <w:p w14:paraId="41AC6FC9" w14:textId="77777777" w:rsidR="00C66A13" w:rsidRPr="00C66A13" w:rsidRDefault="00C66A13" w:rsidP="00803EC1">
            <w:pPr>
              <w:keepNext/>
              <w:keepLines/>
              <w:jc w:val="both"/>
              <w:rPr>
                <w:rFonts w:ascii="Times New Roman" w:hAnsi="Times New Roman" w:cs="Times New Roman"/>
              </w:rPr>
            </w:pPr>
            <w:r w:rsidRPr="00C66A13">
              <w:rPr>
                <w:rFonts w:ascii="Times New Roman" w:hAnsi="Times New Roman" w:cs="Times New Roman"/>
              </w:rPr>
              <w:t>MNTH</w:t>
            </w:r>
          </w:p>
        </w:tc>
        <w:tc>
          <w:tcPr>
            <w:tcW w:w="3248" w:type="dxa"/>
            <w:shd w:val="clear" w:color="auto" w:fill="FFE599" w:themeFill="accent4" w:themeFillTint="66"/>
          </w:tcPr>
          <w:p w14:paraId="0F494D96" w14:textId="77777777" w:rsidR="00C66A13" w:rsidRPr="00C66A13" w:rsidRDefault="00C66A13" w:rsidP="00803EC1">
            <w:pPr>
              <w:keepNext/>
              <w:keepLines/>
              <w:jc w:val="both"/>
              <w:rPr>
                <w:rFonts w:ascii="Times New Roman" w:hAnsi="Times New Roman" w:cs="Times New Roman"/>
              </w:rPr>
            </w:pPr>
            <w:r w:rsidRPr="00C66A13">
              <w:rPr>
                <w:rFonts w:ascii="Times New Roman" w:hAnsi="Times New Roman" w:cs="Times New Roman"/>
              </w:rPr>
              <w:t>MNTH</w:t>
            </w:r>
          </w:p>
        </w:tc>
      </w:tr>
    </w:tbl>
    <w:p w14:paraId="19115AA2" w14:textId="1EC0A99B" w:rsidR="00AB51AC" w:rsidRDefault="00AB51AC" w:rsidP="00803EC1">
      <w:pPr>
        <w:pStyle w:val="Default"/>
        <w:jc w:val="both"/>
        <w:rPr>
          <w:sz w:val="22"/>
          <w:szCs w:val="22"/>
        </w:rPr>
      </w:pPr>
      <w:r>
        <w:rPr>
          <w:sz w:val="22"/>
          <w:szCs w:val="22"/>
        </w:rPr>
        <w:t xml:space="preserve">* </w:t>
      </w:r>
      <w:r w:rsidR="001D43EF">
        <w:rPr>
          <w:sz w:val="22"/>
          <w:szCs w:val="22"/>
        </w:rPr>
        <w:t xml:space="preserve">= </w:t>
      </w:r>
      <w:r>
        <w:rPr>
          <w:sz w:val="22"/>
          <w:szCs w:val="22"/>
        </w:rPr>
        <w:t>Th</w:t>
      </w:r>
      <w:r w:rsidR="001D43EF">
        <w:rPr>
          <w:sz w:val="22"/>
          <w:szCs w:val="22"/>
        </w:rPr>
        <w:t>is</w:t>
      </w:r>
      <w:r>
        <w:rPr>
          <w:sz w:val="22"/>
          <w:szCs w:val="22"/>
        </w:rPr>
        <w:t xml:space="preserve"> LIBOR rate </w:t>
      </w:r>
      <w:r w:rsidR="001D43EF">
        <w:rPr>
          <w:sz w:val="22"/>
          <w:szCs w:val="22"/>
        </w:rPr>
        <w:t xml:space="preserve">is as per </w:t>
      </w:r>
      <w:r>
        <w:rPr>
          <w:sz w:val="22"/>
          <w:szCs w:val="22"/>
        </w:rPr>
        <w:t xml:space="preserve">the 2006 ISDA Interest Rate Definitions. The same </w:t>
      </w:r>
      <w:r w:rsidR="00DB6306">
        <w:rPr>
          <w:sz w:val="22"/>
          <w:szCs w:val="22"/>
        </w:rPr>
        <w:t xml:space="preserve">principle will apply if the pre-index cessation LIBOR </w:t>
      </w:r>
      <w:r>
        <w:rPr>
          <w:sz w:val="22"/>
          <w:szCs w:val="22"/>
        </w:rPr>
        <w:t xml:space="preserve">rate </w:t>
      </w:r>
      <w:r w:rsidR="00DB6306">
        <w:rPr>
          <w:sz w:val="22"/>
          <w:szCs w:val="22"/>
        </w:rPr>
        <w:t xml:space="preserve">is </w:t>
      </w:r>
      <w:r w:rsidR="00A63D6B">
        <w:rPr>
          <w:sz w:val="22"/>
          <w:szCs w:val="22"/>
        </w:rPr>
        <w:t xml:space="preserve">an FRO name from the </w:t>
      </w:r>
      <w:r>
        <w:rPr>
          <w:sz w:val="22"/>
          <w:szCs w:val="22"/>
        </w:rPr>
        <w:t>2021 ISDA Interest Rate Definitions.</w:t>
      </w:r>
    </w:p>
    <w:p w14:paraId="3864D5BB" w14:textId="4DF87EED" w:rsidR="00C66A13" w:rsidRDefault="00C66A13" w:rsidP="00803EC1">
      <w:pPr>
        <w:pStyle w:val="Default"/>
        <w:jc w:val="both"/>
      </w:pPr>
    </w:p>
    <w:p w14:paraId="512A1E05" w14:textId="77777777" w:rsidR="00AB51AC" w:rsidRDefault="00AB51AC" w:rsidP="00803EC1">
      <w:pPr>
        <w:pStyle w:val="Default"/>
        <w:jc w:val="both"/>
      </w:pPr>
    </w:p>
    <w:p w14:paraId="4A5D1047" w14:textId="4264AF54" w:rsidR="00FC2336" w:rsidRPr="00BD5F58" w:rsidRDefault="00BD5F58" w:rsidP="00803EC1">
      <w:pPr>
        <w:jc w:val="both"/>
        <w:rPr>
          <w:rFonts w:ascii="Times New Roman" w:hAnsi="Times New Roman" w:cs="Times New Roman"/>
        </w:rPr>
      </w:pPr>
      <w:r w:rsidRPr="00BD5F58">
        <w:rPr>
          <w:rFonts w:ascii="Times New Roman" w:hAnsi="Times New Roman" w:cs="Times New Roman"/>
        </w:rPr>
        <w:t xml:space="preserve">It will be possible to create new OTC derivative ISINs at ANNA DSB ahead of the LIBOR cessation effective date, subject to normal conditions, i.e. (a) users connect during the DSB Production uptime – </w:t>
      </w:r>
      <w:r w:rsidR="00161F79">
        <w:rPr>
          <w:rFonts w:ascii="Times New Roman" w:hAnsi="Times New Roman" w:cs="Times New Roman"/>
        </w:rPr>
        <w:t>(</w:t>
      </w:r>
      <w:hyperlink r:id="rId18" w:history="1">
        <w:r w:rsidRPr="00BD5F58">
          <w:rPr>
            <w:rStyle w:val="Hyperlink"/>
            <w:rFonts w:ascii="Times New Roman" w:hAnsi="Times New Roman" w:cs="Times New Roman"/>
          </w:rPr>
          <w:t>hours of operation are here</w:t>
        </w:r>
      </w:hyperlink>
      <w:r w:rsidR="00161F79">
        <w:rPr>
          <w:rFonts w:ascii="Times New Roman" w:hAnsi="Times New Roman" w:cs="Times New Roman"/>
        </w:rPr>
        <w:t>)</w:t>
      </w:r>
      <w:r w:rsidRPr="00BD5F58">
        <w:rPr>
          <w:rFonts w:ascii="Times New Roman" w:hAnsi="Times New Roman" w:cs="Times New Roman"/>
        </w:rPr>
        <w:t xml:space="preserve"> and (b) users </w:t>
      </w:r>
      <w:r w:rsidR="00161F79">
        <w:rPr>
          <w:rFonts w:ascii="Times New Roman" w:hAnsi="Times New Roman" w:cs="Times New Roman"/>
        </w:rPr>
        <w:t xml:space="preserve">remain within the </w:t>
      </w:r>
      <w:r w:rsidRPr="00BD5F58">
        <w:rPr>
          <w:rFonts w:ascii="Times New Roman" w:hAnsi="Times New Roman" w:cs="Times New Roman"/>
        </w:rPr>
        <w:t>use</w:t>
      </w:r>
      <w:r>
        <w:rPr>
          <w:rFonts w:ascii="Times New Roman" w:hAnsi="Times New Roman" w:cs="Times New Roman"/>
        </w:rPr>
        <w:t>r</w:t>
      </w:r>
      <w:r w:rsidRPr="00BD5F58">
        <w:rPr>
          <w:rFonts w:ascii="Times New Roman" w:hAnsi="Times New Roman" w:cs="Times New Roman"/>
        </w:rPr>
        <w:t xml:space="preserve"> caps, </w:t>
      </w:r>
      <w:r w:rsidR="00161F79">
        <w:rPr>
          <w:rFonts w:ascii="Times New Roman" w:hAnsi="Times New Roman" w:cs="Times New Roman"/>
        </w:rPr>
        <w:t>(</w:t>
      </w:r>
      <w:r w:rsidRPr="00BD5F58">
        <w:rPr>
          <w:rFonts w:ascii="Times New Roman" w:hAnsi="Times New Roman" w:cs="Times New Roman"/>
        </w:rPr>
        <w:t xml:space="preserve">which </w:t>
      </w:r>
      <w:r>
        <w:rPr>
          <w:rFonts w:ascii="Times New Roman" w:hAnsi="Times New Roman" w:cs="Times New Roman"/>
        </w:rPr>
        <w:t xml:space="preserve">may be </w:t>
      </w:r>
      <w:r w:rsidRPr="00BD5F58">
        <w:rPr>
          <w:rFonts w:ascii="Times New Roman" w:hAnsi="Times New Roman" w:cs="Times New Roman"/>
        </w:rPr>
        <w:t>up to 50</w:t>
      </w:r>
      <w:r>
        <w:rPr>
          <w:rFonts w:ascii="Times New Roman" w:hAnsi="Times New Roman" w:cs="Times New Roman"/>
        </w:rPr>
        <w:t>,000</w:t>
      </w:r>
      <w:r w:rsidRPr="00BD5F58">
        <w:rPr>
          <w:rFonts w:ascii="Times New Roman" w:hAnsi="Times New Roman" w:cs="Times New Roman"/>
        </w:rPr>
        <w:t xml:space="preserve"> create requests a week</w:t>
      </w:r>
      <w:r w:rsidR="00161F79">
        <w:rPr>
          <w:rFonts w:ascii="Times New Roman" w:hAnsi="Times New Roman" w:cs="Times New Roman"/>
        </w:rPr>
        <w:t>)</w:t>
      </w:r>
      <w:r w:rsidRPr="00BD5F58">
        <w:rPr>
          <w:rFonts w:ascii="Times New Roman" w:hAnsi="Times New Roman" w:cs="Times New Roman"/>
        </w:rPr>
        <w:t>.</w:t>
      </w:r>
    </w:p>
    <w:p w14:paraId="48069645" w14:textId="77777777" w:rsidR="00BD5F58" w:rsidRDefault="00BD5F58" w:rsidP="00803EC1">
      <w:pPr>
        <w:jc w:val="both"/>
        <w:rPr>
          <w:rFonts w:ascii="Times New Roman" w:hAnsi="Times New Roman" w:cs="Times New Roman"/>
        </w:rPr>
      </w:pPr>
    </w:p>
    <w:p w14:paraId="3D237941" w14:textId="42C70884" w:rsidR="00C66A13" w:rsidRPr="00C66A13" w:rsidRDefault="00C66A13" w:rsidP="00803EC1">
      <w:pPr>
        <w:jc w:val="both"/>
        <w:rPr>
          <w:rFonts w:ascii="Times New Roman" w:hAnsi="Times New Roman" w:cs="Times New Roman"/>
          <w:u w:val="single"/>
        </w:rPr>
      </w:pPr>
      <w:r w:rsidRPr="00C66A13">
        <w:rPr>
          <w:rFonts w:ascii="Times New Roman" w:hAnsi="Times New Roman" w:cs="Times New Roman"/>
          <w:u w:val="single"/>
        </w:rPr>
        <w:t>Floating Rate of Leg 1 (2.55) and Floating Rate of Leg 2 (2.58)</w:t>
      </w:r>
    </w:p>
    <w:p w14:paraId="689E76D5" w14:textId="18F26629" w:rsidR="00C66A13" w:rsidRDefault="00C66A13" w:rsidP="00803EC1">
      <w:pPr>
        <w:jc w:val="both"/>
        <w:rPr>
          <w:rFonts w:ascii="Times New Roman" w:hAnsi="Times New Roman" w:cs="Times New Roman"/>
        </w:rPr>
      </w:pPr>
      <w:r>
        <w:rPr>
          <w:rFonts w:ascii="Times New Roman" w:hAnsi="Times New Roman" w:cs="Times New Roman"/>
        </w:rPr>
        <w:t>ESMA stated in Q&amp;A TR Question 53(a) that for these fields “</w:t>
      </w:r>
      <w:r w:rsidRPr="00C66A13">
        <w:rPr>
          <w:rFonts w:ascii="Times New Roman" w:hAnsi="Times New Roman" w:cs="Times New Roman"/>
        </w:rPr>
        <w:t>counterparties should report in the free-text field the 4-letter code assigned to that reference rate is the ISO 20022 standard, to the extent it is available, as described in ISO 20022 Benchmark Curve Name Code</w:t>
      </w:r>
      <w:r>
        <w:rPr>
          <w:rFonts w:ascii="Times New Roman" w:hAnsi="Times New Roman" w:cs="Times New Roman"/>
        </w:rPr>
        <w:t xml:space="preserve">”. </w:t>
      </w:r>
    </w:p>
    <w:p w14:paraId="75A4541A" w14:textId="1A6A3778" w:rsidR="00C66A13" w:rsidRDefault="00D05626" w:rsidP="00803EC1">
      <w:pPr>
        <w:jc w:val="both"/>
        <w:rPr>
          <w:rFonts w:ascii="Times New Roman" w:hAnsi="Times New Roman" w:cs="Times New Roman"/>
        </w:rPr>
      </w:pPr>
      <w:r>
        <w:rPr>
          <w:rFonts w:ascii="Times New Roman" w:hAnsi="Times New Roman" w:cs="Times New Roman"/>
        </w:rPr>
        <w:t>A proposal made by t</w:t>
      </w:r>
      <w:r w:rsidR="00C66A13">
        <w:rPr>
          <w:rFonts w:ascii="Times New Roman" w:hAnsi="Times New Roman" w:cs="Times New Roman"/>
        </w:rPr>
        <w:t xml:space="preserve">he Data and Reporting EMEA Working Group </w:t>
      </w:r>
      <w:r>
        <w:rPr>
          <w:rFonts w:ascii="Times New Roman" w:hAnsi="Times New Roman" w:cs="Times New Roman"/>
        </w:rPr>
        <w:t xml:space="preserve">was </w:t>
      </w:r>
      <w:r w:rsidR="00C66A13">
        <w:rPr>
          <w:rFonts w:ascii="Times New Roman" w:hAnsi="Times New Roman" w:cs="Times New Roman"/>
        </w:rPr>
        <w:t>that given a 4-letter code does not exist in the ISO 20022 standard</w:t>
      </w:r>
      <w:r>
        <w:rPr>
          <w:rFonts w:ascii="Times New Roman" w:hAnsi="Times New Roman" w:cs="Times New Roman"/>
        </w:rPr>
        <w:t>s</w:t>
      </w:r>
      <w:r w:rsidR="00C66A13">
        <w:rPr>
          <w:rFonts w:ascii="Times New Roman" w:hAnsi="Times New Roman" w:cs="Times New Roman"/>
        </w:rPr>
        <w:t xml:space="preserve"> for Fallback rates, and in order to clearly differentiate between (i) trades where the Fallback rate has been triggered, (ii) trades that have been transferred to a RFR and (iii) trades still using LIBOR (‘tough legacy’ trades, see below), all trades where the Fallback rate has been triggered will </w:t>
      </w:r>
      <w:r>
        <w:rPr>
          <w:rFonts w:ascii="Times New Roman" w:hAnsi="Times New Roman" w:cs="Times New Roman"/>
        </w:rPr>
        <w:t xml:space="preserve">be reported with </w:t>
      </w:r>
      <w:r w:rsidR="00C66A13">
        <w:rPr>
          <w:rFonts w:ascii="Times New Roman" w:hAnsi="Times New Roman" w:cs="Times New Roman"/>
        </w:rPr>
        <w:t xml:space="preserve">a suffix of “fallback” applied to the existing value of these Floating Rate fields. For example, a current Floating Rate value of “LIBO” would be </w:t>
      </w:r>
      <w:r>
        <w:rPr>
          <w:rFonts w:ascii="Times New Roman" w:hAnsi="Times New Roman" w:cs="Times New Roman"/>
        </w:rPr>
        <w:t xml:space="preserve">amended to </w:t>
      </w:r>
      <w:r w:rsidR="00C66A13">
        <w:rPr>
          <w:rFonts w:ascii="Times New Roman" w:hAnsi="Times New Roman" w:cs="Times New Roman"/>
        </w:rPr>
        <w:t>“</w:t>
      </w:r>
      <w:proofErr w:type="spellStart"/>
      <w:r w:rsidR="00C66A13">
        <w:rPr>
          <w:rFonts w:ascii="Times New Roman" w:hAnsi="Times New Roman" w:cs="Times New Roman"/>
        </w:rPr>
        <w:t>LIBOfallback</w:t>
      </w:r>
      <w:proofErr w:type="spellEnd"/>
      <w:r w:rsidR="00C66A13">
        <w:rPr>
          <w:rFonts w:ascii="Times New Roman" w:hAnsi="Times New Roman" w:cs="Times New Roman"/>
        </w:rPr>
        <w:t>” following the triggering of the Fallback rate.</w:t>
      </w:r>
    </w:p>
    <w:p w14:paraId="574AF362" w14:textId="0642E4A8" w:rsidR="00C66A13" w:rsidRDefault="00D05626" w:rsidP="00803EC1">
      <w:pPr>
        <w:pStyle w:val="Default"/>
        <w:jc w:val="both"/>
        <w:rPr>
          <w:rStyle w:val="Strong"/>
          <w:rFonts w:asciiTheme="minorHAnsi" w:hAnsiTheme="minorHAnsi" w:cstheme="minorBidi"/>
          <w:b w:val="0"/>
          <w:bCs w:val="0"/>
          <w:color w:val="auto"/>
          <w:sz w:val="22"/>
          <w:szCs w:val="22"/>
        </w:rPr>
      </w:pPr>
      <w:r>
        <w:rPr>
          <w:sz w:val="22"/>
          <w:szCs w:val="22"/>
        </w:rPr>
        <w:t xml:space="preserve">However, </w:t>
      </w:r>
      <w:r w:rsidR="00C66A13" w:rsidRPr="008C7AEF">
        <w:rPr>
          <w:sz w:val="22"/>
          <w:szCs w:val="22"/>
        </w:rPr>
        <w:t xml:space="preserve">ESMA </w:t>
      </w:r>
      <w:r>
        <w:rPr>
          <w:sz w:val="22"/>
          <w:szCs w:val="22"/>
        </w:rPr>
        <w:t xml:space="preserve">clarifies in the letter </w:t>
      </w:r>
      <w:r w:rsidR="00C66A13" w:rsidRPr="008C7AEF">
        <w:rPr>
          <w:sz w:val="22"/>
          <w:szCs w:val="22"/>
        </w:rPr>
        <w:t xml:space="preserve">sent to ISDA </w:t>
      </w:r>
      <w:r>
        <w:rPr>
          <w:sz w:val="22"/>
          <w:szCs w:val="22"/>
        </w:rPr>
        <w:t xml:space="preserve">that </w:t>
      </w:r>
      <w:r w:rsidR="008C7AEF" w:rsidRPr="008C7AEF">
        <w:rPr>
          <w:sz w:val="22"/>
          <w:szCs w:val="22"/>
        </w:rPr>
        <w:t xml:space="preserve">a suffix should not be used and instead entities should report </w:t>
      </w:r>
      <w:r>
        <w:rPr>
          <w:sz w:val="22"/>
          <w:szCs w:val="22"/>
        </w:rPr>
        <w:t xml:space="preserve">4-letter codes as </w:t>
      </w:r>
      <w:r w:rsidR="008C7AEF" w:rsidRPr="008C7AEF">
        <w:rPr>
          <w:sz w:val="22"/>
          <w:szCs w:val="22"/>
        </w:rPr>
        <w:t xml:space="preserve">specified in the technical standards or </w:t>
      </w:r>
      <w:r>
        <w:rPr>
          <w:sz w:val="22"/>
          <w:szCs w:val="22"/>
        </w:rPr>
        <w:t xml:space="preserve">within </w:t>
      </w:r>
      <w:r w:rsidR="008C7AEF" w:rsidRPr="008C7AEF">
        <w:rPr>
          <w:sz w:val="22"/>
          <w:szCs w:val="22"/>
        </w:rPr>
        <w:t xml:space="preserve">the ISO 20022 standard. The ISDA Data and Reporting EMEA Working Group concluded that given ESMA </w:t>
      </w:r>
      <w:r>
        <w:rPr>
          <w:sz w:val="22"/>
          <w:szCs w:val="22"/>
        </w:rPr>
        <w:t xml:space="preserve">require </w:t>
      </w:r>
      <w:r w:rsidR="008C7AEF" w:rsidRPr="008C7AEF">
        <w:rPr>
          <w:sz w:val="22"/>
          <w:szCs w:val="22"/>
        </w:rPr>
        <w:t xml:space="preserve">the RFR to be used for the derivative ISIN and do not expect to differentiate between derivatives </w:t>
      </w:r>
      <w:r>
        <w:rPr>
          <w:sz w:val="22"/>
          <w:szCs w:val="22"/>
        </w:rPr>
        <w:t xml:space="preserve">using </w:t>
      </w:r>
      <w:r w:rsidR="008C7AEF" w:rsidRPr="008C7AEF">
        <w:rPr>
          <w:sz w:val="22"/>
          <w:szCs w:val="22"/>
        </w:rPr>
        <w:t>a RFR and derivative</w:t>
      </w:r>
      <w:r>
        <w:rPr>
          <w:sz w:val="22"/>
          <w:szCs w:val="22"/>
        </w:rPr>
        <w:t>s</w:t>
      </w:r>
      <w:r w:rsidR="008C7AEF" w:rsidRPr="008C7AEF">
        <w:rPr>
          <w:sz w:val="22"/>
          <w:szCs w:val="22"/>
        </w:rPr>
        <w:t xml:space="preserve"> where the </w:t>
      </w:r>
      <w:r>
        <w:rPr>
          <w:sz w:val="22"/>
          <w:szCs w:val="22"/>
        </w:rPr>
        <w:t>F</w:t>
      </w:r>
      <w:r w:rsidR="008C7AEF" w:rsidRPr="008C7AEF">
        <w:rPr>
          <w:sz w:val="22"/>
          <w:szCs w:val="22"/>
        </w:rPr>
        <w:t xml:space="preserve">allback rate </w:t>
      </w:r>
      <w:r>
        <w:rPr>
          <w:sz w:val="22"/>
          <w:szCs w:val="22"/>
        </w:rPr>
        <w:t>has been triggered</w:t>
      </w:r>
      <w:r w:rsidR="008C7AEF" w:rsidRPr="008C7AEF">
        <w:rPr>
          <w:sz w:val="22"/>
          <w:szCs w:val="22"/>
        </w:rPr>
        <w:t xml:space="preserve">, (“the regulators do not expect different ISINs for those derivatives where RFR is used due to the fallback, compared to other derivatives where RFR is used due to a new trade or where counterparties decided to transition to RFR”), the Floating Rate of Leg 1 and Floating Rate of Leg 2 fields are to be populated with the </w:t>
      </w:r>
      <w:r w:rsidR="008C7AEF" w:rsidRPr="008C7AEF">
        <w:rPr>
          <w:rStyle w:val="Strong"/>
          <w:b w:val="0"/>
          <w:bCs w:val="0"/>
          <w:sz w:val="22"/>
          <w:szCs w:val="22"/>
        </w:rPr>
        <w:t xml:space="preserve">underlying RFR on which adjustments are applied to produce the </w:t>
      </w:r>
      <w:r>
        <w:rPr>
          <w:rStyle w:val="Strong"/>
          <w:b w:val="0"/>
          <w:bCs w:val="0"/>
          <w:sz w:val="22"/>
          <w:szCs w:val="22"/>
        </w:rPr>
        <w:t>F</w:t>
      </w:r>
      <w:r w:rsidR="008C7AEF" w:rsidRPr="008C7AEF">
        <w:rPr>
          <w:rStyle w:val="Strong"/>
          <w:b w:val="0"/>
          <w:bCs w:val="0"/>
          <w:sz w:val="22"/>
          <w:szCs w:val="22"/>
        </w:rPr>
        <w:t>allback rate</w:t>
      </w:r>
      <w:r w:rsidR="008C7AEF">
        <w:rPr>
          <w:rStyle w:val="Strong"/>
          <w:b w:val="0"/>
          <w:bCs w:val="0"/>
          <w:sz w:val="22"/>
          <w:szCs w:val="22"/>
        </w:rPr>
        <w:t>.</w:t>
      </w:r>
    </w:p>
    <w:p w14:paraId="03B48ECC" w14:textId="40D6EA32" w:rsidR="008C7AEF" w:rsidRDefault="008C7AEF" w:rsidP="00803EC1">
      <w:pPr>
        <w:pStyle w:val="Default"/>
        <w:jc w:val="both"/>
        <w:rPr>
          <w:rStyle w:val="Strong"/>
          <w:b w:val="0"/>
          <w:bCs w:val="0"/>
          <w:sz w:val="22"/>
          <w:szCs w:val="22"/>
        </w:rPr>
      </w:pPr>
    </w:p>
    <w:p w14:paraId="054B244A" w14:textId="77777777" w:rsidR="00D05626" w:rsidRDefault="004A5FA7" w:rsidP="00803EC1">
      <w:pPr>
        <w:pStyle w:val="Default"/>
        <w:jc w:val="both"/>
        <w:rPr>
          <w:sz w:val="22"/>
          <w:szCs w:val="22"/>
        </w:rPr>
      </w:pPr>
      <w:r>
        <w:rPr>
          <w:rStyle w:val="Strong"/>
          <w:b w:val="0"/>
          <w:bCs w:val="0"/>
          <w:sz w:val="22"/>
          <w:szCs w:val="22"/>
        </w:rPr>
        <w:t>T</w:t>
      </w:r>
      <w:r w:rsidR="008C7AEF">
        <w:rPr>
          <w:rStyle w:val="Strong"/>
          <w:b w:val="0"/>
          <w:bCs w:val="0"/>
          <w:sz w:val="22"/>
          <w:szCs w:val="22"/>
        </w:rPr>
        <w:t xml:space="preserve">able </w:t>
      </w:r>
      <w:r>
        <w:rPr>
          <w:rStyle w:val="Strong"/>
          <w:b w:val="0"/>
          <w:bCs w:val="0"/>
          <w:sz w:val="22"/>
          <w:szCs w:val="22"/>
        </w:rPr>
        <w:t xml:space="preserve">2 (below) </w:t>
      </w:r>
      <w:r w:rsidR="008C7AEF">
        <w:rPr>
          <w:rStyle w:val="Strong"/>
          <w:b w:val="0"/>
          <w:bCs w:val="0"/>
          <w:sz w:val="22"/>
          <w:szCs w:val="22"/>
        </w:rPr>
        <w:t xml:space="preserve">was reviewed by the </w:t>
      </w:r>
      <w:r w:rsidR="008C7AEF" w:rsidRPr="008C7AEF">
        <w:rPr>
          <w:sz w:val="22"/>
          <w:szCs w:val="22"/>
        </w:rPr>
        <w:t>ISDA Data and Reporting EMEA Working Group</w:t>
      </w:r>
      <w:r w:rsidR="008C7AEF">
        <w:rPr>
          <w:sz w:val="22"/>
          <w:szCs w:val="22"/>
        </w:rPr>
        <w:t xml:space="preserve"> </w:t>
      </w:r>
      <w:r w:rsidR="00D05626">
        <w:rPr>
          <w:sz w:val="22"/>
          <w:szCs w:val="22"/>
        </w:rPr>
        <w:t xml:space="preserve">to ascertain the </w:t>
      </w:r>
      <w:r w:rsidR="008C7AEF">
        <w:rPr>
          <w:sz w:val="22"/>
          <w:szCs w:val="22"/>
        </w:rPr>
        <w:t xml:space="preserve">values are to be reported in these fields. </w:t>
      </w:r>
    </w:p>
    <w:p w14:paraId="0FE361F3" w14:textId="7E224F5A" w:rsidR="008C7AEF" w:rsidRDefault="008C7AEF" w:rsidP="00803EC1">
      <w:pPr>
        <w:pStyle w:val="Default"/>
        <w:jc w:val="both"/>
        <w:rPr>
          <w:sz w:val="22"/>
          <w:szCs w:val="22"/>
        </w:rPr>
      </w:pPr>
      <w:r>
        <w:rPr>
          <w:sz w:val="22"/>
          <w:szCs w:val="22"/>
        </w:rPr>
        <w:t>Note, the ISO 20022 standards do not currently contain 4-letter codes for the RFRs CHF-SARON and JPY-TONA, therefore the working group proposal is to report the concatenated value as per current EMIR reporting best practices.</w:t>
      </w:r>
    </w:p>
    <w:p w14:paraId="6EFD8C37" w14:textId="3289BF7B" w:rsidR="008C7AEF" w:rsidRDefault="008C7AEF" w:rsidP="00803EC1">
      <w:pPr>
        <w:pStyle w:val="Default"/>
        <w:jc w:val="both"/>
        <w:rPr>
          <w:sz w:val="22"/>
          <w:szCs w:val="22"/>
        </w:rPr>
      </w:pPr>
    </w:p>
    <w:p w14:paraId="69839438" w14:textId="7853317B" w:rsidR="004A5FA7" w:rsidRPr="004A5FA7" w:rsidRDefault="004A5FA7" w:rsidP="00803EC1">
      <w:pPr>
        <w:pStyle w:val="Default"/>
        <w:keepNext/>
        <w:keepLines/>
        <w:jc w:val="both"/>
        <w:rPr>
          <w:b/>
          <w:bCs/>
          <w:sz w:val="22"/>
          <w:szCs w:val="22"/>
        </w:rPr>
      </w:pPr>
      <w:r w:rsidRPr="004A5FA7">
        <w:rPr>
          <w:b/>
          <w:bCs/>
        </w:rPr>
        <w:t>Table 2</w:t>
      </w:r>
    </w:p>
    <w:tbl>
      <w:tblPr>
        <w:tblW w:w="9913" w:type="dxa"/>
        <w:tblLook w:val="04A0" w:firstRow="1" w:lastRow="0" w:firstColumn="1" w:lastColumn="0" w:noHBand="0" w:noVBand="1"/>
      </w:tblPr>
      <w:tblGrid>
        <w:gridCol w:w="2825"/>
        <w:gridCol w:w="2127"/>
        <w:gridCol w:w="2598"/>
        <w:gridCol w:w="2363"/>
      </w:tblGrid>
      <w:tr w:rsidR="008C7AEF" w:rsidRPr="00B60051" w14:paraId="75C8373E" w14:textId="77777777" w:rsidTr="006910A8">
        <w:trPr>
          <w:trHeight w:val="315"/>
        </w:trPr>
        <w:tc>
          <w:tcPr>
            <w:tcW w:w="4952" w:type="dxa"/>
            <w:gridSpan w:val="2"/>
            <w:tcBorders>
              <w:top w:val="single" w:sz="8" w:space="0" w:color="auto"/>
              <w:left w:val="single" w:sz="8" w:space="0" w:color="auto"/>
              <w:bottom w:val="single" w:sz="8" w:space="0" w:color="auto"/>
              <w:right w:val="single" w:sz="8" w:space="0" w:color="000000"/>
            </w:tcBorders>
            <w:shd w:val="clear" w:color="000000" w:fill="FFCC99"/>
            <w:noWrap/>
            <w:vAlign w:val="bottom"/>
            <w:hideMark/>
          </w:tcPr>
          <w:p w14:paraId="2DCAB0DE" w14:textId="77777777" w:rsidR="008C7AEF" w:rsidRPr="00B60051" w:rsidRDefault="008C7AEF" w:rsidP="00803EC1">
            <w:pPr>
              <w:keepNext/>
              <w:keepLines/>
              <w:spacing w:after="0" w:line="240" w:lineRule="auto"/>
              <w:jc w:val="both"/>
              <w:rPr>
                <w:rFonts w:ascii="Calibri" w:eastAsia="Times New Roman" w:hAnsi="Calibri" w:cs="Calibri"/>
                <w:b/>
                <w:bCs/>
                <w:color w:val="3F3F76"/>
                <w:lang w:eastAsia="en-GB"/>
              </w:rPr>
            </w:pPr>
            <w:r w:rsidRPr="00B60051">
              <w:rPr>
                <w:rFonts w:ascii="Calibri" w:eastAsia="Times New Roman" w:hAnsi="Calibri" w:cs="Calibri"/>
                <w:b/>
                <w:bCs/>
                <w:color w:val="3F3F76"/>
                <w:lang w:eastAsia="en-GB"/>
              </w:rPr>
              <w:t xml:space="preserve">Rates covered by </w:t>
            </w:r>
            <w:proofErr w:type="gramStart"/>
            <w:r w:rsidRPr="00B60051">
              <w:rPr>
                <w:rFonts w:ascii="Calibri" w:eastAsia="Times New Roman" w:hAnsi="Calibri" w:cs="Calibri"/>
                <w:b/>
                <w:bCs/>
                <w:color w:val="3F3F76"/>
                <w:lang w:eastAsia="en-GB"/>
              </w:rPr>
              <w:t>Protocol :</w:t>
            </w:r>
            <w:proofErr w:type="gramEnd"/>
          </w:p>
        </w:tc>
        <w:tc>
          <w:tcPr>
            <w:tcW w:w="2598" w:type="dxa"/>
            <w:tcBorders>
              <w:top w:val="single" w:sz="8" w:space="0" w:color="auto"/>
              <w:left w:val="nil"/>
              <w:bottom w:val="single" w:sz="8" w:space="0" w:color="auto"/>
              <w:right w:val="single" w:sz="4" w:space="0" w:color="auto"/>
            </w:tcBorders>
            <w:shd w:val="clear" w:color="auto" w:fill="D9E2F3" w:themeFill="accent1" w:themeFillTint="33"/>
            <w:noWrap/>
            <w:vAlign w:val="bottom"/>
            <w:hideMark/>
          </w:tcPr>
          <w:p w14:paraId="53EFFBD4" w14:textId="77777777" w:rsidR="008C7AEF" w:rsidRPr="00B60051" w:rsidRDefault="008C7AEF" w:rsidP="00803EC1">
            <w:pPr>
              <w:keepNext/>
              <w:keepLines/>
              <w:spacing w:after="0" w:line="240" w:lineRule="auto"/>
              <w:jc w:val="both"/>
              <w:rPr>
                <w:rFonts w:ascii="Calibri" w:eastAsia="Times New Roman" w:hAnsi="Calibri" w:cs="Calibri"/>
                <w:b/>
                <w:bCs/>
                <w:color w:val="3F3F76"/>
                <w:lang w:eastAsia="en-GB"/>
              </w:rPr>
            </w:pPr>
            <w:r w:rsidRPr="00B60051">
              <w:rPr>
                <w:rFonts w:ascii="Calibri" w:eastAsia="Times New Roman" w:hAnsi="Calibri" w:cs="Calibri"/>
                <w:b/>
                <w:bCs/>
                <w:color w:val="3F3F76"/>
                <w:lang w:eastAsia="en-GB"/>
              </w:rPr>
              <w:t> </w:t>
            </w:r>
            <w:r>
              <w:rPr>
                <w:rFonts w:ascii="Calibri" w:eastAsia="Times New Roman" w:hAnsi="Calibri" w:cs="Calibri"/>
                <w:b/>
                <w:bCs/>
                <w:color w:val="3F3F76"/>
                <w:lang w:eastAsia="en-GB"/>
              </w:rPr>
              <w:t>4-letter code</w:t>
            </w:r>
          </w:p>
        </w:tc>
        <w:tc>
          <w:tcPr>
            <w:tcW w:w="2363" w:type="dxa"/>
            <w:tcBorders>
              <w:top w:val="single" w:sz="8" w:space="0" w:color="auto"/>
              <w:left w:val="single" w:sz="4" w:space="0" w:color="auto"/>
              <w:bottom w:val="single" w:sz="8" w:space="0" w:color="auto"/>
              <w:right w:val="single" w:sz="8" w:space="0" w:color="auto"/>
            </w:tcBorders>
            <w:shd w:val="clear" w:color="000000" w:fill="F2F2F2"/>
            <w:noWrap/>
            <w:vAlign w:val="bottom"/>
            <w:hideMark/>
          </w:tcPr>
          <w:p w14:paraId="389CE349" w14:textId="77777777" w:rsidR="008C7AEF" w:rsidRPr="00B60051" w:rsidRDefault="008C7AEF" w:rsidP="00803EC1">
            <w:pPr>
              <w:keepNext/>
              <w:keepLines/>
              <w:spacing w:after="0" w:line="240" w:lineRule="auto"/>
              <w:jc w:val="both"/>
              <w:rPr>
                <w:rFonts w:ascii="Calibri" w:eastAsia="Times New Roman" w:hAnsi="Calibri" w:cs="Calibri"/>
                <w:b/>
                <w:bCs/>
                <w:color w:val="3F3F3F"/>
                <w:lang w:eastAsia="en-GB"/>
              </w:rPr>
            </w:pPr>
            <w:r w:rsidRPr="00B60051">
              <w:rPr>
                <w:rFonts w:ascii="Calibri" w:eastAsia="Times New Roman" w:hAnsi="Calibri" w:cs="Calibri"/>
                <w:b/>
                <w:bCs/>
                <w:color w:val="3F3F3F"/>
                <w:lang w:eastAsia="en-GB"/>
              </w:rPr>
              <w:t>EMIR fields</w:t>
            </w:r>
          </w:p>
        </w:tc>
      </w:tr>
      <w:tr w:rsidR="008C7AEF" w:rsidRPr="00B60051" w14:paraId="15A70F03" w14:textId="77777777" w:rsidTr="006910A8">
        <w:trPr>
          <w:trHeight w:val="1500"/>
        </w:trPr>
        <w:tc>
          <w:tcPr>
            <w:tcW w:w="2825" w:type="dxa"/>
            <w:tcBorders>
              <w:top w:val="nil"/>
              <w:left w:val="single" w:sz="8" w:space="0" w:color="auto"/>
              <w:bottom w:val="single" w:sz="4" w:space="0" w:color="7F7F7F"/>
              <w:right w:val="single" w:sz="4" w:space="0" w:color="7F7F7F"/>
            </w:tcBorders>
            <w:shd w:val="clear" w:color="000000" w:fill="FFCC99"/>
            <w:noWrap/>
            <w:vAlign w:val="center"/>
            <w:hideMark/>
          </w:tcPr>
          <w:p w14:paraId="1CFC298E" w14:textId="51D3A127" w:rsidR="008C7AEF" w:rsidRPr="00B60051" w:rsidRDefault="008C7AEF" w:rsidP="00803EC1">
            <w:pPr>
              <w:keepNext/>
              <w:keepLines/>
              <w:spacing w:after="0" w:line="240" w:lineRule="auto"/>
              <w:jc w:val="both"/>
              <w:rPr>
                <w:rFonts w:ascii="Calibri" w:eastAsia="Times New Roman" w:hAnsi="Calibri" w:cs="Calibri"/>
                <w:b/>
                <w:bCs/>
                <w:color w:val="3F3F76"/>
                <w:lang w:eastAsia="en-GB"/>
              </w:rPr>
            </w:pPr>
            <w:r w:rsidRPr="00B60051">
              <w:rPr>
                <w:rFonts w:ascii="Calibri" w:eastAsia="Times New Roman" w:hAnsi="Calibri" w:cs="Calibri"/>
                <w:b/>
                <w:bCs/>
                <w:color w:val="3F3F76"/>
                <w:lang w:eastAsia="en-GB"/>
              </w:rPr>
              <w:t>LIBOR rate</w:t>
            </w:r>
            <w:r w:rsidR="00ED1B6A">
              <w:rPr>
                <w:rFonts w:ascii="Calibri" w:eastAsia="Times New Roman" w:hAnsi="Calibri" w:cs="Calibri"/>
                <w:b/>
                <w:bCs/>
                <w:color w:val="3F3F76"/>
                <w:lang w:eastAsia="en-GB"/>
              </w:rPr>
              <w:t>*</w:t>
            </w:r>
            <w:r w:rsidR="00A63D6B">
              <w:rPr>
                <w:rFonts w:ascii="Calibri" w:eastAsia="Times New Roman" w:hAnsi="Calibri" w:cs="Calibri"/>
                <w:b/>
                <w:bCs/>
                <w:color w:val="3F3F76"/>
                <w:lang w:eastAsia="en-GB"/>
              </w:rPr>
              <w:t>*</w:t>
            </w:r>
          </w:p>
        </w:tc>
        <w:tc>
          <w:tcPr>
            <w:tcW w:w="2127" w:type="dxa"/>
            <w:tcBorders>
              <w:top w:val="nil"/>
              <w:left w:val="nil"/>
              <w:bottom w:val="single" w:sz="4" w:space="0" w:color="7F7F7F"/>
              <w:right w:val="single" w:sz="8" w:space="0" w:color="auto"/>
            </w:tcBorders>
            <w:shd w:val="clear" w:color="000000" w:fill="FFCC99"/>
            <w:vAlign w:val="center"/>
            <w:hideMark/>
          </w:tcPr>
          <w:p w14:paraId="10D2F2F2" w14:textId="77777777" w:rsidR="008C7AEF" w:rsidRPr="00B60051" w:rsidRDefault="008C7AEF" w:rsidP="00803EC1">
            <w:pPr>
              <w:keepNext/>
              <w:keepLines/>
              <w:spacing w:after="0" w:line="240" w:lineRule="auto"/>
              <w:jc w:val="both"/>
              <w:rPr>
                <w:rFonts w:ascii="Calibri" w:eastAsia="Times New Roman" w:hAnsi="Calibri" w:cs="Calibri"/>
                <w:b/>
                <w:bCs/>
                <w:color w:val="3F3F76"/>
                <w:lang w:eastAsia="en-GB"/>
              </w:rPr>
            </w:pPr>
            <w:r w:rsidRPr="00B60051">
              <w:rPr>
                <w:rFonts w:ascii="Calibri" w:eastAsia="Times New Roman" w:hAnsi="Calibri" w:cs="Calibri"/>
                <w:b/>
                <w:bCs/>
                <w:color w:val="3F3F76"/>
                <w:lang w:eastAsia="en-GB"/>
              </w:rPr>
              <w:t>RFR on which adjustments are applied for Fallback Rate</w:t>
            </w:r>
          </w:p>
        </w:tc>
        <w:tc>
          <w:tcPr>
            <w:tcW w:w="2598" w:type="dxa"/>
            <w:tcBorders>
              <w:top w:val="nil"/>
              <w:left w:val="nil"/>
              <w:bottom w:val="nil"/>
              <w:right w:val="single" w:sz="4" w:space="0" w:color="auto"/>
            </w:tcBorders>
            <w:shd w:val="clear" w:color="auto" w:fill="D9E2F3" w:themeFill="accent1" w:themeFillTint="33"/>
            <w:vAlign w:val="center"/>
            <w:hideMark/>
          </w:tcPr>
          <w:p w14:paraId="07BEF6E6" w14:textId="77777777" w:rsidR="008C7AEF" w:rsidRPr="00B60051" w:rsidRDefault="008C7AEF" w:rsidP="00803EC1">
            <w:pPr>
              <w:keepNext/>
              <w:keepLines/>
              <w:spacing w:after="0" w:line="240" w:lineRule="auto"/>
              <w:jc w:val="both"/>
              <w:rPr>
                <w:rFonts w:ascii="Calibri" w:eastAsia="Times New Roman" w:hAnsi="Calibri" w:cs="Calibri"/>
                <w:b/>
                <w:bCs/>
                <w:color w:val="3F3F76"/>
                <w:lang w:eastAsia="en-GB"/>
              </w:rPr>
            </w:pPr>
            <w:r w:rsidRPr="00B60051">
              <w:rPr>
                <w:rFonts w:ascii="Calibri" w:eastAsia="Times New Roman" w:hAnsi="Calibri" w:cs="Calibri"/>
                <w:b/>
                <w:bCs/>
                <w:color w:val="3F3F76"/>
                <w:lang w:eastAsia="en-GB"/>
              </w:rPr>
              <w:t>ISO Benchmark Curve Name Code for RFR benchmark (i.e., before applying fallback calculations/adjustments)</w:t>
            </w:r>
          </w:p>
        </w:tc>
        <w:tc>
          <w:tcPr>
            <w:tcW w:w="2363" w:type="dxa"/>
            <w:tcBorders>
              <w:top w:val="nil"/>
              <w:left w:val="single" w:sz="4" w:space="0" w:color="auto"/>
              <w:bottom w:val="single" w:sz="4" w:space="0" w:color="3F3F3F"/>
              <w:right w:val="single" w:sz="4" w:space="0" w:color="3F3F3F"/>
            </w:tcBorders>
            <w:shd w:val="clear" w:color="000000" w:fill="F2F2F2"/>
            <w:vAlign w:val="center"/>
            <w:hideMark/>
          </w:tcPr>
          <w:p w14:paraId="441285E2" w14:textId="77777777" w:rsidR="008C7AEF" w:rsidRPr="00B60051" w:rsidRDefault="008C7AEF" w:rsidP="00803EC1">
            <w:pPr>
              <w:keepNext/>
              <w:keepLines/>
              <w:spacing w:after="0" w:line="240" w:lineRule="auto"/>
              <w:jc w:val="both"/>
              <w:rPr>
                <w:rFonts w:ascii="Calibri" w:eastAsia="Times New Roman" w:hAnsi="Calibri" w:cs="Calibri"/>
                <w:b/>
                <w:bCs/>
                <w:color w:val="3F3F3F"/>
                <w:lang w:eastAsia="en-GB"/>
              </w:rPr>
            </w:pPr>
            <w:r w:rsidRPr="00B60051">
              <w:rPr>
                <w:rFonts w:ascii="Calibri" w:eastAsia="Times New Roman" w:hAnsi="Calibri" w:cs="Calibri"/>
                <w:b/>
                <w:bCs/>
                <w:color w:val="3F3F3F"/>
                <w:lang w:eastAsia="en-GB"/>
              </w:rPr>
              <w:t>Floating rate of leg 1 / 2 (2.55 &amp; 2.58)</w:t>
            </w:r>
          </w:p>
        </w:tc>
      </w:tr>
      <w:tr w:rsidR="008C7AEF" w:rsidRPr="00B60051" w14:paraId="40BC437C" w14:textId="77777777" w:rsidTr="006910A8">
        <w:trPr>
          <w:trHeight w:val="300"/>
        </w:trPr>
        <w:tc>
          <w:tcPr>
            <w:tcW w:w="282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4F7ACBF" w14:textId="77777777" w:rsidR="008C7AEF" w:rsidRPr="00B60051" w:rsidRDefault="008C7AEF" w:rsidP="00803EC1">
            <w:pPr>
              <w:keepNext/>
              <w:keepLines/>
              <w:spacing w:after="0" w:line="240" w:lineRule="auto"/>
              <w:jc w:val="both"/>
              <w:rPr>
                <w:rFonts w:ascii="Calibri" w:eastAsia="Times New Roman" w:hAnsi="Calibri" w:cs="Calibri"/>
                <w:lang w:eastAsia="en-GB"/>
              </w:rPr>
            </w:pPr>
            <w:r w:rsidRPr="00B60051">
              <w:rPr>
                <w:rFonts w:ascii="Calibri" w:eastAsia="Times New Roman" w:hAnsi="Calibri" w:cs="Calibri"/>
                <w:lang w:eastAsia="en-GB"/>
              </w:rPr>
              <w:t>CHF-LIBOR-BBA</w:t>
            </w:r>
          </w:p>
        </w:tc>
        <w:tc>
          <w:tcPr>
            <w:tcW w:w="2127" w:type="dxa"/>
            <w:tcBorders>
              <w:top w:val="single" w:sz="4" w:space="0" w:color="auto"/>
              <w:left w:val="nil"/>
              <w:bottom w:val="single" w:sz="4" w:space="0" w:color="auto"/>
              <w:right w:val="single" w:sz="8" w:space="0" w:color="auto"/>
            </w:tcBorders>
            <w:shd w:val="clear" w:color="auto" w:fill="auto"/>
            <w:noWrap/>
            <w:vAlign w:val="center"/>
            <w:hideMark/>
          </w:tcPr>
          <w:p w14:paraId="6CAB003D" w14:textId="77777777" w:rsidR="008C7AEF" w:rsidRPr="00B60051" w:rsidRDefault="008C7AEF" w:rsidP="00803EC1">
            <w:pPr>
              <w:keepNext/>
              <w:keepLines/>
              <w:spacing w:after="0" w:line="240" w:lineRule="auto"/>
              <w:jc w:val="both"/>
              <w:rPr>
                <w:rFonts w:ascii="Calibri" w:eastAsia="Times New Roman" w:hAnsi="Calibri" w:cs="Calibri"/>
                <w:color w:val="000000"/>
                <w:lang w:eastAsia="en-GB"/>
              </w:rPr>
            </w:pPr>
            <w:r w:rsidRPr="00B60051">
              <w:rPr>
                <w:rFonts w:ascii="Calibri" w:eastAsia="Times New Roman" w:hAnsi="Calibri" w:cs="Calibri"/>
                <w:color w:val="000000"/>
                <w:lang w:eastAsia="en-GB"/>
              </w:rPr>
              <w:t>CHF-SARON</w:t>
            </w:r>
          </w:p>
        </w:tc>
        <w:tc>
          <w:tcPr>
            <w:tcW w:w="2598" w:type="dxa"/>
            <w:tcBorders>
              <w:top w:val="single" w:sz="4" w:space="0" w:color="auto"/>
              <w:left w:val="nil"/>
              <w:bottom w:val="single" w:sz="4" w:space="0" w:color="auto"/>
              <w:right w:val="single" w:sz="4" w:space="0" w:color="auto"/>
            </w:tcBorders>
            <w:shd w:val="clear" w:color="auto" w:fill="auto"/>
            <w:noWrap/>
            <w:vAlign w:val="center"/>
            <w:hideMark/>
          </w:tcPr>
          <w:p w14:paraId="773510BA" w14:textId="77777777" w:rsidR="008C7AEF" w:rsidRPr="00B60051" w:rsidRDefault="008C7AEF" w:rsidP="00803EC1">
            <w:pPr>
              <w:keepNext/>
              <w:keepLines/>
              <w:spacing w:after="0" w:line="240" w:lineRule="auto"/>
              <w:jc w:val="both"/>
              <w:rPr>
                <w:rFonts w:ascii="Calibri" w:eastAsia="Times New Roman" w:hAnsi="Calibri" w:cs="Calibri"/>
                <w:color w:val="000000"/>
                <w:lang w:eastAsia="en-GB"/>
              </w:rPr>
            </w:pPr>
            <w:r w:rsidRPr="00B60051">
              <w:rPr>
                <w:rFonts w:ascii="Calibri" w:eastAsia="Times New Roman" w:hAnsi="Calibri" w:cs="Calibri"/>
                <w:color w:val="000000"/>
                <w:lang w:eastAsia="en-GB"/>
              </w:rPr>
              <w:t>N/A</w:t>
            </w:r>
          </w:p>
        </w:tc>
        <w:tc>
          <w:tcPr>
            <w:tcW w:w="2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FB76A" w14:textId="65546101" w:rsidR="008C7AEF" w:rsidRPr="00AF65CF" w:rsidRDefault="008C7AEF" w:rsidP="00803EC1">
            <w:pPr>
              <w:keepNext/>
              <w:keepLines/>
              <w:spacing w:after="0" w:line="240" w:lineRule="auto"/>
              <w:jc w:val="both"/>
              <w:rPr>
                <w:rFonts w:ascii="Calibri" w:eastAsia="Times New Roman" w:hAnsi="Calibri" w:cs="Calibri"/>
                <w:color w:val="000000"/>
                <w:lang w:eastAsia="en-GB"/>
              </w:rPr>
            </w:pPr>
            <w:r w:rsidRPr="00AF65CF">
              <w:rPr>
                <w:rFonts w:ascii="Calibri" w:eastAsia="Times New Roman" w:hAnsi="Calibri" w:cs="Calibri"/>
                <w:color w:val="000000"/>
                <w:lang w:eastAsia="en-GB"/>
              </w:rPr>
              <w:t>CHFSARON</w:t>
            </w:r>
          </w:p>
        </w:tc>
      </w:tr>
      <w:tr w:rsidR="008C7AEF" w:rsidRPr="00B60051" w14:paraId="0C7AA4FD" w14:textId="77777777" w:rsidTr="006910A8">
        <w:trPr>
          <w:trHeight w:val="300"/>
        </w:trPr>
        <w:tc>
          <w:tcPr>
            <w:tcW w:w="2825" w:type="dxa"/>
            <w:tcBorders>
              <w:top w:val="nil"/>
              <w:left w:val="single" w:sz="8" w:space="0" w:color="auto"/>
              <w:bottom w:val="single" w:sz="4" w:space="0" w:color="auto"/>
              <w:right w:val="single" w:sz="4" w:space="0" w:color="auto"/>
            </w:tcBorders>
            <w:shd w:val="clear" w:color="auto" w:fill="auto"/>
            <w:noWrap/>
            <w:vAlign w:val="center"/>
            <w:hideMark/>
          </w:tcPr>
          <w:p w14:paraId="1175CE0E" w14:textId="77777777" w:rsidR="008C7AEF" w:rsidRPr="00B60051" w:rsidRDefault="008C7AEF" w:rsidP="00803EC1">
            <w:pPr>
              <w:keepNext/>
              <w:keepLines/>
              <w:spacing w:after="0" w:line="240" w:lineRule="auto"/>
              <w:jc w:val="both"/>
              <w:rPr>
                <w:rFonts w:ascii="Calibri" w:eastAsia="Times New Roman" w:hAnsi="Calibri" w:cs="Calibri"/>
                <w:lang w:eastAsia="en-GB"/>
              </w:rPr>
            </w:pPr>
            <w:r w:rsidRPr="00B60051">
              <w:rPr>
                <w:rFonts w:ascii="Calibri" w:eastAsia="Times New Roman" w:hAnsi="Calibri" w:cs="Calibri"/>
                <w:lang w:eastAsia="en-GB"/>
              </w:rPr>
              <w:t xml:space="preserve">CHF-LIBOR-BBA-Bloomberg         </w:t>
            </w:r>
          </w:p>
        </w:tc>
        <w:tc>
          <w:tcPr>
            <w:tcW w:w="2127" w:type="dxa"/>
            <w:tcBorders>
              <w:top w:val="nil"/>
              <w:left w:val="nil"/>
              <w:bottom w:val="single" w:sz="4" w:space="0" w:color="auto"/>
              <w:right w:val="single" w:sz="8" w:space="0" w:color="auto"/>
            </w:tcBorders>
            <w:shd w:val="clear" w:color="auto" w:fill="auto"/>
            <w:noWrap/>
            <w:vAlign w:val="center"/>
            <w:hideMark/>
          </w:tcPr>
          <w:p w14:paraId="6F6EB90A" w14:textId="77777777" w:rsidR="008C7AEF" w:rsidRPr="00B60051" w:rsidRDefault="008C7AEF" w:rsidP="00803EC1">
            <w:pPr>
              <w:keepNext/>
              <w:keepLines/>
              <w:spacing w:after="0" w:line="240" w:lineRule="auto"/>
              <w:jc w:val="both"/>
              <w:rPr>
                <w:rFonts w:ascii="Calibri" w:eastAsia="Times New Roman" w:hAnsi="Calibri" w:cs="Calibri"/>
                <w:color w:val="000000"/>
                <w:lang w:eastAsia="en-GB"/>
              </w:rPr>
            </w:pPr>
            <w:r w:rsidRPr="00B60051">
              <w:rPr>
                <w:rFonts w:ascii="Calibri" w:eastAsia="Times New Roman" w:hAnsi="Calibri" w:cs="Calibri"/>
                <w:color w:val="000000"/>
                <w:lang w:eastAsia="en-GB"/>
              </w:rPr>
              <w:t>CHF-SARON</w:t>
            </w:r>
          </w:p>
        </w:tc>
        <w:tc>
          <w:tcPr>
            <w:tcW w:w="2598" w:type="dxa"/>
            <w:tcBorders>
              <w:top w:val="nil"/>
              <w:left w:val="nil"/>
              <w:bottom w:val="single" w:sz="4" w:space="0" w:color="auto"/>
              <w:right w:val="single" w:sz="4" w:space="0" w:color="auto"/>
            </w:tcBorders>
            <w:shd w:val="clear" w:color="auto" w:fill="auto"/>
            <w:noWrap/>
            <w:vAlign w:val="center"/>
            <w:hideMark/>
          </w:tcPr>
          <w:p w14:paraId="05BD9931" w14:textId="77777777" w:rsidR="008C7AEF" w:rsidRPr="00B60051" w:rsidRDefault="008C7AEF" w:rsidP="00803EC1">
            <w:pPr>
              <w:keepNext/>
              <w:keepLines/>
              <w:spacing w:after="0" w:line="240" w:lineRule="auto"/>
              <w:jc w:val="both"/>
              <w:rPr>
                <w:rFonts w:ascii="Calibri" w:eastAsia="Times New Roman" w:hAnsi="Calibri" w:cs="Calibri"/>
                <w:color w:val="000000"/>
                <w:lang w:eastAsia="en-GB"/>
              </w:rPr>
            </w:pPr>
            <w:r w:rsidRPr="00B60051">
              <w:rPr>
                <w:rFonts w:ascii="Calibri" w:eastAsia="Times New Roman" w:hAnsi="Calibri" w:cs="Calibri"/>
                <w:color w:val="000000"/>
                <w:lang w:eastAsia="en-GB"/>
              </w:rPr>
              <w:t>N/A</w:t>
            </w:r>
          </w:p>
        </w:tc>
        <w:tc>
          <w:tcPr>
            <w:tcW w:w="2363" w:type="dxa"/>
            <w:tcBorders>
              <w:top w:val="nil"/>
              <w:left w:val="single" w:sz="4" w:space="0" w:color="auto"/>
              <w:bottom w:val="single" w:sz="4" w:space="0" w:color="auto"/>
              <w:right w:val="single" w:sz="4" w:space="0" w:color="auto"/>
            </w:tcBorders>
            <w:shd w:val="clear" w:color="auto" w:fill="auto"/>
            <w:noWrap/>
            <w:vAlign w:val="bottom"/>
            <w:hideMark/>
          </w:tcPr>
          <w:p w14:paraId="55AA9749" w14:textId="711A4DAF" w:rsidR="008C7AEF" w:rsidRPr="00AF65CF" w:rsidRDefault="008C7AEF" w:rsidP="00803EC1">
            <w:pPr>
              <w:keepNext/>
              <w:keepLines/>
              <w:spacing w:after="0" w:line="240" w:lineRule="auto"/>
              <w:jc w:val="both"/>
              <w:rPr>
                <w:rFonts w:ascii="Calibri" w:eastAsia="Times New Roman" w:hAnsi="Calibri" w:cs="Calibri"/>
                <w:color w:val="000000"/>
                <w:lang w:eastAsia="en-GB"/>
              </w:rPr>
            </w:pPr>
            <w:r w:rsidRPr="00AF65CF">
              <w:rPr>
                <w:rFonts w:ascii="Calibri" w:eastAsia="Times New Roman" w:hAnsi="Calibri" w:cs="Calibri"/>
                <w:color w:val="000000"/>
                <w:lang w:eastAsia="en-GB"/>
              </w:rPr>
              <w:t>CHFSARON</w:t>
            </w:r>
          </w:p>
        </w:tc>
      </w:tr>
      <w:tr w:rsidR="00D05626" w:rsidRPr="00B60051" w14:paraId="52DF4CCB" w14:textId="77777777" w:rsidTr="006910A8">
        <w:trPr>
          <w:trHeight w:val="300"/>
        </w:trPr>
        <w:tc>
          <w:tcPr>
            <w:tcW w:w="2825" w:type="dxa"/>
            <w:tcBorders>
              <w:top w:val="nil"/>
              <w:left w:val="single" w:sz="8" w:space="0" w:color="auto"/>
              <w:bottom w:val="single" w:sz="4" w:space="0" w:color="auto"/>
              <w:right w:val="single" w:sz="4" w:space="0" w:color="auto"/>
            </w:tcBorders>
            <w:shd w:val="clear" w:color="auto" w:fill="auto"/>
            <w:noWrap/>
            <w:vAlign w:val="center"/>
            <w:hideMark/>
          </w:tcPr>
          <w:p w14:paraId="58182CBD" w14:textId="45ACBB95" w:rsidR="00D05626" w:rsidRPr="00B60051" w:rsidRDefault="00D05626" w:rsidP="00803EC1">
            <w:pPr>
              <w:keepNext/>
              <w:keepLines/>
              <w:spacing w:after="0" w:line="240" w:lineRule="auto"/>
              <w:jc w:val="both"/>
              <w:rPr>
                <w:rFonts w:ascii="Calibri" w:eastAsia="Times New Roman" w:hAnsi="Calibri" w:cs="Calibri"/>
                <w:lang w:eastAsia="en-GB"/>
              </w:rPr>
            </w:pPr>
            <w:r w:rsidRPr="00B60051">
              <w:rPr>
                <w:rFonts w:ascii="Calibri" w:eastAsia="Times New Roman" w:hAnsi="Calibri" w:cs="Calibri"/>
                <w:lang w:eastAsia="en-GB"/>
              </w:rPr>
              <w:t xml:space="preserve">EUR-LIBOR-BBA </w:t>
            </w:r>
          </w:p>
        </w:tc>
        <w:tc>
          <w:tcPr>
            <w:tcW w:w="2127" w:type="dxa"/>
            <w:tcBorders>
              <w:top w:val="nil"/>
              <w:left w:val="nil"/>
              <w:bottom w:val="single" w:sz="4" w:space="0" w:color="auto"/>
              <w:right w:val="single" w:sz="8" w:space="0" w:color="auto"/>
            </w:tcBorders>
            <w:shd w:val="clear" w:color="auto" w:fill="auto"/>
            <w:noWrap/>
            <w:vAlign w:val="center"/>
            <w:hideMark/>
          </w:tcPr>
          <w:p w14:paraId="32793CA8" w14:textId="71C4EBB3" w:rsidR="00D05626" w:rsidRPr="00B60051" w:rsidRDefault="00D05626" w:rsidP="00803EC1">
            <w:pPr>
              <w:keepNext/>
              <w:keepLines/>
              <w:spacing w:after="0" w:line="240" w:lineRule="auto"/>
              <w:jc w:val="both"/>
              <w:rPr>
                <w:rFonts w:ascii="Calibri" w:eastAsia="Times New Roman" w:hAnsi="Calibri" w:cs="Calibri"/>
                <w:color w:val="000000"/>
                <w:lang w:eastAsia="en-GB"/>
              </w:rPr>
            </w:pPr>
            <w:r w:rsidRPr="00B60051">
              <w:rPr>
                <w:rFonts w:ascii="Calibri" w:eastAsia="Times New Roman" w:hAnsi="Calibri" w:cs="Calibri"/>
                <w:color w:val="000000"/>
                <w:lang w:eastAsia="en-GB"/>
              </w:rPr>
              <w:t>EUR-</w:t>
            </w:r>
            <w:proofErr w:type="spellStart"/>
            <w:r w:rsidRPr="00B60051">
              <w:rPr>
                <w:rFonts w:ascii="Calibri" w:eastAsia="Times New Roman" w:hAnsi="Calibri" w:cs="Calibri"/>
                <w:color w:val="000000"/>
                <w:lang w:eastAsia="en-GB"/>
              </w:rPr>
              <w:t>EuroSTR</w:t>
            </w:r>
            <w:proofErr w:type="spellEnd"/>
          </w:p>
        </w:tc>
        <w:tc>
          <w:tcPr>
            <w:tcW w:w="2598" w:type="dxa"/>
            <w:tcBorders>
              <w:top w:val="nil"/>
              <w:left w:val="nil"/>
              <w:bottom w:val="single" w:sz="4" w:space="0" w:color="auto"/>
              <w:right w:val="single" w:sz="4" w:space="0" w:color="auto"/>
            </w:tcBorders>
            <w:shd w:val="clear" w:color="auto" w:fill="auto"/>
            <w:noWrap/>
            <w:vAlign w:val="center"/>
            <w:hideMark/>
          </w:tcPr>
          <w:p w14:paraId="7018C561" w14:textId="6A208898" w:rsidR="00D05626" w:rsidRPr="00B60051" w:rsidRDefault="00D05626" w:rsidP="00803EC1">
            <w:pPr>
              <w:keepNext/>
              <w:keepLines/>
              <w:spacing w:after="0" w:line="240" w:lineRule="auto"/>
              <w:jc w:val="both"/>
              <w:rPr>
                <w:rFonts w:ascii="Calibri" w:eastAsia="Times New Roman" w:hAnsi="Calibri" w:cs="Calibri"/>
                <w:color w:val="000000"/>
                <w:lang w:eastAsia="en-GB"/>
              </w:rPr>
            </w:pPr>
            <w:r w:rsidRPr="00B60051">
              <w:rPr>
                <w:rFonts w:ascii="Calibri" w:eastAsia="Times New Roman" w:hAnsi="Calibri" w:cs="Calibri"/>
                <w:color w:val="000000"/>
                <w:lang w:eastAsia="en-GB"/>
              </w:rPr>
              <w:t>ESTR</w:t>
            </w:r>
          </w:p>
        </w:tc>
        <w:tc>
          <w:tcPr>
            <w:tcW w:w="2363" w:type="dxa"/>
            <w:tcBorders>
              <w:top w:val="nil"/>
              <w:left w:val="single" w:sz="4" w:space="0" w:color="auto"/>
              <w:bottom w:val="single" w:sz="4" w:space="0" w:color="auto"/>
              <w:right w:val="single" w:sz="4" w:space="0" w:color="auto"/>
            </w:tcBorders>
            <w:shd w:val="clear" w:color="auto" w:fill="auto"/>
            <w:noWrap/>
            <w:vAlign w:val="bottom"/>
            <w:hideMark/>
          </w:tcPr>
          <w:p w14:paraId="01591DF7" w14:textId="11497115" w:rsidR="00D05626" w:rsidRPr="00B60051" w:rsidRDefault="00D05626" w:rsidP="00803EC1">
            <w:pPr>
              <w:keepNext/>
              <w:keepLines/>
              <w:spacing w:after="0" w:line="240" w:lineRule="auto"/>
              <w:jc w:val="both"/>
              <w:rPr>
                <w:rFonts w:ascii="Calibri" w:eastAsia="Times New Roman" w:hAnsi="Calibri" w:cs="Calibri"/>
                <w:color w:val="000000"/>
                <w:lang w:eastAsia="en-GB"/>
              </w:rPr>
            </w:pPr>
            <w:r w:rsidRPr="00B60051">
              <w:rPr>
                <w:rFonts w:ascii="Calibri" w:eastAsia="Times New Roman" w:hAnsi="Calibri" w:cs="Calibri"/>
                <w:color w:val="000000"/>
                <w:lang w:eastAsia="en-GB"/>
              </w:rPr>
              <w:t>ESTR</w:t>
            </w:r>
          </w:p>
        </w:tc>
      </w:tr>
      <w:tr w:rsidR="00D05626" w:rsidRPr="00B60051" w14:paraId="1DEF2961" w14:textId="77777777" w:rsidTr="006910A8">
        <w:trPr>
          <w:trHeight w:val="300"/>
        </w:trPr>
        <w:tc>
          <w:tcPr>
            <w:tcW w:w="2825" w:type="dxa"/>
            <w:tcBorders>
              <w:top w:val="nil"/>
              <w:left w:val="single" w:sz="8" w:space="0" w:color="auto"/>
              <w:bottom w:val="single" w:sz="4" w:space="0" w:color="auto"/>
              <w:right w:val="single" w:sz="4" w:space="0" w:color="auto"/>
            </w:tcBorders>
            <w:shd w:val="clear" w:color="auto" w:fill="auto"/>
            <w:noWrap/>
            <w:vAlign w:val="center"/>
            <w:hideMark/>
          </w:tcPr>
          <w:p w14:paraId="5B91ED33" w14:textId="62FA38AB" w:rsidR="00D05626" w:rsidRPr="00B60051" w:rsidRDefault="00D05626" w:rsidP="00803EC1">
            <w:pPr>
              <w:keepNext/>
              <w:keepLines/>
              <w:spacing w:after="0" w:line="240" w:lineRule="auto"/>
              <w:jc w:val="both"/>
              <w:rPr>
                <w:rFonts w:ascii="Calibri" w:eastAsia="Times New Roman" w:hAnsi="Calibri" w:cs="Calibri"/>
                <w:lang w:eastAsia="en-GB"/>
              </w:rPr>
            </w:pPr>
            <w:r w:rsidRPr="00B60051">
              <w:rPr>
                <w:rFonts w:ascii="Calibri" w:eastAsia="Times New Roman" w:hAnsi="Calibri" w:cs="Calibri"/>
                <w:lang w:eastAsia="en-GB"/>
              </w:rPr>
              <w:t xml:space="preserve">EUR-LIBOR-BBA-Bloomberg         </w:t>
            </w:r>
          </w:p>
        </w:tc>
        <w:tc>
          <w:tcPr>
            <w:tcW w:w="2127" w:type="dxa"/>
            <w:tcBorders>
              <w:top w:val="nil"/>
              <w:left w:val="nil"/>
              <w:bottom w:val="single" w:sz="4" w:space="0" w:color="auto"/>
              <w:right w:val="single" w:sz="8" w:space="0" w:color="auto"/>
            </w:tcBorders>
            <w:shd w:val="clear" w:color="auto" w:fill="auto"/>
            <w:noWrap/>
            <w:vAlign w:val="center"/>
            <w:hideMark/>
          </w:tcPr>
          <w:p w14:paraId="0845A096" w14:textId="6D5EDD71" w:rsidR="00D05626" w:rsidRPr="00B60051" w:rsidRDefault="00D05626" w:rsidP="00803EC1">
            <w:pPr>
              <w:keepNext/>
              <w:keepLines/>
              <w:spacing w:after="0" w:line="240" w:lineRule="auto"/>
              <w:jc w:val="both"/>
              <w:rPr>
                <w:rFonts w:ascii="Calibri" w:eastAsia="Times New Roman" w:hAnsi="Calibri" w:cs="Calibri"/>
                <w:color w:val="000000"/>
                <w:lang w:eastAsia="en-GB"/>
              </w:rPr>
            </w:pPr>
            <w:r w:rsidRPr="00B60051">
              <w:rPr>
                <w:rFonts w:ascii="Calibri" w:eastAsia="Times New Roman" w:hAnsi="Calibri" w:cs="Calibri"/>
                <w:color w:val="000000"/>
                <w:lang w:eastAsia="en-GB"/>
              </w:rPr>
              <w:t>EUR-</w:t>
            </w:r>
            <w:proofErr w:type="spellStart"/>
            <w:r w:rsidRPr="00B60051">
              <w:rPr>
                <w:rFonts w:ascii="Calibri" w:eastAsia="Times New Roman" w:hAnsi="Calibri" w:cs="Calibri"/>
                <w:color w:val="000000"/>
                <w:lang w:eastAsia="en-GB"/>
              </w:rPr>
              <w:t>EuroSTR</w:t>
            </w:r>
            <w:proofErr w:type="spellEnd"/>
          </w:p>
        </w:tc>
        <w:tc>
          <w:tcPr>
            <w:tcW w:w="2598" w:type="dxa"/>
            <w:tcBorders>
              <w:top w:val="nil"/>
              <w:left w:val="nil"/>
              <w:bottom w:val="single" w:sz="4" w:space="0" w:color="auto"/>
              <w:right w:val="single" w:sz="4" w:space="0" w:color="auto"/>
            </w:tcBorders>
            <w:shd w:val="clear" w:color="auto" w:fill="auto"/>
            <w:noWrap/>
            <w:vAlign w:val="center"/>
            <w:hideMark/>
          </w:tcPr>
          <w:p w14:paraId="722E52E9" w14:textId="320F279F" w:rsidR="00D05626" w:rsidRPr="00B60051" w:rsidRDefault="00D05626" w:rsidP="00803EC1">
            <w:pPr>
              <w:keepNext/>
              <w:keepLines/>
              <w:spacing w:after="0" w:line="240" w:lineRule="auto"/>
              <w:jc w:val="both"/>
              <w:rPr>
                <w:rFonts w:ascii="Calibri" w:eastAsia="Times New Roman" w:hAnsi="Calibri" w:cs="Calibri"/>
                <w:color w:val="000000"/>
                <w:lang w:eastAsia="en-GB"/>
              </w:rPr>
            </w:pPr>
            <w:r w:rsidRPr="00B60051">
              <w:rPr>
                <w:rFonts w:ascii="Calibri" w:eastAsia="Times New Roman" w:hAnsi="Calibri" w:cs="Calibri"/>
                <w:color w:val="000000"/>
                <w:lang w:eastAsia="en-GB"/>
              </w:rPr>
              <w:t>ESTR</w:t>
            </w:r>
          </w:p>
        </w:tc>
        <w:tc>
          <w:tcPr>
            <w:tcW w:w="2363" w:type="dxa"/>
            <w:tcBorders>
              <w:top w:val="nil"/>
              <w:left w:val="single" w:sz="4" w:space="0" w:color="auto"/>
              <w:bottom w:val="single" w:sz="4" w:space="0" w:color="auto"/>
              <w:right w:val="single" w:sz="4" w:space="0" w:color="auto"/>
            </w:tcBorders>
            <w:shd w:val="clear" w:color="auto" w:fill="auto"/>
            <w:noWrap/>
            <w:vAlign w:val="bottom"/>
            <w:hideMark/>
          </w:tcPr>
          <w:p w14:paraId="762FAC3A" w14:textId="7C4EC639" w:rsidR="00D05626" w:rsidRPr="00B60051" w:rsidRDefault="00D05626" w:rsidP="00803EC1">
            <w:pPr>
              <w:keepNext/>
              <w:keepLines/>
              <w:spacing w:after="0" w:line="240" w:lineRule="auto"/>
              <w:jc w:val="both"/>
              <w:rPr>
                <w:rFonts w:ascii="Calibri" w:eastAsia="Times New Roman" w:hAnsi="Calibri" w:cs="Calibri"/>
                <w:color w:val="000000"/>
                <w:lang w:eastAsia="en-GB"/>
              </w:rPr>
            </w:pPr>
            <w:r w:rsidRPr="00B60051">
              <w:rPr>
                <w:rFonts w:ascii="Calibri" w:eastAsia="Times New Roman" w:hAnsi="Calibri" w:cs="Calibri"/>
                <w:color w:val="000000"/>
                <w:lang w:eastAsia="en-GB"/>
              </w:rPr>
              <w:t>ESTR</w:t>
            </w:r>
          </w:p>
        </w:tc>
      </w:tr>
      <w:tr w:rsidR="00D05626" w:rsidRPr="00B60051" w14:paraId="73045AD2" w14:textId="77777777" w:rsidTr="006910A8">
        <w:trPr>
          <w:trHeight w:val="300"/>
        </w:trPr>
        <w:tc>
          <w:tcPr>
            <w:tcW w:w="2825" w:type="dxa"/>
            <w:tcBorders>
              <w:top w:val="nil"/>
              <w:left w:val="single" w:sz="8" w:space="0" w:color="auto"/>
              <w:bottom w:val="single" w:sz="4" w:space="0" w:color="auto"/>
              <w:right w:val="single" w:sz="4" w:space="0" w:color="auto"/>
            </w:tcBorders>
            <w:shd w:val="clear" w:color="auto" w:fill="auto"/>
            <w:noWrap/>
            <w:vAlign w:val="center"/>
            <w:hideMark/>
          </w:tcPr>
          <w:p w14:paraId="7B132EE6" w14:textId="1EE86704" w:rsidR="00D05626" w:rsidRPr="00B60051" w:rsidRDefault="00D05626" w:rsidP="00803EC1">
            <w:pPr>
              <w:keepNext/>
              <w:keepLines/>
              <w:spacing w:after="0" w:line="240" w:lineRule="auto"/>
              <w:jc w:val="both"/>
              <w:rPr>
                <w:rFonts w:ascii="Calibri" w:eastAsia="Times New Roman" w:hAnsi="Calibri" w:cs="Calibri"/>
                <w:lang w:eastAsia="en-GB"/>
              </w:rPr>
            </w:pPr>
            <w:r w:rsidRPr="00B60051">
              <w:rPr>
                <w:rFonts w:ascii="Calibri" w:eastAsia="Times New Roman" w:hAnsi="Calibri" w:cs="Calibri"/>
                <w:lang w:eastAsia="en-GB"/>
              </w:rPr>
              <w:t xml:space="preserve">GBP-LIBOR-BBA </w:t>
            </w:r>
          </w:p>
        </w:tc>
        <w:tc>
          <w:tcPr>
            <w:tcW w:w="2127" w:type="dxa"/>
            <w:tcBorders>
              <w:top w:val="nil"/>
              <w:left w:val="nil"/>
              <w:bottom w:val="single" w:sz="4" w:space="0" w:color="auto"/>
              <w:right w:val="single" w:sz="8" w:space="0" w:color="auto"/>
            </w:tcBorders>
            <w:shd w:val="clear" w:color="auto" w:fill="auto"/>
            <w:noWrap/>
            <w:vAlign w:val="center"/>
            <w:hideMark/>
          </w:tcPr>
          <w:p w14:paraId="29FB2465" w14:textId="1D7FCCB7" w:rsidR="00D05626" w:rsidRPr="00B60051" w:rsidRDefault="00D05626" w:rsidP="00803EC1">
            <w:pPr>
              <w:keepNext/>
              <w:keepLines/>
              <w:spacing w:after="0" w:line="240" w:lineRule="auto"/>
              <w:jc w:val="both"/>
              <w:rPr>
                <w:rFonts w:ascii="Calibri" w:eastAsia="Times New Roman" w:hAnsi="Calibri" w:cs="Calibri"/>
                <w:color w:val="000000"/>
                <w:lang w:eastAsia="en-GB"/>
              </w:rPr>
            </w:pPr>
            <w:r w:rsidRPr="00B60051">
              <w:rPr>
                <w:rFonts w:ascii="Calibri" w:eastAsia="Times New Roman" w:hAnsi="Calibri" w:cs="Calibri"/>
                <w:color w:val="000000"/>
                <w:lang w:eastAsia="en-GB"/>
              </w:rPr>
              <w:t>GBP-SONIA</w:t>
            </w:r>
          </w:p>
        </w:tc>
        <w:tc>
          <w:tcPr>
            <w:tcW w:w="2598" w:type="dxa"/>
            <w:tcBorders>
              <w:top w:val="nil"/>
              <w:left w:val="nil"/>
              <w:bottom w:val="single" w:sz="4" w:space="0" w:color="auto"/>
              <w:right w:val="single" w:sz="4" w:space="0" w:color="auto"/>
            </w:tcBorders>
            <w:shd w:val="clear" w:color="auto" w:fill="auto"/>
            <w:noWrap/>
            <w:vAlign w:val="center"/>
            <w:hideMark/>
          </w:tcPr>
          <w:p w14:paraId="22AFED77" w14:textId="28A785C2" w:rsidR="00D05626" w:rsidRPr="00B60051" w:rsidRDefault="00D05626" w:rsidP="00803EC1">
            <w:pPr>
              <w:keepNext/>
              <w:keepLines/>
              <w:spacing w:after="0" w:line="240" w:lineRule="auto"/>
              <w:jc w:val="both"/>
              <w:rPr>
                <w:rFonts w:ascii="Calibri" w:eastAsia="Times New Roman" w:hAnsi="Calibri" w:cs="Calibri"/>
                <w:color w:val="000000"/>
                <w:lang w:eastAsia="en-GB"/>
              </w:rPr>
            </w:pPr>
            <w:r w:rsidRPr="00B60051">
              <w:rPr>
                <w:rFonts w:ascii="Calibri" w:eastAsia="Times New Roman" w:hAnsi="Calibri" w:cs="Calibri"/>
                <w:color w:val="000000"/>
                <w:lang w:eastAsia="en-GB"/>
              </w:rPr>
              <w:t>SONA</w:t>
            </w:r>
          </w:p>
        </w:tc>
        <w:tc>
          <w:tcPr>
            <w:tcW w:w="2363" w:type="dxa"/>
            <w:tcBorders>
              <w:top w:val="nil"/>
              <w:left w:val="single" w:sz="4" w:space="0" w:color="auto"/>
              <w:bottom w:val="single" w:sz="4" w:space="0" w:color="auto"/>
              <w:right w:val="single" w:sz="4" w:space="0" w:color="auto"/>
            </w:tcBorders>
            <w:shd w:val="clear" w:color="auto" w:fill="auto"/>
            <w:noWrap/>
            <w:vAlign w:val="bottom"/>
            <w:hideMark/>
          </w:tcPr>
          <w:p w14:paraId="5235BF9A" w14:textId="0356BDA8" w:rsidR="00D05626" w:rsidRPr="00B60051" w:rsidRDefault="00D05626" w:rsidP="00803EC1">
            <w:pPr>
              <w:keepNext/>
              <w:keepLines/>
              <w:spacing w:after="0" w:line="240" w:lineRule="auto"/>
              <w:jc w:val="both"/>
              <w:rPr>
                <w:rFonts w:ascii="Calibri" w:eastAsia="Times New Roman" w:hAnsi="Calibri" w:cs="Calibri"/>
                <w:color w:val="000000"/>
                <w:lang w:eastAsia="en-GB"/>
              </w:rPr>
            </w:pPr>
            <w:r w:rsidRPr="00B60051">
              <w:rPr>
                <w:rFonts w:ascii="Calibri" w:eastAsia="Times New Roman" w:hAnsi="Calibri" w:cs="Calibri"/>
                <w:color w:val="000000"/>
                <w:lang w:eastAsia="en-GB"/>
              </w:rPr>
              <w:t>SONA</w:t>
            </w:r>
          </w:p>
        </w:tc>
      </w:tr>
      <w:tr w:rsidR="00D05626" w:rsidRPr="00B60051" w14:paraId="5AD3608C" w14:textId="77777777" w:rsidTr="006910A8">
        <w:trPr>
          <w:trHeight w:val="300"/>
        </w:trPr>
        <w:tc>
          <w:tcPr>
            <w:tcW w:w="2825" w:type="dxa"/>
            <w:tcBorders>
              <w:top w:val="nil"/>
              <w:left w:val="single" w:sz="8" w:space="0" w:color="auto"/>
              <w:bottom w:val="single" w:sz="4" w:space="0" w:color="auto"/>
              <w:right w:val="single" w:sz="4" w:space="0" w:color="auto"/>
            </w:tcBorders>
            <w:shd w:val="clear" w:color="auto" w:fill="auto"/>
            <w:noWrap/>
            <w:vAlign w:val="center"/>
            <w:hideMark/>
          </w:tcPr>
          <w:p w14:paraId="091D2F5E" w14:textId="43EB44B5" w:rsidR="00D05626" w:rsidRPr="00B60051" w:rsidRDefault="00D05626" w:rsidP="00803EC1">
            <w:pPr>
              <w:keepNext/>
              <w:keepLines/>
              <w:spacing w:after="0" w:line="240" w:lineRule="auto"/>
              <w:jc w:val="both"/>
              <w:rPr>
                <w:rFonts w:ascii="Calibri" w:eastAsia="Times New Roman" w:hAnsi="Calibri" w:cs="Calibri"/>
                <w:lang w:eastAsia="en-GB"/>
              </w:rPr>
            </w:pPr>
            <w:r w:rsidRPr="00B60051">
              <w:rPr>
                <w:rFonts w:ascii="Calibri" w:eastAsia="Times New Roman" w:hAnsi="Calibri" w:cs="Calibri"/>
                <w:lang w:eastAsia="en-GB"/>
              </w:rPr>
              <w:t xml:space="preserve">GBP-LIBOR-BBA Bloomberg         </w:t>
            </w:r>
          </w:p>
        </w:tc>
        <w:tc>
          <w:tcPr>
            <w:tcW w:w="2127" w:type="dxa"/>
            <w:tcBorders>
              <w:top w:val="nil"/>
              <w:left w:val="nil"/>
              <w:bottom w:val="single" w:sz="4" w:space="0" w:color="auto"/>
              <w:right w:val="single" w:sz="8" w:space="0" w:color="auto"/>
            </w:tcBorders>
            <w:shd w:val="clear" w:color="auto" w:fill="auto"/>
            <w:noWrap/>
            <w:vAlign w:val="center"/>
            <w:hideMark/>
          </w:tcPr>
          <w:p w14:paraId="3FAECD0A" w14:textId="28B96FD3" w:rsidR="00D05626" w:rsidRPr="00B60051" w:rsidRDefault="00D05626" w:rsidP="00803EC1">
            <w:pPr>
              <w:keepNext/>
              <w:keepLines/>
              <w:spacing w:after="0" w:line="240" w:lineRule="auto"/>
              <w:jc w:val="both"/>
              <w:rPr>
                <w:rFonts w:ascii="Calibri" w:eastAsia="Times New Roman" w:hAnsi="Calibri" w:cs="Calibri"/>
                <w:color w:val="000000"/>
                <w:lang w:eastAsia="en-GB"/>
              </w:rPr>
            </w:pPr>
            <w:r w:rsidRPr="00B60051">
              <w:rPr>
                <w:rFonts w:ascii="Calibri" w:eastAsia="Times New Roman" w:hAnsi="Calibri" w:cs="Calibri"/>
                <w:color w:val="000000"/>
                <w:lang w:eastAsia="en-GB"/>
              </w:rPr>
              <w:t>GBP-SONIA</w:t>
            </w:r>
          </w:p>
        </w:tc>
        <w:tc>
          <w:tcPr>
            <w:tcW w:w="2598" w:type="dxa"/>
            <w:tcBorders>
              <w:top w:val="nil"/>
              <w:left w:val="nil"/>
              <w:bottom w:val="single" w:sz="4" w:space="0" w:color="auto"/>
              <w:right w:val="single" w:sz="4" w:space="0" w:color="auto"/>
            </w:tcBorders>
            <w:shd w:val="clear" w:color="auto" w:fill="auto"/>
            <w:noWrap/>
            <w:vAlign w:val="center"/>
            <w:hideMark/>
          </w:tcPr>
          <w:p w14:paraId="2FFCD2B3" w14:textId="416F62D0" w:rsidR="00D05626" w:rsidRPr="00B60051" w:rsidRDefault="00D05626" w:rsidP="00803EC1">
            <w:pPr>
              <w:keepNext/>
              <w:keepLines/>
              <w:spacing w:after="0" w:line="240" w:lineRule="auto"/>
              <w:jc w:val="both"/>
              <w:rPr>
                <w:rFonts w:ascii="Calibri" w:eastAsia="Times New Roman" w:hAnsi="Calibri" w:cs="Calibri"/>
                <w:color w:val="000000"/>
                <w:lang w:eastAsia="en-GB"/>
              </w:rPr>
            </w:pPr>
            <w:r w:rsidRPr="00B60051">
              <w:rPr>
                <w:rFonts w:ascii="Calibri" w:eastAsia="Times New Roman" w:hAnsi="Calibri" w:cs="Calibri"/>
                <w:color w:val="000000"/>
                <w:lang w:eastAsia="en-GB"/>
              </w:rPr>
              <w:t>SONA</w:t>
            </w:r>
          </w:p>
        </w:tc>
        <w:tc>
          <w:tcPr>
            <w:tcW w:w="2363" w:type="dxa"/>
            <w:tcBorders>
              <w:top w:val="nil"/>
              <w:left w:val="single" w:sz="4" w:space="0" w:color="auto"/>
              <w:bottom w:val="single" w:sz="4" w:space="0" w:color="auto"/>
              <w:right w:val="single" w:sz="4" w:space="0" w:color="auto"/>
            </w:tcBorders>
            <w:shd w:val="clear" w:color="auto" w:fill="auto"/>
            <w:noWrap/>
            <w:vAlign w:val="bottom"/>
            <w:hideMark/>
          </w:tcPr>
          <w:p w14:paraId="112BDD3E" w14:textId="3D97793A" w:rsidR="00D05626" w:rsidRPr="00B60051" w:rsidRDefault="00D05626" w:rsidP="00803EC1">
            <w:pPr>
              <w:keepNext/>
              <w:keepLines/>
              <w:spacing w:after="0" w:line="240" w:lineRule="auto"/>
              <w:jc w:val="both"/>
              <w:rPr>
                <w:rFonts w:ascii="Calibri" w:eastAsia="Times New Roman" w:hAnsi="Calibri" w:cs="Calibri"/>
                <w:color w:val="000000"/>
                <w:lang w:eastAsia="en-GB"/>
              </w:rPr>
            </w:pPr>
            <w:r w:rsidRPr="00B60051">
              <w:rPr>
                <w:rFonts w:ascii="Calibri" w:eastAsia="Times New Roman" w:hAnsi="Calibri" w:cs="Calibri"/>
                <w:color w:val="000000"/>
                <w:lang w:eastAsia="en-GB"/>
              </w:rPr>
              <w:t>SONA</w:t>
            </w:r>
          </w:p>
        </w:tc>
      </w:tr>
      <w:tr w:rsidR="00D05626" w:rsidRPr="00B60051" w14:paraId="29DF82C1" w14:textId="77777777" w:rsidTr="006910A8">
        <w:trPr>
          <w:trHeight w:val="300"/>
        </w:trPr>
        <w:tc>
          <w:tcPr>
            <w:tcW w:w="2825" w:type="dxa"/>
            <w:tcBorders>
              <w:top w:val="nil"/>
              <w:left w:val="single" w:sz="8" w:space="0" w:color="auto"/>
              <w:bottom w:val="single" w:sz="4" w:space="0" w:color="auto"/>
              <w:right w:val="single" w:sz="4" w:space="0" w:color="auto"/>
            </w:tcBorders>
            <w:shd w:val="clear" w:color="auto" w:fill="auto"/>
            <w:noWrap/>
            <w:vAlign w:val="center"/>
            <w:hideMark/>
          </w:tcPr>
          <w:p w14:paraId="7A2BD092" w14:textId="1B8E21A6" w:rsidR="00D05626" w:rsidRPr="00B60051" w:rsidRDefault="00D05626" w:rsidP="00803EC1">
            <w:pPr>
              <w:keepNext/>
              <w:keepLines/>
              <w:spacing w:after="0" w:line="240" w:lineRule="auto"/>
              <w:jc w:val="both"/>
              <w:rPr>
                <w:rFonts w:ascii="Calibri" w:eastAsia="Times New Roman" w:hAnsi="Calibri" w:cs="Calibri"/>
                <w:lang w:eastAsia="en-GB"/>
              </w:rPr>
            </w:pPr>
            <w:r w:rsidRPr="00B60051">
              <w:rPr>
                <w:rFonts w:ascii="Calibri" w:eastAsia="Times New Roman" w:hAnsi="Calibri" w:cs="Calibri"/>
                <w:lang w:eastAsia="en-GB"/>
              </w:rPr>
              <w:t xml:space="preserve">JPY-LIBOR-BBA  </w:t>
            </w:r>
          </w:p>
        </w:tc>
        <w:tc>
          <w:tcPr>
            <w:tcW w:w="2127" w:type="dxa"/>
            <w:tcBorders>
              <w:top w:val="nil"/>
              <w:left w:val="nil"/>
              <w:bottom w:val="single" w:sz="4" w:space="0" w:color="auto"/>
              <w:right w:val="single" w:sz="8" w:space="0" w:color="auto"/>
            </w:tcBorders>
            <w:shd w:val="clear" w:color="auto" w:fill="auto"/>
            <w:noWrap/>
            <w:vAlign w:val="center"/>
            <w:hideMark/>
          </w:tcPr>
          <w:p w14:paraId="7DED5896" w14:textId="0E3AC5C0" w:rsidR="00D05626" w:rsidRPr="00B60051" w:rsidRDefault="00D05626" w:rsidP="00803EC1">
            <w:pPr>
              <w:keepNext/>
              <w:keepLines/>
              <w:spacing w:after="0" w:line="240" w:lineRule="auto"/>
              <w:jc w:val="both"/>
              <w:rPr>
                <w:rFonts w:ascii="Calibri" w:eastAsia="Times New Roman" w:hAnsi="Calibri" w:cs="Calibri"/>
                <w:color w:val="000000"/>
                <w:lang w:eastAsia="en-GB"/>
              </w:rPr>
            </w:pPr>
            <w:r w:rsidRPr="00B60051">
              <w:rPr>
                <w:rFonts w:ascii="Calibri" w:eastAsia="Times New Roman" w:hAnsi="Calibri" w:cs="Calibri"/>
                <w:color w:val="000000"/>
                <w:lang w:eastAsia="en-GB"/>
              </w:rPr>
              <w:t>JPY-TONA</w:t>
            </w:r>
            <w:r>
              <w:rPr>
                <w:rFonts w:ascii="Calibri" w:eastAsia="Times New Roman" w:hAnsi="Calibri" w:cs="Calibri"/>
                <w:color w:val="000000"/>
                <w:lang w:eastAsia="en-GB"/>
              </w:rPr>
              <w:t xml:space="preserve"> </w:t>
            </w:r>
          </w:p>
        </w:tc>
        <w:tc>
          <w:tcPr>
            <w:tcW w:w="2598" w:type="dxa"/>
            <w:tcBorders>
              <w:top w:val="nil"/>
              <w:left w:val="nil"/>
              <w:bottom w:val="single" w:sz="4" w:space="0" w:color="auto"/>
              <w:right w:val="single" w:sz="4" w:space="0" w:color="auto"/>
            </w:tcBorders>
            <w:shd w:val="clear" w:color="auto" w:fill="auto"/>
            <w:noWrap/>
            <w:vAlign w:val="center"/>
            <w:hideMark/>
          </w:tcPr>
          <w:p w14:paraId="156C73E5" w14:textId="3198C766" w:rsidR="00D05626" w:rsidRPr="00B60051" w:rsidRDefault="00D05626" w:rsidP="00803EC1">
            <w:pPr>
              <w:keepNext/>
              <w:keepLines/>
              <w:spacing w:after="0" w:line="240" w:lineRule="auto"/>
              <w:jc w:val="both"/>
              <w:rPr>
                <w:rFonts w:ascii="Calibri" w:eastAsia="Times New Roman" w:hAnsi="Calibri" w:cs="Calibri"/>
                <w:color w:val="000000"/>
                <w:lang w:eastAsia="en-GB"/>
              </w:rPr>
            </w:pPr>
            <w:r w:rsidRPr="00B60051">
              <w:rPr>
                <w:rFonts w:ascii="Calibri" w:eastAsia="Times New Roman" w:hAnsi="Calibri" w:cs="Calibri"/>
                <w:color w:val="000000"/>
                <w:lang w:eastAsia="en-GB"/>
              </w:rPr>
              <w:t>N/A</w:t>
            </w:r>
          </w:p>
        </w:tc>
        <w:tc>
          <w:tcPr>
            <w:tcW w:w="2363" w:type="dxa"/>
            <w:tcBorders>
              <w:top w:val="nil"/>
              <w:left w:val="single" w:sz="4" w:space="0" w:color="auto"/>
              <w:bottom w:val="single" w:sz="4" w:space="0" w:color="auto"/>
              <w:right w:val="single" w:sz="4" w:space="0" w:color="auto"/>
            </w:tcBorders>
            <w:shd w:val="clear" w:color="auto" w:fill="auto"/>
            <w:noWrap/>
            <w:vAlign w:val="bottom"/>
            <w:hideMark/>
          </w:tcPr>
          <w:p w14:paraId="7CA6E657" w14:textId="0955DAA8" w:rsidR="00D05626" w:rsidRPr="00B60051" w:rsidRDefault="00D05626" w:rsidP="00803EC1">
            <w:pPr>
              <w:keepNext/>
              <w:keepLines/>
              <w:spacing w:after="0" w:line="240" w:lineRule="auto"/>
              <w:jc w:val="both"/>
              <w:rPr>
                <w:rFonts w:ascii="Calibri" w:eastAsia="Times New Roman" w:hAnsi="Calibri" w:cs="Calibri"/>
                <w:color w:val="000000"/>
                <w:lang w:eastAsia="en-GB"/>
              </w:rPr>
            </w:pPr>
            <w:r w:rsidRPr="00AF65CF">
              <w:rPr>
                <w:rFonts w:ascii="Calibri" w:eastAsia="Times New Roman" w:hAnsi="Calibri" w:cs="Calibri"/>
                <w:color w:val="000000"/>
                <w:lang w:eastAsia="en-GB"/>
              </w:rPr>
              <w:t xml:space="preserve">JPYTONA </w:t>
            </w:r>
          </w:p>
        </w:tc>
      </w:tr>
      <w:tr w:rsidR="00D05626" w:rsidRPr="00B60051" w14:paraId="04189574" w14:textId="77777777" w:rsidTr="006910A8">
        <w:trPr>
          <w:trHeight w:val="300"/>
        </w:trPr>
        <w:tc>
          <w:tcPr>
            <w:tcW w:w="2825" w:type="dxa"/>
            <w:tcBorders>
              <w:top w:val="nil"/>
              <w:left w:val="single" w:sz="8" w:space="0" w:color="auto"/>
              <w:bottom w:val="single" w:sz="4" w:space="0" w:color="auto"/>
              <w:right w:val="single" w:sz="4" w:space="0" w:color="auto"/>
            </w:tcBorders>
            <w:shd w:val="clear" w:color="auto" w:fill="auto"/>
            <w:noWrap/>
            <w:vAlign w:val="center"/>
            <w:hideMark/>
          </w:tcPr>
          <w:p w14:paraId="7EA7F65C" w14:textId="1767C0E4" w:rsidR="00D05626" w:rsidRPr="00B60051" w:rsidRDefault="00D05626" w:rsidP="00803EC1">
            <w:pPr>
              <w:keepNext/>
              <w:keepLines/>
              <w:spacing w:after="0" w:line="240" w:lineRule="auto"/>
              <w:jc w:val="both"/>
              <w:rPr>
                <w:rFonts w:ascii="Calibri" w:eastAsia="Times New Roman" w:hAnsi="Calibri" w:cs="Calibri"/>
                <w:lang w:eastAsia="en-GB"/>
              </w:rPr>
            </w:pPr>
            <w:r w:rsidRPr="00B60051">
              <w:rPr>
                <w:rFonts w:ascii="Calibri" w:eastAsia="Times New Roman" w:hAnsi="Calibri" w:cs="Calibri"/>
                <w:lang w:eastAsia="en-GB"/>
              </w:rPr>
              <w:t>JPY-LIBOR-BBA-Bloomberg</w:t>
            </w:r>
          </w:p>
        </w:tc>
        <w:tc>
          <w:tcPr>
            <w:tcW w:w="2127" w:type="dxa"/>
            <w:tcBorders>
              <w:top w:val="nil"/>
              <w:left w:val="nil"/>
              <w:bottom w:val="single" w:sz="4" w:space="0" w:color="auto"/>
              <w:right w:val="single" w:sz="8" w:space="0" w:color="auto"/>
            </w:tcBorders>
            <w:shd w:val="clear" w:color="auto" w:fill="auto"/>
            <w:noWrap/>
            <w:vAlign w:val="center"/>
            <w:hideMark/>
          </w:tcPr>
          <w:p w14:paraId="0CA315DF" w14:textId="2B14D351" w:rsidR="00D05626" w:rsidRPr="00B60051" w:rsidRDefault="00D05626" w:rsidP="00803EC1">
            <w:pPr>
              <w:keepNext/>
              <w:keepLines/>
              <w:spacing w:after="0" w:line="240" w:lineRule="auto"/>
              <w:jc w:val="both"/>
              <w:rPr>
                <w:rFonts w:ascii="Calibri" w:eastAsia="Times New Roman" w:hAnsi="Calibri" w:cs="Calibri"/>
                <w:color w:val="000000"/>
                <w:lang w:eastAsia="en-GB"/>
              </w:rPr>
            </w:pPr>
            <w:r w:rsidRPr="00B60051">
              <w:rPr>
                <w:rFonts w:ascii="Calibri" w:eastAsia="Times New Roman" w:hAnsi="Calibri" w:cs="Calibri"/>
                <w:color w:val="000000"/>
                <w:lang w:eastAsia="en-GB"/>
              </w:rPr>
              <w:t>JPY-TONA</w:t>
            </w:r>
          </w:p>
        </w:tc>
        <w:tc>
          <w:tcPr>
            <w:tcW w:w="2598" w:type="dxa"/>
            <w:tcBorders>
              <w:top w:val="nil"/>
              <w:left w:val="nil"/>
              <w:bottom w:val="single" w:sz="4" w:space="0" w:color="auto"/>
              <w:right w:val="single" w:sz="4" w:space="0" w:color="auto"/>
            </w:tcBorders>
            <w:shd w:val="clear" w:color="auto" w:fill="auto"/>
            <w:noWrap/>
            <w:vAlign w:val="center"/>
            <w:hideMark/>
          </w:tcPr>
          <w:p w14:paraId="678AB598" w14:textId="47B47A92" w:rsidR="00D05626" w:rsidRPr="00B60051" w:rsidRDefault="00D05626" w:rsidP="00803EC1">
            <w:pPr>
              <w:keepNext/>
              <w:keepLines/>
              <w:spacing w:after="0" w:line="240" w:lineRule="auto"/>
              <w:jc w:val="both"/>
              <w:rPr>
                <w:rFonts w:ascii="Calibri" w:eastAsia="Times New Roman" w:hAnsi="Calibri" w:cs="Calibri"/>
                <w:color w:val="000000"/>
                <w:lang w:eastAsia="en-GB"/>
              </w:rPr>
            </w:pPr>
            <w:r w:rsidRPr="00B60051">
              <w:rPr>
                <w:rFonts w:ascii="Calibri" w:eastAsia="Times New Roman" w:hAnsi="Calibri" w:cs="Calibri"/>
                <w:color w:val="000000"/>
                <w:lang w:eastAsia="en-GB"/>
              </w:rPr>
              <w:t>N/A</w:t>
            </w:r>
          </w:p>
        </w:tc>
        <w:tc>
          <w:tcPr>
            <w:tcW w:w="2363" w:type="dxa"/>
            <w:tcBorders>
              <w:top w:val="nil"/>
              <w:left w:val="single" w:sz="4" w:space="0" w:color="auto"/>
              <w:bottom w:val="single" w:sz="4" w:space="0" w:color="auto"/>
              <w:right w:val="single" w:sz="4" w:space="0" w:color="auto"/>
            </w:tcBorders>
            <w:shd w:val="clear" w:color="auto" w:fill="auto"/>
            <w:noWrap/>
            <w:vAlign w:val="bottom"/>
            <w:hideMark/>
          </w:tcPr>
          <w:p w14:paraId="4F658127" w14:textId="7390F5FE" w:rsidR="00D05626" w:rsidRPr="00CC6599" w:rsidRDefault="00D05626" w:rsidP="00803EC1">
            <w:pPr>
              <w:keepNext/>
              <w:keepLines/>
              <w:spacing w:after="0" w:line="240" w:lineRule="auto"/>
              <w:jc w:val="both"/>
              <w:rPr>
                <w:rFonts w:ascii="Calibri" w:eastAsia="Times New Roman" w:hAnsi="Calibri" w:cs="Calibri"/>
                <w:color w:val="000000"/>
                <w:lang w:eastAsia="en-GB"/>
              </w:rPr>
            </w:pPr>
            <w:r w:rsidRPr="00CC6599">
              <w:rPr>
                <w:rFonts w:ascii="Calibri" w:eastAsia="Times New Roman" w:hAnsi="Calibri" w:cs="Calibri"/>
                <w:color w:val="000000"/>
                <w:lang w:eastAsia="en-GB"/>
              </w:rPr>
              <w:t>JPYTONA</w:t>
            </w:r>
          </w:p>
        </w:tc>
      </w:tr>
      <w:tr w:rsidR="00D05626" w:rsidRPr="00B60051" w14:paraId="38DA0B8D" w14:textId="77777777" w:rsidTr="006910A8">
        <w:trPr>
          <w:trHeight w:val="300"/>
        </w:trPr>
        <w:tc>
          <w:tcPr>
            <w:tcW w:w="2825" w:type="dxa"/>
            <w:tcBorders>
              <w:top w:val="nil"/>
              <w:left w:val="single" w:sz="8" w:space="0" w:color="auto"/>
              <w:bottom w:val="single" w:sz="4" w:space="0" w:color="auto"/>
              <w:right w:val="single" w:sz="4" w:space="0" w:color="auto"/>
            </w:tcBorders>
            <w:shd w:val="clear" w:color="auto" w:fill="auto"/>
            <w:noWrap/>
            <w:vAlign w:val="center"/>
            <w:hideMark/>
          </w:tcPr>
          <w:p w14:paraId="3E2A4647" w14:textId="0F5375A8" w:rsidR="00D05626" w:rsidRPr="00B60051" w:rsidRDefault="00D05626" w:rsidP="00803EC1">
            <w:pPr>
              <w:keepNext/>
              <w:keepLines/>
              <w:spacing w:after="0" w:line="240" w:lineRule="auto"/>
              <w:jc w:val="both"/>
              <w:rPr>
                <w:rFonts w:ascii="Calibri" w:eastAsia="Times New Roman" w:hAnsi="Calibri" w:cs="Calibri"/>
                <w:lang w:eastAsia="en-GB"/>
              </w:rPr>
            </w:pPr>
            <w:r w:rsidRPr="00B60051">
              <w:rPr>
                <w:rFonts w:ascii="Calibri" w:eastAsia="Times New Roman" w:hAnsi="Calibri" w:cs="Calibri"/>
                <w:lang w:eastAsia="en-GB"/>
              </w:rPr>
              <w:t xml:space="preserve">JPY-LIBOR-FRASETT         </w:t>
            </w:r>
          </w:p>
        </w:tc>
        <w:tc>
          <w:tcPr>
            <w:tcW w:w="2127" w:type="dxa"/>
            <w:tcBorders>
              <w:top w:val="nil"/>
              <w:left w:val="nil"/>
              <w:bottom w:val="single" w:sz="4" w:space="0" w:color="auto"/>
              <w:right w:val="single" w:sz="8" w:space="0" w:color="auto"/>
            </w:tcBorders>
            <w:shd w:val="clear" w:color="auto" w:fill="auto"/>
            <w:noWrap/>
            <w:vAlign w:val="center"/>
            <w:hideMark/>
          </w:tcPr>
          <w:p w14:paraId="76D6E20A" w14:textId="09357C74" w:rsidR="00D05626" w:rsidRPr="00B60051" w:rsidRDefault="00D05626" w:rsidP="00803EC1">
            <w:pPr>
              <w:keepNext/>
              <w:keepLines/>
              <w:spacing w:after="0" w:line="240" w:lineRule="auto"/>
              <w:jc w:val="both"/>
              <w:rPr>
                <w:rFonts w:ascii="Calibri" w:eastAsia="Times New Roman" w:hAnsi="Calibri" w:cs="Calibri"/>
                <w:color w:val="000000"/>
                <w:lang w:eastAsia="en-GB"/>
              </w:rPr>
            </w:pPr>
            <w:r w:rsidRPr="00B60051">
              <w:rPr>
                <w:rFonts w:ascii="Calibri" w:eastAsia="Times New Roman" w:hAnsi="Calibri" w:cs="Calibri"/>
                <w:color w:val="000000"/>
                <w:lang w:eastAsia="en-GB"/>
              </w:rPr>
              <w:t>JPY-TONA</w:t>
            </w:r>
          </w:p>
        </w:tc>
        <w:tc>
          <w:tcPr>
            <w:tcW w:w="2598" w:type="dxa"/>
            <w:tcBorders>
              <w:top w:val="nil"/>
              <w:left w:val="nil"/>
              <w:bottom w:val="single" w:sz="4" w:space="0" w:color="auto"/>
              <w:right w:val="single" w:sz="4" w:space="0" w:color="auto"/>
            </w:tcBorders>
            <w:shd w:val="clear" w:color="auto" w:fill="auto"/>
            <w:noWrap/>
            <w:vAlign w:val="center"/>
            <w:hideMark/>
          </w:tcPr>
          <w:p w14:paraId="2CAA8814" w14:textId="26AC483B" w:rsidR="00D05626" w:rsidRPr="00B60051" w:rsidRDefault="00D05626" w:rsidP="00803EC1">
            <w:pPr>
              <w:keepNext/>
              <w:keepLines/>
              <w:spacing w:after="0" w:line="240" w:lineRule="auto"/>
              <w:jc w:val="both"/>
              <w:rPr>
                <w:rFonts w:ascii="Calibri" w:eastAsia="Times New Roman" w:hAnsi="Calibri" w:cs="Calibri"/>
                <w:color w:val="000000"/>
                <w:lang w:eastAsia="en-GB"/>
              </w:rPr>
            </w:pPr>
            <w:r w:rsidRPr="00B60051">
              <w:rPr>
                <w:rFonts w:ascii="Calibri" w:eastAsia="Times New Roman" w:hAnsi="Calibri" w:cs="Calibri"/>
                <w:color w:val="000000"/>
                <w:lang w:eastAsia="en-GB"/>
              </w:rPr>
              <w:t>N/A</w:t>
            </w:r>
          </w:p>
        </w:tc>
        <w:tc>
          <w:tcPr>
            <w:tcW w:w="2363" w:type="dxa"/>
            <w:tcBorders>
              <w:top w:val="nil"/>
              <w:left w:val="single" w:sz="4" w:space="0" w:color="auto"/>
              <w:bottom w:val="single" w:sz="4" w:space="0" w:color="auto"/>
              <w:right w:val="single" w:sz="4" w:space="0" w:color="auto"/>
            </w:tcBorders>
            <w:shd w:val="clear" w:color="auto" w:fill="auto"/>
            <w:noWrap/>
            <w:vAlign w:val="bottom"/>
            <w:hideMark/>
          </w:tcPr>
          <w:p w14:paraId="25333737" w14:textId="19595990" w:rsidR="00D05626" w:rsidRPr="00CC6599" w:rsidRDefault="00D05626" w:rsidP="00803EC1">
            <w:pPr>
              <w:keepNext/>
              <w:keepLines/>
              <w:spacing w:after="0" w:line="240" w:lineRule="auto"/>
              <w:jc w:val="both"/>
              <w:rPr>
                <w:rFonts w:ascii="Calibri" w:eastAsia="Times New Roman" w:hAnsi="Calibri" w:cs="Calibri"/>
                <w:color w:val="000000"/>
                <w:lang w:eastAsia="en-GB"/>
              </w:rPr>
            </w:pPr>
            <w:r w:rsidRPr="00CC6599">
              <w:rPr>
                <w:rFonts w:ascii="Calibri" w:eastAsia="Times New Roman" w:hAnsi="Calibri" w:cs="Calibri"/>
                <w:color w:val="000000"/>
                <w:lang w:eastAsia="en-GB"/>
              </w:rPr>
              <w:t>JPYTONA</w:t>
            </w:r>
          </w:p>
        </w:tc>
      </w:tr>
      <w:tr w:rsidR="00D05626" w:rsidRPr="00B60051" w14:paraId="530E3FA5" w14:textId="77777777" w:rsidTr="006910A8">
        <w:trPr>
          <w:trHeight w:val="300"/>
        </w:trPr>
        <w:tc>
          <w:tcPr>
            <w:tcW w:w="2825" w:type="dxa"/>
            <w:tcBorders>
              <w:top w:val="nil"/>
              <w:left w:val="single" w:sz="8" w:space="0" w:color="auto"/>
              <w:bottom w:val="single" w:sz="4" w:space="0" w:color="auto"/>
              <w:right w:val="single" w:sz="4" w:space="0" w:color="auto"/>
            </w:tcBorders>
            <w:shd w:val="clear" w:color="auto" w:fill="auto"/>
            <w:noWrap/>
            <w:vAlign w:val="center"/>
            <w:hideMark/>
          </w:tcPr>
          <w:p w14:paraId="1FFA0082" w14:textId="10E68B27" w:rsidR="00D05626" w:rsidRPr="00B60051" w:rsidRDefault="00D05626" w:rsidP="00803EC1">
            <w:pPr>
              <w:keepNext/>
              <w:keepLines/>
              <w:spacing w:after="0" w:line="240" w:lineRule="auto"/>
              <w:jc w:val="both"/>
              <w:rPr>
                <w:rFonts w:ascii="Calibri" w:eastAsia="Times New Roman" w:hAnsi="Calibri" w:cs="Calibri"/>
                <w:lang w:eastAsia="en-GB"/>
              </w:rPr>
            </w:pPr>
            <w:r w:rsidRPr="00B60051">
              <w:rPr>
                <w:rFonts w:ascii="Calibri" w:eastAsia="Times New Roman" w:hAnsi="Calibri" w:cs="Calibri"/>
                <w:lang w:eastAsia="en-GB"/>
              </w:rPr>
              <w:t xml:space="preserve">USD-LIBOR-BBA </w:t>
            </w:r>
          </w:p>
        </w:tc>
        <w:tc>
          <w:tcPr>
            <w:tcW w:w="2127" w:type="dxa"/>
            <w:tcBorders>
              <w:top w:val="nil"/>
              <w:left w:val="nil"/>
              <w:bottom w:val="single" w:sz="4" w:space="0" w:color="auto"/>
              <w:right w:val="single" w:sz="8" w:space="0" w:color="auto"/>
            </w:tcBorders>
            <w:shd w:val="clear" w:color="auto" w:fill="auto"/>
            <w:noWrap/>
            <w:vAlign w:val="center"/>
            <w:hideMark/>
          </w:tcPr>
          <w:p w14:paraId="54F23E5D" w14:textId="5EDB9C7C" w:rsidR="00D05626" w:rsidRPr="00B60051" w:rsidRDefault="00D05626" w:rsidP="00803EC1">
            <w:pPr>
              <w:keepNext/>
              <w:keepLines/>
              <w:spacing w:after="0" w:line="240" w:lineRule="auto"/>
              <w:jc w:val="both"/>
              <w:rPr>
                <w:rFonts w:ascii="Calibri" w:eastAsia="Times New Roman" w:hAnsi="Calibri" w:cs="Calibri"/>
                <w:color w:val="000000"/>
                <w:lang w:eastAsia="en-GB"/>
              </w:rPr>
            </w:pPr>
            <w:r w:rsidRPr="00B60051">
              <w:rPr>
                <w:rFonts w:ascii="Calibri" w:eastAsia="Times New Roman" w:hAnsi="Calibri" w:cs="Calibri"/>
                <w:color w:val="000000"/>
                <w:lang w:eastAsia="en-GB"/>
              </w:rPr>
              <w:t>USD-SOFR</w:t>
            </w:r>
          </w:p>
        </w:tc>
        <w:tc>
          <w:tcPr>
            <w:tcW w:w="2598" w:type="dxa"/>
            <w:tcBorders>
              <w:top w:val="nil"/>
              <w:left w:val="nil"/>
              <w:bottom w:val="single" w:sz="4" w:space="0" w:color="auto"/>
              <w:right w:val="single" w:sz="4" w:space="0" w:color="auto"/>
            </w:tcBorders>
            <w:shd w:val="clear" w:color="auto" w:fill="auto"/>
            <w:noWrap/>
            <w:vAlign w:val="center"/>
            <w:hideMark/>
          </w:tcPr>
          <w:p w14:paraId="6C4F4608" w14:textId="22813161" w:rsidR="00D05626" w:rsidRPr="00B60051" w:rsidRDefault="00D05626" w:rsidP="00803EC1">
            <w:pPr>
              <w:keepNext/>
              <w:keepLines/>
              <w:spacing w:after="0" w:line="240" w:lineRule="auto"/>
              <w:jc w:val="both"/>
              <w:rPr>
                <w:rFonts w:ascii="Calibri" w:eastAsia="Times New Roman" w:hAnsi="Calibri" w:cs="Calibri"/>
                <w:color w:val="000000"/>
                <w:lang w:eastAsia="en-GB"/>
              </w:rPr>
            </w:pPr>
            <w:r w:rsidRPr="00B60051">
              <w:rPr>
                <w:rFonts w:ascii="Calibri" w:eastAsia="Times New Roman" w:hAnsi="Calibri" w:cs="Calibri"/>
                <w:color w:val="000000"/>
                <w:lang w:eastAsia="en-GB"/>
              </w:rPr>
              <w:t>SOFR</w:t>
            </w:r>
          </w:p>
        </w:tc>
        <w:tc>
          <w:tcPr>
            <w:tcW w:w="2363" w:type="dxa"/>
            <w:tcBorders>
              <w:top w:val="nil"/>
              <w:left w:val="single" w:sz="4" w:space="0" w:color="auto"/>
              <w:bottom w:val="single" w:sz="4" w:space="0" w:color="auto"/>
              <w:right w:val="single" w:sz="4" w:space="0" w:color="auto"/>
            </w:tcBorders>
            <w:shd w:val="clear" w:color="auto" w:fill="auto"/>
            <w:noWrap/>
            <w:vAlign w:val="bottom"/>
            <w:hideMark/>
          </w:tcPr>
          <w:p w14:paraId="383E8F5A" w14:textId="070A3DB9" w:rsidR="00D05626" w:rsidRPr="00402C15" w:rsidRDefault="00D05626" w:rsidP="00803EC1">
            <w:pPr>
              <w:keepNext/>
              <w:keepLines/>
              <w:spacing w:after="0" w:line="240" w:lineRule="auto"/>
              <w:jc w:val="both"/>
              <w:rPr>
                <w:rFonts w:ascii="Calibri" w:eastAsia="Times New Roman" w:hAnsi="Calibri" w:cs="Calibri"/>
                <w:color w:val="000000"/>
                <w:highlight w:val="yellow"/>
                <w:lang w:eastAsia="en-GB"/>
              </w:rPr>
            </w:pPr>
            <w:r w:rsidRPr="00B60051">
              <w:rPr>
                <w:rFonts w:ascii="Calibri" w:eastAsia="Times New Roman" w:hAnsi="Calibri" w:cs="Calibri"/>
                <w:color w:val="000000"/>
                <w:lang w:eastAsia="en-GB"/>
              </w:rPr>
              <w:t>SOFR</w:t>
            </w:r>
          </w:p>
        </w:tc>
      </w:tr>
      <w:tr w:rsidR="00D05626" w:rsidRPr="00B60051" w14:paraId="2EFA2543" w14:textId="77777777" w:rsidTr="008A0A48">
        <w:trPr>
          <w:trHeight w:val="300"/>
        </w:trPr>
        <w:tc>
          <w:tcPr>
            <w:tcW w:w="2825" w:type="dxa"/>
            <w:tcBorders>
              <w:top w:val="nil"/>
              <w:left w:val="single" w:sz="8" w:space="0" w:color="auto"/>
              <w:bottom w:val="single" w:sz="8" w:space="0" w:color="auto"/>
              <w:right w:val="single" w:sz="4" w:space="0" w:color="auto"/>
            </w:tcBorders>
            <w:shd w:val="clear" w:color="auto" w:fill="auto"/>
            <w:noWrap/>
            <w:vAlign w:val="center"/>
            <w:hideMark/>
          </w:tcPr>
          <w:p w14:paraId="64AC6F83" w14:textId="14AE8CB2" w:rsidR="00D05626" w:rsidRPr="00B60051" w:rsidRDefault="00D05626" w:rsidP="00803EC1">
            <w:pPr>
              <w:keepNext/>
              <w:keepLines/>
              <w:spacing w:after="0" w:line="240" w:lineRule="auto"/>
              <w:jc w:val="both"/>
              <w:rPr>
                <w:rFonts w:ascii="Calibri" w:eastAsia="Times New Roman" w:hAnsi="Calibri" w:cs="Calibri"/>
                <w:lang w:eastAsia="en-GB"/>
              </w:rPr>
            </w:pPr>
            <w:r w:rsidRPr="00B60051">
              <w:rPr>
                <w:rFonts w:ascii="Calibri" w:eastAsia="Times New Roman" w:hAnsi="Calibri" w:cs="Calibri"/>
                <w:lang w:eastAsia="en-GB"/>
              </w:rPr>
              <w:t>USD-LIBOR-BBA-Bloomberg</w:t>
            </w:r>
          </w:p>
        </w:tc>
        <w:tc>
          <w:tcPr>
            <w:tcW w:w="2127" w:type="dxa"/>
            <w:tcBorders>
              <w:top w:val="nil"/>
              <w:left w:val="nil"/>
              <w:bottom w:val="single" w:sz="8" w:space="0" w:color="auto"/>
              <w:right w:val="single" w:sz="8" w:space="0" w:color="auto"/>
            </w:tcBorders>
            <w:shd w:val="clear" w:color="auto" w:fill="auto"/>
            <w:noWrap/>
            <w:vAlign w:val="center"/>
            <w:hideMark/>
          </w:tcPr>
          <w:p w14:paraId="463ED4DF" w14:textId="5DC0517E" w:rsidR="00D05626" w:rsidRPr="00B60051" w:rsidRDefault="00D05626" w:rsidP="00803EC1">
            <w:pPr>
              <w:keepNext/>
              <w:keepLines/>
              <w:spacing w:after="0" w:line="240" w:lineRule="auto"/>
              <w:jc w:val="both"/>
              <w:rPr>
                <w:rFonts w:ascii="Calibri" w:eastAsia="Times New Roman" w:hAnsi="Calibri" w:cs="Calibri"/>
                <w:color w:val="000000"/>
                <w:lang w:eastAsia="en-GB"/>
              </w:rPr>
            </w:pPr>
            <w:r w:rsidRPr="00B60051">
              <w:rPr>
                <w:rFonts w:ascii="Calibri" w:eastAsia="Times New Roman" w:hAnsi="Calibri" w:cs="Calibri"/>
                <w:color w:val="000000"/>
                <w:lang w:eastAsia="en-GB"/>
              </w:rPr>
              <w:t>USD-SOFR</w:t>
            </w:r>
          </w:p>
        </w:tc>
        <w:tc>
          <w:tcPr>
            <w:tcW w:w="2598" w:type="dxa"/>
            <w:tcBorders>
              <w:top w:val="nil"/>
              <w:left w:val="nil"/>
              <w:bottom w:val="single" w:sz="8" w:space="0" w:color="auto"/>
              <w:right w:val="single" w:sz="4" w:space="0" w:color="auto"/>
            </w:tcBorders>
            <w:shd w:val="clear" w:color="auto" w:fill="auto"/>
            <w:noWrap/>
            <w:vAlign w:val="center"/>
            <w:hideMark/>
          </w:tcPr>
          <w:p w14:paraId="73795882" w14:textId="3392D130" w:rsidR="00D05626" w:rsidRPr="00B60051" w:rsidRDefault="00D05626" w:rsidP="00803EC1">
            <w:pPr>
              <w:keepNext/>
              <w:keepLines/>
              <w:spacing w:after="0" w:line="240" w:lineRule="auto"/>
              <w:jc w:val="both"/>
              <w:rPr>
                <w:rFonts w:ascii="Calibri" w:eastAsia="Times New Roman" w:hAnsi="Calibri" w:cs="Calibri"/>
                <w:color w:val="000000"/>
                <w:lang w:eastAsia="en-GB"/>
              </w:rPr>
            </w:pPr>
            <w:r w:rsidRPr="00B60051">
              <w:rPr>
                <w:rFonts w:ascii="Calibri" w:eastAsia="Times New Roman" w:hAnsi="Calibri" w:cs="Calibri"/>
                <w:color w:val="000000"/>
                <w:lang w:eastAsia="en-GB"/>
              </w:rPr>
              <w:t>SOFR</w:t>
            </w:r>
          </w:p>
        </w:tc>
        <w:tc>
          <w:tcPr>
            <w:tcW w:w="2363" w:type="dxa"/>
            <w:tcBorders>
              <w:top w:val="nil"/>
              <w:left w:val="single" w:sz="4" w:space="0" w:color="auto"/>
              <w:bottom w:val="single" w:sz="8" w:space="0" w:color="auto"/>
              <w:right w:val="single" w:sz="4" w:space="0" w:color="auto"/>
            </w:tcBorders>
            <w:shd w:val="clear" w:color="auto" w:fill="auto"/>
            <w:noWrap/>
            <w:vAlign w:val="bottom"/>
            <w:hideMark/>
          </w:tcPr>
          <w:p w14:paraId="114569D7" w14:textId="3D244700" w:rsidR="00D05626" w:rsidRPr="00B60051" w:rsidRDefault="00D05626" w:rsidP="00803EC1">
            <w:pPr>
              <w:keepNext/>
              <w:keepLines/>
              <w:spacing w:after="0" w:line="240" w:lineRule="auto"/>
              <w:jc w:val="both"/>
              <w:rPr>
                <w:rFonts w:ascii="Calibri" w:eastAsia="Times New Roman" w:hAnsi="Calibri" w:cs="Calibri"/>
                <w:color w:val="000000"/>
                <w:lang w:eastAsia="en-GB"/>
              </w:rPr>
            </w:pPr>
            <w:r w:rsidRPr="00B60051">
              <w:rPr>
                <w:rFonts w:ascii="Calibri" w:eastAsia="Times New Roman" w:hAnsi="Calibri" w:cs="Calibri"/>
                <w:color w:val="000000"/>
                <w:lang w:eastAsia="en-GB"/>
              </w:rPr>
              <w:t>SOFR</w:t>
            </w:r>
          </w:p>
        </w:tc>
      </w:tr>
    </w:tbl>
    <w:p w14:paraId="59871202" w14:textId="08998361" w:rsidR="008C7AEF" w:rsidRDefault="008C7AEF" w:rsidP="00803EC1">
      <w:pPr>
        <w:pStyle w:val="Default"/>
        <w:jc w:val="both"/>
        <w:rPr>
          <w:sz w:val="22"/>
          <w:szCs w:val="22"/>
        </w:rPr>
      </w:pPr>
    </w:p>
    <w:p w14:paraId="0451D8BD" w14:textId="64392548" w:rsidR="00ED1B6A" w:rsidRDefault="00ED1B6A" w:rsidP="00803EC1">
      <w:pPr>
        <w:pStyle w:val="Default"/>
        <w:jc w:val="both"/>
        <w:rPr>
          <w:sz w:val="22"/>
          <w:szCs w:val="22"/>
        </w:rPr>
      </w:pPr>
      <w:r>
        <w:rPr>
          <w:sz w:val="22"/>
          <w:szCs w:val="22"/>
        </w:rPr>
        <w:t>*</w:t>
      </w:r>
      <w:r w:rsidR="00A63D6B">
        <w:rPr>
          <w:sz w:val="22"/>
          <w:szCs w:val="22"/>
        </w:rPr>
        <w:t>*</w:t>
      </w:r>
      <w:r>
        <w:rPr>
          <w:sz w:val="22"/>
          <w:szCs w:val="22"/>
        </w:rPr>
        <w:t xml:space="preserve"> = </w:t>
      </w:r>
      <w:r w:rsidR="00B5426D">
        <w:rPr>
          <w:sz w:val="22"/>
          <w:szCs w:val="22"/>
        </w:rPr>
        <w:t xml:space="preserve">The LIBOR rates listed </w:t>
      </w:r>
      <w:r w:rsidR="006F07E3">
        <w:rPr>
          <w:sz w:val="22"/>
          <w:szCs w:val="22"/>
        </w:rPr>
        <w:t xml:space="preserve">in Table 2 </w:t>
      </w:r>
      <w:r w:rsidR="00B5426D">
        <w:rPr>
          <w:sz w:val="22"/>
          <w:szCs w:val="22"/>
        </w:rPr>
        <w:t xml:space="preserve">are </w:t>
      </w:r>
      <w:r w:rsidR="00567DA2">
        <w:rPr>
          <w:sz w:val="22"/>
          <w:szCs w:val="22"/>
        </w:rPr>
        <w:t xml:space="preserve">the FRO names </w:t>
      </w:r>
      <w:r w:rsidR="00B5426D">
        <w:rPr>
          <w:sz w:val="22"/>
          <w:szCs w:val="22"/>
        </w:rPr>
        <w:t xml:space="preserve">from the 2006 ISDA Interest Rate Definitions. </w:t>
      </w:r>
      <w:r w:rsidR="00F938D0">
        <w:rPr>
          <w:sz w:val="22"/>
          <w:szCs w:val="22"/>
        </w:rPr>
        <w:t xml:space="preserve">The same </w:t>
      </w:r>
      <w:r w:rsidR="008C382A">
        <w:rPr>
          <w:sz w:val="22"/>
          <w:szCs w:val="22"/>
        </w:rPr>
        <w:t xml:space="preserve">fallback </w:t>
      </w:r>
      <w:r w:rsidR="00530945">
        <w:rPr>
          <w:sz w:val="22"/>
          <w:szCs w:val="22"/>
        </w:rPr>
        <w:t>rates</w:t>
      </w:r>
      <w:r w:rsidR="008C382A">
        <w:rPr>
          <w:sz w:val="22"/>
          <w:szCs w:val="22"/>
        </w:rPr>
        <w:t xml:space="preserve"> will apply to </w:t>
      </w:r>
      <w:r w:rsidR="006C00BF">
        <w:rPr>
          <w:sz w:val="22"/>
          <w:szCs w:val="22"/>
        </w:rPr>
        <w:t xml:space="preserve">the </w:t>
      </w:r>
      <w:r w:rsidR="00386E8B">
        <w:rPr>
          <w:sz w:val="22"/>
          <w:szCs w:val="22"/>
        </w:rPr>
        <w:t>2021 ISDA Interest Rate Definitions FRO names of these benchmarks.</w:t>
      </w:r>
      <w:r w:rsidR="00E639EC">
        <w:rPr>
          <w:sz w:val="22"/>
          <w:szCs w:val="22"/>
        </w:rPr>
        <w:t xml:space="preserve"> Furthermore, </w:t>
      </w:r>
      <w:r w:rsidR="008F231E">
        <w:rPr>
          <w:sz w:val="22"/>
          <w:szCs w:val="22"/>
        </w:rPr>
        <w:t>the fallback conditions are captured within the 2021 ISDA Interest Rate Definitions itself.</w:t>
      </w:r>
    </w:p>
    <w:p w14:paraId="0596FA6F" w14:textId="77777777" w:rsidR="00ED1B6A" w:rsidRDefault="00ED1B6A" w:rsidP="00803EC1">
      <w:pPr>
        <w:pStyle w:val="Default"/>
        <w:jc w:val="both"/>
        <w:rPr>
          <w:sz w:val="22"/>
          <w:szCs w:val="22"/>
        </w:rPr>
      </w:pPr>
    </w:p>
    <w:p w14:paraId="4D69C89B" w14:textId="03B350D8" w:rsidR="00A0313C" w:rsidRDefault="00896B7B" w:rsidP="00803EC1">
      <w:pPr>
        <w:pStyle w:val="Default"/>
        <w:jc w:val="both"/>
        <w:rPr>
          <w:sz w:val="22"/>
          <w:szCs w:val="22"/>
        </w:rPr>
      </w:pPr>
      <w:r>
        <w:rPr>
          <w:sz w:val="22"/>
          <w:szCs w:val="22"/>
        </w:rPr>
        <w:t xml:space="preserve">Note, while the focus of this document is the LIBOR cessation, </w:t>
      </w:r>
      <w:r w:rsidR="007404D1">
        <w:rPr>
          <w:sz w:val="22"/>
          <w:szCs w:val="22"/>
        </w:rPr>
        <w:t xml:space="preserve">the EONIA </w:t>
      </w:r>
      <w:r w:rsidR="002D4063">
        <w:rPr>
          <w:sz w:val="22"/>
          <w:szCs w:val="22"/>
        </w:rPr>
        <w:t xml:space="preserve">benchmark </w:t>
      </w:r>
      <w:r w:rsidR="007404D1">
        <w:rPr>
          <w:sz w:val="22"/>
          <w:szCs w:val="22"/>
        </w:rPr>
        <w:t xml:space="preserve">will </w:t>
      </w:r>
      <w:r w:rsidR="002D4063">
        <w:rPr>
          <w:sz w:val="22"/>
          <w:szCs w:val="22"/>
        </w:rPr>
        <w:t xml:space="preserve">be </w:t>
      </w:r>
      <w:r w:rsidR="00574E67">
        <w:rPr>
          <w:sz w:val="22"/>
          <w:szCs w:val="22"/>
        </w:rPr>
        <w:t>discontinued o</w:t>
      </w:r>
      <w:r w:rsidR="000F7264">
        <w:rPr>
          <w:sz w:val="22"/>
          <w:szCs w:val="22"/>
        </w:rPr>
        <w:t>n</w:t>
      </w:r>
      <w:r w:rsidR="00574E67">
        <w:rPr>
          <w:sz w:val="22"/>
          <w:szCs w:val="22"/>
        </w:rPr>
        <w:t xml:space="preserve"> 3 January 2022. </w:t>
      </w:r>
      <w:r w:rsidR="00051920">
        <w:rPr>
          <w:sz w:val="22"/>
          <w:szCs w:val="22"/>
        </w:rPr>
        <w:t xml:space="preserve">The fallback rate </w:t>
      </w:r>
      <w:r w:rsidR="00E35175">
        <w:rPr>
          <w:sz w:val="22"/>
          <w:szCs w:val="22"/>
        </w:rPr>
        <w:t xml:space="preserve">calculations </w:t>
      </w:r>
      <w:r w:rsidR="00051920">
        <w:rPr>
          <w:sz w:val="22"/>
          <w:szCs w:val="22"/>
        </w:rPr>
        <w:t xml:space="preserve">for EONIA will be based on </w:t>
      </w:r>
      <w:proofErr w:type="spellStart"/>
      <w:r w:rsidR="00051920">
        <w:rPr>
          <w:sz w:val="22"/>
          <w:szCs w:val="22"/>
        </w:rPr>
        <w:t>EuroSTR</w:t>
      </w:r>
      <w:proofErr w:type="spellEnd"/>
      <w:r w:rsidR="0005661B">
        <w:rPr>
          <w:sz w:val="22"/>
          <w:szCs w:val="22"/>
        </w:rPr>
        <w:t>, (</w:t>
      </w:r>
      <w:r w:rsidR="000F7264">
        <w:rPr>
          <w:sz w:val="22"/>
          <w:szCs w:val="22"/>
        </w:rPr>
        <w:t xml:space="preserve">which </w:t>
      </w:r>
      <w:r w:rsidR="00F26D3A">
        <w:rPr>
          <w:sz w:val="22"/>
          <w:szCs w:val="22"/>
        </w:rPr>
        <w:t xml:space="preserve">has the </w:t>
      </w:r>
      <w:r w:rsidR="0005661B">
        <w:rPr>
          <w:sz w:val="22"/>
          <w:szCs w:val="22"/>
        </w:rPr>
        <w:t>report</w:t>
      </w:r>
      <w:r w:rsidR="00F26D3A">
        <w:rPr>
          <w:sz w:val="22"/>
          <w:szCs w:val="22"/>
        </w:rPr>
        <w:t xml:space="preserve">able value of </w:t>
      </w:r>
      <w:r w:rsidR="0005661B">
        <w:rPr>
          <w:sz w:val="22"/>
          <w:szCs w:val="22"/>
        </w:rPr>
        <w:t>“ESTR” as per EMIR Q&amp;A</w:t>
      </w:r>
      <w:r w:rsidR="00C94E49">
        <w:rPr>
          <w:sz w:val="22"/>
          <w:szCs w:val="22"/>
        </w:rPr>
        <w:t xml:space="preserve"> TR Question 53</w:t>
      </w:r>
      <w:r w:rsidR="000F7264">
        <w:rPr>
          <w:sz w:val="22"/>
          <w:szCs w:val="22"/>
        </w:rPr>
        <w:t>).</w:t>
      </w:r>
      <w:r w:rsidR="00E35175">
        <w:rPr>
          <w:sz w:val="22"/>
          <w:szCs w:val="22"/>
        </w:rPr>
        <w:t xml:space="preserve"> The full fallback details are covered in Supplement </w:t>
      </w:r>
      <w:r w:rsidR="004732A3">
        <w:rPr>
          <w:sz w:val="22"/>
          <w:szCs w:val="22"/>
        </w:rPr>
        <w:t xml:space="preserve">60 to the 2006 </w:t>
      </w:r>
      <w:r w:rsidR="006329E3">
        <w:rPr>
          <w:sz w:val="22"/>
          <w:szCs w:val="22"/>
        </w:rPr>
        <w:t>ISDA Interest Rate Definitions</w:t>
      </w:r>
      <w:r w:rsidR="009A202C">
        <w:rPr>
          <w:sz w:val="22"/>
          <w:szCs w:val="22"/>
        </w:rPr>
        <w:t xml:space="preserve"> and </w:t>
      </w:r>
      <w:r w:rsidR="00876FC2">
        <w:rPr>
          <w:sz w:val="22"/>
          <w:szCs w:val="22"/>
        </w:rPr>
        <w:t>are also in the 2021 ISDA Interest Rate Definitions</w:t>
      </w:r>
      <w:r w:rsidR="006329E3">
        <w:rPr>
          <w:sz w:val="22"/>
          <w:szCs w:val="22"/>
        </w:rPr>
        <w:t>.</w:t>
      </w:r>
    </w:p>
    <w:p w14:paraId="6806386E" w14:textId="77777777" w:rsidR="00896B7B" w:rsidRPr="008C7AEF" w:rsidRDefault="00896B7B" w:rsidP="00803EC1">
      <w:pPr>
        <w:pStyle w:val="Default"/>
        <w:jc w:val="both"/>
        <w:rPr>
          <w:sz w:val="22"/>
          <w:szCs w:val="22"/>
        </w:rPr>
      </w:pPr>
    </w:p>
    <w:p w14:paraId="7054D187" w14:textId="6E41B09B" w:rsidR="00FC2336" w:rsidRPr="00A0313C" w:rsidRDefault="00A0313C" w:rsidP="00803EC1">
      <w:pPr>
        <w:jc w:val="both"/>
        <w:rPr>
          <w:rFonts w:ascii="Times New Roman" w:hAnsi="Times New Roman" w:cs="Times New Roman"/>
          <w:u w:val="single"/>
        </w:rPr>
      </w:pPr>
      <w:r w:rsidRPr="00A0313C">
        <w:rPr>
          <w:rFonts w:ascii="Times New Roman" w:hAnsi="Times New Roman" w:cs="Times New Roman"/>
          <w:u w:val="single"/>
        </w:rPr>
        <w:t>Timing of reporting</w:t>
      </w:r>
    </w:p>
    <w:p w14:paraId="3C00F099" w14:textId="1E501FED" w:rsidR="00A0313C" w:rsidRPr="00FC2336" w:rsidRDefault="00A0313C" w:rsidP="00803EC1">
      <w:pPr>
        <w:jc w:val="both"/>
        <w:rPr>
          <w:rFonts w:ascii="Times New Roman" w:hAnsi="Times New Roman" w:cs="Times New Roman"/>
        </w:rPr>
      </w:pPr>
      <w:r>
        <w:rPr>
          <w:rFonts w:ascii="Times New Roman" w:hAnsi="Times New Roman" w:cs="Times New Roman"/>
        </w:rPr>
        <w:t xml:space="preserve">ESMA do not provide guidance on when to report </w:t>
      </w:r>
      <w:r w:rsidR="0097674D">
        <w:rPr>
          <w:rFonts w:ascii="Times New Roman" w:hAnsi="Times New Roman" w:cs="Times New Roman"/>
        </w:rPr>
        <w:t xml:space="preserve">modification messages </w:t>
      </w:r>
      <w:r>
        <w:rPr>
          <w:rFonts w:ascii="Times New Roman" w:hAnsi="Times New Roman" w:cs="Times New Roman"/>
        </w:rPr>
        <w:t xml:space="preserve">for derivative contracts where the Fallback rate </w:t>
      </w:r>
      <w:r w:rsidR="0097674D">
        <w:rPr>
          <w:rFonts w:ascii="Times New Roman" w:hAnsi="Times New Roman" w:cs="Times New Roman"/>
        </w:rPr>
        <w:t xml:space="preserve">becomes </w:t>
      </w:r>
      <w:r>
        <w:rPr>
          <w:rFonts w:ascii="Times New Roman" w:hAnsi="Times New Roman" w:cs="Times New Roman"/>
        </w:rPr>
        <w:t xml:space="preserve">applicable. Discussions held on </w:t>
      </w:r>
      <w:r w:rsidRPr="008C7AEF">
        <w:rPr>
          <w:rFonts w:ascii="Times New Roman" w:hAnsi="Times New Roman" w:cs="Times New Roman"/>
        </w:rPr>
        <w:t>ISDA Data and Reporting EMEA Working Group</w:t>
      </w:r>
      <w:r>
        <w:rPr>
          <w:rFonts w:ascii="Times New Roman" w:hAnsi="Times New Roman" w:cs="Times New Roman"/>
        </w:rPr>
        <w:t xml:space="preserve"> calls </w:t>
      </w:r>
      <w:r w:rsidR="00B60046">
        <w:rPr>
          <w:rFonts w:ascii="Times New Roman" w:hAnsi="Times New Roman" w:cs="Times New Roman"/>
        </w:rPr>
        <w:t>came to the view</w:t>
      </w:r>
      <w:r>
        <w:rPr>
          <w:rFonts w:ascii="Times New Roman" w:hAnsi="Times New Roman" w:cs="Times New Roman"/>
        </w:rPr>
        <w:t xml:space="preserve"> that </w:t>
      </w:r>
      <w:r w:rsidR="0097674D">
        <w:rPr>
          <w:rFonts w:ascii="Times New Roman" w:hAnsi="Times New Roman" w:cs="Times New Roman"/>
        </w:rPr>
        <w:t xml:space="preserve">a Modify message </w:t>
      </w:r>
      <w:r w:rsidR="00B60046">
        <w:rPr>
          <w:rFonts w:ascii="Times New Roman" w:hAnsi="Times New Roman" w:cs="Times New Roman"/>
        </w:rPr>
        <w:t xml:space="preserve">is only </w:t>
      </w:r>
      <w:r>
        <w:rPr>
          <w:rFonts w:ascii="Times New Roman" w:hAnsi="Times New Roman" w:cs="Times New Roman"/>
        </w:rPr>
        <w:t xml:space="preserve">required </w:t>
      </w:r>
      <w:r w:rsidR="00B60046">
        <w:rPr>
          <w:rFonts w:ascii="Times New Roman" w:hAnsi="Times New Roman" w:cs="Times New Roman"/>
        </w:rPr>
        <w:t xml:space="preserve">following </w:t>
      </w:r>
      <w:r>
        <w:rPr>
          <w:rFonts w:ascii="Times New Roman" w:hAnsi="Times New Roman" w:cs="Times New Roman"/>
        </w:rPr>
        <w:t xml:space="preserve">the LIBOR cessation effective date (either 31 December 2021 or 30 June 2023, depending on the currency and tenor). However, market participants will need to take an internal view </w:t>
      </w:r>
      <w:r w:rsidR="0097674D">
        <w:rPr>
          <w:rFonts w:ascii="Times New Roman" w:hAnsi="Times New Roman" w:cs="Times New Roman"/>
        </w:rPr>
        <w:t xml:space="preserve">of </w:t>
      </w:r>
      <w:r>
        <w:rPr>
          <w:rFonts w:ascii="Times New Roman" w:hAnsi="Times New Roman" w:cs="Times New Roman"/>
        </w:rPr>
        <w:t xml:space="preserve">whether to report (i) all impacted contracts immediately following the cessation effective date (as advised in the FCAs guidance, see below), or (ii) each contract </w:t>
      </w:r>
      <w:r w:rsidR="0097674D">
        <w:rPr>
          <w:rFonts w:ascii="Times New Roman" w:hAnsi="Times New Roman" w:cs="Times New Roman"/>
        </w:rPr>
        <w:t xml:space="preserve">as of </w:t>
      </w:r>
      <w:r>
        <w:rPr>
          <w:rFonts w:ascii="Times New Roman" w:hAnsi="Times New Roman" w:cs="Times New Roman"/>
        </w:rPr>
        <w:t>the next reset date following the cessation effective date.</w:t>
      </w:r>
    </w:p>
    <w:p w14:paraId="15FD2C6C" w14:textId="77777777" w:rsidR="00F5591E" w:rsidRDefault="00F5591E" w:rsidP="00803EC1">
      <w:pPr>
        <w:spacing w:after="0"/>
        <w:ind w:left="360"/>
        <w:jc w:val="both"/>
        <w:rPr>
          <w:rFonts w:ascii="Times New Roman" w:hAnsi="Times New Roman" w:cs="Times New Roman"/>
          <w:sz w:val="24"/>
          <w:szCs w:val="24"/>
        </w:rPr>
      </w:pPr>
    </w:p>
    <w:p w14:paraId="414488F8" w14:textId="2CFC0630" w:rsidR="00F5591E" w:rsidRDefault="00F5591E" w:rsidP="00803EC1">
      <w:pPr>
        <w:keepNext/>
        <w:keepLines/>
        <w:jc w:val="both"/>
        <w:rPr>
          <w:rFonts w:ascii="Times New Roman" w:hAnsi="Times New Roman" w:cs="Times New Roman"/>
          <w:b/>
          <w:bCs/>
        </w:rPr>
      </w:pPr>
      <w:r w:rsidRPr="00A0313C">
        <w:rPr>
          <w:rFonts w:ascii="Times New Roman" w:hAnsi="Times New Roman" w:cs="Times New Roman"/>
          <w:b/>
          <w:bCs/>
        </w:rPr>
        <w:lastRenderedPageBreak/>
        <w:t xml:space="preserve">Voluntary transfer to a </w:t>
      </w:r>
      <w:proofErr w:type="gramStart"/>
      <w:r w:rsidRPr="00A0313C">
        <w:rPr>
          <w:rFonts w:ascii="Times New Roman" w:hAnsi="Times New Roman" w:cs="Times New Roman"/>
          <w:b/>
          <w:bCs/>
        </w:rPr>
        <w:t>risk free</w:t>
      </w:r>
      <w:proofErr w:type="gramEnd"/>
      <w:r w:rsidRPr="00A0313C">
        <w:rPr>
          <w:rFonts w:ascii="Times New Roman" w:hAnsi="Times New Roman" w:cs="Times New Roman"/>
          <w:b/>
          <w:bCs/>
        </w:rPr>
        <w:t xml:space="preserve"> rate (RFR)</w:t>
      </w:r>
    </w:p>
    <w:p w14:paraId="5B86329B" w14:textId="056A63CD" w:rsidR="00D44942" w:rsidRDefault="00D44942" w:rsidP="00803EC1">
      <w:pPr>
        <w:keepNext/>
        <w:keepLines/>
        <w:jc w:val="both"/>
        <w:rPr>
          <w:rFonts w:ascii="Times New Roman" w:hAnsi="Times New Roman" w:cs="Times New Roman"/>
        </w:rPr>
      </w:pPr>
      <w:r>
        <w:rPr>
          <w:rFonts w:ascii="Times New Roman" w:hAnsi="Times New Roman" w:cs="Times New Roman"/>
        </w:rPr>
        <w:t xml:space="preserve">Q&amp;A TR Question 53(c) confirms that – </w:t>
      </w:r>
      <w:proofErr w:type="gramStart"/>
      <w:r>
        <w:rPr>
          <w:rFonts w:ascii="Times New Roman" w:hAnsi="Times New Roman" w:cs="Times New Roman"/>
        </w:rPr>
        <w:t>similar to</w:t>
      </w:r>
      <w:proofErr w:type="gramEnd"/>
      <w:r>
        <w:rPr>
          <w:rFonts w:ascii="Times New Roman" w:hAnsi="Times New Roman" w:cs="Times New Roman"/>
        </w:rPr>
        <w:t xml:space="preserve"> when a Fallback is triggered – counterparties are expected to amend the trade details by submitting a ‘Modify’ action type message. </w:t>
      </w:r>
    </w:p>
    <w:p w14:paraId="5D837501" w14:textId="7FB96FAC" w:rsidR="004A5FA7" w:rsidRDefault="004A5FA7" w:rsidP="00803EC1">
      <w:pPr>
        <w:keepNext/>
        <w:keepLines/>
        <w:jc w:val="both"/>
        <w:rPr>
          <w:rFonts w:ascii="Times New Roman" w:hAnsi="Times New Roman" w:cs="Times New Roman"/>
        </w:rPr>
      </w:pPr>
      <w:r>
        <w:rPr>
          <w:rFonts w:ascii="Times New Roman" w:hAnsi="Times New Roman" w:cs="Times New Roman"/>
        </w:rPr>
        <w:t xml:space="preserve">The </w:t>
      </w:r>
      <w:r w:rsidRPr="008C7AEF">
        <w:rPr>
          <w:rFonts w:ascii="Times New Roman" w:hAnsi="Times New Roman" w:cs="Times New Roman"/>
        </w:rPr>
        <w:t>ISDA Data and Reporting EMEA Working Group</w:t>
      </w:r>
      <w:r>
        <w:rPr>
          <w:rFonts w:ascii="Times New Roman" w:hAnsi="Times New Roman" w:cs="Times New Roman"/>
        </w:rPr>
        <w:t xml:space="preserve"> considered whether</w:t>
      </w:r>
      <w:r w:rsidR="00793B3B">
        <w:rPr>
          <w:rFonts w:ascii="Times New Roman" w:hAnsi="Times New Roman" w:cs="Times New Roman"/>
        </w:rPr>
        <w:t>,</w:t>
      </w:r>
      <w:r>
        <w:rPr>
          <w:rFonts w:ascii="Times New Roman" w:hAnsi="Times New Roman" w:cs="Times New Roman"/>
        </w:rPr>
        <w:t xml:space="preserve"> instead of reporting a modification, the guidance precludes market participants terminating the original LIBOR contract and booking a new RFR contract. However, the regulatory guidance only refers to the modification of a trade and market participants should seek internal </w:t>
      </w:r>
      <w:r w:rsidR="002F285B">
        <w:rPr>
          <w:rFonts w:ascii="Times New Roman" w:hAnsi="Times New Roman" w:cs="Times New Roman"/>
        </w:rPr>
        <w:t>advice</w:t>
      </w:r>
      <w:r>
        <w:rPr>
          <w:rFonts w:ascii="Times New Roman" w:hAnsi="Times New Roman" w:cs="Times New Roman"/>
        </w:rPr>
        <w:t xml:space="preserve"> on whether to report in an alternative way.</w:t>
      </w:r>
    </w:p>
    <w:p w14:paraId="7D367496" w14:textId="77777777" w:rsidR="00793B3B" w:rsidRDefault="00793B3B" w:rsidP="00803EC1">
      <w:pPr>
        <w:jc w:val="both"/>
        <w:rPr>
          <w:rFonts w:ascii="Times New Roman" w:hAnsi="Times New Roman" w:cs="Times New Roman"/>
          <w:u w:val="single"/>
        </w:rPr>
      </w:pPr>
    </w:p>
    <w:p w14:paraId="1C61437C" w14:textId="77A7D8D6" w:rsidR="00D44942" w:rsidRPr="00D44942" w:rsidRDefault="00D44942" w:rsidP="00803EC1">
      <w:pPr>
        <w:keepNext/>
        <w:keepLines/>
        <w:jc w:val="both"/>
        <w:rPr>
          <w:rFonts w:ascii="Times New Roman" w:hAnsi="Times New Roman" w:cs="Times New Roman"/>
          <w:u w:val="single"/>
        </w:rPr>
      </w:pPr>
      <w:r w:rsidRPr="00D44942">
        <w:rPr>
          <w:rFonts w:ascii="Times New Roman" w:hAnsi="Times New Roman" w:cs="Times New Roman"/>
          <w:u w:val="single"/>
        </w:rPr>
        <w:t>Product I</w:t>
      </w:r>
      <w:r w:rsidR="004A5FA7">
        <w:rPr>
          <w:rFonts w:ascii="Times New Roman" w:hAnsi="Times New Roman" w:cs="Times New Roman"/>
          <w:u w:val="single"/>
        </w:rPr>
        <w:t>dentification</w:t>
      </w:r>
      <w:r w:rsidRPr="00D44942">
        <w:rPr>
          <w:rFonts w:ascii="Times New Roman" w:hAnsi="Times New Roman" w:cs="Times New Roman"/>
          <w:u w:val="single"/>
        </w:rPr>
        <w:t xml:space="preserve"> (2.6) – derivative ISIN</w:t>
      </w:r>
    </w:p>
    <w:p w14:paraId="5237968D" w14:textId="06A2465E" w:rsidR="00D44942" w:rsidRDefault="004A5FA7" w:rsidP="00803EC1">
      <w:pPr>
        <w:keepNext/>
        <w:keepLines/>
        <w:jc w:val="both"/>
        <w:rPr>
          <w:rFonts w:ascii="Times New Roman" w:hAnsi="Times New Roman" w:cs="Times New Roman"/>
        </w:rPr>
      </w:pPr>
      <w:r>
        <w:rPr>
          <w:rFonts w:ascii="Times New Roman" w:hAnsi="Times New Roman" w:cs="Times New Roman"/>
        </w:rPr>
        <w:t xml:space="preserve">ESMA expect a </w:t>
      </w:r>
      <w:r w:rsidR="00D44942">
        <w:rPr>
          <w:rFonts w:ascii="Times New Roman" w:hAnsi="Times New Roman" w:cs="Times New Roman"/>
        </w:rPr>
        <w:t>new derivative ISIN to be created when the floating rate of a contract is transferred from LIBOR (or any</w:t>
      </w:r>
      <w:r w:rsidR="0013466A">
        <w:rPr>
          <w:rFonts w:ascii="Times New Roman" w:hAnsi="Times New Roman" w:cs="Times New Roman"/>
        </w:rPr>
        <w:t xml:space="preserve"> other</w:t>
      </w:r>
      <w:r w:rsidR="00D44942">
        <w:rPr>
          <w:rFonts w:ascii="Times New Roman" w:hAnsi="Times New Roman" w:cs="Times New Roman"/>
        </w:rPr>
        <w:t xml:space="preserve"> IBOR rate) to </w:t>
      </w:r>
      <w:proofErr w:type="gramStart"/>
      <w:r w:rsidR="00D44942">
        <w:rPr>
          <w:rFonts w:ascii="Times New Roman" w:hAnsi="Times New Roman" w:cs="Times New Roman"/>
        </w:rPr>
        <w:t>a</w:t>
      </w:r>
      <w:proofErr w:type="gramEnd"/>
      <w:r w:rsidR="00D44942">
        <w:rPr>
          <w:rFonts w:ascii="Times New Roman" w:hAnsi="Times New Roman" w:cs="Times New Roman"/>
        </w:rPr>
        <w:t xml:space="preserve"> RFR.</w:t>
      </w:r>
      <w:r>
        <w:rPr>
          <w:rFonts w:ascii="Times New Roman" w:hAnsi="Times New Roman" w:cs="Times New Roman"/>
        </w:rPr>
        <w:t xml:space="preserve"> This new ISIN would be populated in the Product identification field.</w:t>
      </w:r>
    </w:p>
    <w:p w14:paraId="57BD53BC" w14:textId="77777777" w:rsidR="004A5FA7" w:rsidRDefault="004A5FA7" w:rsidP="00803EC1">
      <w:pPr>
        <w:jc w:val="both"/>
        <w:rPr>
          <w:rFonts w:ascii="Times New Roman" w:hAnsi="Times New Roman" w:cs="Times New Roman"/>
        </w:rPr>
      </w:pPr>
    </w:p>
    <w:p w14:paraId="304C9C49" w14:textId="77777777" w:rsidR="004A5FA7" w:rsidRPr="00C66A13" w:rsidRDefault="004A5FA7" w:rsidP="00803EC1">
      <w:pPr>
        <w:jc w:val="both"/>
        <w:rPr>
          <w:rFonts w:ascii="Times New Roman" w:hAnsi="Times New Roman" w:cs="Times New Roman"/>
          <w:u w:val="single"/>
        </w:rPr>
      </w:pPr>
      <w:r w:rsidRPr="00C66A13">
        <w:rPr>
          <w:rFonts w:ascii="Times New Roman" w:hAnsi="Times New Roman" w:cs="Times New Roman"/>
          <w:u w:val="single"/>
        </w:rPr>
        <w:t>Floating Rate of Leg 1 (2.55) and Floating Rate of Leg 2 (2.58)</w:t>
      </w:r>
    </w:p>
    <w:p w14:paraId="1A43D4E2" w14:textId="47BA3FD6" w:rsidR="004A5FA7" w:rsidRDefault="004A5FA7" w:rsidP="00803EC1">
      <w:pPr>
        <w:jc w:val="both"/>
        <w:rPr>
          <w:rFonts w:ascii="Times New Roman" w:hAnsi="Times New Roman" w:cs="Times New Roman"/>
        </w:rPr>
      </w:pPr>
      <w:r>
        <w:rPr>
          <w:rFonts w:ascii="Times New Roman" w:hAnsi="Times New Roman" w:cs="Times New Roman"/>
        </w:rPr>
        <w:t xml:space="preserve">The Floating Rate fields would need to be amended to reflect the new RFR. Where possible, the 4-letter ISO 20022 code should be used (see Table 2). </w:t>
      </w:r>
    </w:p>
    <w:p w14:paraId="1C2D9CAC" w14:textId="77777777" w:rsidR="004A5FA7" w:rsidRDefault="004A5FA7" w:rsidP="00803EC1">
      <w:pPr>
        <w:jc w:val="both"/>
        <w:rPr>
          <w:rFonts w:ascii="Times New Roman" w:hAnsi="Times New Roman" w:cs="Times New Roman"/>
          <w:u w:val="single"/>
        </w:rPr>
      </w:pPr>
    </w:p>
    <w:p w14:paraId="758D06AC" w14:textId="3E45F0A4" w:rsidR="004A5FA7" w:rsidRPr="00A0313C" w:rsidRDefault="004A5FA7" w:rsidP="00803EC1">
      <w:pPr>
        <w:jc w:val="both"/>
        <w:rPr>
          <w:rFonts w:ascii="Times New Roman" w:hAnsi="Times New Roman" w:cs="Times New Roman"/>
          <w:u w:val="single"/>
        </w:rPr>
      </w:pPr>
      <w:r w:rsidRPr="00A0313C">
        <w:rPr>
          <w:rFonts w:ascii="Times New Roman" w:hAnsi="Times New Roman" w:cs="Times New Roman"/>
          <w:u w:val="single"/>
        </w:rPr>
        <w:t>Timing of reporting</w:t>
      </w:r>
    </w:p>
    <w:p w14:paraId="4F2FD014" w14:textId="1A723F6B" w:rsidR="004A5FA7" w:rsidRDefault="004A5FA7" w:rsidP="00803EC1">
      <w:pPr>
        <w:jc w:val="both"/>
        <w:rPr>
          <w:rFonts w:ascii="Times New Roman" w:hAnsi="Times New Roman" w:cs="Times New Roman"/>
        </w:rPr>
      </w:pPr>
      <w:r>
        <w:rPr>
          <w:rFonts w:ascii="Times New Roman" w:hAnsi="Times New Roman" w:cs="Times New Roman"/>
        </w:rPr>
        <w:t xml:space="preserve">The voluntary transfer from LIBOR to a RFR can be carried out at any time. Once the transfer to a RFR is agreed and executed between the counterparties to a contract, the counterparties would be expected to report the modification as per standard BAU amendment reporting requirements. </w:t>
      </w:r>
    </w:p>
    <w:p w14:paraId="46D71838" w14:textId="77777777" w:rsidR="004A5FA7" w:rsidRPr="00D44942" w:rsidRDefault="004A5FA7" w:rsidP="00803EC1">
      <w:pPr>
        <w:jc w:val="both"/>
        <w:rPr>
          <w:rFonts w:ascii="Times New Roman" w:hAnsi="Times New Roman" w:cs="Times New Roman"/>
        </w:rPr>
      </w:pPr>
    </w:p>
    <w:p w14:paraId="3535F117" w14:textId="54CFB823" w:rsidR="00F7714C" w:rsidRDefault="00F7714C" w:rsidP="00803EC1">
      <w:pPr>
        <w:jc w:val="both"/>
        <w:rPr>
          <w:rFonts w:ascii="Times New Roman" w:hAnsi="Times New Roman" w:cs="Times New Roman"/>
          <w:b/>
          <w:bCs/>
        </w:rPr>
      </w:pPr>
      <w:r w:rsidRPr="004A5FA7">
        <w:rPr>
          <w:rFonts w:ascii="Times New Roman" w:hAnsi="Times New Roman" w:cs="Times New Roman"/>
          <w:b/>
          <w:bCs/>
        </w:rPr>
        <w:t>‘Tough legacy’ LIBOR trades</w:t>
      </w:r>
    </w:p>
    <w:p w14:paraId="3FD7EC0F" w14:textId="7C803A79" w:rsidR="00736690" w:rsidRDefault="00736690" w:rsidP="00803EC1">
      <w:pPr>
        <w:jc w:val="both"/>
        <w:rPr>
          <w:rFonts w:ascii="Times New Roman" w:hAnsi="Times New Roman" w:cs="Times New Roman"/>
        </w:rPr>
      </w:pPr>
      <w:r>
        <w:rPr>
          <w:rFonts w:ascii="Times New Roman" w:hAnsi="Times New Roman" w:cs="Times New Roman"/>
        </w:rPr>
        <w:t xml:space="preserve">‘Tough legacy’ trades are </w:t>
      </w:r>
      <w:r w:rsidRPr="00736690">
        <w:rPr>
          <w:rFonts w:ascii="Times New Roman" w:hAnsi="Times New Roman" w:cs="Times New Roman"/>
        </w:rPr>
        <w:t xml:space="preserve">LIBOR contracts that cannot be transferred to a RFR and </w:t>
      </w:r>
      <w:r w:rsidR="00787864">
        <w:rPr>
          <w:rFonts w:ascii="Times New Roman" w:hAnsi="Times New Roman" w:cs="Times New Roman"/>
        </w:rPr>
        <w:t>do not contain fallbacks</w:t>
      </w:r>
      <w:r w:rsidRPr="00736690">
        <w:rPr>
          <w:rFonts w:ascii="Times New Roman" w:hAnsi="Times New Roman" w:cs="Times New Roman"/>
        </w:rPr>
        <w:t>. LIBOR will remain the floating rate</w:t>
      </w:r>
      <w:r>
        <w:rPr>
          <w:rFonts w:ascii="Times New Roman" w:hAnsi="Times New Roman" w:cs="Times New Roman"/>
        </w:rPr>
        <w:t xml:space="preserve"> for such contacts</w:t>
      </w:r>
      <w:r w:rsidRPr="00736690">
        <w:rPr>
          <w:rFonts w:ascii="Times New Roman" w:hAnsi="Times New Roman" w:cs="Times New Roman"/>
        </w:rPr>
        <w:t>, but a different methodology will be applied</w:t>
      </w:r>
      <w:r>
        <w:rPr>
          <w:rFonts w:ascii="Times New Roman" w:hAnsi="Times New Roman" w:cs="Times New Roman"/>
        </w:rPr>
        <w:t xml:space="preserve">, </w:t>
      </w:r>
      <w:r w:rsidR="00787864">
        <w:rPr>
          <w:rFonts w:ascii="Times New Roman" w:hAnsi="Times New Roman" w:cs="Times New Roman"/>
        </w:rPr>
        <w:t>e.g.,</w:t>
      </w:r>
      <w:r>
        <w:rPr>
          <w:rFonts w:ascii="Times New Roman" w:hAnsi="Times New Roman" w:cs="Times New Roman"/>
        </w:rPr>
        <w:t xml:space="preserve"> </w:t>
      </w:r>
      <w:r w:rsidRPr="00736690">
        <w:rPr>
          <w:rFonts w:ascii="Times New Roman" w:hAnsi="Times New Roman" w:cs="Times New Roman"/>
        </w:rPr>
        <w:t xml:space="preserve">a synthetic </w:t>
      </w:r>
      <w:r w:rsidR="00CC6599">
        <w:rPr>
          <w:rFonts w:ascii="Times New Roman" w:hAnsi="Times New Roman" w:cs="Times New Roman"/>
        </w:rPr>
        <w:t xml:space="preserve">rate </w:t>
      </w:r>
      <w:r w:rsidR="00787864">
        <w:rPr>
          <w:rFonts w:ascii="Times New Roman" w:hAnsi="Times New Roman" w:cs="Times New Roman"/>
        </w:rPr>
        <w:t>that is published on a non-representative basis, another rate that could apply statutorily or, potentially, a reference bank poll</w:t>
      </w:r>
      <w:r w:rsidRPr="00736690">
        <w:rPr>
          <w:rFonts w:ascii="Times New Roman" w:hAnsi="Times New Roman" w:cs="Times New Roman"/>
        </w:rPr>
        <w:t>.</w:t>
      </w:r>
    </w:p>
    <w:p w14:paraId="5F97ABDE" w14:textId="237996CC" w:rsidR="00736690" w:rsidRPr="00736690" w:rsidRDefault="00736690" w:rsidP="00803EC1">
      <w:pPr>
        <w:jc w:val="both"/>
        <w:rPr>
          <w:rFonts w:ascii="Times New Roman" w:hAnsi="Times New Roman" w:cs="Times New Roman"/>
        </w:rPr>
      </w:pPr>
      <w:r>
        <w:rPr>
          <w:rFonts w:ascii="Times New Roman" w:hAnsi="Times New Roman" w:cs="Times New Roman"/>
        </w:rPr>
        <w:t xml:space="preserve">Given ‘tough legacy’ trades will remain unchanged following LIBOR cessation, the ISDA Data and Reporting EMEA Working Group concluded there would be no </w:t>
      </w:r>
      <w:r w:rsidR="00582FE9">
        <w:rPr>
          <w:rFonts w:ascii="Times New Roman" w:hAnsi="Times New Roman" w:cs="Times New Roman"/>
        </w:rPr>
        <w:t xml:space="preserve">additional </w:t>
      </w:r>
      <w:r>
        <w:rPr>
          <w:rFonts w:ascii="Times New Roman" w:hAnsi="Times New Roman" w:cs="Times New Roman"/>
        </w:rPr>
        <w:t>trade reporting requirements. ‘</w:t>
      </w:r>
      <w:r w:rsidR="00582FE9">
        <w:rPr>
          <w:rFonts w:ascii="Times New Roman" w:hAnsi="Times New Roman" w:cs="Times New Roman"/>
        </w:rPr>
        <w:t>T</w:t>
      </w:r>
      <w:r>
        <w:rPr>
          <w:rFonts w:ascii="Times New Roman" w:hAnsi="Times New Roman" w:cs="Times New Roman"/>
        </w:rPr>
        <w:t xml:space="preserve">ough legacy’ trades would be identifiable post-cessation effective date </w:t>
      </w:r>
      <w:r w:rsidR="00582FE9">
        <w:rPr>
          <w:rFonts w:ascii="Times New Roman" w:hAnsi="Times New Roman" w:cs="Times New Roman"/>
        </w:rPr>
        <w:t xml:space="preserve">due to </w:t>
      </w:r>
      <w:r>
        <w:rPr>
          <w:rFonts w:ascii="Times New Roman" w:hAnsi="Times New Roman" w:cs="Times New Roman"/>
        </w:rPr>
        <w:t>the derivative ISIN remain</w:t>
      </w:r>
      <w:r w:rsidR="00582FE9">
        <w:rPr>
          <w:rFonts w:ascii="Times New Roman" w:hAnsi="Times New Roman" w:cs="Times New Roman"/>
        </w:rPr>
        <w:t>ing</w:t>
      </w:r>
      <w:r>
        <w:rPr>
          <w:rFonts w:ascii="Times New Roman" w:hAnsi="Times New Roman" w:cs="Times New Roman"/>
        </w:rPr>
        <w:t xml:space="preserve"> unchanged and the Floating Rate of Leg 1 and/or Floating Rate of Leg 2 fields will still be populated with “LIBO”.</w:t>
      </w:r>
    </w:p>
    <w:p w14:paraId="364135CD" w14:textId="1E844673" w:rsidR="00F5591E" w:rsidRDefault="00F5591E" w:rsidP="00803EC1">
      <w:pPr>
        <w:spacing w:after="0"/>
        <w:ind w:left="360"/>
        <w:jc w:val="both"/>
        <w:rPr>
          <w:rFonts w:ascii="Times New Roman" w:hAnsi="Times New Roman" w:cs="Times New Roman"/>
          <w:sz w:val="24"/>
          <w:szCs w:val="24"/>
        </w:rPr>
      </w:pPr>
    </w:p>
    <w:p w14:paraId="538F72D5" w14:textId="77777777" w:rsidR="00F5591E" w:rsidRDefault="00F5591E" w:rsidP="00803EC1">
      <w:pPr>
        <w:spacing w:after="0"/>
        <w:ind w:left="360"/>
        <w:jc w:val="both"/>
        <w:rPr>
          <w:rFonts w:ascii="Times New Roman" w:hAnsi="Times New Roman" w:cs="Times New Roman"/>
          <w:sz w:val="24"/>
          <w:szCs w:val="24"/>
        </w:rPr>
      </w:pPr>
    </w:p>
    <w:p w14:paraId="73C5AD28" w14:textId="64EF1261" w:rsidR="00F5591E" w:rsidRPr="00225A52" w:rsidRDefault="00F5591E" w:rsidP="00803EC1">
      <w:pPr>
        <w:keepNext/>
        <w:keepLines/>
        <w:jc w:val="both"/>
        <w:rPr>
          <w:rFonts w:ascii="Times New Roman" w:hAnsi="Times New Roman" w:cs="Times New Roman"/>
          <w:b/>
          <w:bCs/>
          <w:sz w:val="24"/>
          <w:szCs w:val="24"/>
          <w:u w:val="single"/>
        </w:rPr>
      </w:pPr>
      <w:r w:rsidRPr="00225A52">
        <w:rPr>
          <w:rFonts w:ascii="Times New Roman" w:hAnsi="Times New Roman" w:cs="Times New Roman"/>
          <w:b/>
          <w:bCs/>
          <w:u w:val="single"/>
        </w:rPr>
        <w:lastRenderedPageBreak/>
        <w:t>MiFID</w:t>
      </w:r>
      <w:r w:rsidRPr="00225A52">
        <w:rPr>
          <w:rFonts w:ascii="Times New Roman" w:hAnsi="Times New Roman" w:cs="Times New Roman"/>
          <w:b/>
          <w:bCs/>
          <w:sz w:val="24"/>
          <w:szCs w:val="24"/>
          <w:u w:val="single"/>
        </w:rPr>
        <w:t xml:space="preserve"> II</w:t>
      </w:r>
      <w:r w:rsidR="00801D2F" w:rsidRPr="00225A52">
        <w:rPr>
          <w:rFonts w:ascii="Times New Roman" w:hAnsi="Times New Roman" w:cs="Times New Roman"/>
          <w:b/>
          <w:bCs/>
          <w:sz w:val="24"/>
          <w:szCs w:val="24"/>
          <w:u w:val="single"/>
        </w:rPr>
        <w:t xml:space="preserve"> (EU)</w:t>
      </w:r>
    </w:p>
    <w:p w14:paraId="11FF090A" w14:textId="1D3BCDF5" w:rsidR="00225A52" w:rsidRPr="00FC2336" w:rsidRDefault="00225A52" w:rsidP="00803EC1">
      <w:pPr>
        <w:keepNext/>
        <w:keepLines/>
        <w:jc w:val="both"/>
        <w:rPr>
          <w:rFonts w:ascii="Times New Roman" w:hAnsi="Times New Roman" w:cs="Times New Roman"/>
          <w:b/>
          <w:bCs/>
        </w:rPr>
      </w:pPr>
      <w:r>
        <w:rPr>
          <w:rFonts w:ascii="Times New Roman" w:hAnsi="Times New Roman" w:cs="Times New Roman"/>
          <w:b/>
          <w:bCs/>
        </w:rPr>
        <w:t xml:space="preserve">RTS 22 reporting </w:t>
      </w:r>
    </w:p>
    <w:p w14:paraId="067C555C" w14:textId="2A2D2FCE" w:rsidR="00225A52" w:rsidRDefault="00225A52" w:rsidP="00803EC1">
      <w:pPr>
        <w:keepNext/>
        <w:keepLines/>
        <w:jc w:val="both"/>
        <w:rPr>
          <w:rFonts w:ascii="Times New Roman" w:hAnsi="Times New Roman" w:cs="Times New Roman"/>
        </w:rPr>
      </w:pPr>
      <w:r>
        <w:rPr>
          <w:rFonts w:ascii="Times New Roman" w:hAnsi="Times New Roman" w:cs="Times New Roman"/>
        </w:rPr>
        <w:t>The triggering of a Fallback rate does not fall within the scope of reportable transactions under RTS 22 Article 2. Therefore, there will not be a requirement to submit RTS 22 messages upon LIBOR cessation.</w:t>
      </w:r>
    </w:p>
    <w:p w14:paraId="228FABD5" w14:textId="144B878E" w:rsidR="00225A52" w:rsidRDefault="00225A52" w:rsidP="00803EC1">
      <w:pPr>
        <w:keepNext/>
        <w:keepLines/>
        <w:jc w:val="both"/>
        <w:rPr>
          <w:rFonts w:ascii="Times New Roman" w:hAnsi="Times New Roman" w:cs="Times New Roman"/>
        </w:rPr>
      </w:pPr>
      <w:r>
        <w:rPr>
          <w:rFonts w:ascii="Times New Roman" w:hAnsi="Times New Roman" w:cs="Times New Roman"/>
        </w:rPr>
        <w:t>Similarly, voluntary transfers to a RFR are not reportable for RTS 22. As stated in the answer to MiFIR Q&amp;A Question 18(d):</w:t>
      </w:r>
    </w:p>
    <w:p w14:paraId="309C1AD1" w14:textId="252F5A7A" w:rsidR="00225A52" w:rsidRDefault="00225A52" w:rsidP="00803EC1">
      <w:pPr>
        <w:ind w:left="720"/>
        <w:jc w:val="both"/>
        <w:rPr>
          <w:rFonts w:ascii="Times New Roman" w:hAnsi="Times New Roman" w:cs="Times New Roman"/>
        </w:rPr>
      </w:pPr>
      <w:r>
        <w:rPr>
          <w:rFonts w:ascii="Times New Roman" w:hAnsi="Times New Roman" w:cs="Times New Roman"/>
        </w:rPr>
        <w:t>“</w:t>
      </w:r>
      <w:r w:rsidRPr="00225A52">
        <w:rPr>
          <w:rFonts w:ascii="Times New Roman" w:hAnsi="Times New Roman" w:cs="Times New Roman"/>
        </w:rPr>
        <w:t>the voluntary switch to risk-free rates is not considered a reportable transaction under MiFIR Article 26 as it would fall under RTS 22 Article 2(5)(i) exemption (the creation, expiration or redemption of a financial instrument as a result of pre-determined contractual terms, or as a result of mandatory events which are beyond the control of the investor where no investment decision by the investor takes place at the point in time of the creation, expiration or redemption of the financial instrument).”</w:t>
      </w:r>
    </w:p>
    <w:p w14:paraId="74D1949F" w14:textId="35361FFA" w:rsidR="002F285B" w:rsidRDefault="002508C0" w:rsidP="00803EC1">
      <w:pPr>
        <w:jc w:val="both"/>
        <w:rPr>
          <w:rFonts w:ascii="Times New Roman" w:hAnsi="Times New Roman" w:cs="Times New Roman"/>
        </w:rPr>
      </w:pPr>
      <w:r>
        <w:rPr>
          <w:rFonts w:ascii="Times New Roman" w:hAnsi="Times New Roman" w:cs="Times New Roman"/>
        </w:rPr>
        <w:t xml:space="preserve">If a Fallback rate has been triggered or if the trade has transferred from a LIBOR to </w:t>
      </w:r>
      <w:proofErr w:type="gramStart"/>
      <w:r>
        <w:rPr>
          <w:rFonts w:ascii="Times New Roman" w:hAnsi="Times New Roman" w:cs="Times New Roman"/>
        </w:rPr>
        <w:t>a</w:t>
      </w:r>
      <w:proofErr w:type="gramEnd"/>
      <w:r>
        <w:rPr>
          <w:rFonts w:ascii="Times New Roman" w:hAnsi="Times New Roman" w:cs="Times New Roman"/>
        </w:rPr>
        <w:t xml:space="preserve"> RFR,</w:t>
      </w:r>
      <w:r w:rsidR="00A33259">
        <w:rPr>
          <w:rFonts w:ascii="Times New Roman" w:hAnsi="Times New Roman" w:cs="Times New Roman"/>
        </w:rPr>
        <w:t xml:space="preserve"> and there is a subsequent reportable event such as a notional increase or decrease, </w:t>
      </w:r>
      <w:r>
        <w:rPr>
          <w:rFonts w:ascii="Times New Roman" w:hAnsi="Times New Roman" w:cs="Times New Roman"/>
        </w:rPr>
        <w:t xml:space="preserve">the </w:t>
      </w:r>
      <w:r w:rsidR="00A33259">
        <w:rPr>
          <w:rFonts w:ascii="Times New Roman" w:hAnsi="Times New Roman" w:cs="Times New Roman"/>
        </w:rPr>
        <w:t xml:space="preserve">opinion of the </w:t>
      </w:r>
      <w:r>
        <w:rPr>
          <w:rFonts w:ascii="Times New Roman" w:hAnsi="Times New Roman" w:cs="Times New Roman"/>
        </w:rPr>
        <w:t xml:space="preserve">ISDA Data and Reporting EMEA Working Group </w:t>
      </w:r>
      <w:r w:rsidR="00A33259">
        <w:rPr>
          <w:rFonts w:ascii="Times New Roman" w:hAnsi="Times New Roman" w:cs="Times New Roman"/>
        </w:rPr>
        <w:t xml:space="preserve">is for the </w:t>
      </w:r>
      <w:r>
        <w:rPr>
          <w:rFonts w:ascii="Times New Roman" w:hAnsi="Times New Roman" w:cs="Times New Roman"/>
        </w:rPr>
        <w:t xml:space="preserve">reference rate </w:t>
      </w:r>
      <w:r w:rsidR="00A33259">
        <w:rPr>
          <w:rFonts w:ascii="Times New Roman" w:hAnsi="Times New Roman" w:cs="Times New Roman"/>
        </w:rPr>
        <w:t xml:space="preserve">as </w:t>
      </w:r>
      <w:r>
        <w:rPr>
          <w:rFonts w:ascii="Times New Roman" w:hAnsi="Times New Roman" w:cs="Times New Roman"/>
        </w:rPr>
        <w:t>at the time of the post-trade event</w:t>
      </w:r>
      <w:r w:rsidR="00A33259">
        <w:rPr>
          <w:rFonts w:ascii="Times New Roman" w:hAnsi="Times New Roman" w:cs="Times New Roman"/>
        </w:rPr>
        <w:t xml:space="preserve"> to be populated on the message</w:t>
      </w:r>
      <w:r>
        <w:rPr>
          <w:rFonts w:ascii="Times New Roman" w:hAnsi="Times New Roman" w:cs="Times New Roman"/>
        </w:rPr>
        <w:t>, i.e. the RTS 22 report would reflect the Fallback rate / RFR.</w:t>
      </w:r>
    </w:p>
    <w:p w14:paraId="63DC358B" w14:textId="63DC63F9" w:rsidR="00225A52" w:rsidRDefault="00225A52" w:rsidP="00803EC1">
      <w:pPr>
        <w:spacing w:after="0"/>
        <w:jc w:val="both"/>
        <w:rPr>
          <w:rFonts w:ascii="Times New Roman" w:hAnsi="Times New Roman" w:cs="Times New Roman"/>
          <w:b/>
          <w:bCs/>
          <w:sz w:val="24"/>
          <w:szCs w:val="24"/>
        </w:rPr>
      </w:pPr>
    </w:p>
    <w:p w14:paraId="18F437E4" w14:textId="478CE6A1" w:rsidR="00225A52" w:rsidRPr="009D1E8A" w:rsidRDefault="009D1E8A" w:rsidP="00803EC1">
      <w:pPr>
        <w:jc w:val="both"/>
        <w:rPr>
          <w:rFonts w:ascii="Times New Roman" w:hAnsi="Times New Roman" w:cs="Times New Roman"/>
          <w:b/>
          <w:bCs/>
        </w:rPr>
      </w:pPr>
      <w:r w:rsidRPr="009D1E8A">
        <w:rPr>
          <w:rFonts w:ascii="Times New Roman" w:hAnsi="Times New Roman" w:cs="Times New Roman"/>
          <w:b/>
          <w:bCs/>
        </w:rPr>
        <w:t xml:space="preserve">ISINs and </w:t>
      </w:r>
      <w:r w:rsidR="00225A52" w:rsidRPr="009D1E8A">
        <w:rPr>
          <w:rFonts w:ascii="Times New Roman" w:hAnsi="Times New Roman" w:cs="Times New Roman"/>
          <w:b/>
          <w:bCs/>
        </w:rPr>
        <w:t>RTS 23 reporting</w:t>
      </w:r>
    </w:p>
    <w:p w14:paraId="418BB644" w14:textId="683EC354" w:rsidR="009D1E8A" w:rsidRDefault="009D1E8A" w:rsidP="00803EC1">
      <w:pPr>
        <w:jc w:val="both"/>
        <w:rPr>
          <w:rFonts w:ascii="Times New Roman" w:hAnsi="Times New Roman" w:cs="Times New Roman"/>
        </w:rPr>
      </w:pPr>
      <w:r w:rsidRPr="00225A52">
        <w:rPr>
          <w:rFonts w:ascii="Times New Roman" w:hAnsi="Times New Roman" w:cs="Times New Roman"/>
        </w:rPr>
        <w:t xml:space="preserve">As </w:t>
      </w:r>
      <w:r>
        <w:rPr>
          <w:rFonts w:ascii="Times New Roman" w:hAnsi="Times New Roman" w:cs="Times New Roman"/>
        </w:rPr>
        <w:t>with the guidance for EMIR reporting, ESMA expect a new derivative ISIN to be created when a fallback rate is triggered. The same principles outlined above</w:t>
      </w:r>
      <w:r w:rsidR="00A33259">
        <w:rPr>
          <w:rFonts w:ascii="Times New Roman" w:hAnsi="Times New Roman" w:cs="Times New Roman"/>
        </w:rPr>
        <w:t xml:space="preserve"> (see Table 1)</w:t>
      </w:r>
      <w:r>
        <w:rPr>
          <w:rFonts w:ascii="Times New Roman" w:hAnsi="Times New Roman" w:cs="Times New Roman"/>
        </w:rPr>
        <w:t xml:space="preserve"> will apply under MiFID II for creating the derivative ISIN when a fallback is triggered. See MiFIR Q&amp;A Question 18.</w:t>
      </w:r>
    </w:p>
    <w:p w14:paraId="1E225D5B" w14:textId="77777777" w:rsidR="009D1E8A" w:rsidRPr="002F285B" w:rsidRDefault="009D1E8A" w:rsidP="00803EC1">
      <w:pPr>
        <w:jc w:val="both"/>
        <w:rPr>
          <w:rFonts w:ascii="Times New Roman" w:hAnsi="Times New Roman" w:cs="Times New Roman"/>
        </w:rPr>
      </w:pPr>
      <w:r w:rsidRPr="002F285B">
        <w:rPr>
          <w:rFonts w:ascii="Times New Roman" w:hAnsi="Times New Roman" w:cs="Times New Roman"/>
        </w:rPr>
        <w:t>Q&amp;A Question 18(a) states that where an ISIN is assigned to a risk-free rate, the ISIN should be reported in the field ‘Underlying instrument code’. Additionally, the 4-letter ISO code for the rate should be populated for the ‘Underlying index name’, ‘Reference rate’ and ‘Floating rate of leg 2’.</w:t>
      </w:r>
    </w:p>
    <w:p w14:paraId="2B2D8D71" w14:textId="77777777" w:rsidR="009D1E8A" w:rsidRPr="002F285B" w:rsidRDefault="009D1E8A" w:rsidP="00803EC1">
      <w:pPr>
        <w:jc w:val="both"/>
        <w:rPr>
          <w:rFonts w:ascii="Times New Roman" w:hAnsi="Times New Roman" w:cs="Times New Roman"/>
        </w:rPr>
      </w:pPr>
      <w:r w:rsidRPr="002F285B">
        <w:rPr>
          <w:rFonts w:ascii="Times New Roman" w:hAnsi="Times New Roman" w:cs="Times New Roman"/>
        </w:rPr>
        <w:t xml:space="preserve">As with EMIR reporting, if a 4-letter ISO code does not exist for a floating rate, a value of up to 25 alphanumeric characters is to be reported. </w:t>
      </w:r>
    </w:p>
    <w:p w14:paraId="037884CF" w14:textId="693E5CCF" w:rsidR="009D1E8A" w:rsidRPr="002F285B" w:rsidRDefault="00E17ECE" w:rsidP="00803EC1">
      <w:pPr>
        <w:jc w:val="both"/>
        <w:rPr>
          <w:rFonts w:ascii="Times New Roman" w:hAnsi="Times New Roman" w:cs="Times New Roman"/>
        </w:rPr>
      </w:pPr>
      <w:r w:rsidRPr="002F285B">
        <w:rPr>
          <w:rFonts w:ascii="Times New Roman" w:hAnsi="Times New Roman" w:cs="Times New Roman"/>
        </w:rPr>
        <w:t>ESMA expect derivative ISINs to be created with reference to the RFR on which adjustments are applied to achieve the Fallback rate. Therefore,</w:t>
      </w:r>
      <w:r w:rsidR="002F285B">
        <w:rPr>
          <w:rFonts w:ascii="Times New Roman" w:hAnsi="Times New Roman" w:cs="Times New Roman"/>
        </w:rPr>
        <w:t xml:space="preserve"> </w:t>
      </w:r>
      <w:r w:rsidRPr="002F285B">
        <w:rPr>
          <w:rFonts w:ascii="Times New Roman" w:hAnsi="Times New Roman" w:cs="Times New Roman"/>
        </w:rPr>
        <w:t>the relevant RTS 23 fields would be populated to reflect the underlying RFR applicable to the Fallback rate</w:t>
      </w:r>
      <w:r w:rsidR="002F285B" w:rsidRPr="002F285B">
        <w:rPr>
          <w:rFonts w:ascii="Times New Roman" w:hAnsi="Times New Roman" w:cs="Times New Roman"/>
        </w:rPr>
        <w:t xml:space="preserve">. </w:t>
      </w:r>
      <w:r w:rsidRPr="002F285B">
        <w:rPr>
          <w:rFonts w:ascii="Times New Roman" w:hAnsi="Times New Roman" w:cs="Times New Roman"/>
        </w:rPr>
        <w:t xml:space="preserve"> </w:t>
      </w:r>
    </w:p>
    <w:p w14:paraId="77F75E43" w14:textId="3CB1B457" w:rsidR="00225A52" w:rsidRPr="00720ADA" w:rsidRDefault="00225A52" w:rsidP="00803EC1">
      <w:pPr>
        <w:jc w:val="both"/>
        <w:rPr>
          <w:rFonts w:ascii="Times New Roman" w:hAnsi="Times New Roman" w:cs="Times New Roman"/>
        </w:rPr>
      </w:pPr>
      <w:r w:rsidRPr="00720ADA">
        <w:rPr>
          <w:rFonts w:ascii="Times New Roman" w:hAnsi="Times New Roman" w:cs="Times New Roman"/>
        </w:rPr>
        <w:t xml:space="preserve">ESMA </w:t>
      </w:r>
      <w:r w:rsidR="00D85865" w:rsidRPr="00720ADA">
        <w:rPr>
          <w:rFonts w:ascii="Times New Roman" w:hAnsi="Times New Roman" w:cs="Times New Roman"/>
        </w:rPr>
        <w:t xml:space="preserve">state in MiFIR Q&amp;A Question 18(e) that when a derivative instrument is assigned a new ISIN </w:t>
      </w:r>
      <w:proofErr w:type="gramStart"/>
      <w:r w:rsidR="00720ADA" w:rsidRPr="00720ADA">
        <w:rPr>
          <w:rFonts w:ascii="Times New Roman" w:hAnsi="Times New Roman" w:cs="Times New Roman"/>
        </w:rPr>
        <w:t>as a result of</w:t>
      </w:r>
      <w:proofErr w:type="gramEnd"/>
      <w:r w:rsidR="00720ADA" w:rsidRPr="00720ADA">
        <w:rPr>
          <w:rFonts w:ascii="Times New Roman" w:hAnsi="Times New Roman" w:cs="Times New Roman"/>
        </w:rPr>
        <w:t xml:space="preserve"> </w:t>
      </w:r>
      <w:r w:rsidR="00D85865" w:rsidRPr="00720ADA">
        <w:rPr>
          <w:rFonts w:ascii="Times New Roman" w:hAnsi="Times New Roman" w:cs="Times New Roman"/>
        </w:rPr>
        <w:t xml:space="preserve">the </w:t>
      </w:r>
      <w:r w:rsidR="00A33259">
        <w:rPr>
          <w:rFonts w:ascii="Times New Roman" w:hAnsi="Times New Roman" w:cs="Times New Roman"/>
        </w:rPr>
        <w:t>F</w:t>
      </w:r>
      <w:r w:rsidR="00D85865" w:rsidRPr="00720ADA">
        <w:rPr>
          <w:rFonts w:ascii="Times New Roman" w:hAnsi="Times New Roman" w:cs="Times New Roman"/>
        </w:rPr>
        <w:t xml:space="preserve">allback rate being triggered, reporting parties should (1) terminate the financial instrument in FIRDS and (2) resubmit to FIRDS the financial instrument reference data with the new ISIN (see EMIR section </w:t>
      </w:r>
      <w:r w:rsidR="00A33259">
        <w:rPr>
          <w:rFonts w:ascii="Times New Roman" w:hAnsi="Times New Roman" w:cs="Times New Roman"/>
        </w:rPr>
        <w:t>above</w:t>
      </w:r>
      <w:r w:rsidR="00CC6599">
        <w:rPr>
          <w:rFonts w:ascii="Times New Roman" w:hAnsi="Times New Roman" w:cs="Times New Roman"/>
        </w:rPr>
        <w:t xml:space="preserve"> for the attributes of the new ISIN</w:t>
      </w:r>
      <w:r w:rsidR="00D85865" w:rsidRPr="00720ADA">
        <w:rPr>
          <w:rFonts w:ascii="Times New Roman" w:hAnsi="Times New Roman" w:cs="Times New Roman"/>
        </w:rPr>
        <w:t>).</w:t>
      </w:r>
    </w:p>
    <w:p w14:paraId="62F96F80" w14:textId="27F78A07" w:rsidR="00126F3D" w:rsidRDefault="00126F3D" w:rsidP="00803EC1">
      <w:pPr>
        <w:spacing w:after="0"/>
        <w:jc w:val="both"/>
        <w:rPr>
          <w:rFonts w:ascii="Times New Roman" w:hAnsi="Times New Roman" w:cs="Times New Roman"/>
          <w:sz w:val="24"/>
          <w:szCs w:val="24"/>
        </w:rPr>
      </w:pPr>
    </w:p>
    <w:p w14:paraId="16B792B8" w14:textId="77777777" w:rsidR="002F285B" w:rsidRDefault="002F285B" w:rsidP="00803EC1">
      <w:pPr>
        <w:jc w:val="both"/>
        <w:rPr>
          <w:rFonts w:ascii="Times New Roman" w:hAnsi="Times New Roman" w:cs="Times New Roman"/>
          <w:b/>
          <w:bCs/>
        </w:rPr>
      </w:pPr>
      <w:r w:rsidRPr="00A0313C">
        <w:rPr>
          <w:rFonts w:ascii="Times New Roman" w:hAnsi="Times New Roman" w:cs="Times New Roman"/>
          <w:b/>
          <w:bCs/>
        </w:rPr>
        <w:t xml:space="preserve">Voluntary transfer to a </w:t>
      </w:r>
      <w:proofErr w:type="gramStart"/>
      <w:r w:rsidRPr="00A0313C">
        <w:rPr>
          <w:rFonts w:ascii="Times New Roman" w:hAnsi="Times New Roman" w:cs="Times New Roman"/>
          <w:b/>
          <w:bCs/>
        </w:rPr>
        <w:t>risk free</w:t>
      </w:r>
      <w:proofErr w:type="gramEnd"/>
      <w:r w:rsidRPr="00A0313C">
        <w:rPr>
          <w:rFonts w:ascii="Times New Roman" w:hAnsi="Times New Roman" w:cs="Times New Roman"/>
          <w:b/>
          <w:bCs/>
        </w:rPr>
        <w:t xml:space="preserve"> rate (RFR)</w:t>
      </w:r>
    </w:p>
    <w:p w14:paraId="2B299B90" w14:textId="30FEACA1" w:rsidR="002F285B" w:rsidRDefault="002F285B" w:rsidP="00803EC1">
      <w:pPr>
        <w:jc w:val="both"/>
        <w:rPr>
          <w:rFonts w:ascii="Times New Roman" w:hAnsi="Times New Roman" w:cs="Times New Roman"/>
        </w:rPr>
      </w:pPr>
      <w:r>
        <w:rPr>
          <w:rFonts w:ascii="Times New Roman" w:hAnsi="Times New Roman" w:cs="Times New Roman"/>
        </w:rPr>
        <w:t xml:space="preserve">The </w:t>
      </w:r>
      <w:r w:rsidRPr="008C7AEF">
        <w:rPr>
          <w:rFonts w:ascii="Times New Roman" w:hAnsi="Times New Roman" w:cs="Times New Roman"/>
        </w:rPr>
        <w:t>ISDA Data and Reporting EMEA Working Group</w:t>
      </w:r>
      <w:r>
        <w:rPr>
          <w:rFonts w:ascii="Times New Roman" w:hAnsi="Times New Roman" w:cs="Times New Roman"/>
        </w:rPr>
        <w:t xml:space="preserve"> considered whether instead of reporting a modification, the guidance precludes market participants terminating the original LIBOR contract and booking a new RFR contract, and</w:t>
      </w:r>
      <w:r w:rsidR="004F31DD">
        <w:rPr>
          <w:rFonts w:ascii="Times New Roman" w:hAnsi="Times New Roman" w:cs="Times New Roman"/>
        </w:rPr>
        <w:t xml:space="preserve"> if so,</w:t>
      </w:r>
      <w:r>
        <w:rPr>
          <w:rFonts w:ascii="Times New Roman" w:hAnsi="Times New Roman" w:cs="Times New Roman"/>
        </w:rPr>
        <w:t xml:space="preserve"> whether this would result in an RTS 22 reporting requirement. The regulatory guidance only refers to the modification of a trade and market participants should seek internal advice on whether to report in an alternative way. </w:t>
      </w:r>
    </w:p>
    <w:p w14:paraId="5E7702E9" w14:textId="77777777" w:rsidR="002F285B" w:rsidRDefault="002F285B" w:rsidP="00803EC1">
      <w:pPr>
        <w:spacing w:after="0"/>
        <w:jc w:val="both"/>
        <w:rPr>
          <w:rFonts w:ascii="Times New Roman" w:hAnsi="Times New Roman" w:cs="Times New Roman"/>
          <w:sz w:val="24"/>
          <w:szCs w:val="24"/>
        </w:rPr>
      </w:pPr>
    </w:p>
    <w:p w14:paraId="3917BF4E" w14:textId="38644EDE" w:rsidR="00F5591E" w:rsidRDefault="00F5591E" w:rsidP="00803EC1">
      <w:pPr>
        <w:spacing w:after="0"/>
        <w:ind w:left="360"/>
        <w:jc w:val="both"/>
        <w:rPr>
          <w:rFonts w:ascii="Times New Roman" w:hAnsi="Times New Roman" w:cs="Times New Roman"/>
          <w:sz w:val="24"/>
          <w:szCs w:val="24"/>
        </w:rPr>
      </w:pPr>
    </w:p>
    <w:p w14:paraId="7B32668C" w14:textId="77777777" w:rsidR="00BF2205" w:rsidRDefault="00BF2205" w:rsidP="00803EC1">
      <w:pPr>
        <w:spacing w:after="0"/>
        <w:ind w:left="360"/>
        <w:jc w:val="both"/>
        <w:rPr>
          <w:rFonts w:ascii="Times New Roman" w:hAnsi="Times New Roman" w:cs="Times New Roman"/>
          <w:sz w:val="24"/>
          <w:szCs w:val="24"/>
        </w:rPr>
      </w:pPr>
    </w:p>
    <w:p w14:paraId="4A27C46E" w14:textId="7FCDBCFE" w:rsidR="00BF2205" w:rsidRDefault="00BF2205" w:rsidP="00803EC1">
      <w:pPr>
        <w:jc w:val="both"/>
        <w:rPr>
          <w:rFonts w:ascii="Times New Roman" w:hAnsi="Times New Roman" w:cs="Times New Roman"/>
          <w:b/>
          <w:bCs/>
          <w:sz w:val="24"/>
          <w:szCs w:val="24"/>
          <w:u w:val="single"/>
        </w:rPr>
      </w:pPr>
      <w:r w:rsidRPr="00894EAE">
        <w:rPr>
          <w:rFonts w:ascii="Times New Roman" w:hAnsi="Times New Roman" w:cs="Times New Roman"/>
          <w:b/>
          <w:bCs/>
          <w:sz w:val="24"/>
          <w:szCs w:val="24"/>
          <w:u w:val="single"/>
        </w:rPr>
        <w:t>EMIR (UK)</w:t>
      </w:r>
    </w:p>
    <w:p w14:paraId="4551CDA5" w14:textId="77777777" w:rsidR="00894EAE" w:rsidRPr="00FC2336" w:rsidRDefault="00894EAE" w:rsidP="00803EC1">
      <w:pPr>
        <w:jc w:val="both"/>
        <w:rPr>
          <w:rFonts w:ascii="Times New Roman" w:hAnsi="Times New Roman" w:cs="Times New Roman"/>
          <w:b/>
          <w:bCs/>
        </w:rPr>
      </w:pPr>
      <w:r w:rsidRPr="00FC2336">
        <w:rPr>
          <w:rFonts w:ascii="Times New Roman" w:hAnsi="Times New Roman" w:cs="Times New Roman"/>
          <w:b/>
          <w:bCs/>
        </w:rPr>
        <w:t>Reporting a Fallback rate</w:t>
      </w:r>
    </w:p>
    <w:p w14:paraId="6E4B06C9" w14:textId="7B5B7570" w:rsidR="00894EAE" w:rsidRDefault="00894EAE" w:rsidP="00803EC1">
      <w:pPr>
        <w:jc w:val="both"/>
        <w:rPr>
          <w:rFonts w:ascii="Times New Roman" w:hAnsi="Times New Roman" w:cs="Times New Roman"/>
        </w:rPr>
      </w:pPr>
      <w:r>
        <w:rPr>
          <w:rFonts w:ascii="Times New Roman" w:hAnsi="Times New Roman" w:cs="Times New Roman"/>
        </w:rPr>
        <w:t>FCA guidance clarifies that “a</w:t>
      </w:r>
      <w:r w:rsidRPr="00894EAE">
        <w:rPr>
          <w:rFonts w:ascii="Times New Roman" w:hAnsi="Times New Roman" w:cs="Times New Roman"/>
        </w:rPr>
        <w:t>n amendment to a reference rate or applying a fallback in place of LIBOR would constitute a modification”</w:t>
      </w:r>
      <w:r>
        <w:rPr>
          <w:rFonts w:ascii="Times New Roman" w:hAnsi="Times New Roman" w:cs="Times New Roman"/>
        </w:rPr>
        <w:t xml:space="preserve"> and would be reported with action type ‘Modify’.</w:t>
      </w:r>
    </w:p>
    <w:p w14:paraId="4F5030AC" w14:textId="77777777" w:rsidR="00894EAE" w:rsidRPr="00B8352E" w:rsidRDefault="00894EAE" w:rsidP="00803EC1">
      <w:pPr>
        <w:jc w:val="both"/>
        <w:rPr>
          <w:rFonts w:ascii="Times New Roman" w:hAnsi="Times New Roman" w:cs="Times New Roman"/>
          <w:u w:val="single"/>
        </w:rPr>
      </w:pPr>
      <w:r w:rsidRPr="00B8352E">
        <w:rPr>
          <w:rFonts w:ascii="Times New Roman" w:hAnsi="Times New Roman" w:cs="Times New Roman"/>
          <w:u w:val="single"/>
        </w:rPr>
        <w:t>Product Identification</w:t>
      </w:r>
      <w:r>
        <w:rPr>
          <w:rFonts w:ascii="Times New Roman" w:hAnsi="Times New Roman" w:cs="Times New Roman"/>
          <w:u w:val="single"/>
        </w:rPr>
        <w:t xml:space="preserve"> (2.6) – derivative ISIN</w:t>
      </w:r>
    </w:p>
    <w:p w14:paraId="526826CD" w14:textId="0F7B0CAA" w:rsidR="00894EAE" w:rsidRDefault="00894EAE" w:rsidP="00803EC1">
      <w:pPr>
        <w:pStyle w:val="Default"/>
        <w:spacing w:after="160"/>
        <w:jc w:val="both"/>
        <w:rPr>
          <w:sz w:val="22"/>
          <w:szCs w:val="22"/>
        </w:rPr>
      </w:pPr>
      <w:r>
        <w:rPr>
          <w:sz w:val="22"/>
          <w:szCs w:val="22"/>
        </w:rPr>
        <w:t xml:space="preserve">The FCA do not </w:t>
      </w:r>
      <w:r w:rsidR="00B61067">
        <w:rPr>
          <w:sz w:val="22"/>
          <w:szCs w:val="22"/>
        </w:rPr>
        <w:t>explicitly specify</w:t>
      </w:r>
      <w:r>
        <w:rPr>
          <w:sz w:val="22"/>
          <w:szCs w:val="22"/>
        </w:rPr>
        <w:t xml:space="preserve"> a new derivative ISIN should be created when a Fallback rate is triggered, but their guidance does state “</w:t>
      </w:r>
      <w:r w:rsidRPr="00894EAE">
        <w:rPr>
          <w:sz w:val="22"/>
          <w:szCs w:val="22"/>
        </w:rPr>
        <w:t xml:space="preserve">where an ISIN can be generated to reflect the application of the fallback, you should update the ISIN in the relevant field(s).” </w:t>
      </w:r>
      <w:r>
        <w:rPr>
          <w:sz w:val="22"/>
          <w:szCs w:val="22"/>
        </w:rPr>
        <w:t xml:space="preserve">This is understood to mean that if a new derivative ISIN is created for a trade, then the new ISIN should be reported for UK-EMIR. This would apply if a trade </w:t>
      </w:r>
      <w:r w:rsidR="00CF0B5D">
        <w:rPr>
          <w:sz w:val="22"/>
          <w:szCs w:val="22"/>
        </w:rPr>
        <w:t>were</w:t>
      </w:r>
      <w:r>
        <w:rPr>
          <w:sz w:val="22"/>
          <w:szCs w:val="22"/>
        </w:rPr>
        <w:t xml:space="preserve"> in scope for both EU-EMIR and UK-EMIR</w:t>
      </w:r>
      <w:r w:rsidR="00CF0B5D">
        <w:rPr>
          <w:sz w:val="22"/>
          <w:szCs w:val="22"/>
        </w:rPr>
        <w:t xml:space="preserve">, </w:t>
      </w:r>
      <w:r w:rsidR="00B61067">
        <w:rPr>
          <w:sz w:val="22"/>
          <w:szCs w:val="22"/>
        </w:rPr>
        <w:t xml:space="preserve">and a new derivative ISIN were created due to the </w:t>
      </w:r>
      <w:r>
        <w:rPr>
          <w:sz w:val="22"/>
          <w:szCs w:val="22"/>
        </w:rPr>
        <w:t>E</w:t>
      </w:r>
      <w:r w:rsidR="00CF0B5D">
        <w:rPr>
          <w:sz w:val="22"/>
          <w:szCs w:val="22"/>
        </w:rPr>
        <w:t xml:space="preserve">U-EMIR </w:t>
      </w:r>
      <w:r w:rsidR="00B61067">
        <w:rPr>
          <w:sz w:val="22"/>
          <w:szCs w:val="22"/>
        </w:rPr>
        <w:t>requirements</w:t>
      </w:r>
      <w:r w:rsidR="00CF0B5D">
        <w:rPr>
          <w:sz w:val="22"/>
          <w:szCs w:val="22"/>
        </w:rPr>
        <w:t xml:space="preserve">. </w:t>
      </w:r>
      <w:r w:rsidRPr="00894EAE">
        <w:rPr>
          <w:sz w:val="22"/>
          <w:szCs w:val="22"/>
        </w:rPr>
        <w:t xml:space="preserve"> </w:t>
      </w:r>
    </w:p>
    <w:p w14:paraId="16DE0BAD" w14:textId="77777777" w:rsidR="00B61067" w:rsidRDefault="00B61067" w:rsidP="00803EC1">
      <w:pPr>
        <w:pStyle w:val="Default"/>
        <w:spacing w:after="160"/>
        <w:jc w:val="both"/>
        <w:rPr>
          <w:sz w:val="22"/>
          <w:szCs w:val="22"/>
        </w:rPr>
      </w:pPr>
    </w:p>
    <w:p w14:paraId="69924862" w14:textId="77777777" w:rsidR="00CF0B5D" w:rsidRPr="00C66A13" w:rsidRDefault="00CF0B5D" w:rsidP="00803EC1">
      <w:pPr>
        <w:jc w:val="both"/>
        <w:rPr>
          <w:rFonts w:ascii="Times New Roman" w:hAnsi="Times New Roman" w:cs="Times New Roman"/>
          <w:u w:val="single"/>
        </w:rPr>
      </w:pPr>
      <w:r w:rsidRPr="00C66A13">
        <w:rPr>
          <w:rFonts w:ascii="Times New Roman" w:hAnsi="Times New Roman" w:cs="Times New Roman"/>
          <w:u w:val="single"/>
        </w:rPr>
        <w:t>Floating Rate of Leg 1 (2.55) and Floating Rate of Leg 2 (2.58)</w:t>
      </w:r>
    </w:p>
    <w:p w14:paraId="2BEFB50A" w14:textId="34F360E7" w:rsidR="00CF0B5D" w:rsidRDefault="00CF0B5D" w:rsidP="00803EC1">
      <w:pPr>
        <w:jc w:val="both"/>
        <w:rPr>
          <w:rFonts w:ascii="Times New Roman" w:hAnsi="Times New Roman" w:cs="Times New Roman"/>
        </w:rPr>
      </w:pPr>
      <w:r>
        <w:rPr>
          <w:rFonts w:ascii="Times New Roman" w:hAnsi="Times New Roman" w:cs="Times New Roman"/>
        </w:rPr>
        <w:t xml:space="preserve">The FCA guidance </w:t>
      </w:r>
      <w:r w:rsidR="00B61067">
        <w:rPr>
          <w:rFonts w:ascii="Times New Roman" w:hAnsi="Times New Roman" w:cs="Times New Roman"/>
        </w:rPr>
        <w:t xml:space="preserve">is for </w:t>
      </w:r>
      <w:r>
        <w:rPr>
          <w:rFonts w:ascii="Times New Roman" w:hAnsi="Times New Roman" w:cs="Times New Roman"/>
        </w:rPr>
        <w:t xml:space="preserve">the fields Floating Rate of Leg 1 and Floating Rate of Leg 2 </w:t>
      </w:r>
      <w:r w:rsidR="00B61067">
        <w:rPr>
          <w:rFonts w:ascii="Times New Roman" w:hAnsi="Times New Roman" w:cs="Times New Roman"/>
        </w:rPr>
        <w:t xml:space="preserve">to </w:t>
      </w:r>
      <w:r>
        <w:rPr>
          <w:rFonts w:ascii="Times New Roman" w:hAnsi="Times New Roman" w:cs="Times New Roman"/>
        </w:rPr>
        <w:t xml:space="preserve">amended after a Fallback rate has been triggered by adding a suffix of “fallback” to the value previously reported. This mean where “LIBO” is currently reported for either of these fields, </w:t>
      </w:r>
      <w:r w:rsidR="00525CFC">
        <w:rPr>
          <w:rFonts w:ascii="Times New Roman" w:hAnsi="Times New Roman" w:cs="Times New Roman"/>
        </w:rPr>
        <w:t>a new value of “</w:t>
      </w:r>
      <w:proofErr w:type="spellStart"/>
      <w:r w:rsidR="00525CFC">
        <w:rPr>
          <w:rFonts w:ascii="Times New Roman" w:hAnsi="Times New Roman" w:cs="Times New Roman"/>
        </w:rPr>
        <w:t>LIBOfallback</w:t>
      </w:r>
      <w:proofErr w:type="spellEnd"/>
      <w:r w:rsidR="00525CFC">
        <w:rPr>
          <w:rFonts w:ascii="Times New Roman" w:hAnsi="Times New Roman" w:cs="Times New Roman"/>
        </w:rPr>
        <w:t xml:space="preserve">” should be populated. This will differentiate Fallback rate trades from trades </w:t>
      </w:r>
      <w:r w:rsidR="00B61067">
        <w:rPr>
          <w:rFonts w:ascii="Times New Roman" w:hAnsi="Times New Roman" w:cs="Times New Roman"/>
        </w:rPr>
        <w:t xml:space="preserve">with a RFR as the floating rate </w:t>
      </w:r>
      <w:proofErr w:type="gramStart"/>
      <w:r w:rsidR="00B61067">
        <w:rPr>
          <w:rFonts w:ascii="Times New Roman" w:hAnsi="Times New Roman" w:cs="Times New Roman"/>
        </w:rPr>
        <w:t>and also</w:t>
      </w:r>
      <w:proofErr w:type="gramEnd"/>
      <w:r w:rsidR="00B61067">
        <w:rPr>
          <w:rFonts w:ascii="Times New Roman" w:hAnsi="Times New Roman" w:cs="Times New Roman"/>
        </w:rPr>
        <w:t xml:space="preserve"> from </w:t>
      </w:r>
      <w:r w:rsidR="00525CFC">
        <w:rPr>
          <w:rFonts w:ascii="Times New Roman" w:hAnsi="Times New Roman" w:cs="Times New Roman"/>
        </w:rPr>
        <w:t>‘tough legacy’ trades.</w:t>
      </w:r>
    </w:p>
    <w:p w14:paraId="7E5A66EA" w14:textId="77777777" w:rsidR="00B61067" w:rsidRDefault="00B61067" w:rsidP="00803EC1">
      <w:pPr>
        <w:jc w:val="both"/>
        <w:rPr>
          <w:rFonts w:ascii="Times New Roman" w:hAnsi="Times New Roman" w:cs="Times New Roman"/>
          <w:u w:val="single"/>
        </w:rPr>
      </w:pPr>
    </w:p>
    <w:p w14:paraId="4BBFA258" w14:textId="1F7248AA" w:rsidR="00525CFC" w:rsidRPr="00A0313C" w:rsidRDefault="00525CFC" w:rsidP="00803EC1">
      <w:pPr>
        <w:jc w:val="both"/>
        <w:rPr>
          <w:rFonts w:ascii="Times New Roman" w:hAnsi="Times New Roman" w:cs="Times New Roman"/>
          <w:u w:val="single"/>
        </w:rPr>
      </w:pPr>
      <w:r w:rsidRPr="00A0313C">
        <w:rPr>
          <w:rFonts w:ascii="Times New Roman" w:hAnsi="Times New Roman" w:cs="Times New Roman"/>
          <w:u w:val="single"/>
        </w:rPr>
        <w:t>Timing of reporting</w:t>
      </w:r>
    </w:p>
    <w:p w14:paraId="1F0D1B51" w14:textId="46F6A7F4" w:rsidR="00525CFC" w:rsidRDefault="00525CFC" w:rsidP="00803EC1">
      <w:pPr>
        <w:jc w:val="both"/>
        <w:rPr>
          <w:rFonts w:ascii="Times New Roman" w:hAnsi="Times New Roman" w:cs="Times New Roman"/>
        </w:rPr>
      </w:pPr>
      <w:r>
        <w:rPr>
          <w:rFonts w:ascii="Times New Roman" w:hAnsi="Times New Roman" w:cs="Times New Roman"/>
        </w:rPr>
        <w:t xml:space="preserve">FCA state that the </w:t>
      </w:r>
      <w:r w:rsidRPr="00525CFC">
        <w:rPr>
          <w:rFonts w:ascii="Times New Roman" w:hAnsi="Times New Roman" w:cs="Times New Roman"/>
        </w:rPr>
        <w:t>modification messages “should be reported no later than the working day after the application of a fallback”</w:t>
      </w:r>
      <w:r>
        <w:rPr>
          <w:rFonts w:ascii="Times New Roman" w:hAnsi="Times New Roman" w:cs="Times New Roman"/>
        </w:rPr>
        <w:t>, going on to specify “</w:t>
      </w:r>
      <w:r w:rsidRPr="00525CFC">
        <w:rPr>
          <w:rFonts w:ascii="Times New Roman" w:hAnsi="Times New Roman" w:cs="Times New Roman"/>
        </w:rPr>
        <w:t>for all sterling, euro, Swiss franc and Japanese yen settings, the modification should be reported one working day after 31 December 2021. In the case of all US dollar settings, the modification should be reported one working day after 30 June 2023.”</w:t>
      </w:r>
    </w:p>
    <w:p w14:paraId="7F9609F0" w14:textId="6D2B11F2" w:rsidR="00B60046" w:rsidRDefault="00B60046" w:rsidP="00803EC1">
      <w:pPr>
        <w:jc w:val="both"/>
        <w:rPr>
          <w:rFonts w:ascii="Times New Roman" w:hAnsi="Times New Roman" w:cs="Times New Roman"/>
        </w:rPr>
      </w:pPr>
      <w:r>
        <w:rPr>
          <w:rFonts w:ascii="Times New Roman" w:hAnsi="Times New Roman" w:cs="Times New Roman"/>
        </w:rPr>
        <w:t xml:space="preserve">The 31 December 2021 and 30 June 2023 are the final dates on which the LIBOR rates will be published for the relevant currencies / tenors, so the next working days would be 4 January 2022 and 3 July 2023 respectively. </w:t>
      </w:r>
    </w:p>
    <w:p w14:paraId="285C6355" w14:textId="77777777" w:rsidR="00B61067" w:rsidRDefault="00B61067" w:rsidP="00803EC1">
      <w:pPr>
        <w:jc w:val="both"/>
        <w:rPr>
          <w:rFonts w:ascii="Times New Roman" w:hAnsi="Times New Roman" w:cs="Times New Roman"/>
        </w:rPr>
      </w:pPr>
    </w:p>
    <w:p w14:paraId="7CDA9BA7" w14:textId="036ED0E4" w:rsidR="00CF0B5D" w:rsidRPr="00525CFC" w:rsidRDefault="00525CFC" w:rsidP="00803EC1">
      <w:pPr>
        <w:jc w:val="both"/>
        <w:rPr>
          <w:rFonts w:ascii="Times New Roman" w:hAnsi="Times New Roman" w:cs="Times New Roman"/>
          <w:u w:val="single"/>
        </w:rPr>
      </w:pPr>
      <w:r w:rsidRPr="00525CFC">
        <w:rPr>
          <w:rFonts w:ascii="Times New Roman" w:hAnsi="Times New Roman" w:cs="Times New Roman"/>
          <w:u w:val="single"/>
        </w:rPr>
        <w:t>Bespoke fallback rates</w:t>
      </w:r>
    </w:p>
    <w:p w14:paraId="4D505FC4" w14:textId="14617072" w:rsidR="00525CFC" w:rsidRPr="00C66A13" w:rsidRDefault="00525CFC" w:rsidP="00803EC1">
      <w:pPr>
        <w:pStyle w:val="Default"/>
        <w:jc w:val="both"/>
        <w:rPr>
          <w:sz w:val="22"/>
          <w:szCs w:val="22"/>
        </w:rPr>
      </w:pPr>
      <w:r>
        <w:rPr>
          <w:sz w:val="22"/>
          <w:szCs w:val="22"/>
        </w:rPr>
        <w:t xml:space="preserve">Counterparties may agree fallback terms outside of the ISDA Protocol (a bespoke fallback). Where this is the case, the FCA clarify that the trades should be treated the same as trades that are covered by the ISDA Fallback Protocol, </w:t>
      </w:r>
      <w:proofErr w:type="gramStart"/>
      <w:r>
        <w:rPr>
          <w:sz w:val="22"/>
          <w:szCs w:val="22"/>
        </w:rPr>
        <w:t>i.e.</w:t>
      </w:r>
      <w:proofErr w:type="gramEnd"/>
      <w:r>
        <w:rPr>
          <w:sz w:val="22"/>
          <w:szCs w:val="22"/>
        </w:rPr>
        <w:t xml:space="preserve"> the Float Rate of Leg 1 / Leg 2 fields would be populated with “</w:t>
      </w:r>
      <w:proofErr w:type="spellStart"/>
      <w:r>
        <w:rPr>
          <w:sz w:val="22"/>
          <w:szCs w:val="22"/>
        </w:rPr>
        <w:t>LIBOfallack</w:t>
      </w:r>
      <w:proofErr w:type="spellEnd"/>
      <w:r>
        <w:rPr>
          <w:sz w:val="22"/>
          <w:szCs w:val="22"/>
        </w:rPr>
        <w:t>” and a new derivative ISIN would be reported if applicable to do so (see above).</w:t>
      </w:r>
    </w:p>
    <w:p w14:paraId="08447539" w14:textId="6DB7E99C" w:rsidR="00894EAE" w:rsidRDefault="00894EAE" w:rsidP="00803EC1">
      <w:pPr>
        <w:jc w:val="both"/>
        <w:rPr>
          <w:rFonts w:ascii="Times New Roman" w:hAnsi="Times New Roman" w:cs="Times New Roman"/>
          <w:b/>
          <w:bCs/>
        </w:rPr>
      </w:pPr>
    </w:p>
    <w:p w14:paraId="4389F4DE" w14:textId="570C89F4" w:rsidR="00262404" w:rsidRPr="00262404" w:rsidRDefault="00262404" w:rsidP="00803EC1">
      <w:pPr>
        <w:jc w:val="both"/>
        <w:rPr>
          <w:rFonts w:ascii="Times New Roman" w:hAnsi="Times New Roman" w:cs="Times New Roman"/>
        </w:rPr>
      </w:pPr>
      <w:r w:rsidRPr="00262404">
        <w:rPr>
          <w:rFonts w:ascii="Times New Roman" w:hAnsi="Times New Roman" w:cs="Times New Roman"/>
        </w:rPr>
        <w:t>To note</w:t>
      </w:r>
      <w:r>
        <w:rPr>
          <w:rFonts w:ascii="Times New Roman" w:hAnsi="Times New Roman" w:cs="Times New Roman"/>
        </w:rPr>
        <w:t>, ESMA</w:t>
      </w:r>
      <w:r w:rsidR="007A340F">
        <w:rPr>
          <w:rFonts w:ascii="Times New Roman" w:hAnsi="Times New Roman" w:cs="Times New Roman"/>
        </w:rPr>
        <w:t>s Q&amp;A guidance</w:t>
      </w:r>
      <w:r>
        <w:rPr>
          <w:rFonts w:ascii="Times New Roman" w:hAnsi="Times New Roman" w:cs="Times New Roman"/>
        </w:rPr>
        <w:t xml:space="preserve"> </w:t>
      </w:r>
      <w:r w:rsidR="007169C3">
        <w:rPr>
          <w:rFonts w:ascii="Times New Roman" w:hAnsi="Times New Roman" w:cs="Times New Roman"/>
        </w:rPr>
        <w:t xml:space="preserve">does not specifically </w:t>
      </w:r>
      <w:r w:rsidR="00CF4A7C">
        <w:rPr>
          <w:rFonts w:ascii="Times New Roman" w:hAnsi="Times New Roman" w:cs="Times New Roman"/>
        </w:rPr>
        <w:t xml:space="preserve">refer to bespoke fallbacks, but simply </w:t>
      </w:r>
      <w:r w:rsidR="00EA5892">
        <w:rPr>
          <w:rFonts w:ascii="Times New Roman" w:hAnsi="Times New Roman" w:cs="Times New Roman"/>
        </w:rPr>
        <w:t>refer</w:t>
      </w:r>
      <w:r w:rsidR="007A340F">
        <w:rPr>
          <w:rFonts w:ascii="Times New Roman" w:hAnsi="Times New Roman" w:cs="Times New Roman"/>
        </w:rPr>
        <w:t>s</w:t>
      </w:r>
      <w:r w:rsidR="00EA5892">
        <w:rPr>
          <w:rFonts w:ascii="Times New Roman" w:hAnsi="Times New Roman" w:cs="Times New Roman"/>
        </w:rPr>
        <w:t xml:space="preserve"> to </w:t>
      </w:r>
      <w:r w:rsidR="007A340F">
        <w:rPr>
          <w:rFonts w:ascii="Times New Roman" w:hAnsi="Times New Roman" w:cs="Times New Roman"/>
        </w:rPr>
        <w:t>fallback</w:t>
      </w:r>
      <w:r w:rsidR="007169C3">
        <w:rPr>
          <w:rFonts w:ascii="Times New Roman" w:hAnsi="Times New Roman" w:cs="Times New Roman"/>
        </w:rPr>
        <w:t xml:space="preserve"> rates</w:t>
      </w:r>
      <w:r w:rsidR="00CF4A7C">
        <w:rPr>
          <w:rFonts w:ascii="Times New Roman" w:hAnsi="Times New Roman" w:cs="Times New Roman"/>
        </w:rPr>
        <w:t>. The ISDA Data and Reporting EMEA Working Group</w:t>
      </w:r>
      <w:r w:rsidR="00CE4464">
        <w:rPr>
          <w:rFonts w:ascii="Times New Roman" w:hAnsi="Times New Roman" w:cs="Times New Roman"/>
        </w:rPr>
        <w:t xml:space="preserve"> </w:t>
      </w:r>
      <w:r w:rsidR="004E0506">
        <w:rPr>
          <w:rFonts w:ascii="Times New Roman" w:hAnsi="Times New Roman" w:cs="Times New Roman"/>
        </w:rPr>
        <w:t xml:space="preserve">therefore </w:t>
      </w:r>
      <w:r w:rsidR="00CE4464">
        <w:rPr>
          <w:rFonts w:ascii="Times New Roman" w:hAnsi="Times New Roman" w:cs="Times New Roman"/>
        </w:rPr>
        <w:t xml:space="preserve">concluded that ESMAs guidance would apply </w:t>
      </w:r>
      <w:r w:rsidR="008F202C">
        <w:rPr>
          <w:rFonts w:ascii="Times New Roman" w:hAnsi="Times New Roman" w:cs="Times New Roman"/>
        </w:rPr>
        <w:t xml:space="preserve">equally </w:t>
      </w:r>
      <w:r w:rsidR="00CE4464">
        <w:rPr>
          <w:rFonts w:ascii="Times New Roman" w:hAnsi="Times New Roman" w:cs="Times New Roman"/>
        </w:rPr>
        <w:t xml:space="preserve">to </w:t>
      </w:r>
      <w:r w:rsidR="004E0506">
        <w:rPr>
          <w:rFonts w:ascii="Times New Roman" w:hAnsi="Times New Roman" w:cs="Times New Roman"/>
        </w:rPr>
        <w:t xml:space="preserve">fallback rates covered by the </w:t>
      </w:r>
      <w:r w:rsidR="008F202C">
        <w:rPr>
          <w:rFonts w:ascii="Times New Roman" w:hAnsi="Times New Roman" w:cs="Times New Roman"/>
        </w:rPr>
        <w:t xml:space="preserve">ISDA Fallback Protocol </w:t>
      </w:r>
      <w:r w:rsidR="004E0506">
        <w:rPr>
          <w:rFonts w:ascii="Times New Roman" w:hAnsi="Times New Roman" w:cs="Times New Roman"/>
        </w:rPr>
        <w:t xml:space="preserve">and to </w:t>
      </w:r>
      <w:r w:rsidR="008F202C">
        <w:rPr>
          <w:rFonts w:ascii="Times New Roman" w:hAnsi="Times New Roman" w:cs="Times New Roman"/>
        </w:rPr>
        <w:t>bespoke fallback rates.</w:t>
      </w:r>
    </w:p>
    <w:p w14:paraId="41F69DC3" w14:textId="77777777" w:rsidR="00525CFC" w:rsidRDefault="00525CFC" w:rsidP="00803EC1">
      <w:pPr>
        <w:keepNext/>
        <w:keepLines/>
        <w:jc w:val="both"/>
        <w:rPr>
          <w:rFonts w:ascii="Times New Roman" w:hAnsi="Times New Roman" w:cs="Times New Roman"/>
          <w:b/>
          <w:bCs/>
        </w:rPr>
      </w:pPr>
      <w:r w:rsidRPr="00A0313C">
        <w:rPr>
          <w:rFonts w:ascii="Times New Roman" w:hAnsi="Times New Roman" w:cs="Times New Roman"/>
          <w:b/>
          <w:bCs/>
        </w:rPr>
        <w:lastRenderedPageBreak/>
        <w:t xml:space="preserve">Voluntary transfer to a </w:t>
      </w:r>
      <w:proofErr w:type="gramStart"/>
      <w:r w:rsidRPr="00A0313C">
        <w:rPr>
          <w:rFonts w:ascii="Times New Roman" w:hAnsi="Times New Roman" w:cs="Times New Roman"/>
          <w:b/>
          <w:bCs/>
        </w:rPr>
        <w:t>risk free</w:t>
      </w:r>
      <w:proofErr w:type="gramEnd"/>
      <w:r w:rsidRPr="00A0313C">
        <w:rPr>
          <w:rFonts w:ascii="Times New Roman" w:hAnsi="Times New Roman" w:cs="Times New Roman"/>
          <w:b/>
          <w:bCs/>
        </w:rPr>
        <w:t xml:space="preserve"> rate (RFR)</w:t>
      </w:r>
    </w:p>
    <w:p w14:paraId="2D0F0DAB" w14:textId="2C43FE54" w:rsidR="00525CFC" w:rsidRDefault="00525CFC" w:rsidP="00803EC1">
      <w:pPr>
        <w:keepNext/>
        <w:keepLines/>
        <w:jc w:val="both"/>
        <w:rPr>
          <w:rFonts w:ascii="Times New Roman" w:hAnsi="Times New Roman" w:cs="Times New Roman"/>
        </w:rPr>
      </w:pPr>
      <w:r>
        <w:rPr>
          <w:rFonts w:ascii="Times New Roman" w:hAnsi="Times New Roman" w:cs="Times New Roman"/>
        </w:rPr>
        <w:t xml:space="preserve">As with ESMAs guidance, the FCA expect counterparties to report a modification message if a trade is transferred from LIBOR to </w:t>
      </w:r>
      <w:proofErr w:type="gramStart"/>
      <w:r>
        <w:rPr>
          <w:rFonts w:ascii="Times New Roman" w:hAnsi="Times New Roman" w:cs="Times New Roman"/>
        </w:rPr>
        <w:t>a</w:t>
      </w:r>
      <w:proofErr w:type="gramEnd"/>
      <w:r>
        <w:rPr>
          <w:rFonts w:ascii="Times New Roman" w:hAnsi="Times New Roman" w:cs="Times New Roman"/>
        </w:rPr>
        <w:t xml:space="preserve"> RFR. </w:t>
      </w:r>
    </w:p>
    <w:p w14:paraId="358C2C11" w14:textId="3D9E78C0" w:rsidR="00525CFC" w:rsidRDefault="00525CFC" w:rsidP="00803EC1">
      <w:pPr>
        <w:keepNext/>
        <w:keepLines/>
        <w:jc w:val="both"/>
        <w:rPr>
          <w:rFonts w:ascii="Times New Roman" w:hAnsi="Times New Roman" w:cs="Times New Roman"/>
        </w:rPr>
      </w:pPr>
      <w:r>
        <w:rPr>
          <w:rFonts w:ascii="Times New Roman" w:hAnsi="Times New Roman" w:cs="Times New Roman"/>
        </w:rPr>
        <w:t xml:space="preserve">The </w:t>
      </w:r>
      <w:r w:rsidRPr="008C7AEF">
        <w:rPr>
          <w:rFonts w:ascii="Times New Roman" w:hAnsi="Times New Roman" w:cs="Times New Roman"/>
        </w:rPr>
        <w:t>ISDA Data and Reporting EMEA Working Group</w:t>
      </w:r>
      <w:r>
        <w:rPr>
          <w:rFonts w:ascii="Times New Roman" w:hAnsi="Times New Roman" w:cs="Times New Roman"/>
        </w:rPr>
        <w:t xml:space="preserve"> gave consideration as to whether the FCAs guidance allows for the original LIBOR contract to be terminated and replaced with a new RFR contract. As with ESMA guidance, the FCA only refer to the modification of a trade and market participants should seek internal advice on whether to report in an alternative way.</w:t>
      </w:r>
    </w:p>
    <w:p w14:paraId="038B2071" w14:textId="77777777" w:rsidR="009C39FA" w:rsidRDefault="009C39FA" w:rsidP="00803EC1">
      <w:pPr>
        <w:keepNext/>
        <w:keepLines/>
        <w:jc w:val="both"/>
        <w:rPr>
          <w:rFonts w:ascii="Times New Roman" w:hAnsi="Times New Roman" w:cs="Times New Roman"/>
        </w:rPr>
      </w:pPr>
    </w:p>
    <w:p w14:paraId="5D8364EF" w14:textId="77777777" w:rsidR="00525CFC" w:rsidRPr="00D44942" w:rsidRDefault="00525CFC" w:rsidP="00803EC1">
      <w:pPr>
        <w:jc w:val="both"/>
        <w:rPr>
          <w:rFonts w:ascii="Times New Roman" w:hAnsi="Times New Roman" w:cs="Times New Roman"/>
          <w:u w:val="single"/>
        </w:rPr>
      </w:pPr>
      <w:r w:rsidRPr="00D44942">
        <w:rPr>
          <w:rFonts w:ascii="Times New Roman" w:hAnsi="Times New Roman" w:cs="Times New Roman"/>
          <w:u w:val="single"/>
        </w:rPr>
        <w:t>Product I</w:t>
      </w:r>
      <w:r>
        <w:rPr>
          <w:rFonts w:ascii="Times New Roman" w:hAnsi="Times New Roman" w:cs="Times New Roman"/>
          <w:u w:val="single"/>
        </w:rPr>
        <w:t>dentification</w:t>
      </w:r>
      <w:r w:rsidRPr="00D44942">
        <w:rPr>
          <w:rFonts w:ascii="Times New Roman" w:hAnsi="Times New Roman" w:cs="Times New Roman"/>
          <w:u w:val="single"/>
        </w:rPr>
        <w:t xml:space="preserve"> (2.6) – derivative ISIN</w:t>
      </w:r>
    </w:p>
    <w:p w14:paraId="14C42016" w14:textId="1E448DB6" w:rsidR="00525CFC" w:rsidRDefault="00D476E4" w:rsidP="00803EC1">
      <w:pPr>
        <w:jc w:val="both"/>
        <w:rPr>
          <w:rFonts w:ascii="Times New Roman" w:hAnsi="Times New Roman" w:cs="Times New Roman"/>
        </w:rPr>
      </w:pPr>
      <w:r>
        <w:rPr>
          <w:rFonts w:ascii="Times New Roman" w:hAnsi="Times New Roman" w:cs="Times New Roman"/>
        </w:rPr>
        <w:t xml:space="preserve">A </w:t>
      </w:r>
      <w:r w:rsidR="00525CFC">
        <w:rPr>
          <w:rFonts w:ascii="Times New Roman" w:hAnsi="Times New Roman" w:cs="Times New Roman"/>
        </w:rPr>
        <w:t xml:space="preserve">new derivative ISIN </w:t>
      </w:r>
      <w:r>
        <w:rPr>
          <w:rFonts w:ascii="Times New Roman" w:hAnsi="Times New Roman" w:cs="Times New Roman"/>
        </w:rPr>
        <w:t xml:space="preserve">is </w:t>
      </w:r>
      <w:r w:rsidR="00525CFC">
        <w:rPr>
          <w:rFonts w:ascii="Times New Roman" w:hAnsi="Times New Roman" w:cs="Times New Roman"/>
        </w:rPr>
        <w:t xml:space="preserve">to be created when the floating rate of a contract is transferred from LIBOR (or any IBOR rate) to </w:t>
      </w:r>
      <w:proofErr w:type="gramStart"/>
      <w:r w:rsidR="00525CFC">
        <w:rPr>
          <w:rFonts w:ascii="Times New Roman" w:hAnsi="Times New Roman" w:cs="Times New Roman"/>
        </w:rPr>
        <w:t>a</w:t>
      </w:r>
      <w:proofErr w:type="gramEnd"/>
      <w:r w:rsidR="00525CFC">
        <w:rPr>
          <w:rFonts w:ascii="Times New Roman" w:hAnsi="Times New Roman" w:cs="Times New Roman"/>
        </w:rPr>
        <w:t xml:space="preserve"> RFR</w:t>
      </w:r>
      <w:r w:rsidR="009C39FA">
        <w:rPr>
          <w:rFonts w:ascii="Times New Roman" w:hAnsi="Times New Roman" w:cs="Times New Roman"/>
        </w:rPr>
        <w:t>. T</w:t>
      </w:r>
      <w:r>
        <w:rPr>
          <w:rFonts w:ascii="Times New Roman" w:hAnsi="Times New Roman" w:cs="Times New Roman"/>
        </w:rPr>
        <w:t xml:space="preserve">he </w:t>
      </w:r>
      <w:r w:rsidR="00525CFC">
        <w:rPr>
          <w:rFonts w:ascii="Times New Roman" w:hAnsi="Times New Roman" w:cs="Times New Roman"/>
        </w:rPr>
        <w:t>new ISIN would be populated in the Product identification field.</w:t>
      </w:r>
      <w:r>
        <w:rPr>
          <w:rFonts w:ascii="Times New Roman" w:hAnsi="Times New Roman" w:cs="Times New Roman"/>
        </w:rPr>
        <w:t xml:space="preserve"> </w:t>
      </w:r>
    </w:p>
    <w:p w14:paraId="2B6BCFAA" w14:textId="77777777" w:rsidR="00D476E4" w:rsidRDefault="00D476E4" w:rsidP="00803EC1">
      <w:pPr>
        <w:jc w:val="both"/>
        <w:rPr>
          <w:rFonts w:ascii="Times New Roman" w:hAnsi="Times New Roman" w:cs="Times New Roman"/>
          <w:u w:val="single"/>
        </w:rPr>
      </w:pPr>
    </w:p>
    <w:p w14:paraId="483D7D96" w14:textId="73F57A90" w:rsidR="00525CFC" w:rsidRPr="00C66A13" w:rsidRDefault="00525CFC" w:rsidP="00803EC1">
      <w:pPr>
        <w:jc w:val="both"/>
        <w:rPr>
          <w:rFonts w:ascii="Times New Roman" w:hAnsi="Times New Roman" w:cs="Times New Roman"/>
          <w:u w:val="single"/>
        </w:rPr>
      </w:pPr>
      <w:r w:rsidRPr="00C66A13">
        <w:rPr>
          <w:rFonts w:ascii="Times New Roman" w:hAnsi="Times New Roman" w:cs="Times New Roman"/>
          <w:u w:val="single"/>
        </w:rPr>
        <w:t>Floating Rate of Leg 1 (2.55) and Floating Rate of Leg 2 (2.58)</w:t>
      </w:r>
    </w:p>
    <w:p w14:paraId="7A07BF5A" w14:textId="0F85FB1B" w:rsidR="00525CFC" w:rsidRDefault="00525CFC" w:rsidP="00803EC1">
      <w:pPr>
        <w:jc w:val="both"/>
        <w:rPr>
          <w:rFonts w:ascii="Times New Roman" w:hAnsi="Times New Roman" w:cs="Times New Roman"/>
        </w:rPr>
      </w:pPr>
      <w:r>
        <w:rPr>
          <w:rFonts w:ascii="Times New Roman" w:hAnsi="Times New Roman" w:cs="Times New Roman"/>
        </w:rPr>
        <w:t xml:space="preserve">The Floating Rate fields would need to be amended to reflect the new RFR. </w:t>
      </w:r>
      <w:r w:rsidR="00D476E4">
        <w:rPr>
          <w:rFonts w:ascii="Times New Roman" w:hAnsi="Times New Roman" w:cs="Times New Roman"/>
        </w:rPr>
        <w:t xml:space="preserve">Although the FCA do not specify </w:t>
      </w:r>
      <w:r>
        <w:rPr>
          <w:rFonts w:ascii="Times New Roman" w:hAnsi="Times New Roman" w:cs="Times New Roman"/>
        </w:rPr>
        <w:t xml:space="preserve">the 4-letter ISO 20022 code should be used </w:t>
      </w:r>
      <w:r w:rsidR="00D476E4">
        <w:rPr>
          <w:rFonts w:ascii="Times New Roman" w:hAnsi="Times New Roman" w:cs="Times New Roman"/>
        </w:rPr>
        <w:t>where available, the assumption made on ISDA Data and Reporting EMEA Working Group calls is that if a 4-letter ISO code exists for a RFR, it should be used for reporting</w:t>
      </w:r>
      <w:r>
        <w:rPr>
          <w:rFonts w:ascii="Times New Roman" w:hAnsi="Times New Roman" w:cs="Times New Roman"/>
        </w:rPr>
        <w:t xml:space="preserve">. </w:t>
      </w:r>
    </w:p>
    <w:p w14:paraId="1644D410" w14:textId="77777777" w:rsidR="00525CFC" w:rsidRDefault="00525CFC" w:rsidP="00803EC1">
      <w:pPr>
        <w:jc w:val="both"/>
        <w:rPr>
          <w:rFonts w:ascii="Times New Roman" w:hAnsi="Times New Roman" w:cs="Times New Roman"/>
          <w:u w:val="single"/>
        </w:rPr>
      </w:pPr>
    </w:p>
    <w:p w14:paraId="698820BC" w14:textId="77777777" w:rsidR="00525CFC" w:rsidRPr="00A0313C" w:rsidRDefault="00525CFC" w:rsidP="00803EC1">
      <w:pPr>
        <w:jc w:val="both"/>
        <w:rPr>
          <w:rFonts w:ascii="Times New Roman" w:hAnsi="Times New Roman" w:cs="Times New Roman"/>
          <w:u w:val="single"/>
        </w:rPr>
      </w:pPr>
      <w:r w:rsidRPr="00A0313C">
        <w:rPr>
          <w:rFonts w:ascii="Times New Roman" w:hAnsi="Times New Roman" w:cs="Times New Roman"/>
          <w:u w:val="single"/>
        </w:rPr>
        <w:t>Timing of reporting</w:t>
      </w:r>
    </w:p>
    <w:p w14:paraId="265CAB9C" w14:textId="55989FB8" w:rsidR="00525CFC" w:rsidRDefault="00D476E4" w:rsidP="00803EC1">
      <w:pPr>
        <w:jc w:val="both"/>
        <w:rPr>
          <w:rFonts w:ascii="Times New Roman" w:hAnsi="Times New Roman" w:cs="Times New Roman"/>
        </w:rPr>
      </w:pPr>
      <w:r>
        <w:rPr>
          <w:rFonts w:ascii="Times New Roman" w:hAnsi="Times New Roman" w:cs="Times New Roman"/>
        </w:rPr>
        <w:t>The FCA guidance states the “</w:t>
      </w:r>
      <w:r w:rsidRPr="00D476E4">
        <w:rPr>
          <w:rFonts w:ascii="Times New Roman" w:hAnsi="Times New Roman" w:cs="Times New Roman"/>
        </w:rPr>
        <w:t xml:space="preserve">modification should be reported no later than the working day* after the alternative rate takes effect”. </w:t>
      </w:r>
      <w:r>
        <w:rPr>
          <w:rFonts w:ascii="Times New Roman" w:hAnsi="Times New Roman" w:cs="Times New Roman"/>
        </w:rPr>
        <w:t xml:space="preserve">This is understood to mean </w:t>
      </w:r>
      <w:r w:rsidR="009C39FA">
        <w:rPr>
          <w:rFonts w:ascii="Times New Roman" w:hAnsi="Times New Roman" w:cs="Times New Roman"/>
        </w:rPr>
        <w:t xml:space="preserve">(and has been verbally clarified by the FCA) that </w:t>
      </w:r>
      <w:r>
        <w:rPr>
          <w:rFonts w:ascii="Times New Roman" w:hAnsi="Times New Roman" w:cs="Times New Roman"/>
        </w:rPr>
        <w:t xml:space="preserve">the counterparties will report the modification within one working day of the transfer to a RFR being agreed. </w:t>
      </w:r>
    </w:p>
    <w:p w14:paraId="0B7FD40D" w14:textId="68788B47" w:rsidR="00525CFC" w:rsidRDefault="00525CFC" w:rsidP="00803EC1">
      <w:pPr>
        <w:jc w:val="both"/>
        <w:rPr>
          <w:rFonts w:ascii="Times New Roman" w:hAnsi="Times New Roman" w:cs="Times New Roman"/>
          <w:b/>
          <w:bCs/>
        </w:rPr>
      </w:pPr>
    </w:p>
    <w:p w14:paraId="2E92EA12" w14:textId="77777777" w:rsidR="00D476E4" w:rsidRDefault="00D476E4" w:rsidP="00803EC1">
      <w:pPr>
        <w:jc w:val="both"/>
        <w:rPr>
          <w:rFonts w:ascii="Times New Roman" w:hAnsi="Times New Roman" w:cs="Times New Roman"/>
          <w:b/>
          <w:bCs/>
        </w:rPr>
      </w:pPr>
      <w:r w:rsidRPr="004A5FA7">
        <w:rPr>
          <w:rFonts w:ascii="Times New Roman" w:hAnsi="Times New Roman" w:cs="Times New Roman"/>
          <w:b/>
          <w:bCs/>
        </w:rPr>
        <w:t>‘Tough legacy’ LIBOR trades</w:t>
      </w:r>
    </w:p>
    <w:p w14:paraId="59691628" w14:textId="3520EA5B" w:rsidR="00D476E4" w:rsidRPr="00736690" w:rsidRDefault="00D476E4" w:rsidP="00803EC1">
      <w:pPr>
        <w:jc w:val="both"/>
        <w:rPr>
          <w:rFonts w:ascii="Times New Roman" w:hAnsi="Times New Roman" w:cs="Times New Roman"/>
        </w:rPr>
      </w:pPr>
      <w:r>
        <w:rPr>
          <w:rFonts w:ascii="Times New Roman" w:hAnsi="Times New Roman" w:cs="Times New Roman"/>
        </w:rPr>
        <w:t>As with EU-EMIR reporting, the conclusion made on ISDA Data and Reporting EMEA Working Group calls is that there are no trade reporting requirements for ‘tough legacy trades</w:t>
      </w:r>
      <w:r w:rsidR="009C39FA">
        <w:rPr>
          <w:rFonts w:ascii="Times New Roman" w:hAnsi="Times New Roman" w:cs="Times New Roman"/>
        </w:rPr>
        <w:t>. T</w:t>
      </w:r>
      <w:r>
        <w:rPr>
          <w:rFonts w:ascii="Times New Roman" w:hAnsi="Times New Roman" w:cs="Times New Roman"/>
        </w:rPr>
        <w:t>hey will be identifiable post-cessation effective date because the derivative ISIN will remain unchanged and the Floating Rate of Leg 1 and/or Floating Rate of Leg 2 fields will still be populated with “LIBO”.</w:t>
      </w:r>
    </w:p>
    <w:p w14:paraId="7C6AA62C" w14:textId="77777777" w:rsidR="00F7714C" w:rsidRDefault="00F7714C" w:rsidP="00803EC1">
      <w:pPr>
        <w:pStyle w:val="ListParagraph"/>
        <w:spacing w:after="0"/>
        <w:ind w:left="1080"/>
        <w:jc w:val="both"/>
        <w:rPr>
          <w:rFonts w:ascii="Times New Roman" w:hAnsi="Times New Roman" w:cs="Times New Roman"/>
          <w:sz w:val="24"/>
          <w:szCs w:val="24"/>
        </w:rPr>
      </w:pPr>
    </w:p>
    <w:p w14:paraId="6CE2A384" w14:textId="4DA7F1D1" w:rsidR="00126F3D" w:rsidRDefault="00126F3D" w:rsidP="00803EC1">
      <w:pPr>
        <w:spacing w:after="0"/>
        <w:ind w:left="360"/>
        <w:jc w:val="both"/>
        <w:rPr>
          <w:rFonts w:ascii="Times New Roman" w:hAnsi="Times New Roman" w:cs="Times New Roman"/>
          <w:sz w:val="24"/>
          <w:szCs w:val="24"/>
        </w:rPr>
      </w:pPr>
    </w:p>
    <w:p w14:paraId="662E88CA" w14:textId="2FA4E1F1" w:rsidR="00801D2F" w:rsidRPr="005A1D81" w:rsidRDefault="00801D2F" w:rsidP="00803EC1">
      <w:pPr>
        <w:jc w:val="both"/>
        <w:rPr>
          <w:rFonts w:ascii="Times New Roman" w:hAnsi="Times New Roman" w:cs="Times New Roman"/>
          <w:b/>
          <w:bCs/>
          <w:sz w:val="24"/>
          <w:szCs w:val="24"/>
          <w:u w:val="single"/>
        </w:rPr>
      </w:pPr>
      <w:r w:rsidRPr="005A1D81">
        <w:rPr>
          <w:rFonts w:ascii="Times New Roman" w:hAnsi="Times New Roman" w:cs="Times New Roman"/>
          <w:b/>
          <w:bCs/>
          <w:sz w:val="24"/>
          <w:szCs w:val="24"/>
          <w:u w:val="single"/>
        </w:rPr>
        <w:t>MiFID II (UK)</w:t>
      </w:r>
    </w:p>
    <w:p w14:paraId="521210D6" w14:textId="77777777" w:rsidR="005A1D81" w:rsidRPr="00FC2336" w:rsidRDefault="005A1D81" w:rsidP="00803EC1">
      <w:pPr>
        <w:jc w:val="both"/>
        <w:rPr>
          <w:rFonts w:ascii="Times New Roman" w:hAnsi="Times New Roman" w:cs="Times New Roman"/>
          <w:b/>
          <w:bCs/>
        </w:rPr>
      </w:pPr>
      <w:r w:rsidRPr="001B51B5">
        <w:rPr>
          <w:rFonts w:ascii="Times New Roman" w:hAnsi="Times New Roman" w:cs="Times New Roman"/>
          <w:b/>
          <w:bCs/>
        </w:rPr>
        <w:t>RTS 22 reporting</w:t>
      </w:r>
      <w:r>
        <w:rPr>
          <w:rFonts w:ascii="Times New Roman" w:hAnsi="Times New Roman" w:cs="Times New Roman"/>
          <w:b/>
          <w:bCs/>
        </w:rPr>
        <w:t xml:space="preserve"> </w:t>
      </w:r>
    </w:p>
    <w:p w14:paraId="1A1CC1BA" w14:textId="32C184BD" w:rsidR="005A1D81" w:rsidRDefault="00275B96" w:rsidP="00803EC1">
      <w:pPr>
        <w:jc w:val="both"/>
        <w:rPr>
          <w:rFonts w:ascii="Times New Roman" w:hAnsi="Times New Roman" w:cs="Times New Roman"/>
        </w:rPr>
      </w:pPr>
      <w:r>
        <w:rPr>
          <w:rFonts w:ascii="Times New Roman" w:hAnsi="Times New Roman" w:cs="Times New Roman"/>
        </w:rPr>
        <w:t>The FCA guidance aligns with ESMAs where</w:t>
      </w:r>
      <w:r w:rsidR="001B51B5">
        <w:rPr>
          <w:rFonts w:ascii="Times New Roman" w:hAnsi="Times New Roman" w:cs="Times New Roman"/>
        </w:rPr>
        <w:t>by</w:t>
      </w:r>
      <w:r>
        <w:rPr>
          <w:rFonts w:ascii="Times New Roman" w:hAnsi="Times New Roman" w:cs="Times New Roman"/>
        </w:rPr>
        <w:t xml:space="preserve"> if the only change to a contract is </w:t>
      </w:r>
      <w:r w:rsidR="001B51B5">
        <w:rPr>
          <w:rFonts w:ascii="Times New Roman" w:hAnsi="Times New Roman" w:cs="Times New Roman"/>
        </w:rPr>
        <w:t xml:space="preserve">to </w:t>
      </w:r>
      <w:r>
        <w:rPr>
          <w:rFonts w:ascii="Times New Roman" w:hAnsi="Times New Roman" w:cs="Times New Roman"/>
        </w:rPr>
        <w:t xml:space="preserve">the reference rate, </w:t>
      </w:r>
      <w:r w:rsidR="001B51B5">
        <w:rPr>
          <w:rFonts w:ascii="Times New Roman" w:hAnsi="Times New Roman" w:cs="Times New Roman"/>
        </w:rPr>
        <w:t xml:space="preserve">the contract </w:t>
      </w:r>
      <w:r>
        <w:rPr>
          <w:rFonts w:ascii="Times New Roman" w:hAnsi="Times New Roman" w:cs="Times New Roman"/>
        </w:rPr>
        <w:t xml:space="preserve">is not in scope for transaction reporting: </w:t>
      </w:r>
      <w:r w:rsidR="001B51B5">
        <w:rPr>
          <w:rFonts w:ascii="Times New Roman" w:hAnsi="Times New Roman" w:cs="Times New Roman"/>
        </w:rPr>
        <w:t>“</w:t>
      </w:r>
      <w:r w:rsidR="001B51B5" w:rsidRPr="001B51B5">
        <w:rPr>
          <w:rFonts w:ascii="Times New Roman" w:hAnsi="Times New Roman" w:cs="Times New Roman"/>
        </w:rPr>
        <w:t>Where the only amendment to the contract is the reference rate and associated spread, a new transaction report should not be submitted”</w:t>
      </w:r>
      <w:r w:rsidR="005A1D81">
        <w:rPr>
          <w:rFonts w:ascii="Times New Roman" w:hAnsi="Times New Roman" w:cs="Times New Roman"/>
        </w:rPr>
        <w:t>.</w:t>
      </w:r>
      <w:r w:rsidR="001B51B5">
        <w:rPr>
          <w:rFonts w:ascii="Times New Roman" w:hAnsi="Times New Roman" w:cs="Times New Roman"/>
        </w:rPr>
        <w:t xml:space="preserve"> This applies to the reference rate changing as a result of a fallback or </w:t>
      </w:r>
      <w:r w:rsidR="006B092D">
        <w:rPr>
          <w:rFonts w:ascii="Times New Roman" w:hAnsi="Times New Roman" w:cs="Times New Roman"/>
        </w:rPr>
        <w:t xml:space="preserve">a </w:t>
      </w:r>
      <w:r w:rsidR="001B51B5">
        <w:rPr>
          <w:rFonts w:ascii="Times New Roman" w:hAnsi="Times New Roman" w:cs="Times New Roman"/>
        </w:rPr>
        <w:t xml:space="preserve">transfer to </w:t>
      </w:r>
      <w:proofErr w:type="gramStart"/>
      <w:r w:rsidR="001B51B5">
        <w:rPr>
          <w:rFonts w:ascii="Times New Roman" w:hAnsi="Times New Roman" w:cs="Times New Roman"/>
        </w:rPr>
        <w:t>a</w:t>
      </w:r>
      <w:proofErr w:type="gramEnd"/>
      <w:r w:rsidR="001B51B5">
        <w:rPr>
          <w:rFonts w:ascii="Times New Roman" w:hAnsi="Times New Roman" w:cs="Times New Roman"/>
        </w:rPr>
        <w:t xml:space="preserve"> RFR. </w:t>
      </w:r>
    </w:p>
    <w:p w14:paraId="49603331" w14:textId="0E01D137" w:rsidR="001B51B5" w:rsidRDefault="001B51B5" w:rsidP="00803EC1">
      <w:pPr>
        <w:jc w:val="both"/>
        <w:rPr>
          <w:rFonts w:ascii="Times New Roman" w:hAnsi="Times New Roman" w:cs="Times New Roman"/>
        </w:rPr>
      </w:pPr>
      <w:r>
        <w:rPr>
          <w:rFonts w:ascii="Times New Roman" w:hAnsi="Times New Roman" w:cs="Times New Roman"/>
        </w:rPr>
        <w:t xml:space="preserve">Any other amendments that result in a reportable transaction, such as a change in notional, would lead to a new transaction report to be submitted, in line with normal MiFID II requirements. </w:t>
      </w:r>
    </w:p>
    <w:p w14:paraId="55E76299" w14:textId="77777777" w:rsidR="005A1D81" w:rsidRDefault="005A1D81" w:rsidP="00803EC1">
      <w:pPr>
        <w:spacing w:after="0"/>
        <w:jc w:val="both"/>
        <w:rPr>
          <w:rFonts w:ascii="Times New Roman" w:hAnsi="Times New Roman" w:cs="Times New Roman"/>
          <w:b/>
          <w:bCs/>
          <w:sz w:val="24"/>
          <w:szCs w:val="24"/>
        </w:rPr>
      </w:pPr>
    </w:p>
    <w:p w14:paraId="28BE785A" w14:textId="77777777" w:rsidR="005A1D81" w:rsidRPr="009D1E8A" w:rsidRDefault="005A1D81" w:rsidP="00803EC1">
      <w:pPr>
        <w:jc w:val="both"/>
        <w:rPr>
          <w:rFonts w:ascii="Times New Roman" w:hAnsi="Times New Roman" w:cs="Times New Roman"/>
          <w:b/>
          <w:bCs/>
        </w:rPr>
      </w:pPr>
      <w:r w:rsidRPr="009D1E8A">
        <w:rPr>
          <w:rFonts w:ascii="Times New Roman" w:hAnsi="Times New Roman" w:cs="Times New Roman"/>
          <w:b/>
          <w:bCs/>
        </w:rPr>
        <w:t>ISINs and RTS 23 reporting</w:t>
      </w:r>
    </w:p>
    <w:p w14:paraId="552869EE" w14:textId="72014C9F" w:rsidR="001B51B5" w:rsidRDefault="001B51B5" w:rsidP="00803EC1">
      <w:pPr>
        <w:jc w:val="both"/>
        <w:rPr>
          <w:rFonts w:ascii="Times New Roman" w:hAnsi="Times New Roman" w:cs="Times New Roman"/>
        </w:rPr>
      </w:pPr>
      <w:r>
        <w:rPr>
          <w:rFonts w:ascii="Times New Roman" w:hAnsi="Times New Roman" w:cs="Times New Roman"/>
        </w:rPr>
        <w:t xml:space="preserve">The FCA state that “where a change in reference rate would result in a new ISIN”, the ISIN for the </w:t>
      </w:r>
      <w:r w:rsidR="006B092D">
        <w:rPr>
          <w:rFonts w:ascii="Times New Roman" w:hAnsi="Times New Roman" w:cs="Times New Roman"/>
        </w:rPr>
        <w:t>existing</w:t>
      </w:r>
      <w:r>
        <w:rPr>
          <w:rFonts w:ascii="Times New Roman" w:hAnsi="Times New Roman" w:cs="Times New Roman"/>
        </w:rPr>
        <w:t xml:space="preserve"> instrument should be terminated and the ISIN for the new financial instrument is submitted. Th</w:t>
      </w:r>
      <w:r w:rsidR="00BD5F58">
        <w:rPr>
          <w:rFonts w:ascii="Times New Roman" w:hAnsi="Times New Roman" w:cs="Times New Roman"/>
        </w:rPr>
        <w:t xml:space="preserve">is guidance is essentially </w:t>
      </w:r>
      <w:r>
        <w:rPr>
          <w:rFonts w:ascii="Times New Roman" w:hAnsi="Times New Roman" w:cs="Times New Roman"/>
        </w:rPr>
        <w:t>the same steps outlined in the ESMA Q&amp;A</w:t>
      </w:r>
      <w:r w:rsidR="00BD5F58">
        <w:rPr>
          <w:rFonts w:ascii="Times New Roman" w:hAnsi="Times New Roman" w:cs="Times New Roman"/>
        </w:rPr>
        <w:t xml:space="preserve"> for RTS 23 reporting</w:t>
      </w:r>
      <w:r>
        <w:rPr>
          <w:rFonts w:ascii="Times New Roman" w:hAnsi="Times New Roman" w:cs="Times New Roman"/>
        </w:rPr>
        <w:t>.</w:t>
      </w:r>
    </w:p>
    <w:p w14:paraId="7E08CEFC" w14:textId="77777777" w:rsidR="005A1D81" w:rsidRDefault="005A1D81" w:rsidP="00803EC1">
      <w:pPr>
        <w:spacing w:after="0"/>
        <w:jc w:val="both"/>
        <w:rPr>
          <w:rFonts w:ascii="Times New Roman" w:hAnsi="Times New Roman" w:cs="Times New Roman"/>
          <w:sz w:val="24"/>
          <w:szCs w:val="24"/>
        </w:rPr>
      </w:pPr>
    </w:p>
    <w:p w14:paraId="32F991E2" w14:textId="1785AAEE" w:rsidR="005A1D81" w:rsidRDefault="005A1D81" w:rsidP="00803EC1">
      <w:pPr>
        <w:jc w:val="both"/>
        <w:rPr>
          <w:rFonts w:ascii="Times New Roman" w:hAnsi="Times New Roman" w:cs="Times New Roman"/>
          <w:b/>
          <w:bCs/>
        </w:rPr>
      </w:pPr>
      <w:r w:rsidRPr="00A0313C">
        <w:rPr>
          <w:rFonts w:ascii="Times New Roman" w:hAnsi="Times New Roman" w:cs="Times New Roman"/>
          <w:b/>
          <w:bCs/>
        </w:rPr>
        <w:t>Voluntary transfer to a risk</w:t>
      </w:r>
      <w:r w:rsidR="006B092D">
        <w:rPr>
          <w:rFonts w:ascii="Times New Roman" w:hAnsi="Times New Roman" w:cs="Times New Roman"/>
          <w:b/>
          <w:bCs/>
        </w:rPr>
        <w:t>-</w:t>
      </w:r>
      <w:r w:rsidRPr="00A0313C">
        <w:rPr>
          <w:rFonts w:ascii="Times New Roman" w:hAnsi="Times New Roman" w:cs="Times New Roman"/>
          <w:b/>
          <w:bCs/>
        </w:rPr>
        <w:t>free rate (RFR)</w:t>
      </w:r>
    </w:p>
    <w:p w14:paraId="67E18757" w14:textId="4A19ADE0" w:rsidR="005A1D81" w:rsidRPr="005A1D81" w:rsidRDefault="001B51B5" w:rsidP="00803EC1">
      <w:pPr>
        <w:spacing w:after="0"/>
        <w:jc w:val="both"/>
        <w:rPr>
          <w:rFonts w:ascii="Times New Roman" w:hAnsi="Times New Roman" w:cs="Times New Roman"/>
          <w:sz w:val="24"/>
          <w:szCs w:val="24"/>
        </w:rPr>
      </w:pPr>
      <w:r>
        <w:rPr>
          <w:rFonts w:ascii="Times New Roman" w:hAnsi="Times New Roman" w:cs="Times New Roman"/>
        </w:rPr>
        <w:t>As with EU-MiFID II reporting, t</w:t>
      </w:r>
      <w:r w:rsidR="005A1D81">
        <w:rPr>
          <w:rFonts w:ascii="Times New Roman" w:hAnsi="Times New Roman" w:cs="Times New Roman"/>
        </w:rPr>
        <w:t xml:space="preserve">he </w:t>
      </w:r>
      <w:r w:rsidR="005A1D81" w:rsidRPr="008C7AEF">
        <w:rPr>
          <w:rFonts w:ascii="Times New Roman" w:hAnsi="Times New Roman" w:cs="Times New Roman"/>
        </w:rPr>
        <w:t>ISDA Data and Reporting EMEA Working Group</w:t>
      </w:r>
      <w:r w:rsidR="005A1D81">
        <w:rPr>
          <w:rFonts w:ascii="Times New Roman" w:hAnsi="Times New Roman" w:cs="Times New Roman"/>
        </w:rPr>
        <w:t xml:space="preserve"> considered whether instead of reporting a modification, the guidance precludes market participants terminating the original LIBOR contract and booking a new RFR contract, and whether this would result in an RTS 22 reporting requirement</w:t>
      </w:r>
      <w:r>
        <w:rPr>
          <w:rFonts w:ascii="Times New Roman" w:hAnsi="Times New Roman" w:cs="Times New Roman"/>
        </w:rPr>
        <w:t xml:space="preserve"> for UK-MiFID II</w:t>
      </w:r>
      <w:r w:rsidR="005A1D81">
        <w:rPr>
          <w:rFonts w:ascii="Times New Roman" w:hAnsi="Times New Roman" w:cs="Times New Roman"/>
        </w:rPr>
        <w:t xml:space="preserve">. The </w:t>
      </w:r>
      <w:r>
        <w:rPr>
          <w:rFonts w:ascii="Times New Roman" w:hAnsi="Times New Roman" w:cs="Times New Roman"/>
        </w:rPr>
        <w:t xml:space="preserve">FCAs guidance is </w:t>
      </w:r>
      <w:proofErr w:type="gramStart"/>
      <w:r>
        <w:rPr>
          <w:rFonts w:ascii="Times New Roman" w:hAnsi="Times New Roman" w:cs="Times New Roman"/>
        </w:rPr>
        <w:t>similar to</w:t>
      </w:r>
      <w:proofErr w:type="gramEnd"/>
      <w:r>
        <w:rPr>
          <w:rFonts w:ascii="Times New Roman" w:hAnsi="Times New Roman" w:cs="Times New Roman"/>
        </w:rPr>
        <w:t xml:space="preserve"> ESMAs in that it </w:t>
      </w:r>
      <w:r w:rsidR="005A1D81">
        <w:rPr>
          <w:rFonts w:ascii="Times New Roman" w:hAnsi="Times New Roman" w:cs="Times New Roman"/>
        </w:rPr>
        <w:t xml:space="preserve">only refers to the modification of a trade and </w:t>
      </w:r>
      <w:r>
        <w:rPr>
          <w:rFonts w:ascii="Times New Roman" w:hAnsi="Times New Roman" w:cs="Times New Roman"/>
        </w:rPr>
        <w:t xml:space="preserve">so </w:t>
      </w:r>
      <w:r w:rsidR="005A1D81">
        <w:rPr>
          <w:rFonts w:ascii="Times New Roman" w:hAnsi="Times New Roman" w:cs="Times New Roman"/>
        </w:rPr>
        <w:t>market participants should seek internal advice on whether to report in an alternative way.</w:t>
      </w:r>
    </w:p>
    <w:p w14:paraId="59C6D1FC" w14:textId="77777777" w:rsidR="005A1D81" w:rsidRDefault="005A1D81" w:rsidP="00803EC1">
      <w:pPr>
        <w:pStyle w:val="ListParagraph"/>
        <w:spacing w:after="0"/>
        <w:ind w:left="1080"/>
        <w:jc w:val="both"/>
        <w:rPr>
          <w:rFonts w:ascii="Times New Roman" w:hAnsi="Times New Roman" w:cs="Times New Roman"/>
          <w:sz w:val="24"/>
          <w:szCs w:val="24"/>
        </w:rPr>
      </w:pPr>
    </w:p>
    <w:p w14:paraId="6AFB1D2D" w14:textId="77777777" w:rsidR="00126F3D" w:rsidRDefault="00126F3D" w:rsidP="00803EC1">
      <w:pPr>
        <w:spacing w:after="0"/>
        <w:ind w:left="360"/>
        <w:jc w:val="both"/>
        <w:rPr>
          <w:rFonts w:ascii="Times New Roman" w:hAnsi="Times New Roman" w:cs="Times New Roman"/>
          <w:sz w:val="24"/>
          <w:szCs w:val="24"/>
        </w:rPr>
      </w:pPr>
    </w:p>
    <w:p w14:paraId="46E3379B" w14:textId="6F7C97A8" w:rsidR="00C16AB2" w:rsidRPr="001B51B5" w:rsidRDefault="00D44942" w:rsidP="00803EC1">
      <w:pPr>
        <w:jc w:val="both"/>
        <w:rPr>
          <w:rFonts w:ascii="Times New Roman" w:hAnsi="Times New Roman" w:cs="Times New Roman"/>
          <w:b/>
          <w:bCs/>
          <w:sz w:val="24"/>
          <w:szCs w:val="24"/>
          <w:u w:val="single"/>
        </w:rPr>
      </w:pPr>
      <w:r w:rsidRPr="001B51B5">
        <w:rPr>
          <w:rFonts w:ascii="Times New Roman" w:hAnsi="Times New Roman" w:cs="Times New Roman"/>
          <w:b/>
          <w:bCs/>
          <w:sz w:val="24"/>
          <w:szCs w:val="24"/>
          <w:u w:val="single"/>
        </w:rPr>
        <w:t>Process</w:t>
      </w:r>
      <w:r w:rsidR="002F12BB">
        <w:rPr>
          <w:rFonts w:ascii="Times New Roman" w:hAnsi="Times New Roman" w:cs="Times New Roman"/>
          <w:b/>
          <w:bCs/>
          <w:sz w:val="24"/>
          <w:szCs w:val="24"/>
          <w:u w:val="single"/>
        </w:rPr>
        <w:t xml:space="preserve"> voluntary transfers to RFRs </w:t>
      </w:r>
      <w:r w:rsidRPr="001B51B5">
        <w:rPr>
          <w:rFonts w:ascii="Times New Roman" w:hAnsi="Times New Roman" w:cs="Times New Roman"/>
          <w:b/>
          <w:bCs/>
          <w:sz w:val="24"/>
          <w:szCs w:val="24"/>
          <w:u w:val="single"/>
        </w:rPr>
        <w:t>for cleared trades</w:t>
      </w:r>
    </w:p>
    <w:p w14:paraId="3AD24CDD" w14:textId="56F32E9F" w:rsidR="0018051E" w:rsidRDefault="002F12BB" w:rsidP="00803EC1">
      <w:pPr>
        <w:jc w:val="both"/>
        <w:rPr>
          <w:rFonts w:ascii="Times New Roman" w:hAnsi="Times New Roman" w:cs="Times New Roman"/>
        </w:rPr>
      </w:pPr>
      <w:r>
        <w:rPr>
          <w:rFonts w:ascii="Times New Roman" w:hAnsi="Times New Roman" w:cs="Times New Roman"/>
        </w:rPr>
        <w:t>It is understood that some clearing houses (CCPs) will process transfers to RFRs by terminating the original trade and booking a new trade</w:t>
      </w:r>
      <w:r w:rsidR="0018051E">
        <w:rPr>
          <w:rFonts w:ascii="Times New Roman" w:hAnsi="Times New Roman" w:cs="Times New Roman"/>
        </w:rPr>
        <w:t>(s)</w:t>
      </w:r>
      <w:r>
        <w:rPr>
          <w:rFonts w:ascii="Times New Roman" w:hAnsi="Times New Roman" w:cs="Times New Roman"/>
        </w:rPr>
        <w:t>, as opposed to modifying existing trades.</w:t>
      </w:r>
      <w:r w:rsidR="0018051E">
        <w:rPr>
          <w:rFonts w:ascii="Times New Roman" w:hAnsi="Times New Roman" w:cs="Times New Roman"/>
        </w:rPr>
        <w:t xml:space="preserve"> Where this is the case, CCPs are expected to inform their local competent authority</w:t>
      </w:r>
      <w:r w:rsidR="006B092D">
        <w:rPr>
          <w:rFonts w:ascii="Times New Roman" w:hAnsi="Times New Roman" w:cs="Times New Roman"/>
        </w:rPr>
        <w:t>. T</w:t>
      </w:r>
      <w:r w:rsidR="0018051E">
        <w:rPr>
          <w:rFonts w:ascii="Times New Roman" w:hAnsi="Times New Roman" w:cs="Times New Roman"/>
        </w:rPr>
        <w:t xml:space="preserve">here is no expectation that the regulatory guidance published for ESMA or FCA will be amended </w:t>
      </w:r>
      <w:r w:rsidR="006B092D">
        <w:rPr>
          <w:rFonts w:ascii="Times New Roman" w:hAnsi="Times New Roman" w:cs="Times New Roman"/>
        </w:rPr>
        <w:t>to specify the reporting of cleared trades</w:t>
      </w:r>
      <w:r w:rsidR="0018051E">
        <w:rPr>
          <w:rFonts w:ascii="Times New Roman" w:hAnsi="Times New Roman" w:cs="Times New Roman"/>
        </w:rPr>
        <w:t xml:space="preserve">. </w:t>
      </w:r>
    </w:p>
    <w:p w14:paraId="6B20E374" w14:textId="4B96B27C" w:rsidR="0018051E" w:rsidRDefault="0018051E" w:rsidP="00803EC1">
      <w:pPr>
        <w:jc w:val="both"/>
        <w:rPr>
          <w:rFonts w:ascii="Times New Roman" w:hAnsi="Times New Roman" w:cs="Times New Roman"/>
        </w:rPr>
      </w:pPr>
      <w:proofErr w:type="gramStart"/>
      <w:r>
        <w:rPr>
          <w:rFonts w:ascii="Times New Roman" w:hAnsi="Times New Roman" w:cs="Times New Roman"/>
        </w:rPr>
        <w:t>In order to</w:t>
      </w:r>
      <w:proofErr w:type="gramEnd"/>
      <w:r>
        <w:rPr>
          <w:rFonts w:ascii="Times New Roman" w:hAnsi="Times New Roman" w:cs="Times New Roman"/>
        </w:rPr>
        <w:t xml:space="preserve"> </w:t>
      </w:r>
      <w:r w:rsidR="00E510D9">
        <w:rPr>
          <w:rFonts w:ascii="Times New Roman" w:hAnsi="Times New Roman" w:cs="Times New Roman"/>
        </w:rPr>
        <w:t>provide</w:t>
      </w:r>
      <w:r>
        <w:rPr>
          <w:rFonts w:ascii="Times New Roman" w:hAnsi="Times New Roman" w:cs="Times New Roman"/>
        </w:rPr>
        <w:t xml:space="preserve"> an audit trail </w:t>
      </w:r>
      <w:r w:rsidR="009437E4">
        <w:rPr>
          <w:rFonts w:ascii="Times New Roman" w:hAnsi="Times New Roman" w:cs="Times New Roman"/>
        </w:rPr>
        <w:t xml:space="preserve">and link the </w:t>
      </w:r>
      <w:r w:rsidR="004D6CC4">
        <w:rPr>
          <w:rFonts w:ascii="Times New Roman" w:hAnsi="Times New Roman" w:cs="Times New Roman"/>
        </w:rPr>
        <w:t>new trade</w:t>
      </w:r>
      <w:r w:rsidR="009437E4">
        <w:rPr>
          <w:rFonts w:ascii="Times New Roman" w:hAnsi="Times New Roman" w:cs="Times New Roman"/>
        </w:rPr>
        <w:t>(</w:t>
      </w:r>
      <w:r w:rsidR="004D6CC4">
        <w:rPr>
          <w:rFonts w:ascii="Times New Roman" w:hAnsi="Times New Roman" w:cs="Times New Roman"/>
        </w:rPr>
        <w:t>s</w:t>
      </w:r>
      <w:r w:rsidR="009437E4">
        <w:rPr>
          <w:rFonts w:ascii="Times New Roman" w:hAnsi="Times New Roman" w:cs="Times New Roman"/>
        </w:rPr>
        <w:t>)</w:t>
      </w:r>
      <w:r w:rsidR="004D6CC4">
        <w:rPr>
          <w:rFonts w:ascii="Times New Roman" w:hAnsi="Times New Roman" w:cs="Times New Roman"/>
        </w:rPr>
        <w:t xml:space="preserve"> resulting from </w:t>
      </w:r>
      <w:r>
        <w:rPr>
          <w:rFonts w:ascii="Times New Roman" w:hAnsi="Times New Roman" w:cs="Times New Roman"/>
        </w:rPr>
        <w:t>transfers to a RFR</w:t>
      </w:r>
      <w:r w:rsidR="009437E4">
        <w:rPr>
          <w:rFonts w:ascii="Times New Roman" w:hAnsi="Times New Roman" w:cs="Times New Roman"/>
        </w:rPr>
        <w:t xml:space="preserve"> with the original trade</w:t>
      </w:r>
      <w:r>
        <w:rPr>
          <w:rFonts w:ascii="Times New Roman" w:hAnsi="Times New Roman" w:cs="Times New Roman"/>
        </w:rPr>
        <w:t xml:space="preserve">, </w:t>
      </w:r>
      <w:r w:rsidR="004D6CC4">
        <w:rPr>
          <w:rFonts w:ascii="Times New Roman" w:hAnsi="Times New Roman" w:cs="Times New Roman"/>
        </w:rPr>
        <w:t>a proposed solution that CCPs may utilise is for</w:t>
      </w:r>
      <w:r w:rsidR="00E510D9">
        <w:rPr>
          <w:rFonts w:ascii="Times New Roman" w:hAnsi="Times New Roman" w:cs="Times New Roman"/>
        </w:rPr>
        <w:t xml:space="preserve"> </w:t>
      </w:r>
      <w:r>
        <w:rPr>
          <w:rFonts w:ascii="Times New Roman" w:hAnsi="Times New Roman" w:cs="Times New Roman"/>
        </w:rPr>
        <w:t xml:space="preserve">the </w:t>
      </w:r>
      <w:r w:rsidR="004D6CC4">
        <w:rPr>
          <w:rFonts w:ascii="Times New Roman" w:hAnsi="Times New Roman" w:cs="Times New Roman"/>
        </w:rPr>
        <w:t xml:space="preserve">UTI of the terminated </w:t>
      </w:r>
      <w:r>
        <w:rPr>
          <w:rFonts w:ascii="Times New Roman" w:hAnsi="Times New Roman" w:cs="Times New Roman"/>
        </w:rPr>
        <w:t xml:space="preserve">original trade </w:t>
      </w:r>
      <w:r w:rsidR="00E510D9">
        <w:rPr>
          <w:rFonts w:ascii="Times New Roman" w:hAnsi="Times New Roman" w:cs="Times New Roman"/>
        </w:rPr>
        <w:t xml:space="preserve">to </w:t>
      </w:r>
      <w:r w:rsidR="004D6CC4">
        <w:rPr>
          <w:rFonts w:ascii="Times New Roman" w:hAnsi="Times New Roman" w:cs="Times New Roman"/>
        </w:rPr>
        <w:t>be populated in the ‘Report tracking number’ field (</w:t>
      </w:r>
      <w:r w:rsidR="00E510D9">
        <w:rPr>
          <w:rFonts w:ascii="Times New Roman" w:hAnsi="Times New Roman" w:cs="Times New Roman"/>
        </w:rPr>
        <w:t># 2.13) of the new trade(s).</w:t>
      </w:r>
      <w:r w:rsidR="009437E4">
        <w:rPr>
          <w:rFonts w:ascii="Times New Roman" w:hAnsi="Times New Roman" w:cs="Times New Roman"/>
        </w:rPr>
        <w:t xml:space="preserve"> </w:t>
      </w:r>
    </w:p>
    <w:p w14:paraId="0BC85A22" w14:textId="31C8DB5B" w:rsidR="00E510D9" w:rsidRDefault="00E510D9" w:rsidP="00803EC1">
      <w:pPr>
        <w:jc w:val="both"/>
        <w:rPr>
          <w:rFonts w:ascii="Times New Roman" w:hAnsi="Times New Roman" w:cs="Times New Roman"/>
        </w:rPr>
      </w:pPr>
      <w:r>
        <w:rPr>
          <w:rFonts w:ascii="Times New Roman" w:hAnsi="Times New Roman" w:cs="Times New Roman"/>
        </w:rPr>
        <w:t>CCPs are expected to provide their members with more detailed information on the process</w:t>
      </w:r>
      <w:r w:rsidR="006B092D">
        <w:rPr>
          <w:rFonts w:ascii="Times New Roman" w:hAnsi="Times New Roman" w:cs="Times New Roman"/>
        </w:rPr>
        <w:t>es</w:t>
      </w:r>
      <w:r>
        <w:rPr>
          <w:rFonts w:ascii="Times New Roman" w:hAnsi="Times New Roman" w:cs="Times New Roman"/>
        </w:rPr>
        <w:t xml:space="preserve"> for transferring from LIBOR to </w:t>
      </w:r>
      <w:proofErr w:type="gramStart"/>
      <w:r>
        <w:rPr>
          <w:rFonts w:ascii="Times New Roman" w:hAnsi="Times New Roman" w:cs="Times New Roman"/>
        </w:rPr>
        <w:t>a</w:t>
      </w:r>
      <w:proofErr w:type="gramEnd"/>
      <w:r>
        <w:rPr>
          <w:rFonts w:ascii="Times New Roman" w:hAnsi="Times New Roman" w:cs="Times New Roman"/>
        </w:rPr>
        <w:t xml:space="preserve"> RFR.</w:t>
      </w:r>
    </w:p>
    <w:p w14:paraId="019408AE" w14:textId="6A17111D" w:rsidR="00D02EFA" w:rsidRDefault="00D02EFA" w:rsidP="00803EC1">
      <w:pPr>
        <w:jc w:val="both"/>
        <w:rPr>
          <w:rFonts w:ascii="Times New Roman" w:hAnsi="Times New Roman" w:cs="Times New Roman"/>
        </w:rPr>
      </w:pPr>
    </w:p>
    <w:p w14:paraId="11F867C5" w14:textId="45E25E4E" w:rsidR="00D02EFA" w:rsidRPr="00803EC1" w:rsidRDefault="00D02EFA" w:rsidP="00803EC1">
      <w:pPr>
        <w:jc w:val="both"/>
        <w:rPr>
          <w:rFonts w:ascii="Times New Roman" w:hAnsi="Times New Roman" w:cs="Times New Roman"/>
          <w:b/>
          <w:bCs/>
          <w:sz w:val="24"/>
          <w:szCs w:val="24"/>
          <w:u w:val="single"/>
        </w:rPr>
      </w:pPr>
      <w:r w:rsidRPr="00803EC1">
        <w:rPr>
          <w:rFonts w:ascii="Times New Roman" w:hAnsi="Times New Roman" w:cs="Times New Roman"/>
          <w:b/>
          <w:bCs/>
          <w:sz w:val="24"/>
          <w:szCs w:val="24"/>
          <w:u w:val="single"/>
        </w:rPr>
        <w:t>Asia Pacific</w:t>
      </w:r>
    </w:p>
    <w:p w14:paraId="23504A81" w14:textId="37C79F63" w:rsidR="00940B1D" w:rsidRDefault="00D02EFA" w:rsidP="00803EC1">
      <w:pPr>
        <w:jc w:val="both"/>
        <w:rPr>
          <w:rFonts w:ascii="Times New Roman" w:hAnsi="Times New Roman" w:cs="Times New Roman"/>
        </w:rPr>
      </w:pPr>
      <w:r>
        <w:rPr>
          <w:rFonts w:ascii="Times New Roman" w:hAnsi="Times New Roman" w:cs="Times New Roman"/>
        </w:rPr>
        <w:t>F</w:t>
      </w:r>
      <w:r w:rsidRPr="00D02EFA">
        <w:rPr>
          <w:rFonts w:ascii="Times New Roman" w:hAnsi="Times New Roman" w:cs="Times New Roman"/>
        </w:rPr>
        <w:t>or Australia, H</w:t>
      </w:r>
      <w:r w:rsidR="00DB2E50">
        <w:rPr>
          <w:rFonts w:ascii="Times New Roman" w:hAnsi="Times New Roman" w:cs="Times New Roman"/>
        </w:rPr>
        <w:t xml:space="preserve">ong </w:t>
      </w:r>
      <w:r w:rsidRPr="00D02EFA">
        <w:rPr>
          <w:rFonts w:ascii="Times New Roman" w:hAnsi="Times New Roman" w:cs="Times New Roman"/>
        </w:rPr>
        <w:t>K</w:t>
      </w:r>
      <w:r w:rsidR="00DB2E50">
        <w:rPr>
          <w:rFonts w:ascii="Times New Roman" w:hAnsi="Times New Roman" w:cs="Times New Roman"/>
        </w:rPr>
        <w:t>ong</w:t>
      </w:r>
      <w:r w:rsidRPr="00D02EFA">
        <w:rPr>
          <w:rFonts w:ascii="Times New Roman" w:hAnsi="Times New Roman" w:cs="Times New Roman"/>
        </w:rPr>
        <w:t>, Singapore, and South Korea</w:t>
      </w:r>
      <w:r w:rsidR="00940B1D">
        <w:rPr>
          <w:rStyle w:val="FootnoteReference"/>
          <w:rFonts w:ascii="Times New Roman" w:hAnsi="Times New Roman" w:cs="Times New Roman"/>
        </w:rPr>
        <w:footnoteReference w:id="2"/>
      </w:r>
      <w:r w:rsidRPr="00D02EFA">
        <w:rPr>
          <w:rFonts w:ascii="Times New Roman" w:hAnsi="Times New Roman" w:cs="Times New Roman"/>
        </w:rPr>
        <w:t>, their aligned approach is for reporting entities to report the Fallback FRO Name according to ISDA’s 2021 interest rate derivatives definitions.</w:t>
      </w:r>
      <w:r>
        <w:rPr>
          <w:rFonts w:ascii="Times New Roman" w:hAnsi="Times New Roman" w:cs="Times New Roman"/>
        </w:rPr>
        <w:t xml:space="preserve"> ASIC, HK SFC and HKMA, and MAS have updated their guidance and FAQs to provide clarification on their reporting requirements in this respect. </w:t>
      </w:r>
      <w:r w:rsidRPr="00D02EFA">
        <w:rPr>
          <w:rFonts w:ascii="Times New Roman" w:hAnsi="Times New Roman" w:cs="Times New Roman"/>
        </w:rPr>
        <w:t xml:space="preserve">Amongst the </w:t>
      </w:r>
      <w:r>
        <w:rPr>
          <w:rFonts w:ascii="Times New Roman" w:hAnsi="Times New Roman" w:cs="Times New Roman"/>
        </w:rPr>
        <w:t xml:space="preserve">APAC </w:t>
      </w:r>
      <w:r w:rsidRPr="00D02EFA">
        <w:rPr>
          <w:rFonts w:ascii="Times New Roman" w:hAnsi="Times New Roman" w:cs="Times New Roman"/>
        </w:rPr>
        <w:t xml:space="preserve">regional regulators, MAS has adopted a more flexible approach. In MAS’ </w:t>
      </w:r>
      <w:r w:rsidR="00940B1D">
        <w:rPr>
          <w:rFonts w:ascii="Times New Roman" w:hAnsi="Times New Roman" w:cs="Times New Roman"/>
        </w:rPr>
        <w:t>correspondence with</w:t>
      </w:r>
      <w:r w:rsidRPr="00D02EFA">
        <w:rPr>
          <w:rFonts w:ascii="Times New Roman" w:hAnsi="Times New Roman" w:cs="Times New Roman"/>
        </w:rPr>
        <w:t xml:space="preserve"> ISDA, MAS indicated that while the Fallback FRO Name is preferred, it would not have objections if reporting entities </w:t>
      </w:r>
      <w:proofErr w:type="gramStart"/>
      <w:r w:rsidRPr="00D02EFA">
        <w:rPr>
          <w:rFonts w:ascii="Times New Roman" w:hAnsi="Times New Roman" w:cs="Times New Roman"/>
        </w:rPr>
        <w:t>report</w:t>
      </w:r>
      <w:proofErr w:type="gramEnd"/>
      <w:r w:rsidRPr="00D02EFA">
        <w:rPr>
          <w:rFonts w:ascii="Times New Roman" w:hAnsi="Times New Roman" w:cs="Times New Roman"/>
        </w:rPr>
        <w:t xml:space="preserve"> according to ESMA’s approach (which is </w:t>
      </w:r>
      <w:r w:rsidR="00DB2E50">
        <w:rPr>
          <w:rFonts w:ascii="Times New Roman" w:hAnsi="Times New Roman" w:cs="Times New Roman"/>
        </w:rPr>
        <w:t xml:space="preserve">the RFR code on which </w:t>
      </w:r>
      <w:r w:rsidR="00803EC1">
        <w:rPr>
          <w:rFonts w:ascii="Times New Roman" w:hAnsi="Times New Roman" w:cs="Times New Roman"/>
        </w:rPr>
        <w:t xml:space="preserve">adjustments are applied to produce </w:t>
      </w:r>
      <w:r w:rsidR="00DB2E50">
        <w:rPr>
          <w:rFonts w:ascii="Times New Roman" w:hAnsi="Times New Roman" w:cs="Times New Roman"/>
        </w:rPr>
        <w:t xml:space="preserve">the </w:t>
      </w:r>
      <w:r w:rsidRPr="00D02EFA">
        <w:rPr>
          <w:rFonts w:ascii="Times New Roman" w:hAnsi="Times New Roman" w:cs="Times New Roman"/>
        </w:rPr>
        <w:t xml:space="preserve">Fallback </w:t>
      </w:r>
      <w:r w:rsidR="00DB2E50">
        <w:rPr>
          <w:rFonts w:ascii="Times New Roman" w:hAnsi="Times New Roman" w:cs="Times New Roman"/>
        </w:rPr>
        <w:t>Rate</w:t>
      </w:r>
      <w:r w:rsidRPr="00D02EFA">
        <w:rPr>
          <w:rFonts w:ascii="Times New Roman" w:hAnsi="Times New Roman" w:cs="Times New Roman"/>
        </w:rPr>
        <w:t>), or UK FCA’s approach (which is IBOR ISO Code + “fallback” suffix).</w:t>
      </w:r>
      <w:r>
        <w:rPr>
          <w:rFonts w:ascii="Times New Roman" w:hAnsi="Times New Roman" w:cs="Times New Roman"/>
        </w:rPr>
        <w:t xml:space="preserve"> </w:t>
      </w:r>
    </w:p>
    <w:p w14:paraId="035DC8B7" w14:textId="77777777" w:rsidR="00ED0335" w:rsidRDefault="00ED0335">
      <w:pPr>
        <w:rPr>
          <w:rFonts w:ascii="Times New Roman" w:hAnsi="Times New Roman" w:cs="Times New Roman"/>
          <w:b/>
          <w:bCs/>
        </w:rPr>
      </w:pPr>
      <w:r>
        <w:rPr>
          <w:rFonts w:ascii="Times New Roman" w:hAnsi="Times New Roman" w:cs="Times New Roman"/>
          <w:b/>
          <w:bCs/>
        </w:rPr>
        <w:br w:type="page"/>
      </w:r>
    </w:p>
    <w:p w14:paraId="1848AFE1" w14:textId="4CB2D337" w:rsidR="00D02EFA" w:rsidRDefault="001D1284" w:rsidP="00ED0335">
      <w:pPr>
        <w:keepNext/>
        <w:keepLines/>
        <w:ind w:left="720" w:hanging="720"/>
        <w:rPr>
          <w:rFonts w:ascii="Times New Roman" w:hAnsi="Times New Roman" w:cs="Times New Roman"/>
        </w:rPr>
      </w:pPr>
      <w:r w:rsidRPr="00803EC1">
        <w:rPr>
          <w:rFonts w:ascii="Times New Roman" w:hAnsi="Times New Roman" w:cs="Times New Roman"/>
          <w:b/>
          <w:bCs/>
        </w:rPr>
        <w:lastRenderedPageBreak/>
        <w:t>Table 3</w:t>
      </w:r>
      <w:r w:rsidR="00D02EFA">
        <w:rPr>
          <w:rFonts w:ascii="Times New Roman" w:hAnsi="Times New Roman" w:cs="Times New Roman"/>
        </w:rPr>
        <w:t xml:space="preserve"> below summarises the APAC regulators’ reporting requirements re IBOR transition</w:t>
      </w:r>
      <w:r w:rsidR="00940B1D">
        <w:rPr>
          <w:rFonts w:ascii="Times New Roman" w:hAnsi="Times New Roman" w:cs="Times New Roman"/>
        </w:rPr>
        <w:t>:</w:t>
      </w:r>
    </w:p>
    <w:tbl>
      <w:tblPr>
        <w:tblpPr w:leftFromText="180" w:rightFromText="180" w:vertAnchor="text" w:horzAnchor="margin" w:tblpXSpec="center" w:tblpY="121"/>
        <w:tblW w:w="10480" w:type="dxa"/>
        <w:tblCellMar>
          <w:left w:w="0" w:type="dxa"/>
          <w:right w:w="0" w:type="dxa"/>
        </w:tblCellMar>
        <w:tblLook w:val="0420" w:firstRow="1" w:lastRow="0" w:firstColumn="0" w:lastColumn="0" w:noHBand="0" w:noVBand="1"/>
      </w:tblPr>
      <w:tblGrid>
        <w:gridCol w:w="2708"/>
        <w:gridCol w:w="1677"/>
        <w:gridCol w:w="1842"/>
        <w:gridCol w:w="1843"/>
        <w:gridCol w:w="2410"/>
      </w:tblGrid>
      <w:tr w:rsidR="00940B1D" w:rsidRPr="00D02EFA" w14:paraId="2DDBB362" w14:textId="77777777" w:rsidTr="00803EC1">
        <w:trPr>
          <w:trHeight w:val="588"/>
        </w:trPr>
        <w:tc>
          <w:tcPr>
            <w:tcW w:w="2708"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77781A9E" w14:textId="77777777" w:rsidR="00940B1D" w:rsidRPr="00D02EFA" w:rsidRDefault="00940B1D" w:rsidP="00ED0335">
            <w:pPr>
              <w:keepNext/>
              <w:keepLines/>
              <w:jc w:val="both"/>
              <w:rPr>
                <w:rFonts w:ascii="Times New Roman" w:hAnsi="Times New Roman" w:cs="Times New Roman"/>
                <w:lang w:val="en-SG"/>
              </w:rPr>
            </w:pPr>
          </w:p>
        </w:tc>
        <w:tc>
          <w:tcPr>
            <w:tcW w:w="1677"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5A228E4" w14:textId="77777777" w:rsidR="00940B1D" w:rsidRPr="00D02EFA" w:rsidRDefault="00940B1D" w:rsidP="00ED0335">
            <w:pPr>
              <w:keepNext/>
              <w:keepLines/>
              <w:jc w:val="both"/>
              <w:rPr>
                <w:rFonts w:ascii="Times New Roman" w:hAnsi="Times New Roman" w:cs="Times New Roman"/>
                <w:lang w:val="en-SG"/>
              </w:rPr>
            </w:pPr>
            <w:r w:rsidRPr="00D02EFA">
              <w:rPr>
                <w:rFonts w:ascii="Times New Roman" w:hAnsi="Times New Roman" w:cs="Times New Roman"/>
                <w:b/>
                <w:bCs/>
                <w:lang w:val="en-US"/>
              </w:rPr>
              <w:t>Australia</w:t>
            </w:r>
          </w:p>
        </w:tc>
        <w:tc>
          <w:tcPr>
            <w:tcW w:w="1842"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490798A8" w14:textId="77777777" w:rsidR="00940B1D" w:rsidRPr="00D02EFA" w:rsidRDefault="00940B1D" w:rsidP="00ED0335">
            <w:pPr>
              <w:keepNext/>
              <w:keepLines/>
              <w:jc w:val="both"/>
              <w:rPr>
                <w:rFonts w:ascii="Times New Roman" w:hAnsi="Times New Roman" w:cs="Times New Roman"/>
                <w:lang w:val="en-SG"/>
              </w:rPr>
            </w:pPr>
            <w:r w:rsidRPr="00D02EFA">
              <w:rPr>
                <w:rFonts w:ascii="Times New Roman" w:hAnsi="Times New Roman" w:cs="Times New Roman"/>
                <w:b/>
                <w:bCs/>
                <w:lang w:val="en-US"/>
              </w:rPr>
              <w:t>Hong Kong</w:t>
            </w:r>
          </w:p>
        </w:tc>
        <w:tc>
          <w:tcPr>
            <w:tcW w:w="1843"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4378391A" w14:textId="77777777" w:rsidR="00940B1D" w:rsidRPr="00D02EFA" w:rsidRDefault="00940B1D" w:rsidP="00ED0335">
            <w:pPr>
              <w:keepNext/>
              <w:keepLines/>
              <w:jc w:val="both"/>
              <w:rPr>
                <w:rFonts w:ascii="Times New Roman" w:hAnsi="Times New Roman" w:cs="Times New Roman"/>
                <w:lang w:val="en-SG"/>
              </w:rPr>
            </w:pPr>
            <w:r w:rsidRPr="00D02EFA">
              <w:rPr>
                <w:rFonts w:ascii="Times New Roman" w:hAnsi="Times New Roman" w:cs="Times New Roman"/>
                <w:b/>
                <w:bCs/>
                <w:lang w:val="en-US"/>
              </w:rPr>
              <w:t>Korea</w:t>
            </w:r>
          </w:p>
        </w:tc>
        <w:tc>
          <w:tcPr>
            <w:tcW w:w="241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76336CA3" w14:textId="77777777" w:rsidR="00940B1D" w:rsidRPr="00D02EFA" w:rsidRDefault="00940B1D" w:rsidP="00ED0335">
            <w:pPr>
              <w:keepNext/>
              <w:keepLines/>
              <w:jc w:val="both"/>
              <w:rPr>
                <w:rFonts w:ascii="Times New Roman" w:hAnsi="Times New Roman" w:cs="Times New Roman"/>
                <w:lang w:val="en-SG"/>
              </w:rPr>
            </w:pPr>
            <w:r w:rsidRPr="00D02EFA">
              <w:rPr>
                <w:rFonts w:ascii="Times New Roman" w:hAnsi="Times New Roman" w:cs="Times New Roman"/>
                <w:b/>
                <w:bCs/>
                <w:lang w:val="en-US"/>
              </w:rPr>
              <w:t>Singapore</w:t>
            </w:r>
          </w:p>
        </w:tc>
      </w:tr>
      <w:tr w:rsidR="00940B1D" w:rsidRPr="00D02EFA" w14:paraId="3DE1EEF5" w14:textId="77777777" w:rsidTr="00803EC1">
        <w:trPr>
          <w:trHeight w:val="951"/>
        </w:trPr>
        <w:tc>
          <w:tcPr>
            <w:tcW w:w="2708"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07D8E57" w14:textId="77777777" w:rsidR="00940B1D" w:rsidRPr="00D02EFA" w:rsidRDefault="00940B1D" w:rsidP="00ED0335">
            <w:pPr>
              <w:keepNext/>
              <w:keepLines/>
              <w:jc w:val="both"/>
              <w:rPr>
                <w:rFonts w:ascii="Times New Roman" w:hAnsi="Times New Roman" w:cs="Times New Roman"/>
                <w:lang w:val="en-SG"/>
              </w:rPr>
            </w:pPr>
            <w:r w:rsidRPr="00D02EFA">
              <w:rPr>
                <w:rFonts w:ascii="Times New Roman" w:hAnsi="Times New Roman" w:cs="Times New Roman"/>
                <w:b/>
                <w:bCs/>
                <w:lang w:val="en-US"/>
              </w:rPr>
              <w:t xml:space="preserve">Inclusion of fallback provisions </w:t>
            </w:r>
          </w:p>
          <w:p w14:paraId="4BCA9458" w14:textId="77777777" w:rsidR="00940B1D" w:rsidRPr="00D02EFA" w:rsidRDefault="00940B1D" w:rsidP="00ED0335">
            <w:pPr>
              <w:keepNext/>
              <w:keepLines/>
              <w:jc w:val="both"/>
              <w:rPr>
                <w:rFonts w:ascii="Times New Roman" w:hAnsi="Times New Roman" w:cs="Times New Roman"/>
                <w:lang w:val="en-SG"/>
              </w:rPr>
            </w:pPr>
            <w:r w:rsidRPr="00D02EFA">
              <w:rPr>
                <w:rFonts w:ascii="Times New Roman" w:hAnsi="Times New Roman" w:cs="Times New Roman"/>
                <w:lang w:val="en-US"/>
              </w:rPr>
              <w:t>(</w:t>
            </w:r>
            <w:proofErr w:type="gramStart"/>
            <w:r w:rsidRPr="00D02EFA">
              <w:rPr>
                <w:rFonts w:ascii="Times New Roman" w:hAnsi="Times New Roman" w:cs="Times New Roman"/>
                <w:lang w:val="en-US"/>
              </w:rPr>
              <w:t>e.g.</w:t>
            </w:r>
            <w:proofErr w:type="gramEnd"/>
            <w:r w:rsidRPr="00D02EFA">
              <w:rPr>
                <w:rFonts w:ascii="Times New Roman" w:hAnsi="Times New Roman" w:cs="Times New Roman"/>
                <w:lang w:val="en-US"/>
              </w:rPr>
              <w:t xml:space="preserve"> reference to fallback rates or via adherence to </w:t>
            </w:r>
            <w:hyperlink r:id="rId19" w:history="1">
              <w:r w:rsidRPr="005E354D">
                <w:rPr>
                  <w:rStyle w:val="Hyperlink"/>
                  <w:rFonts w:ascii="Times New Roman" w:hAnsi="Times New Roman" w:cs="Times New Roman"/>
                  <w:lang w:val="en-SG"/>
                </w:rPr>
                <w:t>ISDA 2020 IBOR Fallbacks Protocol</w:t>
              </w:r>
            </w:hyperlink>
            <w:r w:rsidRPr="00D02EFA">
              <w:rPr>
                <w:rFonts w:ascii="Times New Roman" w:hAnsi="Times New Roman" w:cs="Times New Roman"/>
                <w:lang w:val="en-US"/>
              </w:rPr>
              <w:t xml:space="preserve">) </w:t>
            </w:r>
          </w:p>
        </w:tc>
        <w:tc>
          <w:tcPr>
            <w:tcW w:w="1677"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35A9CDA9" w14:textId="77777777" w:rsidR="00940B1D" w:rsidRPr="00D02EFA" w:rsidRDefault="00940B1D" w:rsidP="00ED0335">
            <w:pPr>
              <w:keepNext/>
              <w:keepLines/>
              <w:jc w:val="both"/>
              <w:rPr>
                <w:rFonts w:ascii="Times New Roman" w:hAnsi="Times New Roman" w:cs="Times New Roman"/>
                <w:lang w:val="en-SG"/>
              </w:rPr>
            </w:pPr>
            <w:r w:rsidRPr="00D02EFA">
              <w:rPr>
                <w:rFonts w:ascii="Times New Roman" w:hAnsi="Times New Roman" w:cs="Times New Roman"/>
                <w:lang w:val="en-US"/>
              </w:rPr>
              <w:t>Not reportable</w:t>
            </w:r>
          </w:p>
        </w:tc>
        <w:tc>
          <w:tcPr>
            <w:tcW w:w="1842"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4E439021" w14:textId="77777777" w:rsidR="00940B1D" w:rsidRPr="00D02EFA" w:rsidRDefault="00940B1D" w:rsidP="00ED0335">
            <w:pPr>
              <w:keepNext/>
              <w:keepLines/>
              <w:jc w:val="both"/>
              <w:rPr>
                <w:rFonts w:ascii="Times New Roman" w:hAnsi="Times New Roman" w:cs="Times New Roman"/>
                <w:lang w:val="en-SG"/>
              </w:rPr>
            </w:pPr>
            <w:r w:rsidRPr="00D02EFA">
              <w:rPr>
                <w:rFonts w:ascii="Times New Roman" w:hAnsi="Times New Roman" w:cs="Times New Roman"/>
                <w:lang w:val="en-US"/>
              </w:rPr>
              <w:t>Not reportable</w:t>
            </w:r>
          </w:p>
        </w:tc>
        <w:tc>
          <w:tcPr>
            <w:tcW w:w="1843"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0FD239F" w14:textId="77777777" w:rsidR="00940B1D" w:rsidRPr="00D02EFA" w:rsidRDefault="00940B1D" w:rsidP="00ED0335">
            <w:pPr>
              <w:keepNext/>
              <w:keepLines/>
              <w:jc w:val="both"/>
              <w:rPr>
                <w:rFonts w:ascii="Times New Roman" w:hAnsi="Times New Roman" w:cs="Times New Roman"/>
                <w:lang w:val="en-SG"/>
              </w:rPr>
            </w:pPr>
            <w:r w:rsidRPr="00D02EFA">
              <w:rPr>
                <w:rFonts w:ascii="Times New Roman" w:hAnsi="Times New Roman" w:cs="Times New Roman"/>
                <w:lang w:val="en-US"/>
              </w:rPr>
              <w:t>Not reportable</w:t>
            </w:r>
          </w:p>
        </w:tc>
        <w:tc>
          <w:tcPr>
            <w:tcW w:w="241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5A4C583C" w14:textId="77777777" w:rsidR="00940B1D" w:rsidRPr="00D02EFA" w:rsidRDefault="00940B1D" w:rsidP="00ED0335">
            <w:pPr>
              <w:keepNext/>
              <w:keepLines/>
              <w:jc w:val="both"/>
              <w:rPr>
                <w:rFonts w:ascii="Times New Roman" w:hAnsi="Times New Roman" w:cs="Times New Roman"/>
                <w:lang w:val="en-SG"/>
              </w:rPr>
            </w:pPr>
            <w:r w:rsidRPr="00D02EFA">
              <w:rPr>
                <w:rFonts w:ascii="Times New Roman" w:hAnsi="Times New Roman" w:cs="Times New Roman"/>
                <w:lang w:val="en-US"/>
              </w:rPr>
              <w:t>Not reportable</w:t>
            </w:r>
          </w:p>
        </w:tc>
      </w:tr>
      <w:tr w:rsidR="00940B1D" w:rsidRPr="00D02EFA" w14:paraId="149A1995" w14:textId="77777777" w:rsidTr="00803EC1">
        <w:trPr>
          <w:trHeight w:val="1607"/>
        </w:trPr>
        <w:tc>
          <w:tcPr>
            <w:tcW w:w="2708"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F98FBD5" w14:textId="77777777" w:rsidR="00940B1D" w:rsidRPr="00D02EFA" w:rsidRDefault="00940B1D" w:rsidP="00ED0335">
            <w:pPr>
              <w:keepNext/>
              <w:keepLines/>
              <w:jc w:val="both"/>
              <w:rPr>
                <w:rFonts w:ascii="Times New Roman" w:hAnsi="Times New Roman" w:cs="Times New Roman"/>
                <w:lang w:val="en-SG"/>
              </w:rPr>
            </w:pPr>
            <w:r w:rsidRPr="00D02EFA">
              <w:rPr>
                <w:rFonts w:ascii="Times New Roman" w:hAnsi="Times New Roman" w:cs="Times New Roman"/>
                <w:b/>
                <w:bCs/>
                <w:lang w:val="en-US"/>
              </w:rPr>
              <w:t>Amendment/replacement of rates in derivatives contracts</w:t>
            </w:r>
          </w:p>
          <w:p w14:paraId="4B01D127" w14:textId="77777777" w:rsidR="00940B1D" w:rsidRPr="00D02EFA" w:rsidRDefault="00940B1D" w:rsidP="00ED0335">
            <w:pPr>
              <w:keepNext/>
              <w:keepLines/>
              <w:jc w:val="both"/>
              <w:rPr>
                <w:rFonts w:ascii="Times New Roman" w:hAnsi="Times New Roman" w:cs="Times New Roman"/>
                <w:lang w:val="en-SG"/>
              </w:rPr>
            </w:pPr>
            <w:r w:rsidRPr="00D02EFA">
              <w:rPr>
                <w:rFonts w:ascii="Times New Roman" w:hAnsi="Times New Roman" w:cs="Times New Roman"/>
                <w:lang w:val="en-US"/>
              </w:rPr>
              <w:t>(</w:t>
            </w:r>
            <w:proofErr w:type="gramStart"/>
            <w:r w:rsidRPr="00D02EFA">
              <w:rPr>
                <w:rFonts w:ascii="Times New Roman" w:hAnsi="Times New Roman" w:cs="Times New Roman"/>
                <w:lang w:val="en-US"/>
              </w:rPr>
              <w:t>e.g.</w:t>
            </w:r>
            <w:proofErr w:type="gramEnd"/>
            <w:r w:rsidRPr="00D02EFA">
              <w:rPr>
                <w:rFonts w:ascii="Times New Roman" w:hAnsi="Times New Roman" w:cs="Times New Roman"/>
                <w:lang w:val="en-US"/>
              </w:rPr>
              <w:t xml:space="preserve"> replacement of an IBOR with a fallback rate or alternative reference rate as fallback provision is triggered, or when counterparties agree to amend the derivative contract to replace the original reference rate) </w:t>
            </w:r>
          </w:p>
        </w:tc>
        <w:tc>
          <w:tcPr>
            <w:tcW w:w="1677"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FC1968B" w14:textId="77777777" w:rsidR="00940B1D" w:rsidRPr="00D02EFA" w:rsidRDefault="00940B1D" w:rsidP="00ED0335">
            <w:pPr>
              <w:keepNext/>
              <w:keepLines/>
              <w:jc w:val="both"/>
              <w:rPr>
                <w:rFonts w:ascii="Times New Roman" w:hAnsi="Times New Roman" w:cs="Times New Roman"/>
                <w:lang w:val="en-SG"/>
              </w:rPr>
            </w:pPr>
            <w:r w:rsidRPr="00D02EFA">
              <w:rPr>
                <w:rFonts w:ascii="Times New Roman" w:hAnsi="Times New Roman" w:cs="Times New Roman"/>
                <w:lang w:val="en-US"/>
              </w:rPr>
              <w:t>T+1</w:t>
            </w:r>
          </w:p>
        </w:tc>
        <w:tc>
          <w:tcPr>
            <w:tcW w:w="1842"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60B91003" w14:textId="77777777" w:rsidR="00940B1D" w:rsidRPr="00D02EFA" w:rsidRDefault="00940B1D" w:rsidP="00ED0335">
            <w:pPr>
              <w:keepNext/>
              <w:keepLines/>
              <w:jc w:val="both"/>
              <w:rPr>
                <w:rFonts w:ascii="Times New Roman" w:hAnsi="Times New Roman" w:cs="Times New Roman"/>
                <w:lang w:val="en-SG"/>
              </w:rPr>
            </w:pPr>
            <w:r w:rsidRPr="00D02EFA">
              <w:rPr>
                <w:rFonts w:ascii="Times New Roman" w:hAnsi="Times New Roman" w:cs="Times New Roman"/>
                <w:lang w:val="en-US"/>
              </w:rPr>
              <w:t>T+2</w:t>
            </w:r>
          </w:p>
        </w:tc>
        <w:tc>
          <w:tcPr>
            <w:tcW w:w="1843"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36A821CD" w14:textId="77777777" w:rsidR="00940B1D" w:rsidRPr="00D02EFA" w:rsidRDefault="00940B1D" w:rsidP="00ED0335">
            <w:pPr>
              <w:keepNext/>
              <w:keepLines/>
              <w:jc w:val="both"/>
              <w:rPr>
                <w:rFonts w:ascii="Times New Roman" w:hAnsi="Times New Roman" w:cs="Times New Roman"/>
                <w:lang w:val="en-SG"/>
              </w:rPr>
            </w:pPr>
            <w:r w:rsidRPr="00D02EFA">
              <w:rPr>
                <w:rFonts w:ascii="Times New Roman" w:hAnsi="Times New Roman" w:cs="Times New Roman"/>
                <w:lang w:val="en-US"/>
              </w:rPr>
              <w:t>T+1</w:t>
            </w:r>
          </w:p>
          <w:p w14:paraId="6B257FB9" w14:textId="54079413" w:rsidR="00940B1D" w:rsidRPr="00D02EFA" w:rsidRDefault="00940B1D" w:rsidP="00ED0335">
            <w:pPr>
              <w:keepNext/>
              <w:keepLines/>
              <w:jc w:val="both"/>
              <w:rPr>
                <w:rFonts w:ascii="Times New Roman" w:hAnsi="Times New Roman" w:cs="Times New Roman"/>
                <w:lang w:val="en-SG"/>
              </w:rPr>
            </w:pPr>
          </w:p>
        </w:tc>
        <w:tc>
          <w:tcPr>
            <w:tcW w:w="241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8A1DCA3" w14:textId="77777777" w:rsidR="00940B1D" w:rsidRPr="00D02EFA" w:rsidRDefault="00940B1D" w:rsidP="00ED0335">
            <w:pPr>
              <w:keepNext/>
              <w:keepLines/>
              <w:jc w:val="both"/>
              <w:rPr>
                <w:rFonts w:ascii="Times New Roman" w:hAnsi="Times New Roman" w:cs="Times New Roman"/>
                <w:lang w:val="en-SG"/>
              </w:rPr>
            </w:pPr>
            <w:r w:rsidRPr="00D02EFA">
              <w:rPr>
                <w:rFonts w:ascii="Times New Roman" w:hAnsi="Times New Roman" w:cs="Times New Roman"/>
                <w:lang w:val="en-US"/>
              </w:rPr>
              <w:t>T+2</w:t>
            </w:r>
          </w:p>
        </w:tc>
      </w:tr>
      <w:tr w:rsidR="00940B1D" w:rsidRPr="00D02EFA" w14:paraId="3B26DD12" w14:textId="77777777" w:rsidTr="00803EC1">
        <w:trPr>
          <w:trHeight w:val="978"/>
        </w:trPr>
        <w:tc>
          <w:tcPr>
            <w:tcW w:w="2708"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6D41DBA" w14:textId="77777777" w:rsidR="00940B1D" w:rsidRPr="00D02EFA" w:rsidRDefault="00940B1D" w:rsidP="00803EC1">
            <w:pPr>
              <w:jc w:val="both"/>
              <w:rPr>
                <w:rFonts w:ascii="Times New Roman" w:hAnsi="Times New Roman" w:cs="Times New Roman"/>
                <w:lang w:val="en-SG"/>
              </w:rPr>
            </w:pPr>
            <w:r w:rsidRPr="00D02EFA">
              <w:rPr>
                <w:rFonts w:ascii="Times New Roman" w:hAnsi="Times New Roman" w:cs="Times New Roman"/>
                <w:b/>
                <w:bCs/>
                <w:lang w:val="en-US"/>
              </w:rPr>
              <w:t xml:space="preserve">Entry into new contracts </w:t>
            </w:r>
          </w:p>
          <w:p w14:paraId="4285560A" w14:textId="77777777" w:rsidR="00940B1D" w:rsidRPr="00D02EFA" w:rsidRDefault="00940B1D" w:rsidP="00803EC1">
            <w:pPr>
              <w:jc w:val="both"/>
              <w:rPr>
                <w:rFonts w:ascii="Times New Roman" w:hAnsi="Times New Roman" w:cs="Times New Roman"/>
                <w:lang w:val="en-SG"/>
              </w:rPr>
            </w:pPr>
            <w:r w:rsidRPr="00D02EFA">
              <w:rPr>
                <w:rFonts w:ascii="Times New Roman" w:hAnsi="Times New Roman" w:cs="Times New Roman"/>
                <w:lang w:val="en-US"/>
              </w:rPr>
              <w:t>(</w:t>
            </w:r>
            <w:proofErr w:type="gramStart"/>
            <w:r w:rsidRPr="00D02EFA">
              <w:rPr>
                <w:rFonts w:ascii="Times New Roman" w:hAnsi="Times New Roman" w:cs="Times New Roman"/>
                <w:lang w:val="en-US"/>
              </w:rPr>
              <w:t>could</w:t>
            </w:r>
            <w:proofErr w:type="gramEnd"/>
            <w:r w:rsidRPr="00D02EFA">
              <w:rPr>
                <w:rFonts w:ascii="Times New Roman" w:hAnsi="Times New Roman" w:cs="Times New Roman"/>
                <w:lang w:val="en-US"/>
              </w:rPr>
              <w:t xml:space="preserve"> involve termination or no termination of existing contracts)</w:t>
            </w:r>
          </w:p>
        </w:tc>
        <w:tc>
          <w:tcPr>
            <w:tcW w:w="1677"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042A603" w14:textId="77777777" w:rsidR="00940B1D" w:rsidRPr="00D02EFA" w:rsidRDefault="00940B1D" w:rsidP="00803EC1">
            <w:pPr>
              <w:jc w:val="both"/>
              <w:rPr>
                <w:rFonts w:ascii="Times New Roman" w:hAnsi="Times New Roman" w:cs="Times New Roman"/>
                <w:lang w:val="en-SG"/>
              </w:rPr>
            </w:pPr>
            <w:r w:rsidRPr="00D02EFA">
              <w:rPr>
                <w:rFonts w:ascii="Times New Roman" w:hAnsi="Times New Roman" w:cs="Times New Roman"/>
                <w:lang w:val="en-US"/>
              </w:rPr>
              <w:t>Report</w:t>
            </w:r>
          </w:p>
        </w:tc>
        <w:tc>
          <w:tcPr>
            <w:tcW w:w="1842"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7E7758A" w14:textId="77777777" w:rsidR="00940B1D" w:rsidRPr="00D02EFA" w:rsidRDefault="00940B1D" w:rsidP="00803EC1">
            <w:pPr>
              <w:jc w:val="both"/>
              <w:rPr>
                <w:rFonts w:ascii="Times New Roman" w:hAnsi="Times New Roman" w:cs="Times New Roman"/>
                <w:lang w:val="en-SG"/>
              </w:rPr>
            </w:pPr>
            <w:r w:rsidRPr="00D02EFA">
              <w:rPr>
                <w:rFonts w:ascii="Times New Roman" w:hAnsi="Times New Roman" w:cs="Times New Roman"/>
                <w:lang w:val="en-US"/>
              </w:rPr>
              <w:t>Report</w:t>
            </w:r>
          </w:p>
        </w:tc>
        <w:tc>
          <w:tcPr>
            <w:tcW w:w="1843"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35950EAB" w14:textId="77777777" w:rsidR="00940B1D" w:rsidRPr="00D02EFA" w:rsidRDefault="00940B1D" w:rsidP="00803EC1">
            <w:pPr>
              <w:jc w:val="both"/>
              <w:rPr>
                <w:rFonts w:ascii="Times New Roman" w:hAnsi="Times New Roman" w:cs="Times New Roman"/>
                <w:lang w:val="en-SG"/>
              </w:rPr>
            </w:pPr>
            <w:r w:rsidRPr="00D02EFA">
              <w:rPr>
                <w:rFonts w:ascii="Times New Roman" w:hAnsi="Times New Roman" w:cs="Times New Roman"/>
                <w:lang w:val="en-US"/>
              </w:rPr>
              <w:t>Report</w:t>
            </w:r>
          </w:p>
        </w:tc>
        <w:tc>
          <w:tcPr>
            <w:tcW w:w="241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3260804D" w14:textId="77777777" w:rsidR="00940B1D" w:rsidRPr="00D02EFA" w:rsidRDefault="00940B1D" w:rsidP="00803EC1">
            <w:pPr>
              <w:jc w:val="both"/>
              <w:rPr>
                <w:rFonts w:ascii="Times New Roman" w:hAnsi="Times New Roman" w:cs="Times New Roman"/>
                <w:lang w:val="en-SG"/>
              </w:rPr>
            </w:pPr>
            <w:r w:rsidRPr="00D02EFA">
              <w:rPr>
                <w:rFonts w:ascii="Times New Roman" w:hAnsi="Times New Roman" w:cs="Times New Roman"/>
                <w:lang w:val="en-US"/>
              </w:rPr>
              <w:t>Report</w:t>
            </w:r>
          </w:p>
        </w:tc>
      </w:tr>
      <w:tr w:rsidR="00940B1D" w:rsidRPr="00D02EFA" w14:paraId="3547E099" w14:textId="77777777" w:rsidTr="00803EC1">
        <w:trPr>
          <w:trHeight w:val="798"/>
        </w:trPr>
        <w:tc>
          <w:tcPr>
            <w:tcW w:w="2708"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5CFBBFDF" w14:textId="77777777" w:rsidR="00940B1D" w:rsidRPr="00D02EFA" w:rsidRDefault="00940B1D" w:rsidP="009932B2">
            <w:pPr>
              <w:jc w:val="both"/>
              <w:rPr>
                <w:rFonts w:ascii="Times New Roman" w:hAnsi="Times New Roman" w:cs="Times New Roman"/>
                <w:lang w:val="en-SG"/>
              </w:rPr>
            </w:pPr>
            <w:r w:rsidRPr="00D02EFA">
              <w:rPr>
                <w:rFonts w:ascii="Times New Roman" w:hAnsi="Times New Roman" w:cs="Times New Roman"/>
                <w:b/>
                <w:bCs/>
                <w:lang w:val="en-US"/>
              </w:rPr>
              <w:t>What to report</w:t>
            </w:r>
          </w:p>
        </w:tc>
        <w:tc>
          <w:tcPr>
            <w:tcW w:w="1677"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0FCC107" w14:textId="3D28820B" w:rsidR="00940B1D" w:rsidRPr="00D02EFA" w:rsidRDefault="009C7D63" w:rsidP="009932B2">
            <w:pPr>
              <w:jc w:val="both"/>
              <w:rPr>
                <w:rFonts w:ascii="Times New Roman" w:hAnsi="Times New Roman" w:cs="Times New Roman"/>
                <w:lang w:val="en-SG"/>
              </w:rPr>
            </w:pPr>
            <w:bookmarkStart w:id="0" w:name="_Hlk90619270"/>
            <w:r>
              <w:rPr>
                <w:rFonts w:ascii="Times New Roman" w:hAnsi="Times New Roman" w:cs="Times New Roman"/>
                <w:lang w:val="en-US"/>
              </w:rPr>
              <w:t xml:space="preserve">RFR on which </w:t>
            </w:r>
            <w:r w:rsidR="00E74717">
              <w:rPr>
                <w:rFonts w:ascii="Times New Roman" w:hAnsi="Times New Roman" w:cs="Times New Roman"/>
                <w:lang w:val="en-US"/>
              </w:rPr>
              <w:t>adjustments are applied to produce the</w:t>
            </w:r>
            <w:r w:rsidR="00C9689B">
              <w:rPr>
                <w:rFonts w:ascii="Times New Roman" w:hAnsi="Times New Roman" w:cs="Times New Roman"/>
                <w:lang w:val="en-US"/>
              </w:rPr>
              <w:t xml:space="preserve"> </w:t>
            </w:r>
            <w:r w:rsidR="00940B1D" w:rsidRPr="00D02EFA">
              <w:rPr>
                <w:rFonts w:ascii="Times New Roman" w:hAnsi="Times New Roman" w:cs="Times New Roman"/>
                <w:lang w:val="en-US"/>
              </w:rPr>
              <w:t xml:space="preserve">Fallback </w:t>
            </w:r>
            <w:r w:rsidR="00C9689B">
              <w:rPr>
                <w:rFonts w:ascii="Times New Roman" w:hAnsi="Times New Roman" w:cs="Times New Roman"/>
                <w:lang w:val="en-US"/>
              </w:rPr>
              <w:t xml:space="preserve">Rate </w:t>
            </w:r>
            <w:r w:rsidR="00940B1D" w:rsidRPr="00D02EFA">
              <w:rPr>
                <w:rFonts w:ascii="Times New Roman" w:hAnsi="Times New Roman" w:cs="Times New Roman"/>
                <w:lang w:val="en-US"/>
              </w:rPr>
              <w:t>(</w:t>
            </w:r>
            <w:r w:rsidR="00E74717">
              <w:rPr>
                <w:rFonts w:ascii="Times New Roman" w:hAnsi="Times New Roman" w:cs="Times New Roman"/>
                <w:lang w:val="en-US"/>
              </w:rPr>
              <w:t xml:space="preserve">the RFR </w:t>
            </w:r>
            <w:r w:rsidR="00A23C58">
              <w:rPr>
                <w:rFonts w:ascii="Times New Roman" w:hAnsi="Times New Roman" w:cs="Times New Roman"/>
                <w:lang w:val="en-US"/>
              </w:rPr>
              <w:t xml:space="preserve">FRO name </w:t>
            </w:r>
            <w:r w:rsidR="00E74717">
              <w:rPr>
                <w:rFonts w:ascii="Times New Roman" w:hAnsi="Times New Roman" w:cs="Times New Roman"/>
                <w:lang w:val="en-US"/>
              </w:rPr>
              <w:t xml:space="preserve">is </w:t>
            </w:r>
            <w:r w:rsidR="00A23C58">
              <w:rPr>
                <w:rFonts w:ascii="Times New Roman" w:hAnsi="Times New Roman" w:cs="Times New Roman"/>
                <w:lang w:val="en-US"/>
              </w:rPr>
              <w:t xml:space="preserve">according to </w:t>
            </w:r>
            <w:r w:rsidR="00940B1D" w:rsidRPr="00D02EFA">
              <w:rPr>
                <w:rFonts w:ascii="Times New Roman" w:hAnsi="Times New Roman" w:cs="Times New Roman"/>
                <w:lang w:val="en-US"/>
              </w:rPr>
              <w:t>ISDA 2021 Definitions)</w:t>
            </w:r>
            <w:bookmarkEnd w:id="0"/>
          </w:p>
        </w:tc>
        <w:tc>
          <w:tcPr>
            <w:tcW w:w="1842"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3B85FC6A" w14:textId="73DF5186" w:rsidR="00940B1D" w:rsidRPr="00D02EFA" w:rsidRDefault="00E74717" w:rsidP="009932B2">
            <w:pPr>
              <w:jc w:val="both"/>
              <w:rPr>
                <w:rFonts w:ascii="Times New Roman" w:hAnsi="Times New Roman" w:cs="Times New Roman"/>
                <w:lang w:val="en-SG"/>
              </w:rPr>
            </w:pPr>
            <w:r>
              <w:rPr>
                <w:rFonts w:ascii="Times New Roman" w:hAnsi="Times New Roman" w:cs="Times New Roman"/>
                <w:lang w:val="en-US"/>
              </w:rPr>
              <w:t xml:space="preserve">RFR on which adjustments are applied to produce the </w:t>
            </w:r>
            <w:r w:rsidRPr="00D02EFA">
              <w:rPr>
                <w:rFonts w:ascii="Times New Roman" w:hAnsi="Times New Roman" w:cs="Times New Roman"/>
                <w:lang w:val="en-US"/>
              </w:rPr>
              <w:t xml:space="preserve">Fallback </w:t>
            </w:r>
            <w:r>
              <w:rPr>
                <w:rFonts w:ascii="Times New Roman" w:hAnsi="Times New Roman" w:cs="Times New Roman"/>
                <w:lang w:val="en-US"/>
              </w:rPr>
              <w:t xml:space="preserve">Rate </w:t>
            </w:r>
            <w:r w:rsidRPr="00D02EFA">
              <w:rPr>
                <w:rFonts w:ascii="Times New Roman" w:hAnsi="Times New Roman" w:cs="Times New Roman"/>
                <w:lang w:val="en-US"/>
              </w:rPr>
              <w:t>(</w:t>
            </w:r>
            <w:r>
              <w:rPr>
                <w:rFonts w:ascii="Times New Roman" w:hAnsi="Times New Roman" w:cs="Times New Roman"/>
                <w:lang w:val="en-US"/>
              </w:rPr>
              <w:t xml:space="preserve">the RFR FRO name is </w:t>
            </w:r>
            <w:r w:rsidR="00A23C58">
              <w:rPr>
                <w:rFonts w:ascii="Times New Roman" w:hAnsi="Times New Roman" w:cs="Times New Roman"/>
                <w:lang w:val="en-US"/>
              </w:rPr>
              <w:t xml:space="preserve">according to </w:t>
            </w:r>
            <w:r w:rsidR="00940B1D" w:rsidRPr="00D02EFA">
              <w:rPr>
                <w:rFonts w:ascii="Times New Roman" w:hAnsi="Times New Roman" w:cs="Times New Roman"/>
                <w:lang w:val="en-US"/>
              </w:rPr>
              <w:t>ISDA 2021 Definitions)</w:t>
            </w:r>
          </w:p>
        </w:tc>
        <w:tc>
          <w:tcPr>
            <w:tcW w:w="1843"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E31444E" w14:textId="4DBA93CE" w:rsidR="00940B1D" w:rsidRPr="00D02EFA" w:rsidRDefault="00E74717" w:rsidP="009932B2">
            <w:pPr>
              <w:jc w:val="both"/>
              <w:rPr>
                <w:rFonts w:ascii="Times New Roman" w:hAnsi="Times New Roman" w:cs="Times New Roman"/>
                <w:lang w:val="en-SG"/>
              </w:rPr>
            </w:pPr>
            <w:r>
              <w:rPr>
                <w:rFonts w:ascii="Times New Roman" w:hAnsi="Times New Roman" w:cs="Times New Roman"/>
                <w:lang w:val="en-US"/>
              </w:rPr>
              <w:t xml:space="preserve">RFR on which adjustments are applied to produce the </w:t>
            </w:r>
            <w:r w:rsidRPr="00D02EFA">
              <w:rPr>
                <w:rFonts w:ascii="Times New Roman" w:hAnsi="Times New Roman" w:cs="Times New Roman"/>
                <w:lang w:val="en-US"/>
              </w:rPr>
              <w:t xml:space="preserve">Fallback </w:t>
            </w:r>
            <w:r>
              <w:rPr>
                <w:rFonts w:ascii="Times New Roman" w:hAnsi="Times New Roman" w:cs="Times New Roman"/>
                <w:lang w:val="en-US"/>
              </w:rPr>
              <w:t xml:space="preserve">Rate </w:t>
            </w:r>
            <w:r w:rsidRPr="00D02EFA">
              <w:rPr>
                <w:rFonts w:ascii="Times New Roman" w:hAnsi="Times New Roman" w:cs="Times New Roman"/>
                <w:lang w:val="en-US"/>
              </w:rPr>
              <w:t>(</w:t>
            </w:r>
            <w:r>
              <w:rPr>
                <w:rFonts w:ascii="Times New Roman" w:hAnsi="Times New Roman" w:cs="Times New Roman"/>
                <w:lang w:val="en-US"/>
              </w:rPr>
              <w:t xml:space="preserve">the RFR FRO name is </w:t>
            </w:r>
            <w:r w:rsidR="00A23C58">
              <w:rPr>
                <w:rFonts w:ascii="Times New Roman" w:hAnsi="Times New Roman" w:cs="Times New Roman"/>
                <w:lang w:val="en-US"/>
              </w:rPr>
              <w:t xml:space="preserve">according to </w:t>
            </w:r>
            <w:r w:rsidR="00940B1D" w:rsidRPr="00D02EFA">
              <w:rPr>
                <w:rFonts w:ascii="Times New Roman" w:hAnsi="Times New Roman" w:cs="Times New Roman"/>
                <w:lang w:val="en-US"/>
              </w:rPr>
              <w:t>ISDA 2021 Definitions)</w:t>
            </w:r>
          </w:p>
        </w:tc>
        <w:tc>
          <w:tcPr>
            <w:tcW w:w="241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617CB9A8" w14:textId="7097CB93" w:rsidR="00940B1D" w:rsidRPr="00D02EFA" w:rsidRDefault="00C9689B" w:rsidP="009932B2">
            <w:pPr>
              <w:jc w:val="both"/>
              <w:rPr>
                <w:rFonts w:ascii="Times New Roman" w:hAnsi="Times New Roman" w:cs="Times New Roman"/>
                <w:lang w:val="en-SG"/>
              </w:rPr>
            </w:pPr>
            <w:r>
              <w:rPr>
                <w:rFonts w:ascii="Times New Roman" w:hAnsi="Times New Roman" w:cs="Times New Roman"/>
                <w:lang w:val="en-US"/>
              </w:rPr>
              <w:t xml:space="preserve">RFR on which </w:t>
            </w:r>
            <w:r w:rsidR="00803EC1">
              <w:rPr>
                <w:rFonts w:ascii="Times New Roman" w:hAnsi="Times New Roman" w:cs="Times New Roman"/>
                <w:lang w:val="en-US"/>
              </w:rPr>
              <w:t>adjustments are applied to produce the</w:t>
            </w:r>
            <w:r>
              <w:rPr>
                <w:rFonts w:ascii="Times New Roman" w:hAnsi="Times New Roman" w:cs="Times New Roman"/>
                <w:lang w:val="en-US"/>
              </w:rPr>
              <w:t xml:space="preserve"> </w:t>
            </w:r>
            <w:r w:rsidRPr="00D02EFA">
              <w:rPr>
                <w:rFonts w:ascii="Times New Roman" w:hAnsi="Times New Roman" w:cs="Times New Roman"/>
                <w:lang w:val="en-US"/>
              </w:rPr>
              <w:t xml:space="preserve">Fallback </w:t>
            </w:r>
            <w:r>
              <w:rPr>
                <w:rFonts w:ascii="Times New Roman" w:hAnsi="Times New Roman" w:cs="Times New Roman"/>
                <w:lang w:val="en-US"/>
              </w:rPr>
              <w:t xml:space="preserve">Rate </w:t>
            </w:r>
            <w:r w:rsidR="00940B1D" w:rsidRPr="00D02EFA">
              <w:rPr>
                <w:rFonts w:ascii="Times New Roman" w:hAnsi="Times New Roman" w:cs="Times New Roman"/>
                <w:lang w:val="en-US"/>
              </w:rPr>
              <w:t>(</w:t>
            </w:r>
            <w:r w:rsidR="00803EC1">
              <w:rPr>
                <w:rFonts w:ascii="Times New Roman" w:hAnsi="Times New Roman" w:cs="Times New Roman"/>
                <w:lang w:val="en-US"/>
              </w:rPr>
              <w:t xml:space="preserve">the RFR </w:t>
            </w:r>
            <w:r w:rsidR="00A23C58" w:rsidRPr="00CF727F">
              <w:rPr>
                <w:rFonts w:ascii="Times New Roman" w:hAnsi="Times New Roman" w:cs="Times New Roman"/>
                <w:lang w:val="en-US"/>
              </w:rPr>
              <w:t xml:space="preserve">FRO name </w:t>
            </w:r>
            <w:r w:rsidR="009932B2" w:rsidRPr="00CF727F">
              <w:rPr>
                <w:rFonts w:ascii="Times New Roman" w:hAnsi="Times New Roman" w:cs="Times New Roman"/>
                <w:lang w:val="en-US"/>
              </w:rPr>
              <w:t xml:space="preserve">is </w:t>
            </w:r>
            <w:r w:rsidR="00A23C58" w:rsidRPr="00CF727F">
              <w:rPr>
                <w:rFonts w:ascii="Times New Roman" w:hAnsi="Times New Roman" w:cs="Times New Roman"/>
                <w:lang w:val="en-US"/>
              </w:rPr>
              <w:t>according to</w:t>
            </w:r>
            <w:r w:rsidR="00A23C58">
              <w:rPr>
                <w:rFonts w:ascii="Times New Roman" w:hAnsi="Times New Roman" w:cs="Times New Roman"/>
                <w:lang w:val="en-US"/>
              </w:rPr>
              <w:t xml:space="preserve"> </w:t>
            </w:r>
            <w:r w:rsidR="00940B1D" w:rsidRPr="00D02EFA">
              <w:rPr>
                <w:rFonts w:ascii="Times New Roman" w:hAnsi="Times New Roman" w:cs="Times New Roman"/>
                <w:lang w:val="en-US"/>
              </w:rPr>
              <w:t>ISDA 2021 Definitions) - preferred</w:t>
            </w:r>
          </w:p>
          <w:p w14:paraId="08EB4265" w14:textId="77777777" w:rsidR="00940B1D" w:rsidRPr="00D02EFA" w:rsidRDefault="00940B1D" w:rsidP="009932B2">
            <w:pPr>
              <w:jc w:val="both"/>
              <w:rPr>
                <w:rFonts w:ascii="Times New Roman" w:hAnsi="Times New Roman" w:cs="Times New Roman"/>
                <w:lang w:val="en-SG"/>
              </w:rPr>
            </w:pPr>
            <w:r w:rsidRPr="00D02EFA">
              <w:rPr>
                <w:rFonts w:ascii="Times New Roman" w:hAnsi="Times New Roman" w:cs="Times New Roman"/>
                <w:lang w:val="en-US"/>
              </w:rPr>
              <w:t xml:space="preserve">No objections to use of: </w:t>
            </w:r>
          </w:p>
          <w:p w14:paraId="445EC06F" w14:textId="4EB65169" w:rsidR="00D02EFA" w:rsidRPr="00D02EFA" w:rsidRDefault="00A23C58" w:rsidP="009932B2">
            <w:pPr>
              <w:numPr>
                <w:ilvl w:val="0"/>
                <w:numId w:val="9"/>
              </w:numPr>
              <w:tabs>
                <w:tab w:val="clear" w:pos="720"/>
                <w:tab w:val="num" w:pos="285"/>
              </w:tabs>
              <w:ind w:left="285" w:hanging="284"/>
              <w:jc w:val="both"/>
              <w:rPr>
                <w:rFonts w:ascii="Times New Roman" w:hAnsi="Times New Roman" w:cs="Times New Roman"/>
                <w:lang w:val="en-SG"/>
              </w:rPr>
            </w:pPr>
            <w:bookmarkStart w:id="1" w:name="_Hlk90635045"/>
            <w:r w:rsidRPr="00CF727F">
              <w:rPr>
                <w:rFonts w:ascii="Times New Roman" w:hAnsi="Times New Roman" w:cs="Times New Roman"/>
                <w:lang w:val="en-US"/>
              </w:rPr>
              <w:t xml:space="preserve">4-letter </w:t>
            </w:r>
            <w:r w:rsidR="00E54033" w:rsidRPr="00CF727F">
              <w:rPr>
                <w:rFonts w:ascii="Times New Roman" w:hAnsi="Times New Roman" w:cs="Times New Roman"/>
                <w:lang w:val="en-US"/>
              </w:rPr>
              <w:t>ISO Benchmark Curve Name Code for RFR benchmark</w:t>
            </w:r>
            <w:r w:rsidR="00E54033" w:rsidRPr="00CF727F" w:rsidDel="00E54033">
              <w:rPr>
                <w:rFonts w:ascii="Times New Roman" w:hAnsi="Times New Roman" w:cs="Times New Roman"/>
                <w:lang w:val="en-US"/>
              </w:rPr>
              <w:t xml:space="preserve"> </w:t>
            </w:r>
            <w:bookmarkEnd w:id="1"/>
            <w:r w:rsidR="00D02EFA" w:rsidRPr="00CF727F">
              <w:rPr>
                <w:rFonts w:ascii="Times New Roman" w:hAnsi="Times New Roman" w:cs="Times New Roman"/>
                <w:lang w:val="en-US"/>
              </w:rPr>
              <w:t>(ESMA’s approach</w:t>
            </w:r>
            <w:r w:rsidR="00D02EFA" w:rsidRPr="00D02EFA">
              <w:rPr>
                <w:rFonts w:ascii="Times New Roman" w:hAnsi="Times New Roman" w:cs="Times New Roman"/>
                <w:lang w:val="en-US"/>
              </w:rPr>
              <w:t xml:space="preserve">) </w:t>
            </w:r>
            <w:r w:rsidR="000A0438">
              <w:rPr>
                <w:rFonts w:ascii="Times New Roman" w:hAnsi="Times New Roman" w:cs="Times New Roman"/>
                <w:lang w:val="en-US"/>
              </w:rPr>
              <w:t>or</w:t>
            </w:r>
            <w:r w:rsidR="00D02EFA" w:rsidRPr="00D02EFA">
              <w:rPr>
                <w:rFonts w:ascii="Times New Roman" w:hAnsi="Times New Roman" w:cs="Times New Roman"/>
                <w:lang w:val="en-US"/>
              </w:rPr>
              <w:t xml:space="preserve"> </w:t>
            </w:r>
          </w:p>
          <w:p w14:paraId="02092E75" w14:textId="77777777" w:rsidR="00D02EFA" w:rsidRPr="00D02EFA" w:rsidRDefault="00D02EFA" w:rsidP="009932B2">
            <w:pPr>
              <w:numPr>
                <w:ilvl w:val="0"/>
                <w:numId w:val="9"/>
              </w:numPr>
              <w:tabs>
                <w:tab w:val="clear" w:pos="720"/>
                <w:tab w:val="num" w:pos="285"/>
              </w:tabs>
              <w:ind w:left="285" w:hanging="284"/>
              <w:jc w:val="both"/>
              <w:rPr>
                <w:rFonts w:ascii="Times New Roman" w:hAnsi="Times New Roman" w:cs="Times New Roman"/>
                <w:lang w:val="en-SG"/>
              </w:rPr>
            </w:pPr>
            <w:r w:rsidRPr="00D02EFA">
              <w:rPr>
                <w:rFonts w:ascii="Times New Roman" w:hAnsi="Times New Roman" w:cs="Times New Roman"/>
                <w:lang w:val="en-US"/>
              </w:rPr>
              <w:lastRenderedPageBreak/>
              <w:t>IBOR ISO Code + "fallback" suffix (FCA’s approach)</w:t>
            </w:r>
          </w:p>
        </w:tc>
      </w:tr>
    </w:tbl>
    <w:p w14:paraId="296EA0FB" w14:textId="41C33428" w:rsidR="00D02EFA" w:rsidRDefault="00D02EFA" w:rsidP="006D4361">
      <w:pPr>
        <w:jc w:val="both"/>
        <w:rPr>
          <w:rFonts w:ascii="Times New Roman" w:hAnsi="Times New Roman" w:cs="Times New Roman"/>
          <w:lang w:val="en-SG"/>
        </w:rPr>
      </w:pPr>
    </w:p>
    <w:p w14:paraId="78B4C2A9" w14:textId="071131BF" w:rsidR="00A02436" w:rsidRPr="006D4361" w:rsidRDefault="00A02436" w:rsidP="006D4361">
      <w:pPr>
        <w:jc w:val="both"/>
        <w:rPr>
          <w:rFonts w:ascii="Times New Roman" w:hAnsi="Times New Roman" w:cs="Times New Roman"/>
          <w:lang w:val="en-SG"/>
        </w:rPr>
      </w:pPr>
      <w:r>
        <w:rPr>
          <w:rFonts w:ascii="Times New Roman" w:hAnsi="Times New Roman" w:cs="Times New Roman"/>
          <w:lang w:val="en-SG"/>
        </w:rPr>
        <w:t>The relevant extracts of the APAC regulators’ guidance and FAQs are provided below.</w:t>
      </w:r>
    </w:p>
    <w:p w14:paraId="63D16808" w14:textId="77777777" w:rsidR="00A02436" w:rsidRDefault="00940B1D" w:rsidP="006D4361">
      <w:pPr>
        <w:jc w:val="both"/>
        <w:rPr>
          <w:rFonts w:ascii="Times New Roman" w:hAnsi="Times New Roman" w:cs="Times New Roman"/>
          <w:b/>
          <w:bCs/>
          <w:lang w:val="en-US"/>
        </w:rPr>
      </w:pPr>
      <w:r w:rsidRPr="006D4361">
        <w:rPr>
          <w:rFonts w:ascii="Times New Roman" w:hAnsi="Times New Roman" w:cs="Times New Roman"/>
          <w:b/>
          <w:bCs/>
          <w:u w:val="single"/>
          <w:lang w:val="en-US"/>
        </w:rPr>
        <w:t>Australia</w:t>
      </w:r>
      <w:r w:rsidR="00A02436">
        <w:rPr>
          <w:rFonts w:ascii="Times New Roman" w:hAnsi="Times New Roman" w:cs="Times New Roman"/>
          <w:b/>
          <w:bCs/>
          <w:u w:val="single"/>
          <w:lang w:val="en-US"/>
        </w:rPr>
        <w:t xml:space="preserve"> - </w:t>
      </w:r>
      <w:hyperlink r:id="rId20" w:history="1">
        <w:r w:rsidRPr="00940B1D">
          <w:rPr>
            <w:rStyle w:val="Hyperlink"/>
            <w:rFonts w:ascii="Times New Roman" w:hAnsi="Times New Roman" w:cs="Times New Roman"/>
            <w:b/>
            <w:bCs/>
            <w:lang w:val="en-US"/>
          </w:rPr>
          <w:t xml:space="preserve">ASIC's guidance </w:t>
        </w:r>
      </w:hyperlink>
    </w:p>
    <w:p w14:paraId="2CC8E9C0" w14:textId="4A47EF50" w:rsidR="00D02EFA" w:rsidRPr="006D4361" w:rsidRDefault="00A02436" w:rsidP="006D4361">
      <w:pPr>
        <w:jc w:val="both"/>
        <w:rPr>
          <w:rFonts w:ascii="Times New Roman" w:hAnsi="Times New Roman" w:cs="Times New Roman"/>
          <w:u w:val="single"/>
          <w:lang w:val="en-SG"/>
        </w:rPr>
      </w:pPr>
      <w:r w:rsidRPr="006D4361">
        <w:rPr>
          <w:rFonts w:ascii="Times New Roman" w:hAnsi="Times New Roman" w:cs="Times New Roman"/>
          <w:u w:val="single"/>
          <w:lang w:val="en-US"/>
        </w:rPr>
        <w:t>F</w:t>
      </w:r>
      <w:r w:rsidR="00D02EFA" w:rsidRPr="006D4361">
        <w:rPr>
          <w:rFonts w:ascii="Times New Roman" w:hAnsi="Times New Roman" w:cs="Times New Roman"/>
          <w:u w:val="single"/>
          <w:lang w:val="en-US"/>
        </w:rPr>
        <w:t>allback triggering conversion</w:t>
      </w:r>
    </w:p>
    <w:p w14:paraId="32BC2499" w14:textId="77777777" w:rsidR="00D02EFA" w:rsidRPr="00D02EFA" w:rsidRDefault="00D02EFA" w:rsidP="006D4361">
      <w:pPr>
        <w:jc w:val="both"/>
        <w:rPr>
          <w:rFonts w:ascii="Times New Roman" w:hAnsi="Times New Roman" w:cs="Times New Roman"/>
          <w:lang w:val="en-SG"/>
        </w:rPr>
      </w:pPr>
      <w:r w:rsidRPr="00D02EFA">
        <w:rPr>
          <w:rFonts w:ascii="Times New Roman" w:hAnsi="Times New Roman" w:cs="Times New Roman"/>
          <w:lang w:val="en-US"/>
        </w:rPr>
        <w:t> </w:t>
      </w:r>
    </w:p>
    <w:p w14:paraId="76D4BDBF" w14:textId="77777777" w:rsidR="00D02EFA" w:rsidRPr="00D02EFA" w:rsidRDefault="00D02EFA" w:rsidP="006D4361">
      <w:pPr>
        <w:jc w:val="both"/>
        <w:rPr>
          <w:rFonts w:ascii="Times New Roman" w:hAnsi="Times New Roman" w:cs="Times New Roman"/>
          <w:lang w:val="en-SG"/>
        </w:rPr>
      </w:pPr>
      <w:r w:rsidRPr="00D02EFA">
        <w:rPr>
          <w:rFonts w:ascii="Times New Roman" w:hAnsi="Times New Roman" w:cs="Times New Roman"/>
          <w:lang w:val="en-US"/>
        </w:rPr>
        <w:t>For the avoidance of doubt, trade reporting is required where a fallback rate or alternative reference rate automatically becomes the reference rate upon cessation of an IBOR, according to the terms of a fallback protocol or arrangement.</w:t>
      </w:r>
    </w:p>
    <w:p w14:paraId="5A80431E" w14:textId="77777777" w:rsidR="00D02EFA" w:rsidRPr="00D02EFA" w:rsidRDefault="00D02EFA" w:rsidP="006D4361">
      <w:pPr>
        <w:jc w:val="both"/>
        <w:rPr>
          <w:rFonts w:ascii="Times New Roman" w:hAnsi="Times New Roman" w:cs="Times New Roman"/>
          <w:lang w:val="en-SG"/>
        </w:rPr>
      </w:pPr>
      <w:r w:rsidRPr="00D02EFA">
        <w:rPr>
          <w:rFonts w:ascii="Times New Roman" w:hAnsi="Times New Roman" w:cs="Times New Roman"/>
          <w:lang w:val="en-US"/>
        </w:rPr>
        <w:t>In relation to the above conversion method scenarios, it is ASIC’s view that:</w:t>
      </w:r>
    </w:p>
    <w:p w14:paraId="059BC41F" w14:textId="77777777" w:rsidR="00D02EFA" w:rsidRPr="00D02EFA" w:rsidRDefault="00D02EFA" w:rsidP="006D4361">
      <w:pPr>
        <w:numPr>
          <w:ilvl w:val="1"/>
          <w:numId w:val="7"/>
        </w:numPr>
        <w:jc w:val="both"/>
        <w:rPr>
          <w:rFonts w:ascii="Times New Roman" w:hAnsi="Times New Roman" w:cs="Times New Roman"/>
          <w:lang w:val="en-SG"/>
        </w:rPr>
      </w:pPr>
      <w:r w:rsidRPr="00D02EFA">
        <w:rPr>
          <w:rFonts w:ascii="Times New Roman" w:hAnsi="Times New Roman" w:cs="Times New Roman"/>
          <w:lang w:val="en-US"/>
        </w:rPr>
        <w:t xml:space="preserve">an amendment to an existing contract modifying previously reported OTC derivative transaction information or OTC derivative position information triggers the requirement under the ASIC Rules to report that amendment as a Reportable Transaction or Reportable Position – that is a modification to an arrangement that is an OTC derivative under 2.2.1 of the ASIC </w:t>
      </w:r>
      <w:proofErr w:type="gramStart"/>
      <w:r w:rsidRPr="00D02EFA">
        <w:rPr>
          <w:rFonts w:ascii="Times New Roman" w:hAnsi="Times New Roman" w:cs="Times New Roman"/>
          <w:lang w:val="en-US"/>
        </w:rPr>
        <w:t>Rules;</w:t>
      </w:r>
      <w:proofErr w:type="gramEnd"/>
    </w:p>
    <w:p w14:paraId="43BF9428" w14:textId="77777777" w:rsidR="00D02EFA" w:rsidRPr="00D02EFA" w:rsidRDefault="00D02EFA" w:rsidP="006D4361">
      <w:pPr>
        <w:numPr>
          <w:ilvl w:val="1"/>
          <w:numId w:val="7"/>
        </w:numPr>
        <w:jc w:val="both"/>
        <w:rPr>
          <w:rFonts w:ascii="Times New Roman" w:hAnsi="Times New Roman" w:cs="Times New Roman"/>
          <w:lang w:val="en-SG"/>
        </w:rPr>
      </w:pPr>
      <w:r w:rsidRPr="00D02EFA">
        <w:rPr>
          <w:rFonts w:ascii="Times New Roman" w:hAnsi="Times New Roman" w:cs="Times New Roman"/>
          <w:lang w:val="en-US"/>
        </w:rPr>
        <w:t>a termination of an existing contract triggers the requirement under the ASIC Rules to report that termination as a Reportable Transaction – that is a termination of an arrangement that is an OTC derivative under 2.2.1 of the ASIC Rules; and</w:t>
      </w:r>
    </w:p>
    <w:p w14:paraId="27A39388" w14:textId="77777777" w:rsidR="00D02EFA" w:rsidRPr="00D02EFA" w:rsidRDefault="00D02EFA" w:rsidP="006D4361">
      <w:pPr>
        <w:numPr>
          <w:ilvl w:val="1"/>
          <w:numId w:val="7"/>
        </w:numPr>
        <w:jc w:val="both"/>
        <w:rPr>
          <w:rFonts w:ascii="Times New Roman" w:hAnsi="Times New Roman" w:cs="Times New Roman"/>
          <w:lang w:val="en-SG"/>
        </w:rPr>
      </w:pPr>
      <w:r w:rsidRPr="00D02EFA">
        <w:rPr>
          <w:rFonts w:ascii="Times New Roman" w:hAnsi="Times New Roman" w:cs="Times New Roman"/>
          <w:lang w:val="en-US"/>
        </w:rPr>
        <w:t>an entry into a new contract triggers the requirement under the ASIC Rules to report that new contract as a Reportable Transaction – that is the entry into an arrangement that is an OTC derivative under 2.2.1 of the ASIC Rules.</w:t>
      </w:r>
    </w:p>
    <w:p w14:paraId="495F8972" w14:textId="77777777" w:rsidR="00D02EFA" w:rsidRPr="00D02EFA" w:rsidRDefault="00D02EFA" w:rsidP="006D4361">
      <w:pPr>
        <w:jc w:val="both"/>
        <w:rPr>
          <w:rFonts w:ascii="Times New Roman" w:hAnsi="Times New Roman" w:cs="Times New Roman"/>
          <w:lang w:val="en-SG"/>
        </w:rPr>
      </w:pPr>
      <w:r w:rsidRPr="00D02EFA">
        <w:rPr>
          <w:rFonts w:ascii="Times New Roman" w:hAnsi="Times New Roman" w:cs="Times New Roman"/>
          <w:lang w:val="en-US"/>
        </w:rPr>
        <w:t xml:space="preserve">Rule 2.2.3 of the ASIC Rules requires such modification, </w:t>
      </w:r>
      <w:proofErr w:type="gramStart"/>
      <w:r w:rsidRPr="00D02EFA">
        <w:rPr>
          <w:rFonts w:ascii="Times New Roman" w:hAnsi="Times New Roman" w:cs="Times New Roman"/>
          <w:lang w:val="en-US"/>
        </w:rPr>
        <w:t>termination</w:t>
      </w:r>
      <w:proofErr w:type="gramEnd"/>
      <w:r w:rsidRPr="00D02EFA">
        <w:rPr>
          <w:rFonts w:ascii="Times New Roman" w:hAnsi="Times New Roman" w:cs="Times New Roman"/>
          <w:lang w:val="en-US"/>
        </w:rPr>
        <w:t xml:space="preserve"> or entry into reports to be made </w:t>
      </w:r>
      <w:r w:rsidRPr="00D02EFA">
        <w:rPr>
          <w:rFonts w:ascii="Times New Roman" w:hAnsi="Times New Roman" w:cs="Times New Roman"/>
          <w:b/>
          <w:bCs/>
          <w:lang w:val="en-US"/>
        </w:rPr>
        <w:t xml:space="preserve">no later than the end of the next Business Day </w:t>
      </w:r>
      <w:r w:rsidRPr="00D02EFA">
        <w:rPr>
          <w:rFonts w:ascii="Times New Roman" w:hAnsi="Times New Roman" w:cs="Times New Roman"/>
          <w:lang w:val="en-US"/>
        </w:rPr>
        <w:t>after the requirement to report the information or change arises. Conversion methods used by market participants may not be limited to the conversion methods above. Where a market participant uses a different conversion method, the same principles apply that a termination or modification of an existing contract or the entry into of a new contract will trigger a reporting requirement under 2.2.1 of the ASIC Rules.</w:t>
      </w:r>
    </w:p>
    <w:p w14:paraId="7128A75D" w14:textId="77777777" w:rsidR="00D02EFA" w:rsidRPr="00D02EFA" w:rsidRDefault="00D02EFA" w:rsidP="006D4361">
      <w:pPr>
        <w:jc w:val="both"/>
        <w:rPr>
          <w:rFonts w:ascii="Times New Roman" w:hAnsi="Times New Roman" w:cs="Times New Roman"/>
          <w:lang w:val="en-SG"/>
        </w:rPr>
      </w:pPr>
      <w:r w:rsidRPr="00D02EFA">
        <w:rPr>
          <w:rFonts w:ascii="Times New Roman" w:hAnsi="Times New Roman" w:cs="Times New Roman"/>
          <w:u w:val="single"/>
          <w:lang w:val="en-US"/>
        </w:rPr>
        <w:t>OTC derivative information to be reported</w:t>
      </w:r>
    </w:p>
    <w:p w14:paraId="3FA98988" w14:textId="77777777" w:rsidR="00D02EFA" w:rsidRPr="00D02EFA" w:rsidRDefault="00D02EFA" w:rsidP="006D4361">
      <w:pPr>
        <w:jc w:val="both"/>
        <w:rPr>
          <w:rFonts w:ascii="Times New Roman" w:hAnsi="Times New Roman" w:cs="Times New Roman"/>
          <w:lang w:val="en-SG"/>
        </w:rPr>
      </w:pPr>
      <w:r w:rsidRPr="00D02EFA">
        <w:rPr>
          <w:rFonts w:ascii="Times New Roman" w:hAnsi="Times New Roman" w:cs="Times New Roman"/>
          <w:lang w:val="en-US"/>
        </w:rPr>
        <w:t>The changed and/or new OTC derivative information to be reported includes all relevant information. This includes that:</w:t>
      </w:r>
    </w:p>
    <w:p w14:paraId="660DEBDD" w14:textId="77777777" w:rsidR="00D02EFA" w:rsidRPr="00D02EFA" w:rsidRDefault="00D02EFA" w:rsidP="006D4361">
      <w:pPr>
        <w:numPr>
          <w:ilvl w:val="1"/>
          <w:numId w:val="8"/>
        </w:numPr>
        <w:jc w:val="both"/>
        <w:rPr>
          <w:rFonts w:ascii="Times New Roman" w:hAnsi="Times New Roman" w:cs="Times New Roman"/>
          <w:lang w:val="en-SG"/>
        </w:rPr>
      </w:pPr>
      <w:r w:rsidRPr="00D02EFA">
        <w:rPr>
          <w:rFonts w:ascii="Times New Roman" w:hAnsi="Times New Roman" w:cs="Times New Roman"/>
          <w:lang w:val="en-US"/>
        </w:rPr>
        <w:t>the name of the floating rate index should be reported as a </w:t>
      </w:r>
      <w:r w:rsidRPr="00D02EFA">
        <w:rPr>
          <w:rFonts w:ascii="Times New Roman" w:hAnsi="Times New Roman" w:cs="Times New Roman"/>
          <w:b/>
          <w:bCs/>
          <w:lang w:val="en-US"/>
        </w:rPr>
        <w:t>Floating Rate Option referred to in the 2021 ISDA Interest Rates Derivatives Definitions </w:t>
      </w:r>
      <w:r w:rsidRPr="00D02EFA">
        <w:rPr>
          <w:rFonts w:ascii="Times New Roman" w:hAnsi="Times New Roman" w:cs="Times New Roman"/>
          <w:lang w:val="en-US"/>
        </w:rPr>
        <w:t xml:space="preserve">– </w:t>
      </w:r>
      <w:proofErr w:type="gramStart"/>
      <w:r w:rsidRPr="00D02EFA">
        <w:rPr>
          <w:rFonts w:ascii="Times New Roman" w:hAnsi="Times New Roman" w:cs="Times New Roman"/>
          <w:lang w:val="en-US"/>
        </w:rPr>
        <w:t>i.e.</w:t>
      </w:r>
      <w:proofErr w:type="gramEnd"/>
      <w:r w:rsidRPr="00D02EFA">
        <w:rPr>
          <w:rFonts w:ascii="Times New Roman" w:hAnsi="Times New Roman" w:cs="Times New Roman"/>
          <w:lang w:val="en-US"/>
        </w:rPr>
        <w:t xml:space="preserve"> for reporting as ‘Floating rate index name (leg 1)’, ‘Floating rate index name (leg 2) and/or ‘Settlement rate or index’, as applicable;</w:t>
      </w:r>
    </w:p>
    <w:p w14:paraId="3F1E65BC" w14:textId="77777777" w:rsidR="00D02EFA" w:rsidRPr="00D02EFA" w:rsidRDefault="00D02EFA" w:rsidP="006D4361">
      <w:pPr>
        <w:numPr>
          <w:ilvl w:val="1"/>
          <w:numId w:val="8"/>
        </w:numPr>
        <w:jc w:val="both"/>
        <w:rPr>
          <w:rFonts w:ascii="Times New Roman" w:hAnsi="Times New Roman" w:cs="Times New Roman"/>
          <w:lang w:val="en-SG"/>
        </w:rPr>
      </w:pPr>
      <w:r w:rsidRPr="00D02EFA">
        <w:rPr>
          <w:rFonts w:ascii="Times New Roman" w:hAnsi="Times New Roman" w:cs="Times New Roman"/>
          <w:lang w:val="en-US"/>
        </w:rPr>
        <w:t xml:space="preserve">where the type of product changes and a different ‘Unique product identifier’ more accurately identifies the product, that different ‘Unique product identifier’ should be reported – </w:t>
      </w:r>
      <w:proofErr w:type="gramStart"/>
      <w:r w:rsidRPr="00D02EFA">
        <w:rPr>
          <w:rFonts w:ascii="Times New Roman" w:hAnsi="Times New Roman" w:cs="Times New Roman"/>
          <w:lang w:val="en-US"/>
        </w:rPr>
        <w:t>e.g.</w:t>
      </w:r>
      <w:proofErr w:type="gramEnd"/>
      <w:r w:rsidRPr="00D02EFA">
        <w:rPr>
          <w:rFonts w:ascii="Times New Roman" w:hAnsi="Times New Roman" w:cs="Times New Roman"/>
          <w:lang w:val="en-US"/>
        </w:rPr>
        <w:t xml:space="preserve"> as an OIS product instead of an </w:t>
      </w:r>
      <w:proofErr w:type="spellStart"/>
      <w:r w:rsidRPr="00D02EFA">
        <w:rPr>
          <w:rFonts w:ascii="Times New Roman" w:hAnsi="Times New Roman" w:cs="Times New Roman"/>
          <w:lang w:val="en-US"/>
        </w:rPr>
        <w:t>IRSwap</w:t>
      </w:r>
      <w:proofErr w:type="spellEnd"/>
      <w:r w:rsidRPr="00D02EFA">
        <w:rPr>
          <w:rFonts w:ascii="Times New Roman" w:hAnsi="Times New Roman" w:cs="Times New Roman"/>
          <w:lang w:val="en-US"/>
        </w:rPr>
        <w:t xml:space="preserve"> product; and</w:t>
      </w:r>
    </w:p>
    <w:p w14:paraId="0C31BF15" w14:textId="77777777" w:rsidR="00D02EFA" w:rsidRPr="00D02EFA" w:rsidRDefault="00D02EFA" w:rsidP="006D4361">
      <w:pPr>
        <w:numPr>
          <w:ilvl w:val="1"/>
          <w:numId w:val="8"/>
        </w:numPr>
        <w:jc w:val="both"/>
        <w:rPr>
          <w:rFonts w:ascii="Times New Roman" w:hAnsi="Times New Roman" w:cs="Times New Roman"/>
          <w:lang w:val="en-SG"/>
        </w:rPr>
      </w:pPr>
      <w:r w:rsidRPr="00D02EFA">
        <w:rPr>
          <w:rFonts w:ascii="Times New Roman" w:hAnsi="Times New Roman" w:cs="Times New Roman"/>
          <w:lang w:val="en-US"/>
        </w:rPr>
        <w:lastRenderedPageBreak/>
        <w:t>all other relevant information is required to be reported, such as ‘Floating rate reset frequency’, ‘Rate reset frequency’, ‘Floating rate payment frequency’ and/or ‘Basis’, as applicable</w:t>
      </w:r>
    </w:p>
    <w:p w14:paraId="638D78C0" w14:textId="455E50FD" w:rsidR="00D26A5E" w:rsidRPr="001E7E13" w:rsidRDefault="00D26A5E" w:rsidP="006D4361">
      <w:pPr>
        <w:pStyle w:val="ListParagraph"/>
        <w:spacing w:after="0"/>
        <w:jc w:val="both"/>
        <w:rPr>
          <w:rFonts w:ascii="Times New Roman" w:hAnsi="Times New Roman" w:cs="Times New Roman"/>
          <w:sz w:val="24"/>
          <w:szCs w:val="24"/>
        </w:rPr>
      </w:pPr>
    </w:p>
    <w:p w14:paraId="158F46B2" w14:textId="7FD85D4F" w:rsidR="00940B1D" w:rsidRPr="006D4361" w:rsidRDefault="00940B1D" w:rsidP="006D4361">
      <w:pPr>
        <w:spacing w:after="0"/>
        <w:jc w:val="both"/>
        <w:rPr>
          <w:rFonts w:ascii="Times New Roman" w:hAnsi="Times New Roman" w:cs="Times New Roman"/>
          <w:b/>
          <w:bCs/>
          <w:lang w:val="en-SG"/>
        </w:rPr>
      </w:pPr>
      <w:r w:rsidRPr="006D4361">
        <w:rPr>
          <w:rFonts w:ascii="Times New Roman" w:hAnsi="Times New Roman" w:cs="Times New Roman"/>
          <w:b/>
          <w:bCs/>
          <w:u w:val="single"/>
          <w:lang w:val="en-SG"/>
        </w:rPr>
        <w:t>Hong Kong</w:t>
      </w:r>
      <w:r>
        <w:rPr>
          <w:rFonts w:ascii="Times New Roman" w:hAnsi="Times New Roman" w:cs="Times New Roman"/>
          <w:b/>
          <w:bCs/>
          <w:u w:val="single"/>
          <w:lang w:val="en-SG"/>
        </w:rPr>
        <w:t xml:space="preserve"> - </w:t>
      </w:r>
      <w:r w:rsidRPr="006D4361">
        <w:rPr>
          <w:rFonts w:ascii="Times New Roman" w:hAnsi="Times New Roman" w:cs="Times New Roman"/>
          <w:b/>
          <w:bCs/>
          <w:u w:val="single"/>
          <w:lang w:val="en-SG"/>
        </w:rPr>
        <w:t xml:space="preserve">HKMA/SFC’s </w:t>
      </w:r>
      <w:hyperlink r:id="rId21" w:history="1">
        <w:r w:rsidRPr="006D4361">
          <w:rPr>
            <w:rStyle w:val="Hyperlink"/>
            <w:rFonts w:ascii="Times New Roman" w:hAnsi="Times New Roman" w:cs="Times New Roman"/>
            <w:b/>
            <w:bCs/>
            <w:lang w:val="en-SG"/>
          </w:rPr>
          <w:t>FAQ</w:t>
        </w:r>
      </w:hyperlink>
      <w:r w:rsidRPr="006D4361">
        <w:rPr>
          <w:rFonts w:ascii="Times New Roman" w:hAnsi="Times New Roman" w:cs="Times New Roman"/>
          <w:b/>
          <w:bCs/>
          <w:lang w:val="en-SG"/>
        </w:rPr>
        <w:t xml:space="preserve"> </w:t>
      </w:r>
    </w:p>
    <w:p w14:paraId="6009C3F2" w14:textId="77777777" w:rsidR="00940B1D" w:rsidRPr="006D4361" w:rsidRDefault="00940B1D" w:rsidP="006D4361">
      <w:pPr>
        <w:spacing w:after="0"/>
        <w:jc w:val="both"/>
        <w:rPr>
          <w:rFonts w:ascii="Times New Roman" w:hAnsi="Times New Roman" w:cs="Times New Roman"/>
          <w:b/>
          <w:bCs/>
          <w:lang w:val="en-SG"/>
        </w:rPr>
      </w:pPr>
    </w:p>
    <w:p w14:paraId="47E683CE" w14:textId="4C6F2C78" w:rsidR="00940B1D" w:rsidRPr="006D4361" w:rsidRDefault="00940B1D" w:rsidP="006D4361">
      <w:pPr>
        <w:spacing w:after="0"/>
        <w:jc w:val="both"/>
        <w:rPr>
          <w:rFonts w:ascii="Times New Roman" w:hAnsi="Times New Roman" w:cs="Times New Roman"/>
          <w:u w:val="single"/>
          <w:lang w:val="en-SG"/>
        </w:rPr>
      </w:pPr>
      <w:r w:rsidRPr="006D4361">
        <w:rPr>
          <w:rFonts w:ascii="Times New Roman" w:hAnsi="Times New Roman" w:cs="Times New Roman"/>
          <w:u w:val="single"/>
          <w:lang w:val="en-SG"/>
        </w:rPr>
        <w:t xml:space="preserve">Reporting for the purpose of implementing interest rate benchmark reforms </w:t>
      </w:r>
    </w:p>
    <w:p w14:paraId="715B5FA2" w14:textId="77777777" w:rsidR="00940B1D" w:rsidRPr="006D4361" w:rsidRDefault="00940B1D" w:rsidP="006D4361">
      <w:pPr>
        <w:spacing w:after="0"/>
        <w:jc w:val="both"/>
        <w:rPr>
          <w:rFonts w:ascii="Times New Roman" w:hAnsi="Times New Roman" w:cs="Times New Roman"/>
          <w:lang w:val="en-SG"/>
        </w:rPr>
      </w:pPr>
      <w:r w:rsidRPr="006D4361">
        <w:rPr>
          <w:rFonts w:ascii="Times New Roman" w:hAnsi="Times New Roman" w:cs="Times New Roman"/>
          <w:lang w:val="en-SG"/>
        </w:rPr>
        <w:t> </w:t>
      </w:r>
    </w:p>
    <w:p w14:paraId="5970B5F9" w14:textId="77777777" w:rsidR="00940B1D" w:rsidRPr="006D4361" w:rsidRDefault="00940B1D" w:rsidP="006D4361">
      <w:pPr>
        <w:spacing w:after="0"/>
        <w:jc w:val="both"/>
        <w:rPr>
          <w:rFonts w:ascii="Times New Roman" w:hAnsi="Times New Roman" w:cs="Times New Roman"/>
          <w:lang w:val="en-SG"/>
        </w:rPr>
      </w:pPr>
      <w:r w:rsidRPr="006D4361">
        <w:rPr>
          <w:rFonts w:ascii="Times New Roman" w:hAnsi="Times New Roman" w:cs="Times New Roman"/>
          <w:b/>
          <w:bCs/>
          <w:lang w:val="en-SG"/>
        </w:rPr>
        <w:t>Q54. We have reported an IBOR-referenced OTC derivative transaction to the HKMA via the HKTR. Is an amendment to this transaction for the purpose of implementing interest rate benchmark reforms required to be reported under the phase 2 Reporting Rules? (</w:t>
      </w:r>
      <w:r w:rsidRPr="006D4361">
        <w:rPr>
          <w:rFonts w:ascii="Times New Roman" w:hAnsi="Times New Roman" w:cs="Times New Roman"/>
          <w:b/>
          <w:bCs/>
          <w:i/>
          <w:iCs/>
          <w:lang w:val="en-SG"/>
        </w:rPr>
        <w:t xml:space="preserve">Added on 23 Nov 2021) </w:t>
      </w:r>
    </w:p>
    <w:p w14:paraId="5401EF7E" w14:textId="77777777" w:rsidR="00940B1D" w:rsidRPr="006D4361" w:rsidRDefault="00940B1D" w:rsidP="006D4361">
      <w:pPr>
        <w:spacing w:after="0"/>
        <w:jc w:val="both"/>
        <w:rPr>
          <w:rFonts w:ascii="Times New Roman" w:hAnsi="Times New Roman" w:cs="Times New Roman"/>
          <w:lang w:val="en-SG"/>
        </w:rPr>
      </w:pPr>
      <w:r w:rsidRPr="006D4361">
        <w:rPr>
          <w:rFonts w:ascii="Times New Roman" w:hAnsi="Times New Roman" w:cs="Times New Roman"/>
          <w:lang w:val="en-SG"/>
        </w:rPr>
        <w:t> </w:t>
      </w:r>
    </w:p>
    <w:p w14:paraId="694D8D09" w14:textId="77777777" w:rsidR="00940B1D" w:rsidRPr="006D4361" w:rsidRDefault="00940B1D" w:rsidP="006D4361">
      <w:pPr>
        <w:spacing w:after="0"/>
        <w:jc w:val="both"/>
        <w:rPr>
          <w:rFonts w:ascii="Times New Roman" w:hAnsi="Times New Roman" w:cs="Times New Roman"/>
          <w:lang w:val="en-SG"/>
        </w:rPr>
      </w:pPr>
      <w:r w:rsidRPr="006D4361">
        <w:rPr>
          <w:rFonts w:ascii="Times New Roman" w:hAnsi="Times New Roman" w:cs="Times New Roman"/>
          <w:lang w:val="en-SG"/>
        </w:rPr>
        <w:t xml:space="preserve">Amending the contract of a reported transaction to </w:t>
      </w:r>
      <w:r w:rsidRPr="006D4361">
        <w:rPr>
          <w:rFonts w:ascii="Times New Roman" w:hAnsi="Times New Roman" w:cs="Times New Roman"/>
          <w:u w:val="single"/>
          <w:lang w:val="en-SG"/>
        </w:rPr>
        <w:t xml:space="preserve">include fallback provisions </w:t>
      </w:r>
      <w:r w:rsidRPr="006D4361">
        <w:rPr>
          <w:rFonts w:ascii="Times New Roman" w:hAnsi="Times New Roman" w:cs="Times New Roman"/>
          <w:lang w:val="en-SG"/>
        </w:rPr>
        <w:t xml:space="preserve">(such as referencing to a fallback rate or adhering to the 2020 IBOR Fallbacks Protocol) for the purpose of transitioning away from interbank offered rates (“IBORs”) is </w:t>
      </w:r>
      <w:r w:rsidRPr="006D4361">
        <w:rPr>
          <w:rFonts w:ascii="Times New Roman" w:hAnsi="Times New Roman" w:cs="Times New Roman"/>
          <w:u w:val="single"/>
          <w:lang w:val="en-SG"/>
        </w:rPr>
        <w:t>not</w:t>
      </w:r>
      <w:r w:rsidRPr="006D4361">
        <w:rPr>
          <w:rFonts w:ascii="Times New Roman" w:hAnsi="Times New Roman" w:cs="Times New Roman"/>
          <w:lang w:val="en-SG"/>
        </w:rPr>
        <w:t xml:space="preserve"> by itself a reportable event. </w:t>
      </w:r>
    </w:p>
    <w:p w14:paraId="5F28916C" w14:textId="77777777" w:rsidR="00940B1D" w:rsidRPr="006D4361" w:rsidRDefault="00940B1D" w:rsidP="006D4361">
      <w:pPr>
        <w:spacing w:after="0"/>
        <w:jc w:val="both"/>
        <w:rPr>
          <w:rFonts w:ascii="Times New Roman" w:hAnsi="Times New Roman" w:cs="Times New Roman"/>
          <w:lang w:val="en-SG"/>
        </w:rPr>
      </w:pPr>
      <w:r w:rsidRPr="006D4361">
        <w:rPr>
          <w:rFonts w:ascii="Times New Roman" w:hAnsi="Times New Roman" w:cs="Times New Roman"/>
          <w:lang w:val="en-SG"/>
        </w:rPr>
        <w:t> </w:t>
      </w:r>
    </w:p>
    <w:p w14:paraId="325FBF71" w14:textId="77777777" w:rsidR="00940B1D" w:rsidRPr="006D4361" w:rsidRDefault="00940B1D" w:rsidP="006D4361">
      <w:pPr>
        <w:spacing w:after="0"/>
        <w:jc w:val="both"/>
        <w:rPr>
          <w:rFonts w:ascii="Times New Roman" w:hAnsi="Times New Roman" w:cs="Times New Roman"/>
          <w:lang w:val="en-SG"/>
        </w:rPr>
      </w:pPr>
      <w:r w:rsidRPr="006D4361">
        <w:rPr>
          <w:rFonts w:ascii="Times New Roman" w:hAnsi="Times New Roman" w:cs="Times New Roman"/>
          <w:lang w:val="en-SG"/>
        </w:rPr>
        <w:t xml:space="preserve">When a replacement of an IBOR by a fallback rate or alternative reference rate is </w:t>
      </w:r>
      <w:r w:rsidRPr="006D4361">
        <w:rPr>
          <w:rFonts w:ascii="Times New Roman" w:hAnsi="Times New Roman" w:cs="Times New Roman"/>
          <w:u w:val="single"/>
          <w:lang w:val="en-SG"/>
        </w:rPr>
        <w:t>triggered</w:t>
      </w:r>
      <w:r w:rsidRPr="006D4361">
        <w:rPr>
          <w:rFonts w:ascii="Times New Roman" w:hAnsi="Times New Roman" w:cs="Times New Roman"/>
          <w:lang w:val="en-SG"/>
        </w:rPr>
        <w:t xml:space="preserve"> and the economic value of the existing transaction is now based on the new replacement rate (regardless of whether the replacement takes place upon the cessation of the referenced IBOR or on an agreed date prior to its cessation), reporting entities </w:t>
      </w:r>
      <w:r w:rsidRPr="006D4361">
        <w:rPr>
          <w:rFonts w:ascii="Times New Roman" w:hAnsi="Times New Roman" w:cs="Times New Roman"/>
          <w:u w:val="single"/>
          <w:lang w:val="en-SG"/>
        </w:rPr>
        <w:t xml:space="preserve">should report </w:t>
      </w:r>
      <w:r w:rsidRPr="006D4361">
        <w:rPr>
          <w:rFonts w:ascii="Times New Roman" w:hAnsi="Times New Roman" w:cs="Times New Roman"/>
          <w:lang w:val="en-SG"/>
        </w:rPr>
        <w:t xml:space="preserve">the changes as an amendment event within the usual </w:t>
      </w:r>
      <w:r w:rsidRPr="006D4361">
        <w:rPr>
          <w:rFonts w:ascii="Times New Roman" w:hAnsi="Times New Roman" w:cs="Times New Roman"/>
          <w:b/>
          <w:bCs/>
          <w:lang w:val="en-SG"/>
        </w:rPr>
        <w:t xml:space="preserve">T+2 reporting timeframe </w:t>
      </w:r>
      <w:r w:rsidRPr="006D4361">
        <w:rPr>
          <w:rFonts w:ascii="Times New Roman" w:hAnsi="Times New Roman" w:cs="Times New Roman"/>
          <w:lang w:val="en-SG"/>
        </w:rPr>
        <w:t xml:space="preserve">(“T” here is interpreted as the date of the trigger of the replacement rate). </w:t>
      </w:r>
    </w:p>
    <w:p w14:paraId="1E401869" w14:textId="77777777" w:rsidR="00940B1D" w:rsidRPr="006D4361" w:rsidRDefault="00940B1D" w:rsidP="006D4361">
      <w:pPr>
        <w:spacing w:after="0"/>
        <w:jc w:val="both"/>
        <w:rPr>
          <w:rFonts w:ascii="Times New Roman" w:hAnsi="Times New Roman" w:cs="Times New Roman"/>
          <w:lang w:val="en-SG"/>
        </w:rPr>
      </w:pPr>
      <w:r w:rsidRPr="006D4361">
        <w:rPr>
          <w:rFonts w:ascii="Times New Roman" w:hAnsi="Times New Roman" w:cs="Times New Roman"/>
          <w:lang w:val="en-SG"/>
        </w:rPr>
        <w:t> </w:t>
      </w:r>
    </w:p>
    <w:p w14:paraId="1BF53D21" w14:textId="77777777" w:rsidR="00940B1D" w:rsidRPr="006D4361" w:rsidRDefault="00940B1D" w:rsidP="006D4361">
      <w:pPr>
        <w:spacing w:after="0"/>
        <w:jc w:val="both"/>
        <w:rPr>
          <w:rFonts w:ascii="Times New Roman" w:hAnsi="Times New Roman" w:cs="Times New Roman"/>
          <w:lang w:val="en-SG"/>
        </w:rPr>
      </w:pPr>
      <w:r w:rsidRPr="006D4361">
        <w:rPr>
          <w:rFonts w:ascii="Times New Roman" w:hAnsi="Times New Roman" w:cs="Times New Roman"/>
          <w:lang w:val="en-SG"/>
        </w:rPr>
        <w:t xml:space="preserve">Alternatively, if the counterparties to the transaction opt to execute the amendment by terminating the existing transaction and </w:t>
      </w:r>
      <w:proofErr w:type="gramStart"/>
      <w:r w:rsidRPr="006D4361">
        <w:rPr>
          <w:rFonts w:ascii="Times New Roman" w:hAnsi="Times New Roman" w:cs="Times New Roman"/>
          <w:lang w:val="en-SG"/>
        </w:rPr>
        <w:t>entering into</w:t>
      </w:r>
      <w:proofErr w:type="gramEnd"/>
      <w:r w:rsidRPr="006D4361">
        <w:rPr>
          <w:rFonts w:ascii="Times New Roman" w:hAnsi="Times New Roman" w:cs="Times New Roman"/>
          <w:lang w:val="en-SG"/>
        </w:rPr>
        <w:t xml:space="preserve"> a new transaction with a new rate or new terms, both actions of termination and entry are subject to the reporting requirements under the phase 2 Reporting Rules. </w:t>
      </w:r>
    </w:p>
    <w:p w14:paraId="2A36CB52" w14:textId="77777777" w:rsidR="00940B1D" w:rsidRPr="006D4361" w:rsidRDefault="00940B1D" w:rsidP="006D4361">
      <w:pPr>
        <w:spacing w:after="0"/>
        <w:jc w:val="both"/>
        <w:rPr>
          <w:rFonts w:ascii="Times New Roman" w:hAnsi="Times New Roman" w:cs="Times New Roman"/>
          <w:lang w:val="en-SG"/>
        </w:rPr>
      </w:pPr>
      <w:r w:rsidRPr="006D4361">
        <w:rPr>
          <w:rFonts w:ascii="Times New Roman" w:hAnsi="Times New Roman" w:cs="Times New Roman"/>
          <w:lang w:val="en-SG"/>
        </w:rPr>
        <w:t> </w:t>
      </w:r>
    </w:p>
    <w:p w14:paraId="1322C256" w14:textId="77777777" w:rsidR="00940B1D" w:rsidRPr="006D4361" w:rsidRDefault="00940B1D" w:rsidP="006D4361">
      <w:pPr>
        <w:spacing w:after="0"/>
        <w:jc w:val="both"/>
        <w:rPr>
          <w:rFonts w:ascii="Times New Roman" w:hAnsi="Times New Roman" w:cs="Times New Roman"/>
          <w:lang w:val="en-SG"/>
        </w:rPr>
      </w:pPr>
      <w:r w:rsidRPr="006D4361">
        <w:rPr>
          <w:rFonts w:ascii="Times New Roman" w:hAnsi="Times New Roman" w:cs="Times New Roman"/>
          <w:lang w:val="en-SG"/>
        </w:rPr>
        <w:t xml:space="preserve">When a reporting entity reports an alternative reference rate, it should select the appropriate field value from the HKTR floating rate coding scheme, which has included the </w:t>
      </w:r>
      <w:r w:rsidRPr="006D4361">
        <w:rPr>
          <w:rFonts w:ascii="Times New Roman" w:hAnsi="Times New Roman" w:cs="Times New Roman"/>
          <w:b/>
          <w:bCs/>
          <w:lang w:val="en-SG"/>
        </w:rPr>
        <w:t xml:space="preserve">new benchmark rates and the new rate definitions in the 2021 ISDA Interest Rate Derivatives Definitions </w:t>
      </w:r>
      <w:r w:rsidRPr="006D4361">
        <w:rPr>
          <w:rFonts w:ascii="Times New Roman" w:hAnsi="Times New Roman" w:cs="Times New Roman"/>
          <w:lang w:val="en-SG"/>
        </w:rPr>
        <w:t>(“2021 Definitions”). When there is a conflict between the counterparties of reporting a rate in the 2021 Definitions or an earlier version, reporting entities should report the rate in the 2021 Definitions. Reporting entities are, however, not required to report whether an alternative reference rate is a voluntary conversion or a result of a fallback application.</w:t>
      </w:r>
    </w:p>
    <w:p w14:paraId="4E55E1AF" w14:textId="019A4448" w:rsidR="00D26A5E" w:rsidRDefault="00D26A5E" w:rsidP="006D4361">
      <w:pPr>
        <w:spacing w:after="0"/>
        <w:jc w:val="both"/>
        <w:rPr>
          <w:rFonts w:ascii="Times New Roman" w:hAnsi="Times New Roman" w:cs="Times New Roman"/>
          <w:lang w:val="en-SG"/>
        </w:rPr>
      </w:pPr>
    </w:p>
    <w:p w14:paraId="5AAE1FB7" w14:textId="7D99B133" w:rsidR="00940B1D" w:rsidRPr="006D4361" w:rsidRDefault="00940B1D" w:rsidP="006D4361">
      <w:pPr>
        <w:spacing w:after="0"/>
        <w:jc w:val="both"/>
        <w:rPr>
          <w:rFonts w:ascii="Times New Roman" w:hAnsi="Times New Roman" w:cs="Times New Roman"/>
          <w:b/>
          <w:bCs/>
          <w:u w:val="single"/>
          <w:lang w:val="en-SG"/>
        </w:rPr>
      </w:pPr>
      <w:r w:rsidRPr="006D4361">
        <w:rPr>
          <w:rFonts w:ascii="Times New Roman" w:hAnsi="Times New Roman" w:cs="Times New Roman"/>
          <w:b/>
          <w:bCs/>
          <w:u w:val="single"/>
          <w:lang w:val="en-SG"/>
        </w:rPr>
        <w:t>Singapore</w:t>
      </w:r>
      <w:r w:rsidR="00A02436">
        <w:rPr>
          <w:rFonts w:ascii="Times New Roman" w:hAnsi="Times New Roman" w:cs="Times New Roman"/>
          <w:b/>
          <w:bCs/>
          <w:u w:val="single"/>
          <w:lang w:val="en-SG"/>
        </w:rPr>
        <w:t xml:space="preserve"> – </w:t>
      </w:r>
      <w:hyperlink r:id="rId22" w:history="1">
        <w:r w:rsidR="00A02436" w:rsidRPr="006D4361">
          <w:rPr>
            <w:rStyle w:val="Hyperlink"/>
            <w:rFonts w:ascii="Times New Roman" w:hAnsi="Times New Roman" w:cs="Times New Roman"/>
            <w:lang w:val="en-SG"/>
          </w:rPr>
          <w:t>MAS</w:t>
        </w:r>
        <w:r w:rsidR="00A02436">
          <w:rPr>
            <w:rStyle w:val="Hyperlink"/>
            <w:rFonts w:ascii="Times New Roman" w:hAnsi="Times New Roman" w:cs="Times New Roman"/>
            <w:lang w:val="en-SG"/>
          </w:rPr>
          <w:t>’</w:t>
        </w:r>
        <w:r w:rsidR="00A02436" w:rsidRPr="006D4361">
          <w:rPr>
            <w:rStyle w:val="Hyperlink"/>
            <w:rFonts w:ascii="Times New Roman" w:hAnsi="Times New Roman" w:cs="Times New Roman"/>
            <w:lang w:val="en-SG"/>
          </w:rPr>
          <w:t xml:space="preserve"> FAQ on derivatives trade reporting</w:t>
        </w:r>
      </w:hyperlink>
      <w:r w:rsidR="00A02436" w:rsidRPr="006D4361">
        <w:rPr>
          <w:rFonts w:ascii="Times New Roman" w:hAnsi="Times New Roman" w:cs="Times New Roman"/>
          <w:lang w:val="en-SG"/>
        </w:rPr>
        <w:t xml:space="preserve"> </w:t>
      </w:r>
    </w:p>
    <w:p w14:paraId="0FF57E4A" w14:textId="64AC31A5" w:rsidR="00D26A5E" w:rsidRPr="006D4361" w:rsidRDefault="00D26A5E" w:rsidP="006D4361">
      <w:pPr>
        <w:pStyle w:val="ListParagraph"/>
        <w:spacing w:after="0"/>
        <w:jc w:val="both"/>
        <w:rPr>
          <w:rFonts w:ascii="Times New Roman" w:hAnsi="Times New Roman" w:cs="Times New Roman"/>
          <w:lang w:val="en-SG"/>
        </w:rPr>
      </w:pPr>
    </w:p>
    <w:p w14:paraId="0D791FFD" w14:textId="77777777" w:rsidR="00A02436" w:rsidRPr="006D4361" w:rsidRDefault="00A02436" w:rsidP="006D4361">
      <w:pPr>
        <w:spacing w:after="0"/>
        <w:jc w:val="both"/>
        <w:rPr>
          <w:rFonts w:asciiTheme="majorBidi" w:hAnsiTheme="majorBidi" w:cstheme="majorBidi"/>
          <w:b/>
          <w:bCs/>
        </w:rPr>
      </w:pPr>
      <w:r w:rsidRPr="006D4361">
        <w:rPr>
          <w:rFonts w:asciiTheme="majorBidi" w:hAnsiTheme="majorBidi" w:cstheme="majorBidi"/>
          <w:b/>
          <w:bCs/>
        </w:rPr>
        <w:t xml:space="preserve">Q4.7 If a derivatives contract is amended for the purpose of implementing interest rate benchmark reforms, would the amendment be subject to reporting requirements? </w:t>
      </w:r>
    </w:p>
    <w:p w14:paraId="0A3AF3F4" w14:textId="77777777" w:rsidR="00A02436" w:rsidRPr="006D4361" w:rsidRDefault="00A02436" w:rsidP="006D4361">
      <w:pPr>
        <w:spacing w:after="0"/>
        <w:jc w:val="both"/>
        <w:rPr>
          <w:rFonts w:asciiTheme="majorBidi" w:hAnsiTheme="majorBidi" w:cstheme="majorBidi"/>
        </w:rPr>
      </w:pPr>
    </w:p>
    <w:p w14:paraId="0F1B4A0C" w14:textId="77777777" w:rsidR="00A02436" w:rsidRPr="006D4361" w:rsidRDefault="00A02436" w:rsidP="006D4361">
      <w:pPr>
        <w:spacing w:after="0"/>
        <w:jc w:val="both"/>
        <w:rPr>
          <w:rFonts w:asciiTheme="majorBidi" w:hAnsiTheme="majorBidi" w:cstheme="majorBidi"/>
        </w:rPr>
      </w:pPr>
      <w:r w:rsidRPr="006D4361">
        <w:rPr>
          <w:rFonts w:asciiTheme="majorBidi" w:hAnsiTheme="majorBidi" w:cstheme="majorBidi"/>
        </w:rPr>
        <w:t xml:space="preserve">A4.7: There are multiple ways for counterparties to implement the benchmark reforms to transition away from interbank offered rates (“IBORs”) and other key interest rates such as SOR. Depending on the changes made to the affected derivatives contracts, the changes may or may not be reportable under the SF(RDC)R. </w:t>
      </w:r>
    </w:p>
    <w:p w14:paraId="772FAB54" w14:textId="77777777" w:rsidR="00A02436" w:rsidRPr="006D4361" w:rsidRDefault="00A02436" w:rsidP="006D4361">
      <w:pPr>
        <w:spacing w:after="0"/>
        <w:jc w:val="both"/>
        <w:rPr>
          <w:rFonts w:asciiTheme="majorBidi" w:hAnsiTheme="majorBidi" w:cstheme="majorBidi"/>
        </w:rPr>
      </w:pPr>
    </w:p>
    <w:p w14:paraId="4315C5CA" w14:textId="77777777" w:rsidR="00A02436" w:rsidRPr="006D4361" w:rsidRDefault="00A02436" w:rsidP="006D4361">
      <w:pPr>
        <w:spacing w:after="0"/>
        <w:jc w:val="both"/>
        <w:rPr>
          <w:rFonts w:asciiTheme="majorBidi" w:hAnsiTheme="majorBidi" w:cstheme="majorBidi"/>
        </w:rPr>
      </w:pPr>
      <w:r w:rsidRPr="006D4361">
        <w:rPr>
          <w:rFonts w:asciiTheme="majorBidi" w:hAnsiTheme="majorBidi" w:cstheme="majorBidi"/>
        </w:rPr>
        <w:t>Where a derivatives contract is amended to include fallback provisions such as a reference to fallback rates (</w:t>
      </w:r>
      <w:proofErr w:type="gramStart"/>
      <w:r w:rsidRPr="006D4361">
        <w:rPr>
          <w:rFonts w:asciiTheme="majorBidi" w:hAnsiTheme="majorBidi" w:cstheme="majorBidi"/>
        </w:rPr>
        <w:t>e.g.</w:t>
      </w:r>
      <w:proofErr w:type="gramEnd"/>
      <w:r w:rsidRPr="006D4361">
        <w:rPr>
          <w:rFonts w:asciiTheme="majorBidi" w:hAnsiTheme="majorBidi" w:cstheme="majorBidi"/>
        </w:rPr>
        <w:t xml:space="preserve"> via adherence to the ISDA 2020 IBOR Fallbacks Protocol), such a change is </w:t>
      </w:r>
      <w:r w:rsidRPr="006D4361">
        <w:rPr>
          <w:rFonts w:asciiTheme="majorBidi" w:hAnsiTheme="majorBidi" w:cstheme="majorBidi"/>
          <w:b/>
          <w:bCs/>
        </w:rPr>
        <w:t>not</w:t>
      </w:r>
      <w:r w:rsidRPr="006D4361">
        <w:rPr>
          <w:rFonts w:asciiTheme="majorBidi" w:hAnsiTheme="majorBidi" w:cstheme="majorBidi"/>
        </w:rPr>
        <w:t xml:space="preserve"> reportable under the SF(RDC)R. </w:t>
      </w:r>
    </w:p>
    <w:p w14:paraId="6705D128" w14:textId="77777777" w:rsidR="00A02436" w:rsidRPr="006D4361" w:rsidRDefault="00A02436" w:rsidP="006D4361">
      <w:pPr>
        <w:spacing w:after="0"/>
        <w:jc w:val="both"/>
        <w:rPr>
          <w:rFonts w:asciiTheme="majorBidi" w:hAnsiTheme="majorBidi" w:cstheme="majorBidi"/>
        </w:rPr>
      </w:pPr>
    </w:p>
    <w:p w14:paraId="7522CC63" w14:textId="585ACC58" w:rsidR="00A02436" w:rsidRPr="006D4361" w:rsidRDefault="00A02436" w:rsidP="006D4361">
      <w:pPr>
        <w:spacing w:after="0"/>
        <w:jc w:val="both"/>
        <w:rPr>
          <w:rFonts w:asciiTheme="majorBidi" w:hAnsiTheme="majorBidi" w:cstheme="majorBidi"/>
        </w:rPr>
      </w:pPr>
      <w:r w:rsidRPr="006D4361">
        <w:rPr>
          <w:rFonts w:asciiTheme="majorBidi" w:hAnsiTheme="majorBidi" w:cstheme="majorBidi"/>
        </w:rPr>
        <w:lastRenderedPageBreak/>
        <w:t xml:space="preserve">However, where the contractual terms being amended are data fields that are required to be reported under the SF(RDC)R, the changes are to be </w:t>
      </w:r>
      <w:r w:rsidRPr="006D4361">
        <w:rPr>
          <w:rFonts w:asciiTheme="majorBidi" w:hAnsiTheme="majorBidi" w:cstheme="majorBidi"/>
          <w:b/>
          <w:bCs/>
        </w:rPr>
        <w:t>reported within 2 business days</w:t>
      </w:r>
      <w:r w:rsidRPr="006D4361">
        <w:rPr>
          <w:rFonts w:asciiTheme="majorBidi" w:hAnsiTheme="majorBidi" w:cstheme="majorBidi"/>
        </w:rPr>
        <w:t xml:space="preserve"> from the amendment. For example, where (i) counterparties agree to amend the derivatives contract to replace the original reference rate with another reference rate (e.g. from USD LIBOR to SOFR, from SOR to SORA), or (ii) a fallback provision is triggered such that the original reference rate is replaced with the fallback </w:t>
      </w:r>
      <w:proofErr w:type="gramStart"/>
      <w:r w:rsidRPr="006D4361">
        <w:rPr>
          <w:rFonts w:asciiTheme="majorBidi" w:hAnsiTheme="majorBidi" w:cstheme="majorBidi"/>
        </w:rPr>
        <w:t>rate ,</w:t>
      </w:r>
      <w:proofErr w:type="gramEnd"/>
      <w:r w:rsidRPr="006D4361">
        <w:rPr>
          <w:rFonts w:asciiTheme="majorBidi" w:hAnsiTheme="majorBidi" w:cstheme="majorBidi"/>
        </w:rPr>
        <w:t xml:space="preserve"> such a change is required to be reported. </w:t>
      </w:r>
    </w:p>
    <w:p w14:paraId="41AAEA2E" w14:textId="77777777" w:rsidR="00A02436" w:rsidRPr="006D4361" w:rsidRDefault="00A02436" w:rsidP="006D4361">
      <w:pPr>
        <w:spacing w:after="0"/>
        <w:jc w:val="both"/>
        <w:rPr>
          <w:rFonts w:asciiTheme="majorBidi" w:hAnsiTheme="majorBidi" w:cstheme="majorBidi"/>
        </w:rPr>
      </w:pPr>
    </w:p>
    <w:p w14:paraId="646EA318" w14:textId="77777777" w:rsidR="00A02436" w:rsidRPr="006D4361" w:rsidRDefault="00A02436" w:rsidP="006D4361">
      <w:pPr>
        <w:spacing w:after="0"/>
        <w:jc w:val="both"/>
        <w:rPr>
          <w:rFonts w:asciiTheme="majorBidi" w:hAnsiTheme="majorBidi" w:cstheme="majorBidi"/>
        </w:rPr>
      </w:pPr>
      <w:r w:rsidRPr="006D4361">
        <w:rPr>
          <w:rFonts w:asciiTheme="majorBidi" w:hAnsiTheme="majorBidi" w:cstheme="majorBidi"/>
          <w:b/>
          <w:bCs/>
        </w:rPr>
        <w:t>There are no specific formatting requirements when reporting the change of the reference rate and reporting entities may continue to report the reference rate as per their current practice</w:t>
      </w:r>
      <w:r w:rsidRPr="006D4361">
        <w:rPr>
          <w:rFonts w:asciiTheme="majorBidi" w:hAnsiTheme="majorBidi" w:cstheme="majorBidi"/>
        </w:rPr>
        <w:t>. Further, if there are also changes to other contractual terms (</w:t>
      </w:r>
      <w:proofErr w:type="gramStart"/>
      <w:r w:rsidRPr="006D4361">
        <w:rPr>
          <w:rFonts w:asciiTheme="majorBidi" w:hAnsiTheme="majorBidi" w:cstheme="majorBidi"/>
        </w:rPr>
        <w:t>e.g.</w:t>
      </w:r>
      <w:proofErr w:type="gramEnd"/>
      <w:r w:rsidRPr="006D4361">
        <w:rPr>
          <w:rFonts w:asciiTheme="majorBidi" w:hAnsiTheme="majorBidi" w:cstheme="majorBidi"/>
        </w:rPr>
        <w:t xml:space="preserve"> payment frequency, data count), whether due to (i), (ii) or other reasons, such changes are also reportable. </w:t>
      </w:r>
    </w:p>
    <w:p w14:paraId="6DCC8150" w14:textId="77777777" w:rsidR="00A02436" w:rsidRPr="006D4361" w:rsidRDefault="00A02436" w:rsidP="006D4361">
      <w:pPr>
        <w:spacing w:after="0"/>
        <w:jc w:val="both"/>
        <w:rPr>
          <w:rFonts w:asciiTheme="majorBidi" w:hAnsiTheme="majorBidi" w:cstheme="majorBidi"/>
        </w:rPr>
      </w:pPr>
    </w:p>
    <w:p w14:paraId="3424DCBF" w14:textId="385DA208" w:rsidR="00A02436" w:rsidRPr="006D4361" w:rsidRDefault="00A02436" w:rsidP="006D4361">
      <w:pPr>
        <w:spacing w:after="0"/>
        <w:jc w:val="both"/>
        <w:rPr>
          <w:rFonts w:asciiTheme="majorBidi" w:hAnsiTheme="majorBidi" w:cstheme="majorBidi"/>
        </w:rPr>
      </w:pPr>
      <w:r w:rsidRPr="006D4361">
        <w:rPr>
          <w:rFonts w:asciiTheme="majorBidi" w:hAnsiTheme="majorBidi" w:cstheme="majorBidi"/>
        </w:rPr>
        <w:t xml:space="preserve">Instead of amending contractual terms to implement the benchmark transition, counterparties may also terminate an affected derivatives contract and </w:t>
      </w:r>
      <w:proofErr w:type="gramStart"/>
      <w:r w:rsidRPr="006D4361">
        <w:rPr>
          <w:rFonts w:asciiTheme="majorBidi" w:hAnsiTheme="majorBidi" w:cstheme="majorBidi"/>
        </w:rPr>
        <w:t>enter into</w:t>
      </w:r>
      <w:proofErr w:type="gramEnd"/>
      <w:r w:rsidRPr="006D4361">
        <w:rPr>
          <w:rFonts w:asciiTheme="majorBidi" w:hAnsiTheme="majorBidi" w:cstheme="majorBidi"/>
        </w:rPr>
        <w:t xml:space="preserve"> a new derivatives contract. Terminating a previously reported derivatives contract and </w:t>
      </w:r>
      <w:proofErr w:type="gramStart"/>
      <w:r w:rsidRPr="006D4361">
        <w:rPr>
          <w:rFonts w:asciiTheme="majorBidi" w:hAnsiTheme="majorBidi" w:cstheme="majorBidi"/>
        </w:rPr>
        <w:t>entering into</w:t>
      </w:r>
      <w:proofErr w:type="gramEnd"/>
      <w:r w:rsidRPr="006D4361">
        <w:rPr>
          <w:rFonts w:asciiTheme="majorBidi" w:hAnsiTheme="majorBidi" w:cstheme="majorBidi"/>
        </w:rPr>
        <w:t xml:space="preserve"> a new derivatives contract are both subject to reporting requirements under the SF(RDC)R. </w:t>
      </w:r>
    </w:p>
    <w:p w14:paraId="40D2309A" w14:textId="77777777" w:rsidR="00A02436" w:rsidRPr="006D4361" w:rsidRDefault="00A02436" w:rsidP="006D4361">
      <w:pPr>
        <w:spacing w:after="0"/>
        <w:jc w:val="both"/>
        <w:rPr>
          <w:rFonts w:asciiTheme="majorBidi" w:hAnsiTheme="majorBidi" w:cstheme="majorBidi"/>
        </w:rPr>
      </w:pPr>
    </w:p>
    <w:p w14:paraId="04871196" w14:textId="77777777" w:rsidR="00A02436" w:rsidRPr="006D4361" w:rsidRDefault="00A02436" w:rsidP="006D4361">
      <w:pPr>
        <w:spacing w:after="0"/>
        <w:jc w:val="both"/>
        <w:rPr>
          <w:rFonts w:asciiTheme="majorBidi" w:hAnsiTheme="majorBidi" w:cstheme="majorBidi"/>
        </w:rPr>
      </w:pPr>
      <w:r w:rsidRPr="006D4361">
        <w:rPr>
          <w:rFonts w:asciiTheme="majorBidi" w:hAnsiTheme="majorBidi" w:cstheme="majorBidi"/>
        </w:rPr>
        <w:t xml:space="preserve">References: </w:t>
      </w:r>
    </w:p>
    <w:p w14:paraId="600EE0C8" w14:textId="77777777" w:rsidR="00A02436" w:rsidRPr="006D4361" w:rsidRDefault="00A02436" w:rsidP="006D4361">
      <w:pPr>
        <w:spacing w:after="0"/>
        <w:jc w:val="both"/>
        <w:rPr>
          <w:rFonts w:asciiTheme="majorBidi" w:hAnsiTheme="majorBidi" w:cstheme="majorBidi"/>
        </w:rPr>
      </w:pPr>
      <w:r w:rsidRPr="006D4361">
        <w:rPr>
          <w:rFonts w:asciiTheme="majorBidi" w:hAnsiTheme="majorBidi" w:cstheme="majorBidi"/>
        </w:rPr>
        <w:t xml:space="preserve">• Regulation 7 of the SF(RDC)R </w:t>
      </w:r>
    </w:p>
    <w:p w14:paraId="3CF96055" w14:textId="24C2CBBD" w:rsidR="00617D0E" w:rsidRPr="006D4361" w:rsidRDefault="00A02436" w:rsidP="006D4361">
      <w:pPr>
        <w:spacing w:after="0"/>
        <w:jc w:val="both"/>
        <w:rPr>
          <w:rFonts w:asciiTheme="majorBidi" w:hAnsiTheme="majorBidi" w:cstheme="majorBidi"/>
        </w:rPr>
      </w:pPr>
      <w:r w:rsidRPr="006D4361">
        <w:rPr>
          <w:rFonts w:asciiTheme="majorBidi" w:hAnsiTheme="majorBidi" w:cstheme="majorBidi"/>
        </w:rPr>
        <w:t>• First Schedule to the SF(RDC)R</w:t>
      </w:r>
    </w:p>
    <w:p w14:paraId="59A6B68F" w14:textId="6BB67E4A" w:rsidR="00617D0E" w:rsidRDefault="00617D0E" w:rsidP="006D4361">
      <w:pPr>
        <w:pStyle w:val="ListParagraph"/>
        <w:spacing w:after="0"/>
        <w:jc w:val="both"/>
        <w:rPr>
          <w:rFonts w:ascii="Times New Roman" w:hAnsi="Times New Roman" w:cs="Times New Roman"/>
          <w:sz w:val="24"/>
          <w:szCs w:val="24"/>
        </w:rPr>
      </w:pPr>
    </w:p>
    <w:p w14:paraId="5317BDC4" w14:textId="77777777" w:rsidR="00617D0E" w:rsidRPr="001E7E13" w:rsidRDefault="00617D0E" w:rsidP="006D4361">
      <w:pPr>
        <w:pStyle w:val="ListParagraph"/>
        <w:spacing w:after="0"/>
        <w:jc w:val="both"/>
        <w:rPr>
          <w:rFonts w:ascii="Times New Roman" w:hAnsi="Times New Roman" w:cs="Times New Roman"/>
          <w:sz w:val="24"/>
          <w:szCs w:val="24"/>
        </w:rPr>
      </w:pPr>
    </w:p>
    <w:p w14:paraId="53DBBFDD" w14:textId="3FE9BEE4" w:rsidR="00187408" w:rsidRDefault="00187408" w:rsidP="006D4361">
      <w:pPr>
        <w:jc w:val="both"/>
        <w:rPr>
          <w:rFonts w:ascii="Times New Roman" w:hAnsi="Times New Roman" w:cs="Times New Roman"/>
        </w:rPr>
      </w:pPr>
    </w:p>
    <w:p w14:paraId="054D0354" w14:textId="76856077" w:rsidR="00ED0335" w:rsidRDefault="00ED0335" w:rsidP="006D4361">
      <w:pPr>
        <w:jc w:val="both"/>
        <w:rPr>
          <w:rFonts w:ascii="Times New Roman" w:hAnsi="Times New Roman" w:cs="Times New Roman"/>
        </w:rPr>
      </w:pPr>
    </w:p>
    <w:p w14:paraId="75D2A2D9" w14:textId="2CBE5525" w:rsidR="00ED0335" w:rsidRDefault="00ED0335" w:rsidP="006D4361">
      <w:pPr>
        <w:jc w:val="both"/>
        <w:rPr>
          <w:rFonts w:ascii="Times New Roman" w:hAnsi="Times New Roman" w:cs="Times New Roman"/>
        </w:rPr>
      </w:pPr>
    </w:p>
    <w:p w14:paraId="1CD53F17" w14:textId="3BE2163E" w:rsidR="00ED0335" w:rsidRDefault="00ED0335" w:rsidP="006D4361">
      <w:pPr>
        <w:jc w:val="both"/>
        <w:rPr>
          <w:rFonts w:ascii="Times New Roman" w:hAnsi="Times New Roman" w:cs="Times New Roman"/>
        </w:rPr>
      </w:pPr>
    </w:p>
    <w:p w14:paraId="6B7C2DE6" w14:textId="15F9C78B" w:rsidR="00ED0335" w:rsidRDefault="00ED0335" w:rsidP="006D4361">
      <w:pPr>
        <w:jc w:val="both"/>
        <w:rPr>
          <w:rFonts w:ascii="Times New Roman" w:hAnsi="Times New Roman" w:cs="Times New Roman"/>
        </w:rPr>
      </w:pPr>
    </w:p>
    <w:p w14:paraId="2A68E40F" w14:textId="1501CEA5" w:rsidR="00ED0335" w:rsidRDefault="00ED0335" w:rsidP="006D4361">
      <w:pPr>
        <w:jc w:val="both"/>
        <w:rPr>
          <w:rFonts w:ascii="Times New Roman" w:hAnsi="Times New Roman" w:cs="Times New Roman"/>
        </w:rPr>
      </w:pPr>
    </w:p>
    <w:p w14:paraId="01615674" w14:textId="0E3E50B3" w:rsidR="00ED0335" w:rsidRDefault="00ED0335" w:rsidP="006D4361">
      <w:pPr>
        <w:jc w:val="both"/>
        <w:rPr>
          <w:rFonts w:ascii="Times New Roman" w:hAnsi="Times New Roman" w:cs="Times New Roman"/>
        </w:rPr>
      </w:pPr>
    </w:p>
    <w:p w14:paraId="07AA8B1E" w14:textId="34A7C3B2" w:rsidR="00ED0335" w:rsidRDefault="00ED0335" w:rsidP="006D4361">
      <w:pPr>
        <w:jc w:val="both"/>
        <w:rPr>
          <w:rFonts w:ascii="Times New Roman" w:hAnsi="Times New Roman" w:cs="Times New Roman"/>
        </w:rPr>
      </w:pPr>
    </w:p>
    <w:p w14:paraId="230B51EE" w14:textId="0452D385" w:rsidR="00ED0335" w:rsidRDefault="00ED0335" w:rsidP="006D4361">
      <w:pPr>
        <w:jc w:val="both"/>
        <w:rPr>
          <w:rFonts w:ascii="Times New Roman" w:hAnsi="Times New Roman" w:cs="Times New Roman"/>
        </w:rPr>
      </w:pPr>
    </w:p>
    <w:p w14:paraId="78894C0C" w14:textId="77777777" w:rsidR="00ED0335" w:rsidRPr="001E7E13" w:rsidRDefault="00ED0335" w:rsidP="006D4361">
      <w:pPr>
        <w:jc w:val="both"/>
        <w:rPr>
          <w:rFonts w:ascii="Times New Roman" w:hAnsi="Times New Roman" w:cs="Times New Roman"/>
        </w:rPr>
      </w:pPr>
    </w:p>
    <w:p w14:paraId="5F2A660C" w14:textId="77777777" w:rsidR="00DC0455" w:rsidRDefault="00DC0455" w:rsidP="006D4361">
      <w:pPr>
        <w:jc w:val="both"/>
        <w:rPr>
          <w:rFonts w:ascii="Times New Roman" w:hAnsi="Times New Roman" w:cs="Times New Roman"/>
          <w:sz w:val="18"/>
          <w:szCs w:val="18"/>
        </w:rPr>
      </w:pPr>
      <w:r>
        <w:rPr>
          <w:rFonts w:ascii="Times New Roman" w:hAnsi="Times New Roman" w:cs="Times New Roman"/>
          <w:sz w:val="18"/>
          <w:szCs w:val="18"/>
        </w:rPr>
        <w:t xml:space="preserve">This document does not constitute legal, regulatory, accounting, </w:t>
      </w:r>
      <w:proofErr w:type="gramStart"/>
      <w:r>
        <w:rPr>
          <w:rFonts w:ascii="Times New Roman" w:hAnsi="Times New Roman" w:cs="Times New Roman"/>
          <w:sz w:val="18"/>
          <w:szCs w:val="18"/>
        </w:rPr>
        <w:t>tax</w:t>
      </w:r>
      <w:proofErr w:type="gramEnd"/>
      <w:r>
        <w:rPr>
          <w:rFonts w:ascii="Times New Roman" w:hAnsi="Times New Roman" w:cs="Times New Roman"/>
          <w:sz w:val="18"/>
          <w:szCs w:val="18"/>
        </w:rPr>
        <w:t xml:space="preserve"> or financial advice. It represents the output from discussions by, and reflects feedback received by ISDA from, members of the ISDA Data and Reporting EMEA Working Group (which includes both dealer and buy-side firms) and is not meant to be binding in any way. As with all guidance and market information that ISDA disseminates, parties are free to choose alternate means of addressing the specific facts of their situation. ISDA assumes no responsibility for any use of this document and undertakes no duty to update it to reflect future regulatory or market developments. Each market participant should satisfy itself that following or not following the reporting interpretation set out herein is appropriate to their specific circumstances.</w:t>
      </w:r>
    </w:p>
    <w:p w14:paraId="37EFC9E8" w14:textId="05218F58" w:rsidR="00187408" w:rsidRPr="001E7E13" w:rsidRDefault="00187408" w:rsidP="006D4361">
      <w:pPr>
        <w:jc w:val="both"/>
        <w:rPr>
          <w:rFonts w:ascii="Times New Roman" w:hAnsi="Times New Roman" w:cs="Times New Roman"/>
          <w:sz w:val="18"/>
          <w:szCs w:val="18"/>
        </w:rPr>
      </w:pPr>
    </w:p>
    <w:p w14:paraId="7384D013" w14:textId="44B8BE8C" w:rsidR="00187408" w:rsidRPr="001E7E13" w:rsidRDefault="00187408" w:rsidP="006D4361">
      <w:pPr>
        <w:jc w:val="both"/>
        <w:rPr>
          <w:rFonts w:ascii="Times New Roman" w:hAnsi="Times New Roman" w:cs="Times New Roman"/>
          <w:sz w:val="18"/>
          <w:szCs w:val="18"/>
        </w:rPr>
      </w:pPr>
      <w:r w:rsidRPr="001E7E13">
        <w:rPr>
          <w:rFonts w:ascii="Times New Roman" w:hAnsi="Times New Roman" w:cs="Times New Roman"/>
          <w:sz w:val="18"/>
          <w:szCs w:val="18"/>
        </w:rPr>
        <w:t>UNDER NO CIRCUMSTANCES SHALL ISDA</w:t>
      </w:r>
      <w:r w:rsidR="00F41BAC">
        <w:rPr>
          <w:rFonts w:ascii="Times New Roman" w:hAnsi="Times New Roman" w:cs="Times New Roman"/>
          <w:sz w:val="18"/>
          <w:szCs w:val="18"/>
        </w:rPr>
        <w:t>, ITS AFFILIATES OR ADVISORS OR THEIR DIRECTORS, OFFICERS, EMPLOYEES OR AGENTS</w:t>
      </w:r>
      <w:r w:rsidRPr="001E7E13">
        <w:rPr>
          <w:rFonts w:ascii="Times New Roman" w:hAnsi="Times New Roman" w:cs="Times New Roman"/>
          <w:sz w:val="18"/>
          <w:szCs w:val="18"/>
        </w:rPr>
        <w:t xml:space="preserve"> BE LIABLE TO ANY PARTY, REGARDLESS OF THE FORM OF ACTION, ARISING FROM OR IN CONNECTION WITH INFORMATION IN THIS DOCUMENT OR ANY PERSON'S USE OF THIS DOCUMENT, OR FOR ANY DIRECT, INDIRECT, SPECIAL, CONSEQUENTIAL, INCIDENTAL, PUNITIVE OR ANY OTHER DAMAGES THAT MAY RESULT FROM THE USE OF THIS DOCUMENT.</w:t>
      </w:r>
    </w:p>
    <w:sectPr w:rsidR="00187408" w:rsidRPr="001E7E13">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6D13A" w14:textId="77777777" w:rsidR="00E97F2D" w:rsidRDefault="00E97F2D" w:rsidP="00903359">
      <w:pPr>
        <w:spacing w:after="0" w:line="240" w:lineRule="auto"/>
      </w:pPr>
      <w:r>
        <w:separator/>
      </w:r>
    </w:p>
  </w:endnote>
  <w:endnote w:type="continuationSeparator" w:id="0">
    <w:p w14:paraId="4C334735" w14:textId="77777777" w:rsidR="00E97F2D" w:rsidRDefault="00E97F2D" w:rsidP="00903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CF0AC" w14:textId="77777777" w:rsidR="00BD1F56" w:rsidRDefault="00BD1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2A0FA" w14:textId="3A8F35EF" w:rsidR="00903359" w:rsidRPr="00903359" w:rsidRDefault="00903359" w:rsidP="00903359">
    <w:pPr>
      <w:pStyle w:val="Footer"/>
      <w:jc w:val="center"/>
      <w:rPr>
        <w:sz w:val="18"/>
        <w:szCs w:val="18"/>
      </w:rPr>
    </w:pPr>
    <w:r w:rsidRPr="00903359">
      <w:rPr>
        <w:sz w:val="18"/>
        <w:szCs w:val="18"/>
      </w:rPr>
      <w:t xml:space="preserve">Copyright © </w:t>
    </w:r>
    <w:r w:rsidR="00AE7690" w:rsidRPr="00903359">
      <w:rPr>
        <w:sz w:val="18"/>
        <w:szCs w:val="18"/>
      </w:rPr>
      <w:t>202</w:t>
    </w:r>
    <w:r w:rsidR="00AE7690">
      <w:rPr>
        <w:sz w:val="18"/>
        <w:szCs w:val="18"/>
      </w:rPr>
      <w:t>1</w:t>
    </w:r>
    <w:r w:rsidR="00AE7690" w:rsidRPr="00903359">
      <w:rPr>
        <w:sz w:val="18"/>
        <w:szCs w:val="18"/>
      </w:rPr>
      <w:t xml:space="preserve"> </w:t>
    </w:r>
    <w:r w:rsidRPr="00903359">
      <w:rPr>
        <w:sz w:val="18"/>
        <w:szCs w:val="18"/>
      </w:rPr>
      <w:t>by International Swaps and Derivatives Association, Inc.</w:t>
    </w:r>
  </w:p>
  <w:p w14:paraId="5E0E98BE" w14:textId="77777777" w:rsidR="00903359" w:rsidRDefault="009033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3AC32" w14:textId="77777777" w:rsidR="00BD1F56" w:rsidRDefault="00BD1F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6CEAB" w14:textId="77777777" w:rsidR="00E97F2D" w:rsidRDefault="00E97F2D" w:rsidP="00903359">
      <w:pPr>
        <w:spacing w:after="0" w:line="240" w:lineRule="auto"/>
      </w:pPr>
      <w:r>
        <w:separator/>
      </w:r>
    </w:p>
  </w:footnote>
  <w:footnote w:type="continuationSeparator" w:id="0">
    <w:p w14:paraId="35B97CF1" w14:textId="77777777" w:rsidR="00E97F2D" w:rsidRDefault="00E97F2D" w:rsidP="00903359">
      <w:pPr>
        <w:spacing w:after="0" w:line="240" w:lineRule="auto"/>
      </w:pPr>
      <w:r>
        <w:continuationSeparator/>
      </w:r>
    </w:p>
  </w:footnote>
  <w:footnote w:id="1">
    <w:p w14:paraId="126B0957" w14:textId="324DF763" w:rsidR="00B8352E" w:rsidRPr="00B8352E" w:rsidRDefault="00B8352E">
      <w:pPr>
        <w:pStyle w:val="FootnoteText"/>
        <w:rPr>
          <w:i/>
          <w:iCs/>
        </w:rPr>
      </w:pPr>
      <w:r w:rsidRPr="00B8352E">
        <w:rPr>
          <w:rStyle w:val="FootnoteReference"/>
          <w:i/>
          <w:iCs/>
        </w:rPr>
        <w:footnoteRef/>
      </w:r>
      <w:r w:rsidRPr="00B8352E">
        <w:rPr>
          <w:i/>
          <w:iCs/>
        </w:rPr>
        <w:t xml:space="preserve"> Upload ISDAs letter to ESMA and put the link here.</w:t>
      </w:r>
    </w:p>
  </w:footnote>
  <w:footnote w:id="2">
    <w:p w14:paraId="2F8B8E99" w14:textId="34F1B94C" w:rsidR="00940B1D" w:rsidRPr="00BB5B55" w:rsidRDefault="00940B1D">
      <w:pPr>
        <w:pStyle w:val="FootnoteText"/>
        <w:rPr>
          <w:lang w:val="en-SG"/>
        </w:rPr>
      </w:pPr>
      <w:r>
        <w:rPr>
          <w:rStyle w:val="FootnoteReference"/>
        </w:rPr>
        <w:footnoteRef/>
      </w:r>
      <w:r>
        <w:t xml:space="preserve"> </w:t>
      </w:r>
      <w:r>
        <w:rPr>
          <w:lang w:val="en-SG"/>
        </w:rPr>
        <w:t>Based on KRX’s correspondence with ISDA.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067D6" w14:textId="77777777" w:rsidR="00BD1F56" w:rsidRDefault="00BD1F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E3C6A" w14:textId="4C41308E" w:rsidR="003917A8" w:rsidRDefault="003917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D9E4D" w14:textId="77777777" w:rsidR="00BD1F56" w:rsidRDefault="00BD1F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372E1"/>
    <w:multiLevelType w:val="hybridMultilevel"/>
    <w:tmpl w:val="FB6C08A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10595362"/>
    <w:multiLevelType w:val="hybridMultilevel"/>
    <w:tmpl w:val="44583A2C"/>
    <w:lvl w:ilvl="0" w:tplc="1DAEE486">
      <w:start w:val="1"/>
      <w:numFmt w:val="bullet"/>
      <w:lvlText w:val="•"/>
      <w:lvlJc w:val="left"/>
      <w:pPr>
        <w:tabs>
          <w:tab w:val="num" w:pos="720"/>
        </w:tabs>
        <w:ind w:left="720" w:hanging="360"/>
      </w:pPr>
      <w:rPr>
        <w:rFonts w:ascii="Arial" w:hAnsi="Arial" w:hint="default"/>
      </w:rPr>
    </w:lvl>
    <w:lvl w:ilvl="1" w:tplc="A1A83FEC">
      <w:start w:val="1"/>
      <w:numFmt w:val="bullet"/>
      <w:lvlText w:val="•"/>
      <w:lvlJc w:val="left"/>
      <w:pPr>
        <w:tabs>
          <w:tab w:val="num" w:pos="1440"/>
        </w:tabs>
        <w:ind w:left="1440" w:hanging="360"/>
      </w:pPr>
      <w:rPr>
        <w:rFonts w:ascii="Arial" w:hAnsi="Arial" w:hint="default"/>
      </w:rPr>
    </w:lvl>
    <w:lvl w:ilvl="2" w:tplc="A3B24D8E" w:tentative="1">
      <w:start w:val="1"/>
      <w:numFmt w:val="bullet"/>
      <w:lvlText w:val="•"/>
      <w:lvlJc w:val="left"/>
      <w:pPr>
        <w:tabs>
          <w:tab w:val="num" w:pos="2160"/>
        </w:tabs>
        <w:ind w:left="2160" w:hanging="360"/>
      </w:pPr>
      <w:rPr>
        <w:rFonts w:ascii="Arial" w:hAnsi="Arial" w:hint="default"/>
      </w:rPr>
    </w:lvl>
    <w:lvl w:ilvl="3" w:tplc="BC50FF8C" w:tentative="1">
      <w:start w:val="1"/>
      <w:numFmt w:val="bullet"/>
      <w:lvlText w:val="•"/>
      <w:lvlJc w:val="left"/>
      <w:pPr>
        <w:tabs>
          <w:tab w:val="num" w:pos="2880"/>
        </w:tabs>
        <w:ind w:left="2880" w:hanging="360"/>
      </w:pPr>
      <w:rPr>
        <w:rFonts w:ascii="Arial" w:hAnsi="Arial" w:hint="default"/>
      </w:rPr>
    </w:lvl>
    <w:lvl w:ilvl="4" w:tplc="494C53D0" w:tentative="1">
      <w:start w:val="1"/>
      <w:numFmt w:val="bullet"/>
      <w:lvlText w:val="•"/>
      <w:lvlJc w:val="left"/>
      <w:pPr>
        <w:tabs>
          <w:tab w:val="num" w:pos="3600"/>
        </w:tabs>
        <w:ind w:left="3600" w:hanging="360"/>
      </w:pPr>
      <w:rPr>
        <w:rFonts w:ascii="Arial" w:hAnsi="Arial" w:hint="default"/>
      </w:rPr>
    </w:lvl>
    <w:lvl w:ilvl="5" w:tplc="EDF0A5C0" w:tentative="1">
      <w:start w:val="1"/>
      <w:numFmt w:val="bullet"/>
      <w:lvlText w:val="•"/>
      <w:lvlJc w:val="left"/>
      <w:pPr>
        <w:tabs>
          <w:tab w:val="num" w:pos="4320"/>
        </w:tabs>
        <w:ind w:left="4320" w:hanging="360"/>
      </w:pPr>
      <w:rPr>
        <w:rFonts w:ascii="Arial" w:hAnsi="Arial" w:hint="default"/>
      </w:rPr>
    </w:lvl>
    <w:lvl w:ilvl="6" w:tplc="60ECD8BC" w:tentative="1">
      <w:start w:val="1"/>
      <w:numFmt w:val="bullet"/>
      <w:lvlText w:val="•"/>
      <w:lvlJc w:val="left"/>
      <w:pPr>
        <w:tabs>
          <w:tab w:val="num" w:pos="5040"/>
        </w:tabs>
        <w:ind w:left="5040" w:hanging="360"/>
      </w:pPr>
      <w:rPr>
        <w:rFonts w:ascii="Arial" w:hAnsi="Arial" w:hint="default"/>
      </w:rPr>
    </w:lvl>
    <w:lvl w:ilvl="7" w:tplc="25A0F300" w:tentative="1">
      <w:start w:val="1"/>
      <w:numFmt w:val="bullet"/>
      <w:lvlText w:val="•"/>
      <w:lvlJc w:val="left"/>
      <w:pPr>
        <w:tabs>
          <w:tab w:val="num" w:pos="5760"/>
        </w:tabs>
        <w:ind w:left="5760" w:hanging="360"/>
      </w:pPr>
      <w:rPr>
        <w:rFonts w:ascii="Arial" w:hAnsi="Arial" w:hint="default"/>
      </w:rPr>
    </w:lvl>
    <w:lvl w:ilvl="8" w:tplc="FCCCDA3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7A69A2"/>
    <w:multiLevelType w:val="hybridMultilevel"/>
    <w:tmpl w:val="3B89AB8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424701B"/>
    <w:multiLevelType w:val="hybridMultilevel"/>
    <w:tmpl w:val="075CC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9E1EDA"/>
    <w:multiLevelType w:val="hybridMultilevel"/>
    <w:tmpl w:val="A4340692"/>
    <w:lvl w:ilvl="0" w:tplc="5D18C252">
      <w:start w:val="1"/>
      <w:numFmt w:val="bullet"/>
      <w:lvlText w:val="•"/>
      <w:lvlJc w:val="left"/>
      <w:pPr>
        <w:tabs>
          <w:tab w:val="num" w:pos="720"/>
        </w:tabs>
        <w:ind w:left="720" w:hanging="360"/>
      </w:pPr>
      <w:rPr>
        <w:rFonts w:ascii="Arial" w:hAnsi="Arial" w:hint="default"/>
      </w:rPr>
    </w:lvl>
    <w:lvl w:ilvl="1" w:tplc="63C4BEAA">
      <w:start w:val="1"/>
      <w:numFmt w:val="bullet"/>
      <w:lvlText w:val="•"/>
      <w:lvlJc w:val="left"/>
      <w:pPr>
        <w:tabs>
          <w:tab w:val="num" w:pos="1440"/>
        </w:tabs>
        <w:ind w:left="1440" w:hanging="360"/>
      </w:pPr>
      <w:rPr>
        <w:rFonts w:ascii="Arial" w:hAnsi="Arial" w:hint="default"/>
      </w:rPr>
    </w:lvl>
    <w:lvl w:ilvl="2" w:tplc="F2925602" w:tentative="1">
      <w:start w:val="1"/>
      <w:numFmt w:val="bullet"/>
      <w:lvlText w:val="•"/>
      <w:lvlJc w:val="left"/>
      <w:pPr>
        <w:tabs>
          <w:tab w:val="num" w:pos="2160"/>
        </w:tabs>
        <w:ind w:left="2160" w:hanging="360"/>
      </w:pPr>
      <w:rPr>
        <w:rFonts w:ascii="Arial" w:hAnsi="Arial" w:hint="default"/>
      </w:rPr>
    </w:lvl>
    <w:lvl w:ilvl="3" w:tplc="F9E8CCB8" w:tentative="1">
      <w:start w:val="1"/>
      <w:numFmt w:val="bullet"/>
      <w:lvlText w:val="•"/>
      <w:lvlJc w:val="left"/>
      <w:pPr>
        <w:tabs>
          <w:tab w:val="num" w:pos="2880"/>
        </w:tabs>
        <w:ind w:left="2880" w:hanging="360"/>
      </w:pPr>
      <w:rPr>
        <w:rFonts w:ascii="Arial" w:hAnsi="Arial" w:hint="default"/>
      </w:rPr>
    </w:lvl>
    <w:lvl w:ilvl="4" w:tplc="2954E9EC" w:tentative="1">
      <w:start w:val="1"/>
      <w:numFmt w:val="bullet"/>
      <w:lvlText w:val="•"/>
      <w:lvlJc w:val="left"/>
      <w:pPr>
        <w:tabs>
          <w:tab w:val="num" w:pos="3600"/>
        </w:tabs>
        <w:ind w:left="3600" w:hanging="360"/>
      </w:pPr>
      <w:rPr>
        <w:rFonts w:ascii="Arial" w:hAnsi="Arial" w:hint="default"/>
      </w:rPr>
    </w:lvl>
    <w:lvl w:ilvl="5" w:tplc="BBF40588" w:tentative="1">
      <w:start w:val="1"/>
      <w:numFmt w:val="bullet"/>
      <w:lvlText w:val="•"/>
      <w:lvlJc w:val="left"/>
      <w:pPr>
        <w:tabs>
          <w:tab w:val="num" w:pos="4320"/>
        </w:tabs>
        <w:ind w:left="4320" w:hanging="360"/>
      </w:pPr>
      <w:rPr>
        <w:rFonts w:ascii="Arial" w:hAnsi="Arial" w:hint="default"/>
      </w:rPr>
    </w:lvl>
    <w:lvl w:ilvl="6" w:tplc="76FE6D02" w:tentative="1">
      <w:start w:val="1"/>
      <w:numFmt w:val="bullet"/>
      <w:lvlText w:val="•"/>
      <w:lvlJc w:val="left"/>
      <w:pPr>
        <w:tabs>
          <w:tab w:val="num" w:pos="5040"/>
        </w:tabs>
        <w:ind w:left="5040" w:hanging="360"/>
      </w:pPr>
      <w:rPr>
        <w:rFonts w:ascii="Arial" w:hAnsi="Arial" w:hint="default"/>
      </w:rPr>
    </w:lvl>
    <w:lvl w:ilvl="7" w:tplc="5DB2DD0E" w:tentative="1">
      <w:start w:val="1"/>
      <w:numFmt w:val="bullet"/>
      <w:lvlText w:val="•"/>
      <w:lvlJc w:val="left"/>
      <w:pPr>
        <w:tabs>
          <w:tab w:val="num" w:pos="5760"/>
        </w:tabs>
        <w:ind w:left="5760" w:hanging="360"/>
      </w:pPr>
      <w:rPr>
        <w:rFonts w:ascii="Arial" w:hAnsi="Arial" w:hint="default"/>
      </w:rPr>
    </w:lvl>
    <w:lvl w:ilvl="8" w:tplc="DC44D18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5817E8E"/>
    <w:multiLevelType w:val="multilevel"/>
    <w:tmpl w:val="AC2CC4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A4694D"/>
    <w:multiLevelType w:val="hybridMultilevel"/>
    <w:tmpl w:val="D494A8EA"/>
    <w:lvl w:ilvl="0" w:tplc="8CBA4544">
      <w:start w:val="1"/>
      <w:numFmt w:val="bullet"/>
      <w:lvlText w:val="•"/>
      <w:lvlJc w:val="left"/>
      <w:pPr>
        <w:tabs>
          <w:tab w:val="num" w:pos="720"/>
        </w:tabs>
        <w:ind w:left="720" w:hanging="360"/>
      </w:pPr>
      <w:rPr>
        <w:rFonts w:ascii="Arial" w:hAnsi="Arial" w:hint="default"/>
      </w:rPr>
    </w:lvl>
    <w:lvl w:ilvl="1" w:tplc="BF523798" w:tentative="1">
      <w:start w:val="1"/>
      <w:numFmt w:val="bullet"/>
      <w:lvlText w:val="•"/>
      <w:lvlJc w:val="left"/>
      <w:pPr>
        <w:tabs>
          <w:tab w:val="num" w:pos="1440"/>
        </w:tabs>
        <w:ind w:left="1440" w:hanging="360"/>
      </w:pPr>
      <w:rPr>
        <w:rFonts w:ascii="Arial" w:hAnsi="Arial" w:hint="default"/>
      </w:rPr>
    </w:lvl>
    <w:lvl w:ilvl="2" w:tplc="3752C41A" w:tentative="1">
      <w:start w:val="1"/>
      <w:numFmt w:val="bullet"/>
      <w:lvlText w:val="•"/>
      <w:lvlJc w:val="left"/>
      <w:pPr>
        <w:tabs>
          <w:tab w:val="num" w:pos="2160"/>
        </w:tabs>
        <w:ind w:left="2160" w:hanging="360"/>
      </w:pPr>
      <w:rPr>
        <w:rFonts w:ascii="Arial" w:hAnsi="Arial" w:hint="default"/>
      </w:rPr>
    </w:lvl>
    <w:lvl w:ilvl="3" w:tplc="A8E4B98A" w:tentative="1">
      <w:start w:val="1"/>
      <w:numFmt w:val="bullet"/>
      <w:lvlText w:val="•"/>
      <w:lvlJc w:val="left"/>
      <w:pPr>
        <w:tabs>
          <w:tab w:val="num" w:pos="2880"/>
        </w:tabs>
        <w:ind w:left="2880" w:hanging="360"/>
      </w:pPr>
      <w:rPr>
        <w:rFonts w:ascii="Arial" w:hAnsi="Arial" w:hint="default"/>
      </w:rPr>
    </w:lvl>
    <w:lvl w:ilvl="4" w:tplc="9B08215C" w:tentative="1">
      <w:start w:val="1"/>
      <w:numFmt w:val="bullet"/>
      <w:lvlText w:val="•"/>
      <w:lvlJc w:val="left"/>
      <w:pPr>
        <w:tabs>
          <w:tab w:val="num" w:pos="3600"/>
        </w:tabs>
        <w:ind w:left="3600" w:hanging="360"/>
      </w:pPr>
      <w:rPr>
        <w:rFonts w:ascii="Arial" w:hAnsi="Arial" w:hint="default"/>
      </w:rPr>
    </w:lvl>
    <w:lvl w:ilvl="5" w:tplc="30D24F74" w:tentative="1">
      <w:start w:val="1"/>
      <w:numFmt w:val="bullet"/>
      <w:lvlText w:val="•"/>
      <w:lvlJc w:val="left"/>
      <w:pPr>
        <w:tabs>
          <w:tab w:val="num" w:pos="4320"/>
        </w:tabs>
        <w:ind w:left="4320" w:hanging="360"/>
      </w:pPr>
      <w:rPr>
        <w:rFonts w:ascii="Arial" w:hAnsi="Arial" w:hint="default"/>
      </w:rPr>
    </w:lvl>
    <w:lvl w:ilvl="6" w:tplc="7714D9EE" w:tentative="1">
      <w:start w:val="1"/>
      <w:numFmt w:val="bullet"/>
      <w:lvlText w:val="•"/>
      <w:lvlJc w:val="left"/>
      <w:pPr>
        <w:tabs>
          <w:tab w:val="num" w:pos="5040"/>
        </w:tabs>
        <w:ind w:left="5040" w:hanging="360"/>
      </w:pPr>
      <w:rPr>
        <w:rFonts w:ascii="Arial" w:hAnsi="Arial" w:hint="default"/>
      </w:rPr>
    </w:lvl>
    <w:lvl w:ilvl="7" w:tplc="198EB656" w:tentative="1">
      <w:start w:val="1"/>
      <w:numFmt w:val="bullet"/>
      <w:lvlText w:val="•"/>
      <w:lvlJc w:val="left"/>
      <w:pPr>
        <w:tabs>
          <w:tab w:val="num" w:pos="5760"/>
        </w:tabs>
        <w:ind w:left="5760" w:hanging="360"/>
      </w:pPr>
      <w:rPr>
        <w:rFonts w:ascii="Arial" w:hAnsi="Arial" w:hint="default"/>
      </w:rPr>
    </w:lvl>
    <w:lvl w:ilvl="8" w:tplc="913C4A4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D5E7DA5"/>
    <w:multiLevelType w:val="hybridMultilevel"/>
    <w:tmpl w:val="DE505D1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413430F3"/>
    <w:multiLevelType w:val="hybridMultilevel"/>
    <w:tmpl w:val="B3EE42F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A9625E3"/>
    <w:multiLevelType w:val="hybridMultilevel"/>
    <w:tmpl w:val="48BCB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155A41"/>
    <w:multiLevelType w:val="hybridMultilevel"/>
    <w:tmpl w:val="737A83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67D06A26"/>
    <w:multiLevelType w:val="multilevel"/>
    <w:tmpl w:val="F0E65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9"/>
  </w:num>
  <w:num w:numId="4">
    <w:abstractNumId w:val="3"/>
  </w:num>
  <w:num w:numId="5">
    <w:abstractNumId w:val="2"/>
  </w:num>
  <w:num w:numId="6">
    <w:abstractNumId w:val="11"/>
  </w:num>
  <w:num w:numId="7">
    <w:abstractNumId w:val="4"/>
  </w:num>
  <w:num w:numId="8">
    <w:abstractNumId w:val="1"/>
  </w:num>
  <w:num w:numId="9">
    <w:abstractNumId w:val="6"/>
  </w:num>
  <w:num w:numId="10">
    <w:abstractNumId w:val="7"/>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408"/>
    <w:rsid w:val="00037A60"/>
    <w:rsid w:val="000446A5"/>
    <w:rsid w:val="00051920"/>
    <w:rsid w:val="00054DB1"/>
    <w:rsid w:val="0005600D"/>
    <w:rsid w:val="0005661B"/>
    <w:rsid w:val="00067B12"/>
    <w:rsid w:val="000A0438"/>
    <w:rsid w:val="000B43A9"/>
    <w:rsid w:val="000F7264"/>
    <w:rsid w:val="00102D07"/>
    <w:rsid w:val="001219DA"/>
    <w:rsid w:val="00126F3D"/>
    <w:rsid w:val="0013466A"/>
    <w:rsid w:val="00161F79"/>
    <w:rsid w:val="00177058"/>
    <w:rsid w:val="0018051E"/>
    <w:rsid w:val="00187408"/>
    <w:rsid w:val="001975CD"/>
    <w:rsid w:val="001B51B5"/>
    <w:rsid w:val="001D1284"/>
    <w:rsid w:val="001D43EF"/>
    <w:rsid w:val="001E7E13"/>
    <w:rsid w:val="001F4D30"/>
    <w:rsid w:val="001F7A31"/>
    <w:rsid w:val="00225A52"/>
    <w:rsid w:val="002508C0"/>
    <w:rsid w:val="00253B24"/>
    <w:rsid w:val="00262404"/>
    <w:rsid w:val="00275B96"/>
    <w:rsid w:val="00276EAD"/>
    <w:rsid w:val="00290CAE"/>
    <w:rsid w:val="00293F6C"/>
    <w:rsid w:val="002A624C"/>
    <w:rsid w:val="002D4063"/>
    <w:rsid w:val="002F12BB"/>
    <w:rsid w:val="002F285B"/>
    <w:rsid w:val="0037469A"/>
    <w:rsid w:val="003858EE"/>
    <w:rsid w:val="00386E8B"/>
    <w:rsid w:val="003917A8"/>
    <w:rsid w:val="00396737"/>
    <w:rsid w:val="003C14C1"/>
    <w:rsid w:val="003C19D5"/>
    <w:rsid w:val="00402C15"/>
    <w:rsid w:val="00404171"/>
    <w:rsid w:val="004453A9"/>
    <w:rsid w:val="004548C7"/>
    <w:rsid w:val="004732A3"/>
    <w:rsid w:val="004A36A0"/>
    <w:rsid w:val="004A5FA7"/>
    <w:rsid w:val="004D404D"/>
    <w:rsid w:val="004D6CC4"/>
    <w:rsid w:val="004E0506"/>
    <w:rsid w:val="004F31DD"/>
    <w:rsid w:val="00504F09"/>
    <w:rsid w:val="0051175E"/>
    <w:rsid w:val="0051752C"/>
    <w:rsid w:val="00525CFC"/>
    <w:rsid w:val="00530945"/>
    <w:rsid w:val="00567DA2"/>
    <w:rsid w:val="005742B4"/>
    <w:rsid w:val="00574E67"/>
    <w:rsid w:val="00582FE9"/>
    <w:rsid w:val="00583055"/>
    <w:rsid w:val="005A1D81"/>
    <w:rsid w:val="005B17C2"/>
    <w:rsid w:val="00617D0E"/>
    <w:rsid w:val="0062280D"/>
    <w:rsid w:val="006329E3"/>
    <w:rsid w:val="006346C8"/>
    <w:rsid w:val="00635FFB"/>
    <w:rsid w:val="006634B8"/>
    <w:rsid w:val="006673FD"/>
    <w:rsid w:val="00683B74"/>
    <w:rsid w:val="00687F1A"/>
    <w:rsid w:val="00693D2A"/>
    <w:rsid w:val="006B092D"/>
    <w:rsid w:val="006C00BF"/>
    <w:rsid w:val="006D4361"/>
    <w:rsid w:val="006E2421"/>
    <w:rsid w:val="006F07E3"/>
    <w:rsid w:val="006F10CC"/>
    <w:rsid w:val="007169C3"/>
    <w:rsid w:val="00720ADA"/>
    <w:rsid w:val="007360C1"/>
    <w:rsid w:val="00736690"/>
    <w:rsid w:val="007404D1"/>
    <w:rsid w:val="00763B63"/>
    <w:rsid w:val="00787864"/>
    <w:rsid w:val="00793B3B"/>
    <w:rsid w:val="007A340F"/>
    <w:rsid w:val="007A3AC5"/>
    <w:rsid w:val="007B6D7F"/>
    <w:rsid w:val="007F0FA8"/>
    <w:rsid w:val="00801D2F"/>
    <w:rsid w:val="00803EC1"/>
    <w:rsid w:val="00805816"/>
    <w:rsid w:val="00812010"/>
    <w:rsid w:val="00813EFC"/>
    <w:rsid w:val="008234AE"/>
    <w:rsid w:val="00843834"/>
    <w:rsid w:val="00876FC2"/>
    <w:rsid w:val="00881524"/>
    <w:rsid w:val="00886D47"/>
    <w:rsid w:val="00894EAE"/>
    <w:rsid w:val="00896B7B"/>
    <w:rsid w:val="008B5DDC"/>
    <w:rsid w:val="008C382A"/>
    <w:rsid w:val="008C7AEF"/>
    <w:rsid w:val="008F202C"/>
    <w:rsid w:val="008F231E"/>
    <w:rsid w:val="00903359"/>
    <w:rsid w:val="00940B1D"/>
    <w:rsid w:val="009437E4"/>
    <w:rsid w:val="0097674D"/>
    <w:rsid w:val="009932B2"/>
    <w:rsid w:val="009937CB"/>
    <w:rsid w:val="009A15C6"/>
    <w:rsid w:val="009A202C"/>
    <w:rsid w:val="009A371C"/>
    <w:rsid w:val="009C39FA"/>
    <w:rsid w:val="009C4086"/>
    <w:rsid w:val="009C7D63"/>
    <w:rsid w:val="009D1E8A"/>
    <w:rsid w:val="00A02436"/>
    <w:rsid w:val="00A0313C"/>
    <w:rsid w:val="00A0787F"/>
    <w:rsid w:val="00A23C58"/>
    <w:rsid w:val="00A33259"/>
    <w:rsid w:val="00A61A77"/>
    <w:rsid w:val="00A63D6B"/>
    <w:rsid w:val="00A74390"/>
    <w:rsid w:val="00AB51AC"/>
    <w:rsid w:val="00AC4A02"/>
    <w:rsid w:val="00AD16CC"/>
    <w:rsid w:val="00AE7690"/>
    <w:rsid w:val="00AF65CF"/>
    <w:rsid w:val="00B5426D"/>
    <w:rsid w:val="00B60046"/>
    <w:rsid w:val="00B61067"/>
    <w:rsid w:val="00B71520"/>
    <w:rsid w:val="00B8352E"/>
    <w:rsid w:val="00BA5BCE"/>
    <w:rsid w:val="00BB5B55"/>
    <w:rsid w:val="00BC337B"/>
    <w:rsid w:val="00BD1F56"/>
    <w:rsid w:val="00BD5F58"/>
    <w:rsid w:val="00BF024A"/>
    <w:rsid w:val="00BF2205"/>
    <w:rsid w:val="00BF36A6"/>
    <w:rsid w:val="00C03E0B"/>
    <w:rsid w:val="00C10993"/>
    <w:rsid w:val="00C1602E"/>
    <w:rsid w:val="00C16AB2"/>
    <w:rsid w:val="00C203DA"/>
    <w:rsid w:val="00C243FA"/>
    <w:rsid w:val="00C66A13"/>
    <w:rsid w:val="00C94E49"/>
    <w:rsid w:val="00C9689B"/>
    <w:rsid w:val="00CC6599"/>
    <w:rsid w:val="00CE4464"/>
    <w:rsid w:val="00CF0B5D"/>
    <w:rsid w:val="00CF4A7C"/>
    <w:rsid w:val="00CF727F"/>
    <w:rsid w:val="00D02EFA"/>
    <w:rsid w:val="00D05626"/>
    <w:rsid w:val="00D11944"/>
    <w:rsid w:val="00D26A5E"/>
    <w:rsid w:val="00D44942"/>
    <w:rsid w:val="00D476E4"/>
    <w:rsid w:val="00D47E31"/>
    <w:rsid w:val="00D523A1"/>
    <w:rsid w:val="00D85865"/>
    <w:rsid w:val="00D9789C"/>
    <w:rsid w:val="00DB2E50"/>
    <w:rsid w:val="00DB6306"/>
    <w:rsid w:val="00DC0455"/>
    <w:rsid w:val="00E17ECE"/>
    <w:rsid w:val="00E35175"/>
    <w:rsid w:val="00E510D9"/>
    <w:rsid w:val="00E54033"/>
    <w:rsid w:val="00E639EC"/>
    <w:rsid w:val="00E74717"/>
    <w:rsid w:val="00E94966"/>
    <w:rsid w:val="00E951BF"/>
    <w:rsid w:val="00E97F2D"/>
    <w:rsid w:val="00EA08BC"/>
    <w:rsid w:val="00EA13CE"/>
    <w:rsid w:val="00EA5892"/>
    <w:rsid w:val="00ED0335"/>
    <w:rsid w:val="00ED1B6A"/>
    <w:rsid w:val="00ED7268"/>
    <w:rsid w:val="00EF2515"/>
    <w:rsid w:val="00F26D3A"/>
    <w:rsid w:val="00F41BAC"/>
    <w:rsid w:val="00F53ECC"/>
    <w:rsid w:val="00F5591E"/>
    <w:rsid w:val="00F7714C"/>
    <w:rsid w:val="00F81ADF"/>
    <w:rsid w:val="00F938D0"/>
    <w:rsid w:val="00FC2336"/>
    <w:rsid w:val="00FC31F2"/>
    <w:rsid w:val="00FF17C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3B90B"/>
  <w15:chartTrackingRefBased/>
  <w15:docId w15:val="{4CDC8AE2-E619-4F7E-9FFC-764D0385E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ell bullets,Paragraphe EI,Paragraphe de liste1,EC,Paragraphe de liste,Normal Nivel 1,List Paragraph Main,List first level,List Paragraph_Sections"/>
    <w:basedOn w:val="Normal"/>
    <w:link w:val="ListParagraphChar"/>
    <w:uiPriority w:val="34"/>
    <w:qFormat/>
    <w:rsid w:val="00187408"/>
    <w:pPr>
      <w:ind w:left="720"/>
      <w:contextualSpacing/>
    </w:pPr>
  </w:style>
  <w:style w:type="character" w:customStyle="1" w:styleId="ListParagraphChar">
    <w:name w:val="List Paragraph Char"/>
    <w:aliases w:val="Cell bullets Char,Paragraphe EI Char,Paragraphe de liste1 Char,EC Char,Paragraphe de liste Char,Normal Nivel 1 Char,List Paragraph Main Char,List first level Char,List Paragraph_Sections Char"/>
    <w:basedOn w:val="DefaultParagraphFont"/>
    <w:link w:val="ListParagraph"/>
    <w:uiPriority w:val="34"/>
    <w:rsid w:val="00187408"/>
  </w:style>
  <w:style w:type="paragraph" w:customStyle="1" w:styleId="Default">
    <w:name w:val="Default"/>
    <w:rsid w:val="004D404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B6D7F"/>
    <w:rPr>
      <w:color w:val="0563C1" w:themeColor="hyperlink"/>
      <w:u w:val="single"/>
    </w:rPr>
  </w:style>
  <w:style w:type="character" w:styleId="UnresolvedMention">
    <w:name w:val="Unresolved Mention"/>
    <w:basedOn w:val="DefaultParagraphFont"/>
    <w:uiPriority w:val="99"/>
    <w:semiHidden/>
    <w:unhideWhenUsed/>
    <w:rsid w:val="007B6D7F"/>
    <w:rPr>
      <w:color w:val="605E5C"/>
      <w:shd w:val="clear" w:color="auto" w:fill="E1DFDD"/>
    </w:rPr>
  </w:style>
  <w:style w:type="paragraph" w:styleId="FootnoteText">
    <w:name w:val="footnote text"/>
    <w:basedOn w:val="Normal"/>
    <w:link w:val="FootnoteTextChar"/>
    <w:uiPriority w:val="99"/>
    <w:semiHidden/>
    <w:unhideWhenUsed/>
    <w:rsid w:val="009033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3359"/>
    <w:rPr>
      <w:sz w:val="20"/>
      <w:szCs w:val="20"/>
    </w:rPr>
  </w:style>
  <w:style w:type="character" w:styleId="FootnoteReference">
    <w:name w:val="footnote reference"/>
    <w:basedOn w:val="DefaultParagraphFont"/>
    <w:uiPriority w:val="99"/>
    <w:semiHidden/>
    <w:unhideWhenUsed/>
    <w:rsid w:val="00903359"/>
    <w:rPr>
      <w:vertAlign w:val="superscript"/>
    </w:rPr>
  </w:style>
  <w:style w:type="paragraph" w:styleId="Header">
    <w:name w:val="header"/>
    <w:basedOn w:val="Normal"/>
    <w:link w:val="HeaderChar"/>
    <w:uiPriority w:val="99"/>
    <w:unhideWhenUsed/>
    <w:rsid w:val="009033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3359"/>
  </w:style>
  <w:style w:type="paragraph" w:styleId="Footer">
    <w:name w:val="footer"/>
    <w:basedOn w:val="Normal"/>
    <w:link w:val="FooterChar"/>
    <w:uiPriority w:val="99"/>
    <w:unhideWhenUsed/>
    <w:rsid w:val="009033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359"/>
  </w:style>
  <w:style w:type="table" w:styleId="TableGrid">
    <w:name w:val="Table Grid"/>
    <w:basedOn w:val="TableNormal"/>
    <w:uiPriority w:val="39"/>
    <w:rsid w:val="00C66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66A13"/>
    <w:rPr>
      <w:sz w:val="16"/>
      <w:szCs w:val="16"/>
    </w:rPr>
  </w:style>
  <w:style w:type="character" w:styleId="Strong">
    <w:name w:val="Strong"/>
    <w:basedOn w:val="DefaultParagraphFont"/>
    <w:uiPriority w:val="22"/>
    <w:qFormat/>
    <w:rsid w:val="00C66A13"/>
    <w:rPr>
      <w:b/>
      <w:bCs/>
    </w:rPr>
  </w:style>
  <w:style w:type="paragraph" w:styleId="CommentText">
    <w:name w:val="annotation text"/>
    <w:basedOn w:val="Normal"/>
    <w:link w:val="CommentTextChar"/>
    <w:uiPriority w:val="99"/>
    <w:unhideWhenUsed/>
    <w:rsid w:val="00D476E4"/>
    <w:pPr>
      <w:spacing w:line="240" w:lineRule="auto"/>
    </w:pPr>
    <w:rPr>
      <w:sz w:val="20"/>
      <w:szCs w:val="20"/>
    </w:rPr>
  </w:style>
  <w:style w:type="character" w:customStyle="1" w:styleId="CommentTextChar">
    <w:name w:val="Comment Text Char"/>
    <w:basedOn w:val="DefaultParagraphFont"/>
    <w:link w:val="CommentText"/>
    <w:uiPriority w:val="99"/>
    <w:rsid w:val="00D476E4"/>
    <w:rPr>
      <w:sz w:val="20"/>
      <w:szCs w:val="20"/>
    </w:rPr>
  </w:style>
  <w:style w:type="paragraph" w:styleId="CommentSubject">
    <w:name w:val="annotation subject"/>
    <w:basedOn w:val="CommentText"/>
    <w:next w:val="CommentText"/>
    <w:link w:val="CommentSubjectChar"/>
    <w:uiPriority w:val="99"/>
    <w:semiHidden/>
    <w:unhideWhenUsed/>
    <w:rsid w:val="00D476E4"/>
    <w:rPr>
      <w:b/>
      <w:bCs/>
    </w:rPr>
  </w:style>
  <w:style w:type="character" w:customStyle="1" w:styleId="CommentSubjectChar">
    <w:name w:val="Comment Subject Char"/>
    <w:basedOn w:val="CommentTextChar"/>
    <w:link w:val="CommentSubject"/>
    <w:uiPriority w:val="99"/>
    <w:semiHidden/>
    <w:rsid w:val="00D476E4"/>
    <w:rPr>
      <w:b/>
      <w:bCs/>
      <w:sz w:val="20"/>
      <w:szCs w:val="20"/>
    </w:rPr>
  </w:style>
  <w:style w:type="paragraph" w:styleId="Revision">
    <w:name w:val="Revision"/>
    <w:hidden/>
    <w:uiPriority w:val="99"/>
    <w:semiHidden/>
    <w:rsid w:val="00BF024A"/>
    <w:pPr>
      <w:spacing w:after="0" w:line="240" w:lineRule="auto"/>
    </w:pPr>
  </w:style>
  <w:style w:type="character" w:styleId="FollowedHyperlink">
    <w:name w:val="FollowedHyperlink"/>
    <w:basedOn w:val="DefaultParagraphFont"/>
    <w:uiPriority w:val="99"/>
    <w:semiHidden/>
    <w:unhideWhenUsed/>
    <w:rsid w:val="00054D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939">
      <w:bodyDiv w:val="1"/>
      <w:marLeft w:val="0"/>
      <w:marRight w:val="0"/>
      <w:marTop w:val="0"/>
      <w:marBottom w:val="0"/>
      <w:divBdr>
        <w:top w:val="none" w:sz="0" w:space="0" w:color="auto"/>
        <w:left w:val="none" w:sz="0" w:space="0" w:color="auto"/>
        <w:bottom w:val="none" w:sz="0" w:space="0" w:color="auto"/>
        <w:right w:val="none" w:sz="0" w:space="0" w:color="auto"/>
      </w:divBdr>
      <w:divsChild>
        <w:div w:id="2023437291">
          <w:marLeft w:val="720"/>
          <w:marRight w:val="0"/>
          <w:marTop w:val="0"/>
          <w:marBottom w:val="0"/>
          <w:divBdr>
            <w:top w:val="none" w:sz="0" w:space="0" w:color="auto"/>
            <w:left w:val="none" w:sz="0" w:space="0" w:color="auto"/>
            <w:bottom w:val="none" w:sz="0" w:space="0" w:color="auto"/>
            <w:right w:val="none" w:sz="0" w:space="0" w:color="auto"/>
          </w:divBdr>
        </w:div>
        <w:div w:id="210114079">
          <w:marLeft w:val="720"/>
          <w:marRight w:val="0"/>
          <w:marTop w:val="0"/>
          <w:marBottom w:val="0"/>
          <w:divBdr>
            <w:top w:val="none" w:sz="0" w:space="0" w:color="auto"/>
            <w:left w:val="none" w:sz="0" w:space="0" w:color="auto"/>
            <w:bottom w:val="none" w:sz="0" w:space="0" w:color="auto"/>
            <w:right w:val="none" w:sz="0" w:space="0" w:color="auto"/>
          </w:divBdr>
        </w:div>
        <w:div w:id="602803601">
          <w:marLeft w:val="720"/>
          <w:marRight w:val="0"/>
          <w:marTop w:val="0"/>
          <w:marBottom w:val="0"/>
          <w:divBdr>
            <w:top w:val="none" w:sz="0" w:space="0" w:color="auto"/>
            <w:left w:val="none" w:sz="0" w:space="0" w:color="auto"/>
            <w:bottom w:val="none" w:sz="0" w:space="0" w:color="auto"/>
            <w:right w:val="none" w:sz="0" w:space="0" w:color="auto"/>
          </w:divBdr>
        </w:div>
        <w:div w:id="804006570">
          <w:marLeft w:val="720"/>
          <w:marRight w:val="0"/>
          <w:marTop w:val="0"/>
          <w:marBottom w:val="0"/>
          <w:divBdr>
            <w:top w:val="none" w:sz="0" w:space="0" w:color="auto"/>
            <w:left w:val="none" w:sz="0" w:space="0" w:color="auto"/>
            <w:bottom w:val="none" w:sz="0" w:space="0" w:color="auto"/>
            <w:right w:val="none" w:sz="0" w:space="0" w:color="auto"/>
          </w:divBdr>
        </w:div>
        <w:div w:id="1003243648">
          <w:marLeft w:val="720"/>
          <w:marRight w:val="0"/>
          <w:marTop w:val="0"/>
          <w:marBottom w:val="0"/>
          <w:divBdr>
            <w:top w:val="none" w:sz="0" w:space="0" w:color="auto"/>
            <w:left w:val="none" w:sz="0" w:space="0" w:color="auto"/>
            <w:bottom w:val="none" w:sz="0" w:space="0" w:color="auto"/>
            <w:right w:val="none" w:sz="0" w:space="0" w:color="auto"/>
          </w:divBdr>
        </w:div>
        <w:div w:id="895778201">
          <w:marLeft w:val="720"/>
          <w:marRight w:val="0"/>
          <w:marTop w:val="0"/>
          <w:marBottom w:val="0"/>
          <w:divBdr>
            <w:top w:val="none" w:sz="0" w:space="0" w:color="auto"/>
            <w:left w:val="none" w:sz="0" w:space="0" w:color="auto"/>
            <w:bottom w:val="none" w:sz="0" w:space="0" w:color="auto"/>
            <w:right w:val="none" w:sz="0" w:space="0" w:color="auto"/>
          </w:divBdr>
        </w:div>
      </w:divsChild>
    </w:div>
    <w:div w:id="87894979">
      <w:bodyDiv w:val="1"/>
      <w:marLeft w:val="0"/>
      <w:marRight w:val="0"/>
      <w:marTop w:val="0"/>
      <w:marBottom w:val="0"/>
      <w:divBdr>
        <w:top w:val="none" w:sz="0" w:space="0" w:color="auto"/>
        <w:left w:val="none" w:sz="0" w:space="0" w:color="auto"/>
        <w:bottom w:val="none" w:sz="0" w:space="0" w:color="auto"/>
        <w:right w:val="none" w:sz="0" w:space="0" w:color="auto"/>
      </w:divBdr>
      <w:divsChild>
        <w:div w:id="1312902883">
          <w:marLeft w:val="274"/>
          <w:marRight w:val="0"/>
          <w:marTop w:val="0"/>
          <w:marBottom w:val="0"/>
          <w:divBdr>
            <w:top w:val="none" w:sz="0" w:space="0" w:color="auto"/>
            <w:left w:val="none" w:sz="0" w:space="0" w:color="auto"/>
            <w:bottom w:val="none" w:sz="0" w:space="0" w:color="auto"/>
            <w:right w:val="none" w:sz="0" w:space="0" w:color="auto"/>
          </w:divBdr>
        </w:div>
        <w:div w:id="2101942996">
          <w:marLeft w:val="274"/>
          <w:marRight w:val="0"/>
          <w:marTop w:val="0"/>
          <w:marBottom w:val="0"/>
          <w:divBdr>
            <w:top w:val="none" w:sz="0" w:space="0" w:color="auto"/>
            <w:left w:val="none" w:sz="0" w:space="0" w:color="auto"/>
            <w:bottom w:val="none" w:sz="0" w:space="0" w:color="auto"/>
            <w:right w:val="none" w:sz="0" w:space="0" w:color="auto"/>
          </w:divBdr>
        </w:div>
      </w:divsChild>
    </w:div>
    <w:div w:id="1640648075">
      <w:bodyDiv w:val="1"/>
      <w:marLeft w:val="0"/>
      <w:marRight w:val="0"/>
      <w:marTop w:val="0"/>
      <w:marBottom w:val="0"/>
      <w:divBdr>
        <w:top w:val="none" w:sz="0" w:space="0" w:color="auto"/>
        <w:left w:val="none" w:sz="0" w:space="0" w:color="auto"/>
        <w:bottom w:val="none" w:sz="0" w:space="0" w:color="auto"/>
        <w:right w:val="none" w:sz="0" w:space="0" w:color="auto"/>
      </w:divBdr>
    </w:div>
    <w:div w:id="182173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ca.org.uk/firms/uk-emir/news" TargetMode="External"/><Relationship Id="rId18" Type="http://schemas.openxmlformats.org/officeDocument/2006/relationships/hyperlink" Target="https://urldefense.proofpoint.com/v2/url?u=https-3A__www.anna-2Ddsb.com_operating-2Dhours-2Dand-2Dholidays_&amp;d=DwMFAg&amp;c=euGZstcaTDllvimEN8b7jXrwqOf-v5A_CdpgnVfiiMM&amp;r=dsU0yH78B9FXD0SFcb24Mg&amp;m=Bc9Oo24jy6DG8opziM27B7wbaBqj3cFQj0qmbWRvAYs&amp;s=KrU6NlkkhAif1lH-162d5Me4cJLKWBScZlHnDRUxVXI&amp;e="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hktr.hkma.gov.hk/GetFile.aspx?databaseimageid=295601" TargetMode="External"/><Relationship Id="rId7" Type="http://schemas.openxmlformats.org/officeDocument/2006/relationships/settings" Target="settings.xml"/><Relationship Id="rId12" Type="http://schemas.openxmlformats.org/officeDocument/2006/relationships/hyperlink" Target="https://www.esma.europa.eu/sites/default/files/library/esma70-1861941480-56_qas_mifir_data_reporting.pdf" TargetMode="External"/><Relationship Id="rId17" Type="http://schemas.openxmlformats.org/officeDocument/2006/relationships/hyperlink" Target="https://hktr.hkma.gov.hk/GetFile.aspx?databaseimageid=295601"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mas.gov.sg/-/media/MAS/Regulations-and-Financial-Stability/Regulations-Guidance-and-Licensing/Securities-Futures-and-Fund-Management/Regulations-Guidance-and-Licensing/FAQs/FAQs-on-the-Securities-and-Futures-Reporting-of-Derivatives-Contracts-Regulations-2013-29-Nov-2021final.pdf" TargetMode="External"/><Relationship Id="rId20" Type="http://schemas.openxmlformats.org/officeDocument/2006/relationships/hyperlink" Target="https://urldefense.proofpoint.com/v2/url?u=https-3A__asic.gov.au_regulatory-2Dresources_markets_financial-2Dbenchmarks_ibor-2Dtransition-2Dand-2Dotc-2Dderivatives-2Dtransaction-2Dreporting_&amp;d=DwMFAw&amp;c=euGZstcaTDllvimEN8b7jXrwqOf-v5A_CdpgnVfiiMM&amp;r=xEasF52fFhbh68XSV7xhVNb1P7NPzxB-LKlYbpuSvA8&amp;m=6ATOTqHaldghHi3SyTwkjgNBN4mherTg0ZiObFhJnqs&amp;s=E1Q478QkNaIizpgPq_t6wJcoliFzzBuPPBCrFMrW7ps&amp;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ma.europa.eu/sites/default/files/library/esma70-1861941480-52_qa_on_emir_implementation.pdf"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urldefense.proofpoint.com/v2/url?u=https-3A__asic.gov.au_regulatory-2Dresources_markets_financial-2Dbenchmarks_ibor-2Dtransition-2Dand-2Dotc-2Dderivatives-2Dtransaction-2Dreporting_&amp;d=DwMFAw&amp;c=euGZstcaTDllvimEN8b7jXrwqOf-v5A_CdpgnVfiiMM&amp;r=xEasF52fFhbh68XSV7xhVNb1P7NPzxB-LKlYbpuSvA8&amp;m=6ATOTqHaldghHi3SyTwkjgNBN4mherTg0ZiObFhJnqs&amp;s=E1Q478QkNaIizpgPq_t6wJcoliFzzBuPPBCrFMrW7ps&amp;e="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assets.isda.org/media/3062e7b4/0826816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ca.org.uk/markets/transaction-reporting/uk-mifir-data-reporting-libor-transition" TargetMode="External"/><Relationship Id="rId22" Type="http://schemas.openxmlformats.org/officeDocument/2006/relationships/hyperlink" Target="https://www.mas.gov.sg/-/media/MAS/Regulations-and-Financial-Stability/Regulations-Guidance-and-Licensing/Securities-Futures-and-Fund-Management/Regulations-Guidance-and-Licensing/FAQs/FAQs-on-the-Securities-and-Futures-Reporting-of-Derivatives-Contracts-Regulations-2013-29-Nov-2021final.pdf"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2B6E1FC932784C94DE67E8EF9EBB63" ma:contentTypeVersion="14" ma:contentTypeDescription="Create a new document." ma:contentTypeScope="" ma:versionID="79ca19eecc86b1dcd638875b0defc11c">
  <xsd:schema xmlns:xsd="http://www.w3.org/2001/XMLSchema" xmlns:xs="http://www.w3.org/2001/XMLSchema" xmlns:p="http://schemas.microsoft.com/office/2006/metadata/properties" xmlns:ns3="55ed6f9f-0b19-4c58-98aa-9b232a834728" xmlns:ns4="76b1b06c-9c98-4b3d-91ca-fc1a13e3ebd1" targetNamespace="http://schemas.microsoft.com/office/2006/metadata/properties" ma:root="true" ma:fieldsID="e4e977dc746d55642da73f856892d3ce" ns3:_="" ns4:_="">
    <xsd:import namespace="55ed6f9f-0b19-4c58-98aa-9b232a834728"/>
    <xsd:import namespace="76b1b06c-9c98-4b3d-91ca-fc1a13e3ebd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d6f9f-0b19-4c58-98aa-9b232a834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1b06c-9c98-4b3d-91ca-fc1a13e3eb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3F4BF4-A68F-49C5-A752-4B6C4A11A023}">
  <ds:schemaRefs>
    <ds:schemaRef ds:uri="http://schemas.microsoft.com/sharepoint/v3/contenttype/forms"/>
  </ds:schemaRefs>
</ds:datastoreItem>
</file>

<file path=customXml/itemProps2.xml><?xml version="1.0" encoding="utf-8"?>
<ds:datastoreItem xmlns:ds="http://schemas.openxmlformats.org/officeDocument/2006/customXml" ds:itemID="{CEC92E57-50DB-4296-AFC6-563B51B1C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d6f9f-0b19-4c58-98aa-9b232a834728"/>
    <ds:schemaRef ds:uri="76b1b06c-9c98-4b3d-91ca-fc1a13e3e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CEBE85-6AFE-4056-8015-1D53675D199A}">
  <ds:schemaRefs>
    <ds:schemaRef ds:uri="http://schemas.openxmlformats.org/officeDocument/2006/bibliography"/>
  </ds:schemaRefs>
</ds:datastoreItem>
</file>

<file path=customXml/itemProps4.xml><?xml version="1.0" encoding="utf-8"?>
<ds:datastoreItem xmlns:ds="http://schemas.openxmlformats.org/officeDocument/2006/customXml" ds:itemID="{92DB10E6-98DA-4140-8DBC-E4AFBDD7F8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5560</Words>
  <Characters>31693</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Bayley</dc:creator>
  <cp:keywords/>
  <dc:description/>
  <cp:lastModifiedBy>Andrew Bayley</cp:lastModifiedBy>
  <cp:revision>8</cp:revision>
  <dcterms:created xsi:type="dcterms:W3CDTF">2021-12-17T07:47:00Z</dcterms:created>
  <dcterms:modified xsi:type="dcterms:W3CDTF">2021-12-17T14:11:00Z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0x010100072B6E1FC932784C94DE67E8EF9EBB63</vt:lpwstr>
  </property>
</Properties>
</file>