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F33B" w14:textId="77777777" w:rsidR="00CD4AE3" w:rsidRPr="00BC60D4" w:rsidRDefault="00CD4AE3" w:rsidP="00CD4AE3">
      <w:pPr>
        <w:pStyle w:val="AODocTxt"/>
        <w:jc w:val="center"/>
        <w:rPr>
          <w:i/>
          <w:sz w:val="24"/>
        </w:rPr>
      </w:pPr>
      <w:r>
        <w:rPr>
          <w:b/>
          <w:noProof/>
          <w:lang w:val="en-US" w:eastAsia="zh-CN"/>
        </w:rPr>
        <w:drawing>
          <wp:inline distT="0" distB="0" distL="0" distR="0" wp14:anchorId="27AF86F5" wp14:editId="13D92CA4">
            <wp:extent cx="1733550" cy="438150"/>
            <wp:effectExtent l="0" t="0" r="0" b="0"/>
            <wp:docPr id="2" name="Picture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38150"/>
                    </a:xfrm>
                    <a:prstGeom prst="rect">
                      <a:avLst/>
                    </a:prstGeom>
                    <a:noFill/>
                    <a:ln>
                      <a:noFill/>
                    </a:ln>
                  </pic:spPr>
                </pic:pic>
              </a:graphicData>
            </a:graphic>
          </wp:inline>
        </w:drawing>
      </w:r>
    </w:p>
    <w:p w14:paraId="65F4EF47" w14:textId="1143D750" w:rsidR="00CD4AE3" w:rsidRPr="00BC60D4" w:rsidRDefault="00CD4AE3" w:rsidP="00CD4AE3">
      <w:pPr>
        <w:pStyle w:val="AODocTxt"/>
        <w:jc w:val="center"/>
        <w:rPr>
          <w:b/>
          <w:sz w:val="36"/>
        </w:rPr>
      </w:pPr>
      <w:r w:rsidRPr="00BC60D4">
        <w:rPr>
          <w:b/>
          <w:sz w:val="36"/>
        </w:rPr>
        <w:t xml:space="preserve">ISDA </w:t>
      </w:r>
      <w:r>
        <w:rPr>
          <w:b/>
          <w:sz w:val="36"/>
        </w:rPr>
        <w:t>U.S. SELF-</w:t>
      </w:r>
      <w:r w:rsidRPr="00BC60D4">
        <w:rPr>
          <w:b/>
          <w:sz w:val="36"/>
        </w:rPr>
        <w:t>DISCLOSURE LETTER</w:t>
      </w:r>
      <w:r>
        <w:rPr>
          <w:b/>
          <w:sz w:val="36"/>
        </w:rPr>
        <w:br/>
        <w:t>INFORMATION REQUEST</w:t>
      </w:r>
    </w:p>
    <w:p w14:paraId="008C76A0" w14:textId="53B73EFD" w:rsidR="00CD4AE3" w:rsidRPr="00BC60D4" w:rsidRDefault="00CD4AE3" w:rsidP="00CD4AE3">
      <w:pPr>
        <w:pStyle w:val="AODocTxt"/>
        <w:jc w:val="center"/>
        <w:rPr>
          <w:b/>
        </w:rPr>
      </w:pPr>
      <w:r w:rsidRPr="00BC60D4">
        <w:rPr>
          <w:b/>
        </w:rPr>
        <w:t>published on</w:t>
      </w:r>
      <w:r w:rsidRPr="00A85CB9">
        <w:rPr>
          <w:b/>
        </w:rPr>
        <w:t xml:space="preserve"> </w:t>
      </w:r>
      <w:r>
        <w:rPr>
          <w:b/>
        </w:rPr>
        <w:t>January 1</w:t>
      </w:r>
      <w:r w:rsidR="00166DDA">
        <w:rPr>
          <w:b/>
        </w:rPr>
        <w:t>5</w:t>
      </w:r>
      <w:r>
        <w:rPr>
          <w:b/>
        </w:rPr>
        <w:t>, 2021</w:t>
      </w:r>
      <w:r w:rsidRPr="00BC60D4">
        <w:rPr>
          <w:b/>
        </w:rPr>
        <w:t xml:space="preserve"> </w:t>
      </w:r>
      <w:r w:rsidRPr="00BC60D4">
        <w:rPr>
          <w:b/>
        </w:rPr>
        <w:br/>
        <w:t>by the International Swaps and Derivatives Association, Inc.</w:t>
      </w:r>
    </w:p>
    <w:p w14:paraId="3373B11F" w14:textId="0F62A401" w:rsidR="002678AB" w:rsidRDefault="00BE4AEF" w:rsidP="00CD4AE3">
      <w:pPr>
        <w:spacing w:after="0"/>
        <w:jc w:val="right"/>
        <w:rPr>
          <w:b/>
        </w:rPr>
      </w:pPr>
      <w:r>
        <w:rPr>
          <w:b/>
        </w:rPr>
        <w:br w:type="textWrapping" w:clear="all"/>
      </w:r>
      <w:r w:rsidR="00CD4AE3" w:rsidRPr="002B7442">
        <w:rPr>
          <w:sz w:val="22"/>
          <w:szCs w:val="22"/>
        </w:rPr>
        <w:t>[Date]</w:t>
      </w:r>
    </w:p>
    <w:p w14:paraId="785EBD69" w14:textId="77777777" w:rsidR="002678AB" w:rsidRDefault="002678AB" w:rsidP="003B7472">
      <w:pPr>
        <w:spacing w:after="0"/>
        <w:rPr>
          <w:b/>
        </w:rPr>
      </w:pPr>
    </w:p>
    <w:p w14:paraId="65956C77" w14:textId="77777777" w:rsidR="002678AB" w:rsidRPr="00986D8A" w:rsidRDefault="00B45981" w:rsidP="003B7472">
      <w:pPr>
        <w:spacing w:after="0"/>
        <w:rPr>
          <w:b/>
          <w:sz w:val="22"/>
          <w:szCs w:val="22"/>
        </w:rPr>
      </w:pPr>
      <w:r>
        <w:rPr>
          <w:b/>
          <w:sz w:val="22"/>
          <w:szCs w:val="22"/>
        </w:rPr>
        <w:t>IMPORTANT:  ACTION REQUIRED</w:t>
      </w:r>
    </w:p>
    <w:p w14:paraId="306EECDE" w14:textId="77777777" w:rsidR="002678AB" w:rsidRPr="00986D8A" w:rsidRDefault="002678AB" w:rsidP="003B7472">
      <w:pPr>
        <w:spacing w:after="0"/>
        <w:rPr>
          <w:b/>
          <w:sz w:val="22"/>
          <w:szCs w:val="22"/>
        </w:rPr>
      </w:pPr>
    </w:p>
    <w:p w14:paraId="2A81E01C" w14:textId="77777777" w:rsidR="002678AB" w:rsidRPr="00986D8A" w:rsidRDefault="002678AB" w:rsidP="002678AB">
      <w:pPr>
        <w:spacing w:after="0"/>
        <w:jc w:val="center"/>
        <w:rPr>
          <w:b/>
          <w:sz w:val="22"/>
          <w:szCs w:val="22"/>
        </w:rPr>
      </w:pPr>
      <w:r w:rsidRPr="00986D8A">
        <w:rPr>
          <w:b/>
          <w:sz w:val="22"/>
          <w:szCs w:val="22"/>
        </w:rPr>
        <w:t xml:space="preserve">Request for </w:t>
      </w:r>
      <w:r w:rsidR="005302DF">
        <w:rPr>
          <w:b/>
          <w:sz w:val="22"/>
          <w:szCs w:val="22"/>
        </w:rPr>
        <w:t>Dodd-Frank Status</w:t>
      </w:r>
      <w:r w:rsidR="00664858">
        <w:rPr>
          <w:b/>
          <w:sz w:val="22"/>
          <w:szCs w:val="22"/>
        </w:rPr>
        <w:t xml:space="preserve"> </w:t>
      </w:r>
      <w:r w:rsidRPr="00986D8A">
        <w:rPr>
          <w:b/>
          <w:sz w:val="22"/>
          <w:szCs w:val="22"/>
        </w:rPr>
        <w:t xml:space="preserve">Information to </w:t>
      </w:r>
      <w:r w:rsidR="00446659" w:rsidRPr="00986D8A">
        <w:rPr>
          <w:b/>
          <w:sz w:val="22"/>
          <w:szCs w:val="22"/>
        </w:rPr>
        <w:t xml:space="preserve">Facilitate Compliance </w:t>
      </w:r>
      <w:r w:rsidR="00664858">
        <w:rPr>
          <w:b/>
          <w:sz w:val="22"/>
          <w:szCs w:val="22"/>
        </w:rPr>
        <w:br/>
      </w:r>
      <w:r w:rsidR="00446659" w:rsidRPr="00986D8A">
        <w:rPr>
          <w:b/>
          <w:sz w:val="22"/>
          <w:szCs w:val="22"/>
        </w:rPr>
        <w:t>with</w:t>
      </w:r>
      <w:r w:rsidRPr="00986D8A">
        <w:rPr>
          <w:b/>
          <w:sz w:val="22"/>
          <w:szCs w:val="22"/>
        </w:rPr>
        <w:t xml:space="preserve"> Certain</w:t>
      </w:r>
      <w:r w:rsidR="00664858">
        <w:rPr>
          <w:b/>
          <w:sz w:val="22"/>
          <w:szCs w:val="22"/>
        </w:rPr>
        <w:t xml:space="preserve"> </w:t>
      </w:r>
      <w:r w:rsidRPr="00986D8A">
        <w:rPr>
          <w:b/>
          <w:sz w:val="22"/>
          <w:szCs w:val="22"/>
        </w:rPr>
        <w:t>U.S. Swap and Security-Based Swap R</w:t>
      </w:r>
      <w:r w:rsidR="00A755A5" w:rsidRPr="00986D8A">
        <w:rPr>
          <w:b/>
          <w:sz w:val="22"/>
          <w:szCs w:val="22"/>
        </w:rPr>
        <w:t>ules</w:t>
      </w:r>
    </w:p>
    <w:p w14:paraId="537F5562" w14:textId="77777777" w:rsidR="002678AB" w:rsidRPr="00986D8A" w:rsidRDefault="002678AB" w:rsidP="002678AB">
      <w:pPr>
        <w:spacing w:after="0"/>
        <w:jc w:val="center"/>
        <w:rPr>
          <w:b/>
          <w:sz w:val="22"/>
          <w:szCs w:val="22"/>
        </w:rPr>
      </w:pPr>
    </w:p>
    <w:p w14:paraId="56FB67D1" w14:textId="77777777" w:rsidR="002678AB" w:rsidRPr="00986D8A" w:rsidRDefault="002678AB" w:rsidP="002678AB">
      <w:pPr>
        <w:spacing w:after="0"/>
        <w:rPr>
          <w:sz w:val="22"/>
          <w:szCs w:val="22"/>
        </w:rPr>
      </w:pPr>
      <w:r w:rsidRPr="00986D8A">
        <w:rPr>
          <w:sz w:val="22"/>
          <w:szCs w:val="22"/>
        </w:rPr>
        <w:t>Dear Sir or Madam:</w:t>
      </w:r>
    </w:p>
    <w:p w14:paraId="05CAA741" w14:textId="77777777" w:rsidR="002678AB" w:rsidRPr="00986D8A" w:rsidRDefault="002678AB" w:rsidP="002678AB">
      <w:pPr>
        <w:spacing w:after="0"/>
        <w:rPr>
          <w:sz w:val="22"/>
          <w:szCs w:val="22"/>
        </w:rPr>
      </w:pPr>
    </w:p>
    <w:p w14:paraId="4A7F126C" w14:textId="77777777" w:rsidR="00C32ECC" w:rsidRPr="00986D8A" w:rsidRDefault="00C32ECC" w:rsidP="00C32ECC">
      <w:pPr>
        <w:spacing w:after="0"/>
        <w:rPr>
          <w:sz w:val="22"/>
          <w:szCs w:val="22"/>
        </w:rPr>
      </w:pPr>
      <w:r w:rsidRPr="00986D8A">
        <w:rPr>
          <w:sz w:val="22"/>
          <w:szCs w:val="22"/>
        </w:rPr>
        <w:t>[</w:t>
      </w:r>
      <w:r w:rsidRPr="00293F4F">
        <w:rPr>
          <w:sz w:val="22"/>
          <w:szCs w:val="22"/>
        </w:rPr>
        <w:t>Sender Name</w:t>
      </w:r>
      <w:r w:rsidR="000E2176" w:rsidRPr="00293F4F">
        <w:rPr>
          <w:sz w:val="22"/>
          <w:szCs w:val="22"/>
        </w:rPr>
        <w:t>(s)</w:t>
      </w:r>
      <w:r w:rsidR="000E2176" w:rsidRPr="00293F4F">
        <w:rPr>
          <w:rStyle w:val="FootnoteReference"/>
          <w:sz w:val="22"/>
          <w:szCs w:val="22"/>
        </w:rPr>
        <w:footnoteReference w:id="1"/>
      </w:r>
      <w:r w:rsidRPr="00986D8A">
        <w:rPr>
          <w:sz w:val="22"/>
          <w:szCs w:val="22"/>
        </w:rPr>
        <w:t>] (“</w:t>
      </w:r>
      <w:r w:rsidRPr="00986D8A">
        <w:rPr>
          <w:b/>
          <w:i/>
          <w:sz w:val="22"/>
          <w:szCs w:val="22"/>
        </w:rPr>
        <w:t>Information Recipient</w:t>
      </w:r>
      <w:r w:rsidRPr="00986D8A">
        <w:rPr>
          <w:sz w:val="22"/>
          <w:szCs w:val="22"/>
        </w:rPr>
        <w:t>” or “</w:t>
      </w:r>
      <w:r w:rsidRPr="00986D8A">
        <w:rPr>
          <w:b/>
          <w:i/>
          <w:sz w:val="22"/>
          <w:szCs w:val="22"/>
        </w:rPr>
        <w:t>Recipient</w:t>
      </w:r>
      <w:r w:rsidRPr="00986D8A">
        <w:rPr>
          <w:sz w:val="22"/>
          <w:szCs w:val="22"/>
        </w:rPr>
        <w:t xml:space="preserve">”) </w:t>
      </w:r>
      <w:r w:rsidR="00C34DFE" w:rsidRPr="00C34DFE">
        <w:rPr>
          <w:sz w:val="22"/>
          <w:szCs w:val="22"/>
        </w:rPr>
        <w:t>request</w:t>
      </w:r>
      <w:r w:rsidR="00187655">
        <w:rPr>
          <w:sz w:val="22"/>
          <w:szCs w:val="22"/>
        </w:rPr>
        <w:t>(</w:t>
      </w:r>
      <w:r w:rsidR="00C34DFE" w:rsidRPr="00C34DFE">
        <w:rPr>
          <w:sz w:val="22"/>
          <w:szCs w:val="22"/>
        </w:rPr>
        <w:t>s</w:t>
      </w:r>
      <w:r w:rsidR="00187655">
        <w:rPr>
          <w:sz w:val="22"/>
          <w:szCs w:val="22"/>
        </w:rPr>
        <w:t>)</w:t>
      </w:r>
      <w:r w:rsidR="00C34DFE" w:rsidRPr="00C34DFE">
        <w:rPr>
          <w:sz w:val="22"/>
          <w:szCs w:val="22"/>
        </w:rPr>
        <w:t xml:space="preserve"> information from you for purposes of </w:t>
      </w:r>
      <w:r w:rsidR="00C34DFE">
        <w:rPr>
          <w:sz w:val="22"/>
          <w:szCs w:val="22"/>
        </w:rPr>
        <w:t>determining</w:t>
      </w:r>
      <w:r w:rsidR="00C34DFE" w:rsidRPr="00C34DFE">
        <w:rPr>
          <w:sz w:val="22"/>
          <w:szCs w:val="22"/>
        </w:rPr>
        <w:t xml:space="preserve"> </w:t>
      </w:r>
      <w:r w:rsidR="00C56BEC">
        <w:rPr>
          <w:sz w:val="22"/>
          <w:szCs w:val="22"/>
        </w:rPr>
        <w:t>Recipient’s</w:t>
      </w:r>
      <w:r w:rsidR="00C56BEC" w:rsidRPr="00C34DFE">
        <w:rPr>
          <w:sz w:val="22"/>
          <w:szCs w:val="22"/>
        </w:rPr>
        <w:t xml:space="preserve"> </w:t>
      </w:r>
      <w:r w:rsidR="00C34DFE" w:rsidRPr="00C34DFE">
        <w:rPr>
          <w:sz w:val="22"/>
          <w:szCs w:val="22"/>
        </w:rPr>
        <w:t xml:space="preserve">requirements for transacting in swaps and/or security-based swaps with you or persons you represent.  These activities </w:t>
      </w:r>
      <w:r w:rsidR="00A006CF">
        <w:rPr>
          <w:sz w:val="22"/>
          <w:szCs w:val="22"/>
        </w:rPr>
        <w:t>may be</w:t>
      </w:r>
      <w:r w:rsidR="00C34DFE" w:rsidRPr="00C34DFE">
        <w:rPr>
          <w:sz w:val="22"/>
          <w:szCs w:val="22"/>
        </w:rPr>
        <w:t xml:space="preserve"> subject </w:t>
      </w:r>
      <w:r w:rsidR="00C34DFE">
        <w:rPr>
          <w:sz w:val="22"/>
          <w:szCs w:val="22"/>
        </w:rPr>
        <w:t>to U.S.</w:t>
      </w:r>
      <w:r w:rsidR="00C34DFE" w:rsidRPr="00C34DFE">
        <w:rPr>
          <w:sz w:val="22"/>
          <w:szCs w:val="22"/>
        </w:rPr>
        <w:t xml:space="preserve"> regulatory requirements under the Dodd-Frank Wall Street Reform and Consumer Protection Act.  The applicability </w:t>
      </w:r>
      <w:r w:rsidR="00127A1D">
        <w:rPr>
          <w:sz w:val="22"/>
          <w:szCs w:val="22"/>
        </w:rPr>
        <w:t xml:space="preserve">of </w:t>
      </w:r>
      <w:r w:rsidR="00C34DFE" w:rsidRPr="00C34DFE">
        <w:rPr>
          <w:sz w:val="22"/>
          <w:szCs w:val="22"/>
        </w:rPr>
        <w:t>these requirements depend</w:t>
      </w:r>
      <w:r w:rsidR="00A006CF">
        <w:rPr>
          <w:sz w:val="22"/>
          <w:szCs w:val="22"/>
        </w:rPr>
        <w:t>s</w:t>
      </w:r>
      <w:r w:rsidR="00C34DFE" w:rsidRPr="00C34DFE">
        <w:rPr>
          <w:sz w:val="22"/>
          <w:szCs w:val="22"/>
        </w:rPr>
        <w:t xml:space="preserve"> on the status of Information Recipient’s counterparties under various U.S. regulations as well as </w:t>
      </w:r>
      <w:r w:rsidR="00127A1D" w:rsidRPr="00C34DFE">
        <w:rPr>
          <w:sz w:val="22"/>
          <w:szCs w:val="22"/>
        </w:rPr>
        <w:t>Informati</w:t>
      </w:r>
      <w:r w:rsidR="00127A1D">
        <w:rPr>
          <w:sz w:val="22"/>
          <w:szCs w:val="22"/>
        </w:rPr>
        <w:t>on Recipient’s own</w:t>
      </w:r>
      <w:r w:rsidR="00C34DFE" w:rsidRPr="00C34DFE">
        <w:rPr>
          <w:sz w:val="22"/>
          <w:szCs w:val="22"/>
        </w:rPr>
        <w:t xml:space="preserve"> status</w:t>
      </w:r>
      <w:r w:rsidR="00C34DFE">
        <w:rPr>
          <w:sz w:val="22"/>
          <w:szCs w:val="22"/>
        </w:rPr>
        <w:t>.</w:t>
      </w:r>
    </w:p>
    <w:p w14:paraId="07F2A0B7" w14:textId="77777777" w:rsidR="00C32ECC" w:rsidRPr="00986D8A" w:rsidRDefault="00C32ECC" w:rsidP="00C32ECC">
      <w:pPr>
        <w:spacing w:after="0"/>
        <w:rPr>
          <w:sz w:val="22"/>
          <w:szCs w:val="22"/>
        </w:rPr>
      </w:pPr>
    </w:p>
    <w:p w14:paraId="020C3A0A" w14:textId="77777777" w:rsidR="00C32ECC" w:rsidRPr="00986D8A" w:rsidRDefault="00C32ECC" w:rsidP="00C32ECC">
      <w:pPr>
        <w:spacing w:after="0"/>
        <w:rPr>
          <w:sz w:val="22"/>
          <w:szCs w:val="22"/>
        </w:rPr>
      </w:pPr>
      <w:r w:rsidRPr="00986D8A">
        <w:rPr>
          <w:sz w:val="22"/>
          <w:szCs w:val="22"/>
        </w:rPr>
        <w:t>Accordingly, Information Re</w:t>
      </w:r>
      <w:r w:rsidR="00FB1DC6" w:rsidRPr="00986D8A">
        <w:rPr>
          <w:sz w:val="22"/>
          <w:szCs w:val="22"/>
        </w:rPr>
        <w:t>c</w:t>
      </w:r>
      <w:r w:rsidRPr="00986D8A">
        <w:rPr>
          <w:sz w:val="22"/>
          <w:szCs w:val="22"/>
        </w:rPr>
        <w:t xml:space="preserve">ipient requires information </w:t>
      </w:r>
      <w:r w:rsidR="00C34DFE">
        <w:rPr>
          <w:sz w:val="22"/>
          <w:szCs w:val="22"/>
        </w:rPr>
        <w:t>for each person you represent (each a “</w:t>
      </w:r>
      <w:r w:rsidR="00C34DFE" w:rsidRPr="00C34DFE">
        <w:rPr>
          <w:b/>
          <w:i/>
          <w:sz w:val="22"/>
          <w:szCs w:val="22"/>
        </w:rPr>
        <w:t>Named Entity</w:t>
      </w:r>
      <w:r w:rsidR="00C34DFE">
        <w:rPr>
          <w:sz w:val="22"/>
          <w:szCs w:val="22"/>
        </w:rPr>
        <w:t xml:space="preserve">”) </w:t>
      </w:r>
      <w:r w:rsidR="00AA2737">
        <w:rPr>
          <w:sz w:val="22"/>
          <w:szCs w:val="22"/>
        </w:rPr>
        <w:t xml:space="preserve">who may transact with Information Recipient to ascertain its requirements.  The information required is </w:t>
      </w:r>
      <w:r w:rsidRPr="00C34DFE">
        <w:rPr>
          <w:sz w:val="22"/>
          <w:szCs w:val="22"/>
        </w:rPr>
        <w:t>solicited</w:t>
      </w:r>
      <w:r w:rsidR="005302DF">
        <w:rPr>
          <w:sz w:val="22"/>
          <w:szCs w:val="22"/>
        </w:rPr>
        <w:t xml:space="preserve"> in the following P</w:t>
      </w:r>
      <w:r w:rsidRPr="00986D8A">
        <w:rPr>
          <w:sz w:val="22"/>
          <w:szCs w:val="22"/>
        </w:rPr>
        <w:t xml:space="preserve">arts of </w:t>
      </w:r>
      <w:r w:rsidR="0080697A">
        <w:rPr>
          <w:sz w:val="22"/>
          <w:szCs w:val="22"/>
        </w:rPr>
        <w:t xml:space="preserve">the U.S. Self-Disclosure </w:t>
      </w:r>
      <w:r w:rsidRPr="00986D8A">
        <w:rPr>
          <w:sz w:val="22"/>
          <w:szCs w:val="22"/>
        </w:rPr>
        <w:t>Letter</w:t>
      </w:r>
      <w:r w:rsidR="00AA2737">
        <w:rPr>
          <w:sz w:val="22"/>
          <w:szCs w:val="22"/>
        </w:rPr>
        <w:t xml:space="preserve"> (attached)</w:t>
      </w:r>
      <w:r w:rsidRPr="00986D8A">
        <w:rPr>
          <w:sz w:val="22"/>
          <w:szCs w:val="22"/>
        </w:rPr>
        <w:t>:</w:t>
      </w:r>
    </w:p>
    <w:p w14:paraId="2A1B55E5" w14:textId="77777777" w:rsidR="00C32ECC" w:rsidRPr="00986D8A" w:rsidRDefault="00C32ECC" w:rsidP="00C32ECC">
      <w:pPr>
        <w:spacing w:after="0"/>
        <w:rPr>
          <w:sz w:val="22"/>
          <w:szCs w:val="22"/>
        </w:rPr>
      </w:pPr>
    </w:p>
    <w:p w14:paraId="75BAF7E0"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1"/>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w:t>
      </w:r>
      <w:r w:rsidR="00FB1DC6" w:rsidRPr="00986D8A">
        <w:rPr>
          <w:sz w:val="22"/>
          <w:szCs w:val="22"/>
        </w:rPr>
        <w:t xml:space="preserve"> (Registration Statu</w:t>
      </w:r>
      <w:r w:rsidR="00A755A5" w:rsidRPr="00986D8A">
        <w:rPr>
          <w:sz w:val="22"/>
          <w:szCs w:val="22"/>
        </w:rPr>
        <w:t>s</w:t>
      </w:r>
      <w:r w:rsidR="00FB1DC6" w:rsidRPr="00986D8A">
        <w:rPr>
          <w:sz w:val="22"/>
          <w:szCs w:val="22"/>
        </w:rPr>
        <w:t xml:space="preserve">) </w:t>
      </w:r>
    </w:p>
    <w:p w14:paraId="20C43A5F" w14:textId="77777777" w:rsidR="00C32ECC" w:rsidRPr="00986D8A" w:rsidRDefault="00AA2737" w:rsidP="00C32ECC">
      <w:pPr>
        <w:spacing w:after="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166DDA">
        <w:rPr>
          <w:sz w:val="22"/>
          <w:szCs w:val="22"/>
        </w:rPr>
      </w:r>
      <w:r w:rsidR="00166DDA">
        <w:rPr>
          <w:sz w:val="22"/>
          <w:szCs w:val="22"/>
        </w:rPr>
        <w:fldChar w:fldCharType="separate"/>
      </w:r>
      <w:r>
        <w:rPr>
          <w:sz w:val="22"/>
          <w:szCs w:val="22"/>
        </w:rPr>
        <w:fldChar w:fldCharType="end"/>
      </w:r>
      <w:r w:rsidR="00C32ECC" w:rsidRPr="00986D8A">
        <w:rPr>
          <w:sz w:val="22"/>
          <w:szCs w:val="22"/>
        </w:rPr>
        <w:t xml:space="preserve"> Part II.A</w:t>
      </w:r>
      <w:r w:rsidR="00FB1DC6" w:rsidRPr="00986D8A">
        <w:rPr>
          <w:sz w:val="22"/>
          <w:szCs w:val="22"/>
        </w:rPr>
        <w:t xml:space="preserve"> (Connection to the United States—General Questions)</w:t>
      </w:r>
    </w:p>
    <w:p w14:paraId="23001ADE"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II.B</w:t>
      </w:r>
      <w:r w:rsidR="00FB1DC6" w:rsidRPr="00986D8A">
        <w:rPr>
          <w:sz w:val="22"/>
          <w:szCs w:val="22"/>
        </w:rPr>
        <w:t xml:space="preserve"> (Connection to the United States—CFTC 2020 Rule</w:t>
      </w:r>
      <w:r w:rsidR="00A006CF">
        <w:rPr>
          <w:sz w:val="22"/>
          <w:szCs w:val="22"/>
        </w:rPr>
        <w:t>s</w:t>
      </w:r>
      <w:r w:rsidR="00FB1DC6" w:rsidRPr="00986D8A">
        <w:rPr>
          <w:sz w:val="22"/>
          <w:szCs w:val="22"/>
        </w:rPr>
        <w:t>)</w:t>
      </w:r>
    </w:p>
    <w:p w14:paraId="56136DA5"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II.C</w:t>
      </w:r>
      <w:r w:rsidR="00FB1DC6" w:rsidRPr="00986D8A">
        <w:rPr>
          <w:sz w:val="22"/>
          <w:szCs w:val="22"/>
        </w:rPr>
        <w:t xml:space="preserve"> (Connection to the United States—CFTC 2013 </w:t>
      </w:r>
      <w:r w:rsidR="004F6E8C">
        <w:rPr>
          <w:sz w:val="22"/>
          <w:szCs w:val="22"/>
        </w:rPr>
        <w:t>Interpretive</w:t>
      </w:r>
      <w:r w:rsidR="00595337">
        <w:rPr>
          <w:sz w:val="22"/>
          <w:szCs w:val="22"/>
        </w:rPr>
        <w:t xml:space="preserve"> Guidance</w:t>
      </w:r>
      <w:r w:rsidR="00FB1DC6" w:rsidRPr="00986D8A">
        <w:rPr>
          <w:sz w:val="22"/>
          <w:szCs w:val="22"/>
        </w:rPr>
        <w:t>)</w:t>
      </w:r>
    </w:p>
    <w:p w14:paraId="42623938"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II.D</w:t>
      </w:r>
      <w:r w:rsidR="00FB1DC6" w:rsidRPr="00986D8A">
        <w:rPr>
          <w:sz w:val="22"/>
          <w:szCs w:val="22"/>
        </w:rPr>
        <w:t xml:space="preserve"> (Connection to the United States—CFTC Margin Rule</w:t>
      </w:r>
      <w:r w:rsidR="00A006CF">
        <w:rPr>
          <w:sz w:val="22"/>
          <w:szCs w:val="22"/>
        </w:rPr>
        <w:t>s</w:t>
      </w:r>
      <w:r w:rsidR="00FB1DC6" w:rsidRPr="00986D8A">
        <w:rPr>
          <w:sz w:val="22"/>
          <w:szCs w:val="22"/>
        </w:rPr>
        <w:t>)</w:t>
      </w:r>
    </w:p>
    <w:p w14:paraId="4D39F0DC"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II.E</w:t>
      </w:r>
      <w:r w:rsidR="00FB1DC6" w:rsidRPr="00986D8A">
        <w:rPr>
          <w:sz w:val="22"/>
          <w:szCs w:val="22"/>
        </w:rPr>
        <w:t xml:space="preserve"> (Connection to the United States—PR Margin Rule</w:t>
      </w:r>
      <w:r w:rsidR="00A006CF">
        <w:rPr>
          <w:sz w:val="22"/>
          <w:szCs w:val="22"/>
        </w:rPr>
        <w:t>s</w:t>
      </w:r>
      <w:r w:rsidR="00FB1DC6" w:rsidRPr="00986D8A">
        <w:rPr>
          <w:sz w:val="22"/>
          <w:szCs w:val="22"/>
        </w:rPr>
        <w:t>)</w:t>
      </w:r>
    </w:p>
    <w:p w14:paraId="42DA07C1"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II.F</w:t>
      </w:r>
      <w:r w:rsidR="00FB1DC6" w:rsidRPr="00986D8A">
        <w:rPr>
          <w:sz w:val="22"/>
          <w:szCs w:val="22"/>
        </w:rPr>
        <w:t xml:space="preserve"> (Connection to the United States—Multi-Branch Entities)</w:t>
      </w:r>
    </w:p>
    <w:p w14:paraId="41685D2A" w14:textId="77777777" w:rsidR="00C32ECC" w:rsidRPr="00986D8A"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III.A</w:t>
      </w:r>
      <w:r w:rsidR="00A755A5" w:rsidRPr="00986D8A">
        <w:rPr>
          <w:sz w:val="22"/>
          <w:szCs w:val="22"/>
        </w:rPr>
        <w:t xml:space="preserve"> (Exemptions from Margin Rules—CFTC and PR </w:t>
      </w:r>
      <w:r w:rsidR="005302DF">
        <w:rPr>
          <w:sz w:val="22"/>
          <w:szCs w:val="22"/>
        </w:rPr>
        <w:t xml:space="preserve">Margin </w:t>
      </w:r>
      <w:r w:rsidR="00A755A5" w:rsidRPr="00986D8A">
        <w:rPr>
          <w:sz w:val="22"/>
          <w:szCs w:val="22"/>
        </w:rPr>
        <w:t>Rules)</w:t>
      </w:r>
    </w:p>
    <w:p w14:paraId="5BCAFD3B" w14:textId="77777777" w:rsidR="00C32ECC" w:rsidRDefault="00C32ECC"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III.B</w:t>
      </w:r>
      <w:r w:rsidR="00A755A5" w:rsidRPr="00986D8A">
        <w:rPr>
          <w:sz w:val="22"/>
          <w:szCs w:val="22"/>
        </w:rPr>
        <w:t xml:space="preserve"> (Exemptions from Margin Rules—SEC </w:t>
      </w:r>
      <w:r w:rsidR="005302DF">
        <w:rPr>
          <w:sz w:val="22"/>
          <w:szCs w:val="22"/>
        </w:rPr>
        <w:t xml:space="preserve">Margin </w:t>
      </w:r>
      <w:r w:rsidR="00A755A5" w:rsidRPr="00986D8A">
        <w:rPr>
          <w:sz w:val="22"/>
          <w:szCs w:val="22"/>
        </w:rPr>
        <w:t>Rule</w:t>
      </w:r>
      <w:r w:rsidR="00A006CF">
        <w:rPr>
          <w:sz w:val="22"/>
          <w:szCs w:val="22"/>
        </w:rPr>
        <w:t>s</w:t>
      </w:r>
      <w:r w:rsidR="00A755A5" w:rsidRPr="00986D8A">
        <w:rPr>
          <w:sz w:val="22"/>
          <w:szCs w:val="22"/>
        </w:rPr>
        <w:t>)</w:t>
      </w:r>
    </w:p>
    <w:p w14:paraId="1561ACA2" w14:textId="77777777" w:rsidR="007412FB" w:rsidRPr="00986D8A" w:rsidRDefault="007412FB"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Part </w:t>
      </w:r>
      <w:r>
        <w:rPr>
          <w:sz w:val="22"/>
          <w:szCs w:val="22"/>
        </w:rPr>
        <w:t>IV</w:t>
      </w:r>
      <w:r w:rsidRPr="00986D8A">
        <w:rPr>
          <w:sz w:val="22"/>
          <w:szCs w:val="22"/>
        </w:rPr>
        <w:t xml:space="preserve"> (</w:t>
      </w:r>
      <w:r>
        <w:rPr>
          <w:sz w:val="22"/>
          <w:szCs w:val="22"/>
        </w:rPr>
        <w:t>Financial Entity Status</w:t>
      </w:r>
      <w:r w:rsidRPr="00986D8A">
        <w:rPr>
          <w:sz w:val="22"/>
          <w:szCs w:val="22"/>
        </w:rPr>
        <w:t>)</w:t>
      </w:r>
    </w:p>
    <w:p w14:paraId="5F28816A" w14:textId="77777777" w:rsidR="00C32ECC" w:rsidRPr="00986D8A" w:rsidRDefault="00C32ECC" w:rsidP="00C32ECC">
      <w:pPr>
        <w:spacing w:after="0"/>
        <w:rPr>
          <w:sz w:val="22"/>
          <w:szCs w:val="22"/>
        </w:rPr>
      </w:pPr>
    </w:p>
    <w:p w14:paraId="2FF9B30C" w14:textId="77777777" w:rsidR="00C32ECC" w:rsidRDefault="00AA2737" w:rsidP="00C32ECC">
      <w:pPr>
        <w:spacing w:after="0"/>
        <w:rPr>
          <w:b/>
          <w:sz w:val="22"/>
          <w:szCs w:val="22"/>
        </w:rPr>
      </w:pPr>
      <w:r w:rsidRPr="00AA2737">
        <w:rPr>
          <w:b/>
          <w:sz w:val="22"/>
          <w:szCs w:val="22"/>
        </w:rPr>
        <w:t>Please review the P</w:t>
      </w:r>
      <w:r w:rsidR="00C32ECC" w:rsidRPr="00AA2737">
        <w:rPr>
          <w:b/>
          <w:sz w:val="22"/>
          <w:szCs w:val="22"/>
        </w:rPr>
        <w:t xml:space="preserve">arts of </w:t>
      </w:r>
      <w:r w:rsidR="0080697A" w:rsidRPr="00AA2737">
        <w:rPr>
          <w:b/>
          <w:sz w:val="22"/>
          <w:szCs w:val="22"/>
        </w:rPr>
        <w:t>the</w:t>
      </w:r>
      <w:r w:rsidR="007C1CE8">
        <w:rPr>
          <w:b/>
          <w:sz w:val="22"/>
          <w:szCs w:val="22"/>
        </w:rPr>
        <w:t xml:space="preserve"> attached</w:t>
      </w:r>
      <w:r w:rsidR="0080697A" w:rsidRPr="00AA2737">
        <w:rPr>
          <w:b/>
          <w:sz w:val="22"/>
          <w:szCs w:val="22"/>
        </w:rPr>
        <w:t xml:space="preserve"> U.S. Self-Disclosure</w:t>
      </w:r>
      <w:r w:rsidR="00FB1DC6" w:rsidRPr="00AA2737">
        <w:rPr>
          <w:b/>
          <w:sz w:val="22"/>
          <w:szCs w:val="22"/>
        </w:rPr>
        <w:t xml:space="preserve"> Letter</w:t>
      </w:r>
      <w:r w:rsidR="00C32ECC" w:rsidRPr="00AA2737">
        <w:rPr>
          <w:b/>
          <w:sz w:val="22"/>
          <w:szCs w:val="22"/>
        </w:rPr>
        <w:t xml:space="preserve"> indicated above and </w:t>
      </w:r>
      <w:r w:rsidRPr="00AA2737">
        <w:rPr>
          <w:b/>
          <w:sz w:val="22"/>
          <w:szCs w:val="22"/>
        </w:rPr>
        <w:t>provide responses in the relevant items as instructed.</w:t>
      </w:r>
    </w:p>
    <w:p w14:paraId="1956B0A6" w14:textId="77777777" w:rsidR="00AA2737" w:rsidRPr="00AA2737" w:rsidRDefault="00AA2737" w:rsidP="00C32ECC">
      <w:pPr>
        <w:spacing w:after="0"/>
        <w:rPr>
          <w:b/>
          <w:sz w:val="22"/>
          <w:szCs w:val="22"/>
        </w:rPr>
      </w:pPr>
    </w:p>
    <w:p w14:paraId="2DC38940" w14:textId="77777777" w:rsidR="00C32ECC" w:rsidRDefault="00AA2737" w:rsidP="00C32ECC">
      <w:pPr>
        <w:spacing w:after="0"/>
        <w:rPr>
          <w:sz w:val="22"/>
          <w:szCs w:val="22"/>
        </w:rPr>
      </w:pPr>
      <w:r>
        <w:rPr>
          <w:sz w:val="22"/>
          <w:szCs w:val="22"/>
        </w:rPr>
        <w:t>The following information about Information Recipient</w:t>
      </w:r>
      <w:r w:rsidR="003409FB">
        <w:rPr>
          <w:sz w:val="22"/>
          <w:szCs w:val="22"/>
        </w:rPr>
        <w:t>’s status</w:t>
      </w:r>
      <w:r>
        <w:rPr>
          <w:sz w:val="22"/>
          <w:szCs w:val="22"/>
        </w:rPr>
        <w:t xml:space="preserve"> is provided to assist you in filling out the U.S. Self-Disclosure Letter.</w:t>
      </w:r>
      <w:r w:rsidR="00E23B35" w:rsidRPr="00E23B35">
        <w:rPr>
          <w:rStyle w:val="FootnoteReference"/>
          <w:sz w:val="22"/>
          <w:szCs w:val="22"/>
        </w:rPr>
        <w:t xml:space="preserve"> </w:t>
      </w:r>
    </w:p>
    <w:p w14:paraId="417537E3" w14:textId="77777777" w:rsidR="00AA2737" w:rsidRDefault="00AA2737" w:rsidP="00C32ECC">
      <w:pPr>
        <w:spacing w:after="0"/>
        <w:rPr>
          <w:sz w:val="22"/>
          <w:szCs w:val="22"/>
        </w:rPr>
      </w:pPr>
    </w:p>
    <w:p w14:paraId="48EDDEEC" w14:textId="77777777" w:rsidR="00AA2737" w:rsidRDefault="00AA2737" w:rsidP="00C32ECC">
      <w:pPr>
        <w:spacing w:after="0"/>
        <w:rPr>
          <w:sz w:val="22"/>
          <w:szCs w:val="22"/>
        </w:rPr>
      </w:pPr>
      <w:r>
        <w:rPr>
          <w:sz w:val="22"/>
          <w:szCs w:val="22"/>
        </w:rPr>
        <w:t>Information Recipient is</w:t>
      </w:r>
      <w:r w:rsidR="00830721">
        <w:rPr>
          <w:sz w:val="22"/>
          <w:szCs w:val="22"/>
        </w:rPr>
        <w:t xml:space="preserve"> or expects to be</w:t>
      </w:r>
      <w:r w:rsidR="007050DC">
        <w:rPr>
          <w:sz w:val="22"/>
          <w:szCs w:val="22"/>
        </w:rPr>
        <w:t xml:space="preserve"> each of the following</w:t>
      </w:r>
      <w:r>
        <w:rPr>
          <w:sz w:val="22"/>
          <w:szCs w:val="22"/>
        </w:rPr>
        <w:t>:</w:t>
      </w:r>
    </w:p>
    <w:p w14:paraId="688DED4E" w14:textId="77777777" w:rsidR="00AA2737" w:rsidRDefault="00AA2737" w:rsidP="00C32ECC">
      <w:pPr>
        <w:spacing w:after="0"/>
        <w:rPr>
          <w:sz w:val="22"/>
          <w:szCs w:val="22"/>
        </w:rPr>
      </w:pPr>
    </w:p>
    <w:p w14:paraId="27D5C6EB" w14:textId="77777777" w:rsidR="00AA2737" w:rsidRPr="00986D8A"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Swap Dealer</w:t>
      </w:r>
      <w:r w:rsidR="005302DF">
        <w:rPr>
          <w:sz w:val="22"/>
          <w:szCs w:val="22"/>
        </w:rPr>
        <w:t xml:space="preserve"> (SD)</w:t>
      </w:r>
      <w:r w:rsidRPr="00986D8A">
        <w:rPr>
          <w:sz w:val="22"/>
          <w:szCs w:val="22"/>
        </w:rPr>
        <w:br/>
      </w: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Major Swap Participant</w:t>
      </w:r>
      <w:r w:rsidR="005302DF">
        <w:rPr>
          <w:sz w:val="22"/>
          <w:szCs w:val="22"/>
        </w:rPr>
        <w:t xml:space="preserve"> (MSP)</w:t>
      </w:r>
      <w:r w:rsidRPr="00986D8A">
        <w:rPr>
          <w:sz w:val="22"/>
          <w:szCs w:val="22"/>
        </w:rPr>
        <w:br/>
      </w: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Security-Based Swap Dealer</w:t>
      </w:r>
      <w:r w:rsidR="005302DF">
        <w:rPr>
          <w:sz w:val="22"/>
          <w:szCs w:val="22"/>
        </w:rPr>
        <w:t xml:space="preserve"> (SBSD)</w:t>
      </w:r>
    </w:p>
    <w:p w14:paraId="4F3CE955" w14:textId="77777777" w:rsidR="00AA2737"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Major Security-Based Swap Participant</w:t>
      </w:r>
      <w:r w:rsidR="005302DF">
        <w:rPr>
          <w:sz w:val="22"/>
          <w:szCs w:val="22"/>
        </w:rPr>
        <w:t xml:space="preserve"> (MSBSP)</w:t>
      </w:r>
    </w:p>
    <w:p w14:paraId="6ED0320D" w14:textId="77777777" w:rsidR="00AF4E4F" w:rsidRDefault="00830721" w:rsidP="00AA2737">
      <w:pPr>
        <w:spacing w:after="0"/>
        <w:rPr>
          <w:sz w:val="22"/>
          <w:szCs w:val="22"/>
        </w:rPr>
      </w:pPr>
      <w:r w:rsidRPr="001D6E2E">
        <w:rPr>
          <w:sz w:val="22"/>
          <w:szCs w:val="22"/>
        </w:rPr>
        <w:fldChar w:fldCharType="begin">
          <w:ffData>
            <w:name w:val=""/>
            <w:enabled/>
            <w:calcOnExit w:val="0"/>
            <w:checkBox>
              <w:sizeAuto/>
              <w:default w:val="0"/>
            </w:checkBox>
          </w:ffData>
        </w:fldChar>
      </w:r>
      <w:r w:rsidRPr="001D6E2E">
        <w:rPr>
          <w:sz w:val="22"/>
          <w:szCs w:val="22"/>
        </w:rPr>
        <w:instrText xml:space="preserve"> FORMCHECKBOX </w:instrText>
      </w:r>
      <w:r w:rsidR="00166DDA">
        <w:rPr>
          <w:sz w:val="22"/>
          <w:szCs w:val="22"/>
        </w:rPr>
      </w:r>
      <w:r w:rsidR="00166DDA">
        <w:rPr>
          <w:sz w:val="22"/>
          <w:szCs w:val="22"/>
        </w:rPr>
        <w:fldChar w:fldCharType="separate"/>
      </w:r>
      <w:r w:rsidRPr="001D6E2E">
        <w:rPr>
          <w:sz w:val="22"/>
          <w:szCs w:val="22"/>
        </w:rPr>
        <w:fldChar w:fldCharType="end"/>
      </w:r>
      <w:r w:rsidRPr="001D6E2E">
        <w:rPr>
          <w:sz w:val="22"/>
          <w:szCs w:val="22"/>
        </w:rPr>
        <w:t xml:space="preserve">  Swap </w:t>
      </w:r>
      <w:r w:rsidR="00CB4329">
        <w:rPr>
          <w:sz w:val="22"/>
          <w:szCs w:val="22"/>
        </w:rPr>
        <w:t>Dealer De Minimis</w:t>
      </w:r>
      <w:r w:rsidRPr="001D6E2E">
        <w:rPr>
          <w:sz w:val="22"/>
          <w:szCs w:val="22"/>
        </w:rPr>
        <w:t xml:space="preserve"> Counting Entity</w:t>
      </w:r>
      <w:r w:rsidRPr="001D6E2E">
        <w:rPr>
          <w:sz w:val="22"/>
          <w:szCs w:val="22"/>
        </w:rPr>
        <w:br/>
      </w:r>
      <w:r w:rsidRPr="001D6E2E">
        <w:rPr>
          <w:sz w:val="22"/>
          <w:szCs w:val="22"/>
        </w:rPr>
        <w:fldChar w:fldCharType="begin">
          <w:ffData>
            <w:name w:val=""/>
            <w:enabled/>
            <w:calcOnExit w:val="0"/>
            <w:checkBox>
              <w:sizeAuto/>
              <w:default w:val="0"/>
            </w:checkBox>
          </w:ffData>
        </w:fldChar>
      </w:r>
      <w:r w:rsidRPr="001D6E2E">
        <w:rPr>
          <w:sz w:val="22"/>
          <w:szCs w:val="22"/>
        </w:rPr>
        <w:instrText xml:space="preserve"> FORMCHECKBOX </w:instrText>
      </w:r>
      <w:r w:rsidR="00166DDA">
        <w:rPr>
          <w:sz w:val="22"/>
          <w:szCs w:val="22"/>
        </w:rPr>
      </w:r>
      <w:r w:rsidR="00166DDA">
        <w:rPr>
          <w:sz w:val="22"/>
          <w:szCs w:val="22"/>
        </w:rPr>
        <w:fldChar w:fldCharType="separate"/>
      </w:r>
      <w:r w:rsidRPr="001D6E2E">
        <w:rPr>
          <w:sz w:val="22"/>
          <w:szCs w:val="22"/>
        </w:rPr>
        <w:fldChar w:fldCharType="end"/>
      </w:r>
      <w:r w:rsidRPr="001D6E2E">
        <w:rPr>
          <w:sz w:val="22"/>
          <w:szCs w:val="22"/>
        </w:rPr>
        <w:t xml:space="preserve">  SBS </w:t>
      </w:r>
      <w:r w:rsidR="00CB4329">
        <w:rPr>
          <w:sz w:val="22"/>
          <w:szCs w:val="22"/>
        </w:rPr>
        <w:t xml:space="preserve">Dealer De Minimis </w:t>
      </w:r>
      <w:r w:rsidRPr="001D6E2E">
        <w:rPr>
          <w:sz w:val="22"/>
          <w:szCs w:val="22"/>
        </w:rPr>
        <w:t>Counting Entity</w:t>
      </w:r>
    </w:p>
    <w:p w14:paraId="441D0433" w14:textId="77777777" w:rsidR="00AF4E4F" w:rsidRDefault="00AF4E4F" w:rsidP="00AA2737">
      <w:pPr>
        <w:spacing w:after="0"/>
        <w:rPr>
          <w:sz w:val="22"/>
          <w:szCs w:val="22"/>
        </w:rPr>
      </w:pPr>
      <w:r w:rsidRPr="001D6E2E">
        <w:rPr>
          <w:sz w:val="22"/>
          <w:szCs w:val="22"/>
        </w:rPr>
        <w:fldChar w:fldCharType="begin">
          <w:ffData>
            <w:name w:val=""/>
            <w:enabled/>
            <w:calcOnExit w:val="0"/>
            <w:checkBox>
              <w:sizeAuto/>
              <w:default w:val="0"/>
            </w:checkBox>
          </w:ffData>
        </w:fldChar>
      </w:r>
      <w:r w:rsidRPr="001D6E2E">
        <w:rPr>
          <w:sz w:val="22"/>
          <w:szCs w:val="22"/>
        </w:rPr>
        <w:instrText xml:space="preserve"> FORMCHECKBOX </w:instrText>
      </w:r>
      <w:r w:rsidR="00166DDA">
        <w:rPr>
          <w:sz w:val="22"/>
          <w:szCs w:val="22"/>
        </w:rPr>
      </w:r>
      <w:r w:rsidR="00166DDA">
        <w:rPr>
          <w:sz w:val="22"/>
          <w:szCs w:val="22"/>
        </w:rPr>
        <w:fldChar w:fldCharType="separate"/>
      </w:r>
      <w:r w:rsidRPr="001D6E2E">
        <w:rPr>
          <w:sz w:val="22"/>
          <w:szCs w:val="22"/>
        </w:rPr>
        <w:fldChar w:fldCharType="end"/>
      </w:r>
      <w:r w:rsidRPr="001D6E2E">
        <w:rPr>
          <w:sz w:val="22"/>
          <w:szCs w:val="22"/>
        </w:rPr>
        <w:t xml:space="preserve">  </w:t>
      </w:r>
      <w:r>
        <w:rPr>
          <w:sz w:val="22"/>
          <w:szCs w:val="22"/>
        </w:rPr>
        <w:t>MSP Threshold Monitoring</w:t>
      </w:r>
      <w:r w:rsidRPr="001D6E2E">
        <w:rPr>
          <w:sz w:val="22"/>
          <w:szCs w:val="22"/>
        </w:rPr>
        <w:t xml:space="preserve"> Entity</w:t>
      </w:r>
    </w:p>
    <w:p w14:paraId="2836EC86" w14:textId="77777777" w:rsidR="00830721" w:rsidRPr="00B65D81" w:rsidRDefault="00AF4E4F" w:rsidP="00AA2737">
      <w:pPr>
        <w:spacing w:after="0"/>
        <w:rPr>
          <w:b/>
          <w:sz w:val="22"/>
          <w:szCs w:val="22"/>
        </w:rPr>
      </w:pPr>
      <w:r w:rsidRPr="001D6E2E">
        <w:rPr>
          <w:sz w:val="22"/>
          <w:szCs w:val="22"/>
        </w:rPr>
        <w:fldChar w:fldCharType="begin">
          <w:ffData>
            <w:name w:val=""/>
            <w:enabled/>
            <w:calcOnExit w:val="0"/>
            <w:checkBox>
              <w:sizeAuto/>
              <w:default w:val="0"/>
            </w:checkBox>
          </w:ffData>
        </w:fldChar>
      </w:r>
      <w:r w:rsidRPr="001D6E2E">
        <w:rPr>
          <w:sz w:val="22"/>
          <w:szCs w:val="22"/>
        </w:rPr>
        <w:instrText xml:space="preserve"> FORMCHECKBOX </w:instrText>
      </w:r>
      <w:r w:rsidR="00166DDA">
        <w:rPr>
          <w:sz w:val="22"/>
          <w:szCs w:val="22"/>
        </w:rPr>
      </w:r>
      <w:r w:rsidR="00166DDA">
        <w:rPr>
          <w:sz w:val="22"/>
          <w:szCs w:val="22"/>
        </w:rPr>
        <w:fldChar w:fldCharType="separate"/>
      </w:r>
      <w:r w:rsidRPr="001D6E2E">
        <w:rPr>
          <w:sz w:val="22"/>
          <w:szCs w:val="22"/>
        </w:rPr>
        <w:fldChar w:fldCharType="end"/>
      </w:r>
      <w:r>
        <w:rPr>
          <w:sz w:val="22"/>
          <w:szCs w:val="22"/>
        </w:rPr>
        <w:t xml:space="preserve">  MSBSP Threshold Monitoring</w:t>
      </w:r>
      <w:r w:rsidRPr="001D6E2E">
        <w:rPr>
          <w:sz w:val="22"/>
          <w:szCs w:val="22"/>
        </w:rPr>
        <w:t xml:space="preserve"> Entity</w:t>
      </w:r>
      <w:r w:rsidR="0076154D">
        <w:rPr>
          <w:sz w:val="22"/>
          <w:szCs w:val="22"/>
        </w:rPr>
        <w:br/>
      </w:r>
    </w:p>
    <w:p w14:paraId="5E1C9BE8" w14:textId="77777777" w:rsidR="00AA2737" w:rsidRPr="00986D8A" w:rsidRDefault="00AA2737" w:rsidP="00AA2737">
      <w:pPr>
        <w:spacing w:after="0"/>
        <w:rPr>
          <w:sz w:val="22"/>
          <w:szCs w:val="22"/>
        </w:rPr>
      </w:pPr>
      <w:r>
        <w:rPr>
          <w:sz w:val="22"/>
          <w:szCs w:val="22"/>
        </w:rPr>
        <w:t>Information is requested for purposes of transacting in</w:t>
      </w:r>
      <w:r w:rsidRPr="00986D8A">
        <w:rPr>
          <w:sz w:val="22"/>
          <w:szCs w:val="22"/>
        </w:rPr>
        <w:t>:</w:t>
      </w:r>
    </w:p>
    <w:p w14:paraId="0A95FB36" w14:textId="77777777" w:rsidR="00AA2737" w:rsidRPr="00986D8A" w:rsidRDefault="00AA2737" w:rsidP="00AA2737">
      <w:pPr>
        <w:spacing w:after="0"/>
        <w:rPr>
          <w:sz w:val="22"/>
          <w:szCs w:val="22"/>
        </w:rPr>
      </w:pPr>
    </w:p>
    <w:p w14:paraId="36D2F79F" w14:textId="77777777" w:rsidR="00AA2737" w:rsidRPr="00986D8A"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Swaps</w:t>
      </w:r>
    </w:p>
    <w:p w14:paraId="567260A8" w14:textId="77777777" w:rsidR="00AA2737"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Security-Based Swaps</w:t>
      </w:r>
    </w:p>
    <w:p w14:paraId="7CF2FB53" w14:textId="77777777" w:rsidR="00AA2737" w:rsidRDefault="00AA2737" w:rsidP="00AA2737">
      <w:pPr>
        <w:spacing w:after="0"/>
        <w:rPr>
          <w:sz w:val="22"/>
          <w:szCs w:val="22"/>
        </w:rPr>
      </w:pPr>
    </w:p>
    <w:p w14:paraId="10A08761" w14:textId="77777777" w:rsidR="00AA2737" w:rsidRDefault="00AA2737" w:rsidP="00AA2737">
      <w:pPr>
        <w:spacing w:after="0"/>
        <w:rPr>
          <w:sz w:val="22"/>
          <w:szCs w:val="22"/>
        </w:rPr>
      </w:pPr>
      <w:r>
        <w:rPr>
          <w:sz w:val="22"/>
          <w:szCs w:val="22"/>
        </w:rPr>
        <w:t xml:space="preserve">For purposes of transacting in Swaps and/or Security-Based Swaps, Information Recipient is </w:t>
      </w:r>
      <w:r w:rsidR="00464EFE">
        <w:rPr>
          <w:sz w:val="22"/>
          <w:szCs w:val="22"/>
        </w:rPr>
        <w:t xml:space="preserve">or expects to be </w:t>
      </w:r>
      <w:r>
        <w:rPr>
          <w:sz w:val="22"/>
          <w:szCs w:val="22"/>
        </w:rPr>
        <w:t xml:space="preserve">subject to margin regulations of </w:t>
      </w:r>
      <w:r w:rsidR="00830721">
        <w:rPr>
          <w:sz w:val="22"/>
          <w:szCs w:val="22"/>
        </w:rPr>
        <w:t xml:space="preserve">each of </w:t>
      </w:r>
      <w:r>
        <w:rPr>
          <w:sz w:val="22"/>
          <w:szCs w:val="22"/>
        </w:rPr>
        <w:t>the following regulators:</w:t>
      </w:r>
    </w:p>
    <w:p w14:paraId="79766130" w14:textId="77777777" w:rsidR="00AA2737" w:rsidRDefault="00AA2737" w:rsidP="00AA2737">
      <w:pPr>
        <w:spacing w:after="0"/>
        <w:rPr>
          <w:sz w:val="22"/>
          <w:szCs w:val="22"/>
        </w:rPr>
      </w:pPr>
    </w:p>
    <w:p w14:paraId="4D7B5D2E" w14:textId="77777777" w:rsidR="00AA2737" w:rsidRPr="00986D8A"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w:t>
      </w:r>
      <w:r>
        <w:rPr>
          <w:sz w:val="22"/>
          <w:szCs w:val="22"/>
        </w:rPr>
        <w:t>CFTC</w:t>
      </w:r>
    </w:p>
    <w:p w14:paraId="10B29989" w14:textId="77777777" w:rsidR="00AA2737" w:rsidRDefault="00AA2737" w:rsidP="00AA2737">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sidRPr="00986D8A">
        <w:rPr>
          <w:sz w:val="22"/>
          <w:szCs w:val="22"/>
        </w:rPr>
        <w:t xml:space="preserve">  </w:t>
      </w:r>
      <w:r>
        <w:rPr>
          <w:sz w:val="22"/>
          <w:szCs w:val="22"/>
        </w:rPr>
        <w:t>SEC</w:t>
      </w:r>
    </w:p>
    <w:p w14:paraId="2EB8DEDC" w14:textId="77777777" w:rsidR="00AA2737" w:rsidRDefault="00AA2737" w:rsidP="00C32ECC">
      <w:pPr>
        <w:spacing w:after="0"/>
        <w:rPr>
          <w:sz w:val="22"/>
          <w:szCs w:val="22"/>
        </w:rPr>
      </w:pPr>
      <w:r w:rsidRPr="00986D8A">
        <w:rPr>
          <w:sz w:val="22"/>
          <w:szCs w:val="22"/>
        </w:rPr>
        <w:fldChar w:fldCharType="begin">
          <w:ffData>
            <w:name w:val=""/>
            <w:enabled/>
            <w:calcOnExit w:val="0"/>
            <w:checkBox>
              <w:sizeAuto/>
              <w:default w:val="0"/>
            </w:checkBox>
          </w:ffData>
        </w:fldChar>
      </w:r>
      <w:r w:rsidRPr="00986D8A">
        <w:rPr>
          <w:sz w:val="22"/>
          <w:szCs w:val="22"/>
        </w:rPr>
        <w:instrText xml:space="preserve"> FORMCHECKBOX </w:instrText>
      </w:r>
      <w:r w:rsidR="00166DDA">
        <w:rPr>
          <w:sz w:val="22"/>
          <w:szCs w:val="22"/>
        </w:rPr>
      </w:r>
      <w:r w:rsidR="00166DDA">
        <w:rPr>
          <w:sz w:val="22"/>
          <w:szCs w:val="22"/>
        </w:rPr>
        <w:fldChar w:fldCharType="separate"/>
      </w:r>
      <w:r w:rsidRPr="00986D8A">
        <w:rPr>
          <w:sz w:val="22"/>
          <w:szCs w:val="22"/>
        </w:rPr>
        <w:fldChar w:fldCharType="end"/>
      </w:r>
      <w:r>
        <w:rPr>
          <w:sz w:val="22"/>
          <w:szCs w:val="22"/>
        </w:rPr>
        <w:t xml:space="preserve">  Prudential Regulator</w:t>
      </w:r>
      <w:r w:rsidR="00CE36E2">
        <w:rPr>
          <w:sz w:val="22"/>
          <w:szCs w:val="22"/>
        </w:rPr>
        <w:t>s</w:t>
      </w:r>
      <w:r w:rsidR="00CE36E2">
        <w:rPr>
          <w:rStyle w:val="FootnoteReference"/>
          <w:sz w:val="22"/>
          <w:szCs w:val="22"/>
        </w:rPr>
        <w:footnoteReference w:id="2"/>
      </w:r>
      <w:r w:rsidR="00A006CF">
        <w:rPr>
          <w:sz w:val="22"/>
          <w:szCs w:val="22"/>
        </w:rPr>
        <w:br/>
      </w:r>
      <w:r w:rsidR="00A006CF" w:rsidRPr="00986D8A">
        <w:rPr>
          <w:sz w:val="22"/>
          <w:szCs w:val="22"/>
        </w:rPr>
        <w:fldChar w:fldCharType="begin">
          <w:ffData>
            <w:name w:val=""/>
            <w:enabled/>
            <w:calcOnExit w:val="0"/>
            <w:checkBox>
              <w:sizeAuto/>
              <w:default w:val="0"/>
            </w:checkBox>
          </w:ffData>
        </w:fldChar>
      </w:r>
      <w:r w:rsidR="00A006CF" w:rsidRPr="00986D8A">
        <w:rPr>
          <w:sz w:val="22"/>
          <w:szCs w:val="22"/>
        </w:rPr>
        <w:instrText xml:space="preserve"> FORMCHECKBOX </w:instrText>
      </w:r>
      <w:r w:rsidR="00166DDA">
        <w:rPr>
          <w:sz w:val="22"/>
          <w:szCs w:val="22"/>
        </w:rPr>
      </w:r>
      <w:r w:rsidR="00166DDA">
        <w:rPr>
          <w:sz w:val="22"/>
          <w:szCs w:val="22"/>
        </w:rPr>
        <w:fldChar w:fldCharType="separate"/>
      </w:r>
      <w:r w:rsidR="00A006CF" w:rsidRPr="00986D8A">
        <w:rPr>
          <w:sz w:val="22"/>
          <w:szCs w:val="22"/>
        </w:rPr>
        <w:fldChar w:fldCharType="end"/>
      </w:r>
      <w:r w:rsidR="00A006CF" w:rsidRPr="00986D8A">
        <w:rPr>
          <w:sz w:val="22"/>
          <w:szCs w:val="22"/>
        </w:rPr>
        <w:t xml:space="preserve">  </w:t>
      </w:r>
      <w:r w:rsidR="00A006CF">
        <w:rPr>
          <w:sz w:val="22"/>
          <w:szCs w:val="22"/>
        </w:rPr>
        <w:t>None of the above</w:t>
      </w:r>
    </w:p>
    <w:p w14:paraId="054A5958" w14:textId="77777777" w:rsidR="00000720" w:rsidRDefault="00000720" w:rsidP="00C32ECC">
      <w:pPr>
        <w:spacing w:after="0"/>
        <w:rPr>
          <w:sz w:val="22"/>
          <w:szCs w:val="22"/>
        </w:rPr>
      </w:pPr>
    </w:p>
    <w:p w14:paraId="10523A05" w14:textId="77777777" w:rsidR="00000720" w:rsidRPr="00986D8A" w:rsidRDefault="00000720" w:rsidP="00C32ECC">
      <w:pPr>
        <w:spacing w:after="0"/>
        <w:rPr>
          <w:sz w:val="22"/>
          <w:szCs w:val="22"/>
        </w:rPr>
      </w:pPr>
      <w:r>
        <w:rPr>
          <w:sz w:val="22"/>
          <w:szCs w:val="22"/>
        </w:rPr>
        <w:t>Additional Information:</w:t>
      </w:r>
    </w:p>
    <w:p w14:paraId="3D889C5F" w14:textId="77777777" w:rsidR="00AA2737" w:rsidRDefault="00AA2737" w:rsidP="00C32ECC">
      <w:pPr>
        <w:spacing w:after="0"/>
        <w:rPr>
          <w:b/>
          <w:sz w:val="22"/>
          <w:szCs w:val="22"/>
        </w:rPr>
      </w:pPr>
    </w:p>
    <w:p w14:paraId="3CE3B816" w14:textId="77777777" w:rsidR="00000720" w:rsidRDefault="00000720" w:rsidP="00C32ECC">
      <w:pPr>
        <w:spacing w:after="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9FA17" w14:textId="77777777" w:rsidR="00000720" w:rsidRDefault="00000720" w:rsidP="00C32ECC">
      <w:pPr>
        <w:spacing w:after="0"/>
        <w:rPr>
          <w:sz w:val="22"/>
          <w:szCs w:val="22"/>
        </w:rPr>
      </w:pPr>
    </w:p>
    <w:p w14:paraId="0A9BEC85" w14:textId="77777777" w:rsidR="008B2E87" w:rsidRPr="00A01DF9" w:rsidRDefault="008B2E87" w:rsidP="00C32ECC">
      <w:pPr>
        <w:spacing w:after="0"/>
        <w:rPr>
          <w:sz w:val="22"/>
          <w:szCs w:val="22"/>
        </w:rPr>
      </w:pPr>
      <w:r w:rsidRPr="00A01DF9">
        <w:rPr>
          <w:sz w:val="22"/>
          <w:szCs w:val="22"/>
        </w:rPr>
        <w:t>[</w:t>
      </w:r>
      <w:r w:rsidR="007050DC" w:rsidRPr="00A01DF9">
        <w:rPr>
          <w:b/>
          <w:sz w:val="22"/>
          <w:szCs w:val="22"/>
        </w:rPr>
        <w:t>Special i</w:t>
      </w:r>
      <w:r w:rsidR="000E2176" w:rsidRPr="00A01DF9">
        <w:rPr>
          <w:b/>
          <w:sz w:val="22"/>
          <w:szCs w:val="22"/>
        </w:rPr>
        <w:t xml:space="preserve">nstructions </w:t>
      </w:r>
      <w:r w:rsidR="00C73ECA" w:rsidRPr="00A01DF9">
        <w:rPr>
          <w:b/>
          <w:sz w:val="22"/>
          <w:szCs w:val="22"/>
        </w:rPr>
        <w:t>for</w:t>
      </w:r>
      <w:r w:rsidR="007050DC" w:rsidRPr="00A01DF9">
        <w:rPr>
          <w:b/>
          <w:sz w:val="22"/>
          <w:szCs w:val="22"/>
        </w:rPr>
        <w:t xml:space="preserve"> responding to</w:t>
      </w:r>
      <w:r w:rsidRPr="00A01DF9">
        <w:rPr>
          <w:b/>
          <w:sz w:val="22"/>
          <w:szCs w:val="22"/>
        </w:rPr>
        <w:t xml:space="preserve"> multiple Information Recipients:</w:t>
      </w:r>
      <w:r w:rsidR="00C73ECA" w:rsidRPr="00A01DF9">
        <w:rPr>
          <w:b/>
          <w:sz w:val="22"/>
          <w:szCs w:val="22"/>
        </w:rPr>
        <w:t xml:space="preserve">  </w:t>
      </w:r>
      <w:r w:rsidR="00A01DF9" w:rsidRPr="00A01DF9">
        <w:rPr>
          <w:sz w:val="22"/>
          <w:szCs w:val="22"/>
        </w:rPr>
        <w:t xml:space="preserve">If a single Information Recipient has been named above, each checked box above indicates that such Information Recipient falls within the specified category.  If multiple Information Recipients have been named, each checked box indicates that at least one of the </w:t>
      </w:r>
      <w:r w:rsidR="00B146B2">
        <w:rPr>
          <w:sz w:val="22"/>
          <w:szCs w:val="22"/>
        </w:rPr>
        <w:t xml:space="preserve">named </w:t>
      </w:r>
      <w:r w:rsidR="00CA09A8">
        <w:rPr>
          <w:sz w:val="22"/>
          <w:szCs w:val="22"/>
        </w:rPr>
        <w:t>Recipients</w:t>
      </w:r>
      <w:r w:rsidR="00CA09A8" w:rsidRPr="00A01DF9">
        <w:rPr>
          <w:sz w:val="22"/>
          <w:szCs w:val="22"/>
        </w:rPr>
        <w:t xml:space="preserve"> </w:t>
      </w:r>
      <w:r w:rsidR="00A01DF9" w:rsidRPr="00A01DF9">
        <w:rPr>
          <w:sz w:val="22"/>
          <w:szCs w:val="22"/>
        </w:rPr>
        <w:t xml:space="preserve">falls into the relevant category.  In the case of multiple </w:t>
      </w:r>
      <w:r w:rsidR="00B146B2">
        <w:rPr>
          <w:sz w:val="22"/>
          <w:szCs w:val="22"/>
        </w:rPr>
        <w:t xml:space="preserve">named </w:t>
      </w:r>
      <w:r w:rsidR="00CA09A8">
        <w:rPr>
          <w:sz w:val="22"/>
          <w:szCs w:val="22"/>
        </w:rPr>
        <w:t>Recipients</w:t>
      </w:r>
      <w:r w:rsidR="00A01DF9" w:rsidRPr="00A01DF9">
        <w:rPr>
          <w:sz w:val="22"/>
          <w:szCs w:val="22"/>
        </w:rPr>
        <w:t xml:space="preserve">, where an instruction in the </w:t>
      </w:r>
      <w:r w:rsidR="00B146B2">
        <w:rPr>
          <w:sz w:val="22"/>
          <w:szCs w:val="22"/>
        </w:rPr>
        <w:t xml:space="preserve">attached </w:t>
      </w:r>
      <w:r w:rsidR="00A01DF9" w:rsidRPr="00A01DF9">
        <w:rPr>
          <w:sz w:val="22"/>
          <w:szCs w:val="22"/>
        </w:rPr>
        <w:t xml:space="preserve">U.S. Self-Disclosure Letter makes reference to transactions conducted with the Information Recipient, or the status of the Information Recipient, such references should be interpreted to apply to </w:t>
      </w:r>
      <w:r w:rsidR="00A01DF9" w:rsidRPr="00A01DF9">
        <w:rPr>
          <w:b/>
          <w:sz w:val="22"/>
          <w:szCs w:val="22"/>
        </w:rPr>
        <w:t>any</w:t>
      </w:r>
      <w:r w:rsidR="00A01DF9" w:rsidRPr="00A01DF9">
        <w:rPr>
          <w:sz w:val="22"/>
          <w:szCs w:val="22"/>
        </w:rPr>
        <w:t xml:space="preserve"> Information Recipient, or apply if </w:t>
      </w:r>
      <w:r w:rsidR="00A01DF9" w:rsidRPr="00A01DF9">
        <w:rPr>
          <w:b/>
          <w:sz w:val="22"/>
          <w:szCs w:val="22"/>
        </w:rPr>
        <w:t>any</w:t>
      </w:r>
      <w:r w:rsidR="00A01DF9" w:rsidRPr="00A01DF9">
        <w:rPr>
          <w:sz w:val="22"/>
          <w:szCs w:val="22"/>
        </w:rPr>
        <w:t xml:space="preserve"> Information Recipient has such status.  If Named Entity cannot </w:t>
      </w:r>
      <w:r w:rsidR="000F3377">
        <w:rPr>
          <w:sz w:val="22"/>
          <w:szCs w:val="22"/>
        </w:rPr>
        <w:t>ma</w:t>
      </w:r>
      <w:r w:rsidR="00B146B2">
        <w:rPr>
          <w:sz w:val="22"/>
          <w:szCs w:val="22"/>
        </w:rPr>
        <w:t xml:space="preserve">ke one of the related check-box statements </w:t>
      </w:r>
      <w:r w:rsidR="00A01DF9" w:rsidRPr="00A01DF9">
        <w:rPr>
          <w:sz w:val="22"/>
          <w:szCs w:val="22"/>
        </w:rPr>
        <w:t>consistently for all of the persons named above as</w:t>
      </w:r>
      <w:r w:rsidR="000F3377">
        <w:rPr>
          <w:sz w:val="22"/>
          <w:szCs w:val="22"/>
        </w:rPr>
        <w:t xml:space="preserve"> Information</w:t>
      </w:r>
      <w:r w:rsidR="00A01DF9" w:rsidRPr="00A01DF9">
        <w:rPr>
          <w:sz w:val="22"/>
          <w:szCs w:val="22"/>
        </w:rPr>
        <w:t xml:space="preserve"> Recipient</w:t>
      </w:r>
      <w:r w:rsidR="00CA09A8">
        <w:rPr>
          <w:sz w:val="22"/>
          <w:szCs w:val="22"/>
        </w:rPr>
        <w:t>s</w:t>
      </w:r>
      <w:r w:rsidR="00A01DF9" w:rsidRPr="00A01DF9">
        <w:rPr>
          <w:sz w:val="22"/>
          <w:szCs w:val="22"/>
        </w:rPr>
        <w:t>,</w:t>
      </w:r>
      <w:r w:rsidR="00A01DF9" w:rsidRPr="00A01DF9">
        <w:rPr>
          <w:rStyle w:val="FootnoteReference"/>
          <w:sz w:val="22"/>
          <w:szCs w:val="22"/>
        </w:rPr>
        <w:footnoteReference w:id="3"/>
      </w:r>
      <w:r w:rsidR="00A01DF9" w:rsidRPr="00A01DF9">
        <w:rPr>
          <w:sz w:val="22"/>
          <w:szCs w:val="22"/>
        </w:rPr>
        <w:t xml:space="preserve"> Named Entity should deliver separate U.S. Self-Disclosure Letters to the different </w:t>
      </w:r>
      <w:r w:rsidR="000F3377">
        <w:rPr>
          <w:sz w:val="22"/>
          <w:szCs w:val="22"/>
        </w:rPr>
        <w:t xml:space="preserve">Information </w:t>
      </w:r>
      <w:r w:rsidR="00A01DF9" w:rsidRPr="00A01DF9">
        <w:rPr>
          <w:sz w:val="22"/>
          <w:szCs w:val="22"/>
        </w:rPr>
        <w:t>Recipients.]</w:t>
      </w:r>
      <w:r w:rsidR="00A01DF9" w:rsidRPr="00A01DF9">
        <w:rPr>
          <w:rStyle w:val="FootnoteReference"/>
          <w:sz w:val="22"/>
          <w:szCs w:val="22"/>
        </w:rPr>
        <w:footnoteReference w:id="4"/>
      </w:r>
    </w:p>
    <w:p w14:paraId="1ACD6B95" w14:textId="77777777" w:rsidR="000E2176" w:rsidRDefault="000E2176" w:rsidP="00C32ECC">
      <w:pPr>
        <w:spacing w:after="0"/>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10"/>
      </w:tblGrid>
      <w:tr w:rsidR="00CE36E2" w14:paraId="0D355A54" w14:textId="77777777" w:rsidTr="00CE36E2">
        <w:tc>
          <w:tcPr>
            <w:tcW w:w="8856" w:type="dxa"/>
          </w:tcPr>
          <w:p w14:paraId="55A4EE9F" w14:textId="77777777" w:rsidR="003C6EC1" w:rsidRDefault="003C6EC1" w:rsidP="00C32ECC">
            <w:pPr>
              <w:spacing w:after="0"/>
              <w:rPr>
                <w:b/>
                <w:sz w:val="22"/>
                <w:szCs w:val="22"/>
              </w:rPr>
            </w:pPr>
          </w:p>
          <w:p w14:paraId="33632C25" w14:textId="77777777" w:rsidR="00CE36E2" w:rsidRDefault="00CE36E2" w:rsidP="00C32ECC">
            <w:pPr>
              <w:spacing w:after="0"/>
              <w:rPr>
                <w:sz w:val="22"/>
                <w:szCs w:val="22"/>
              </w:rPr>
            </w:pPr>
            <w:r w:rsidRPr="00986D8A">
              <w:rPr>
                <w:b/>
                <w:sz w:val="22"/>
                <w:szCs w:val="22"/>
              </w:rPr>
              <w:t xml:space="preserve">PLEASE NOTE:  </w:t>
            </w:r>
            <w:r>
              <w:rPr>
                <w:sz w:val="22"/>
                <w:szCs w:val="22"/>
              </w:rPr>
              <w:t xml:space="preserve">The </w:t>
            </w:r>
            <w:r w:rsidR="00A006CF">
              <w:rPr>
                <w:sz w:val="22"/>
                <w:szCs w:val="22"/>
              </w:rPr>
              <w:t xml:space="preserve">attached </w:t>
            </w:r>
            <w:r>
              <w:rPr>
                <w:sz w:val="22"/>
                <w:szCs w:val="22"/>
              </w:rPr>
              <w:t>U.S. Self-Disclosure</w:t>
            </w:r>
            <w:r w:rsidRPr="00986D8A">
              <w:rPr>
                <w:sz w:val="22"/>
                <w:szCs w:val="22"/>
              </w:rPr>
              <w:t xml:space="preserve"> Letter is organized in a hierarchical format to minimize the amount of information you are </w:t>
            </w:r>
            <w:r w:rsidR="005302DF">
              <w:rPr>
                <w:sz w:val="22"/>
                <w:szCs w:val="22"/>
              </w:rPr>
              <w:t>required to provide.  For each P</w:t>
            </w:r>
            <w:r w:rsidRPr="00986D8A">
              <w:rPr>
                <w:sz w:val="22"/>
                <w:szCs w:val="22"/>
              </w:rPr>
              <w:t xml:space="preserve">art of the </w:t>
            </w:r>
            <w:r>
              <w:rPr>
                <w:sz w:val="22"/>
                <w:szCs w:val="22"/>
              </w:rPr>
              <w:t xml:space="preserve">U.S. Self-Disclosure </w:t>
            </w:r>
            <w:r w:rsidRPr="00986D8A">
              <w:rPr>
                <w:sz w:val="22"/>
                <w:szCs w:val="22"/>
              </w:rPr>
              <w:t xml:space="preserve">Letter indicated </w:t>
            </w:r>
            <w:r w:rsidR="00A006CF">
              <w:rPr>
                <w:sz w:val="22"/>
                <w:szCs w:val="22"/>
              </w:rPr>
              <w:t xml:space="preserve">in the first set of check boxes </w:t>
            </w:r>
            <w:r w:rsidRPr="00986D8A">
              <w:rPr>
                <w:sz w:val="22"/>
                <w:szCs w:val="22"/>
              </w:rPr>
              <w:t xml:space="preserve">above, please read the instructions </w:t>
            </w:r>
            <w:r w:rsidR="003409FB">
              <w:rPr>
                <w:sz w:val="22"/>
                <w:szCs w:val="22"/>
              </w:rPr>
              <w:t xml:space="preserve">and </w:t>
            </w:r>
            <w:r w:rsidRPr="00986D8A">
              <w:rPr>
                <w:sz w:val="22"/>
                <w:szCs w:val="22"/>
              </w:rPr>
              <w:t>provide</w:t>
            </w:r>
            <w:r w:rsidR="003409FB">
              <w:rPr>
                <w:sz w:val="22"/>
                <w:szCs w:val="22"/>
              </w:rPr>
              <w:t xml:space="preserve"> responses as needed</w:t>
            </w:r>
            <w:r w:rsidRPr="00986D8A">
              <w:rPr>
                <w:sz w:val="22"/>
                <w:szCs w:val="22"/>
              </w:rPr>
              <w:t xml:space="preserve">.  In most cases, it will not be necessary to </w:t>
            </w:r>
            <w:r w:rsidR="003409FB">
              <w:rPr>
                <w:sz w:val="22"/>
                <w:szCs w:val="22"/>
              </w:rPr>
              <w:t>provide responses to</w:t>
            </w:r>
            <w:r w:rsidRPr="00986D8A">
              <w:rPr>
                <w:sz w:val="22"/>
                <w:szCs w:val="22"/>
              </w:rPr>
              <w:t xml:space="preserve"> all of the </w:t>
            </w:r>
            <w:r w:rsidR="003409FB">
              <w:rPr>
                <w:sz w:val="22"/>
                <w:szCs w:val="22"/>
              </w:rPr>
              <w:t>items.  Depending on Named Entity’s responses</w:t>
            </w:r>
            <w:r w:rsidRPr="00986D8A">
              <w:rPr>
                <w:sz w:val="22"/>
                <w:szCs w:val="22"/>
              </w:rPr>
              <w:t xml:space="preserve"> to Parts I and II.A, it may not be necessary to provide </w:t>
            </w:r>
            <w:r w:rsidR="003409FB">
              <w:rPr>
                <w:sz w:val="22"/>
                <w:szCs w:val="22"/>
              </w:rPr>
              <w:t>responses in later P</w:t>
            </w:r>
            <w:r w:rsidRPr="00986D8A">
              <w:rPr>
                <w:sz w:val="22"/>
                <w:szCs w:val="22"/>
              </w:rPr>
              <w:t xml:space="preserve">arts generally.  Certain instructions, noted in </w:t>
            </w:r>
            <w:r w:rsidRPr="00986D8A">
              <w:rPr>
                <w:color w:val="0070C0"/>
                <w:sz w:val="22"/>
                <w:szCs w:val="22"/>
              </w:rPr>
              <w:t>blue</w:t>
            </w:r>
            <w:r>
              <w:rPr>
                <w:sz w:val="22"/>
                <w:szCs w:val="22"/>
              </w:rPr>
              <w:t>, indicate</w:t>
            </w:r>
            <w:r w:rsidRPr="00986D8A">
              <w:rPr>
                <w:sz w:val="22"/>
                <w:szCs w:val="22"/>
              </w:rPr>
              <w:t xml:space="preserve"> </w:t>
            </w:r>
            <w:r>
              <w:rPr>
                <w:sz w:val="22"/>
                <w:szCs w:val="22"/>
              </w:rPr>
              <w:t>where Named Entity</w:t>
            </w:r>
            <w:r w:rsidRPr="00986D8A">
              <w:rPr>
                <w:sz w:val="22"/>
                <w:szCs w:val="22"/>
              </w:rPr>
              <w:t xml:space="preserve"> </w:t>
            </w:r>
            <w:r>
              <w:rPr>
                <w:sz w:val="22"/>
                <w:szCs w:val="22"/>
              </w:rPr>
              <w:t>may skip certain P</w:t>
            </w:r>
            <w:r w:rsidRPr="00986D8A">
              <w:rPr>
                <w:sz w:val="22"/>
                <w:szCs w:val="22"/>
              </w:rPr>
              <w:t xml:space="preserve">arts depending on </w:t>
            </w:r>
            <w:r>
              <w:rPr>
                <w:sz w:val="22"/>
                <w:szCs w:val="22"/>
              </w:rPr>
              <w:t>the information that has been</w:t>
            </w:r>
            <w:r w:rsidRPr="00986D8A">
              <w:rPr>
                <w:sz w:val="22"/>
                <w:szCs w:val="22"/>
              </w:rPr>
              <w:t xml:space="preserve"> provided.</w:t>
            </w:r>
          </w:p>
          <w:p w14:paraId="7EA14DDF" w14:textId="77777777" w:rsidR="003C6EC1" w:rsidRPr="00CE36E2" w:rsidRDefault="003C6EC1" w:rsidP="00C32ECC">
            <w:pPr>
              <w:spacing w:after="0"/>
              <w:rPr>
                <w:sz w:val="22"/>
                <w:szCs w:val="22"/>
              </w:rPr>
            </w:pPr>
          </w:p>
        </w:tc>
      </w:tr>
    </w:tbl>
    <w:p w14:paraId="52D6F4CC" w14:textId="77777777" w:rsidR="00A755A5" w:rsidRDefault="00A755A5" w:rsidP="00C32ECC">
      <w:pPr>
        <w:spacing w:after="0"/>
      </w:pPr>
    </w:p>
    <w:p w14:paraId="1B7A1D5D" w14:textId="77777777" w:rsidR="00CA5959" w:rsidRPr="00CA5959" w:rsidRDefault="00A755A5" w:rsidP="00A755A5">
      <w:pPr>
        <w:spacing w:after="0"/>
        <w:jc w:val="center"/>
        <w:sectPr w:rsidR="00CA5959" w:rsidRPr="00CA5959" w:rsidSect="00C34DFE">
          <w:footerReference w:type="even" r:id="rId10"/>
          <w:footerReference w:type="default" r:id="rId11"/>
          <w:footerReference w:type="first" r:id="rId12"/>
          <w:pgSz w:w="12240" w:h="15840" w:code="1"/>
          <w:pgMar w:top="2016" w:right="1800" w:bottom="1800" w:left="1800" w:header="432" w:footer="432" w:gutter="0"/>
          <w:pgNumType w:start="1"/>
          <w:cols w:space="720"/>
          <w:titlePg/>
          <w:docGrid w:linePitch="360"/>
        </w:sectPr>
      </w:pPr>
      <w:r>
        <w:t>*</w:t>
      </w:r>
      <w:r>
        <w:tab/>
        <w:t>*</w:t>
      </w:r>
      <w:r>
        <w:tab/>
        <w:t>*</w:t>
      </w:r>
    </w:p>
    <w:p w14:paraId="36C537CD" w14:textId="77777777" w:rsidR="00D246D0" w:rsidRPr="00BC60D4" w:rsidRDefault="00D246D0" w:rsidP="00D246D0">
      <w:pPr>
        <w:pStyle w:val="AODocTxt"/>
        <w:jc w:val="center"/>
        <w:rPr>
          <w:i/>
          <w:sz w:val="24"/>
        </w:rPr>
      </w:pPr>
      <w:r>
        <w:rPr>
          <w:b/>
          <w:noProof/>
          <w:lang w:val="en-US" w:eastAsia="zh-CN"/>
        </w:rPr>
        <w:lastRenderedPageBreak/>
        <w:drawing>
          <wp:inline distT="0" distB="0" distL="0" distR="0" wp14:anchorId="2087FFEB" wp14:editId="1C719AE3">
            <wp:extent cx="1733550" cy="438150"/>
            <wp:effectExtent l="0" t="0" r="0" b="0"/>
            <wp:docPr id="1"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38150"/>
                    </a:xfrm>
                    <a:prstGeom prst="rect">
                      <a:avLst/>
                    </a:prstGeom>
                    <a:noFill/>
                    <a:ln>
                      <a:noFill/>
                    </a:ln>
                  </pic:spPr>
                </pic:pic>
              </a:graphicData>
            </a:graphic>
          </wp:inline>
        </w:drawing>
      </w:r>
    </w:p>
    <w:p w14:paraId="46FA8418" w14:textId="77777777" w:rsidR="00D246D0" w:rsidRPr="00BC60D4" w:rsidRDefault="00D246D0" w:rsidP="00D246D0">
      <w:pPr>
        <w:pStyle w:val="AODocTxt"/>
        <w:jc w:val="center"/>
        <w:rPr>
          <w:b/>
          <w:sz w:val="36"/>
        </w:rPr>
      </w:pPr>
      <w:r w:rsidRPr="00BC60D4">
        <w:rPr>
          <w:b/>
          <w:sz w:val="36"/>
        </w:rPr>
        <w:t xml:space="preserve">ISDA </w:t>
      </w:r>
      <w:r>
        <w:rPr>
          <w:b/>
          <w:sz w:val="36"/>
        </w:rPr>
        <w:t>U.S. SELF-</w:t>
      </w:r>
      <w:r w:rsidRPr="00BC60D4">
        <w:rPr>
          <w:b/>
          <w:sz w:val="36"/>
        </w:rPr>
        <w:t>DISCLOSURE LETTER</w:t>
      </w:r>
    </w:p>
    <w:p w14:paraId="13AA77A5" w14:textId="4A6EA537" w:rsidR="00D246D0" w:rsidRPr="00BC60D4" w:rsidRDefault="00D246D0" w:rsidP="00D246D0">
      <w:pPr>
        <w:pStyle w:val="AODocTxt"/>
        <w:jc w:val="center"/>
        <w:rPr>
          <w:b/>
        </w:rPr>
      </w:pPr>
      <w:r w:rsidRPr="00BC60D4">
        <w:rPr>
          <w:b/>
        </w:rPr>
        <w:t>published on</w:t>
      </w:r>
      <w:r w:rsidRPr="00A85CB9">
        <w:rPr>
          <w:b/>
        </w:rPr>
        <w:t xml:space="preserve"> </w:t>
      </w:r>
      <w:r w:rsidR="00DA5B8A">
        <w:rPr>
          <w:b/>
        </w:rPr>
        <w:t>January 1</w:t>
      </w:r>
      <w:r w:rsidR="00166DDA">
        <w:rPr>
          <w:b/>
        </w:rPr>
        <w:t>5</w:t>
      </w:r>
      <w:r w:rsidR="00DA5B8A">
        <w:rPr>
          <w:b/>
        </w:rPr>
        <w:t>, 2021</w:t>
      </w:r>
      <w:r w:rsidRPr="00BC60D4">
        <w:rPr>
          <w:b/>
        </w:rPr>
        <w:t xml:space="preserve"> </w:t>
      </w:r>
      <w:r w:rsidRPr="00BC60D4">
        <w:rPr>
          <w:b/>
        </w:rPr>
        <w:br/>
        <w:t>by the International Swaps and Derivatives Association, Inc.</w:t>
      </w:r>
    </w:p>
    <w:p w14:paraId="0DBCB023" w14:textId="77777777" w:rsidR="00D246D0" w:rsidRPr="00A34739" w:rsidRDefault="00D246D0" w:rsidP="00D246D0">
      <w:pPr>
        <w:pStyle w:val="AODocTxt"/>
        <w:tabs>
          <w:tab w:val="left" w:leader="underscore" w:pos="9603"/>
        </w:tabs>
        <w:rPr>
          <w:rFonts w:eastAsia="Times New Roman"/>
          <w:i/>
        </w:rPr>
      </w:pPr>
      <w:r>
        <w:rPr>
          <w:rFonts w:eastAsia="Times New Roman"/>
          <w:i/>
        </w:rPr>
        <w:tab/>
      </w:r>
    </w:p>
    <w:p w14:paraId="1ABDF53A" w14:textId="77777777" w:rsidR="00D246D0" w:rsidRPr="00BC60D4" w:rsidRDefault="00D246D0" w:rsidP="00D246D0">
      <w:pPr>
        <w:pStyle w:val="AODocTxt"/>
        <w:rPr>
          <w:i/>
        </w:rPr>
      </w:pPr>
      <w:r w:rsidRPr="00BC60D4">
        <w:rPr>
          <w:i/>
        </w:rPr>
        <w:t xml:space="preserve">Market participants should complete each </w:t>
      </w:r>
      <w:r w:rsidR="005302DF">
        <w:rPr>
          <w:i/>
        </w:rPr>
        <w:t>P</w:t>
      </w:r>
      <w:r>
        <w:rPr>
          <w:i/>
        </w:rPr>
        <w:t>art</w:t>
      </w:r>
      <w:r w:rsidR="006E48B7">
        <w:rPr>
          <w:i/>
        </w:rPr>
        <w:t xml:space="preserve"> </w:t>
      </w:r>
      <w:r>
        <w:rPr>
          <w:i/>
        </w:rPr>
        <w:t xml:space="preserve">of this </w:t>
      </w:r>
      <w:r w:rsidR="00701B85">
        <w:rPr>
          <w:i/>
        </w:rPr>
        <w:t>L</w:t>
      </w:r>
      <w:r>
        <w:rPr>
          <w:i/>
        </w:rPr>
        <w:t>etter</w:t>
      </w:r>
      <w:r w:rsidRPr="00BC60D4">
        <w:rPr>
          <w:i/>
        </w:rPr>
        <w:t xml:space="preserve"> that they have been informed, or have reason to believe, is req</w:t>
      </w:r>
      <w:r>
        <w:rPr>
          <w:i/>
        </w:rPr>
        <w:t xml:space="preserve">uired by </w:t>
      </w:r>
      <w:r w:rsidR="002D4BE4">
        <w:rPr>
          <w:i/>
        </w:rPr>
        <w:t>Recipient</w:t>
      </w:r>
      <w:r w:rsidRPr="00BC60D4">
        <w:rPr>
          <w:i/>
        </w:rPr>
        <w:t xml:space="preserve">. Market participants should consider </w:t>
      </w:r>
      <w:r>
        <w:rPr>
          <w:i/>
        </w:rPr>
        <w:t>seeking clarification</w:t>
      </w:r>
      <w:r w:rsidR="006E48B7">
        <w:rPr>
          <w:i/>
        </w:rPr>
        <w:t xml:space="preserve"> from </w:t>
      </w:r>
      <w:r w:rsidR="002D4BE4">
        <w:rPr>
          <w:i/>
        </w:rPr>
        <w:t>Recipient</w:t>
      </w:r>
      <w:r w:rsidRPr="00BC60D4">
        <w:rPr>
          <w:i/>
        </w:rPr>
        <w:t xml:space="preserve"> ahead of time if it is not clear which </w:t>
      </w:r>
      <w:r w:rsidR="005302DF">
        <w:rPr>
          <w:i/>
        </w:rPr>
        <w:t>P</w:t>
      </w:r>
      <w:r>
        <w:rPr>
          <w:i/>
        </w:rPr>
        <w:t>arts</w:t>
      </w:r>
      <w:r w:rsidR="006E48B7">
        <w:rPr>
          <w:i/>
        </w:rPr>
        <w:t xml:space="preserve"> </w:t>
      </w:r>
      <w:r w:rsidR="00277EC8">
        <w:rPr>
          <w:i/>
        </w:rPr>
        <w:t xml:space="preserve">are required by </w:t>
      </w:r>
      <w:r w:rsidR="002D4BE4">
        <w:rPr>
          <w:i/>
        </w:rPr>
        <w:t>Recipient</w:t>
      </w:r>
      <w:r w:rsidRPr="00BC60D4">
        <w:rPr>
          <w:i/>
        </w:rPr>
        <w:t>.</w:t>
      </w:r>
    </w:p>
    <w:p w14:paraId="047562A1" w14:textId="77777777" w:rsidR="00D246D0" w:rsidRPr="00BC60D4" w:rsidRDefault="00D246D0" w:rsidP="00D246D0">
      <w:pPr>
        <w:pStyle w:val="AODocTxt"/>
      </w:pPr>
      <w:r w:rsidRPr="00BC60D4">
        <w:rPr>
          <w:i/>
        </w:rPr>
        <w:t xml:space="preserve">If </w:t>
      </w:r>
      <w:r w:rsidR="001C21CC">
        <w:rPr>
          <w:i/>
        </w:rPr>
        <w:t>Named Entity</w:t>
      </w:r>
      <w:r w:rsidRPr="00BC60D4">
        <w:rPr>
          <w:i/>
        </w:rPr>
        <w:t xml:space="preserve"> wishes to make additional statements, or revise existing statements already made in any existing </w:t>
      </w:r>
      <w:r>
        <w:rPr>
          <w:i/>
        </w:rPr>
        <w:t>response</w:t>
      </w:r>
      <w:r w:rsidRPr="00BC60D4">
        <w:rPr>
          <w:i/>
        </w:rPr>
        <w:t xml:space="preserve">, or wishes to add a </w:t>
      </w:r>
      <w:r>
        <w:rPr>
          <w:i/>
        </w:rPr>
        <w:t>response</w:t>
      </w:r>
      <w:r w:rsidRPr="00BC60D4">
        <w:rPr>
          <w:i/>
        </w:rPr>
        <w:t xml:space="preserve">, </w:t>
      </w:r>
      <w:r>
        <w:rPr>
          <w:i/>
        </w:rPr>
        <w:t>it</w:t>
      </w:r>
      <w:r w:rsidRPr="00BC60D4">
        <w:rPr>
          <w:i/>
        </w:rPr>
        <w:t xml:space="preserve"> should re-execute the Letter and </w:t>
      </w:r>
      <w:r w:rsidR="00CE36E2">
        <w:rPr>
          <w:i/>
        </w:rPr>
        <w:t>address each relevant item</w:t>
      </w:r>
      <w:r w:rsidRPr="00BC60D4">
        <w:rPr>
          <w:i/>
        </w:rPr>
        <w:t xml:space="preserve">. In the absence of any statement to the contrary, if </w:t>
      </w:r>
      <w:r w:rsidR="001C21CC">
        <w:rPr>
          <w:i/>
        </w:rPr>
        <w:t>Named Entity</w:t>
      </w:r>
      <w:r w:rsidRPr="00BC60D4">
        <w:rPr>
          <w:i/>
        </w:rPr>
        <w:t xml:space="preserve"> redelivers the Letter to </w:t>
      </w:r>
      <w:r w:rsidR="002D4BE4">
        <w:rPr>
          <w:i/>
        </w:rPr>
        <w:t>Recipient</w:t>
      </w:r>
      <w:r w:rsidRPr="00BC60D4">
        <w:rPr>
          <w:i/>
        </w:rPr>
        <w:t xml:space="preserve"> but does not </w:t>
      </w:r>
      <w:r w:rsidR="00CE36E2">
        <w:rPr>
          <w:i/>
        </w:rPr>
        <w:t xml:space="preserve">address an item previously addressed, the information for that item </w:t>
      </w:r>
      <w:r w:rsidRPr="00BC60D4">
        <w:rPr>
          <w:i/>
        </w:rPr>
        <w:t xml:space="preserve">will be deemed to have been redelivered as part of this Letter in the form it was most recently delivered to </w:t>
      </w:r>
      <w:r w:rsidR="002D4BE4">
        <w:rPr>
          <w:i/>
        </w:rPr>
        <w:t>Recipient</w:t>
      </w:r>
      <w:r w:rsidRPr="00BC60D4">
        <w:rPr>
          <w:i/>
        </w:rPr>
        <w:t>.</w:t>
      </w:r>
    </w:p>
    <w:p w14:paraId="26556294" w14:textId="77777777" w:rsidR="00D246D0" w:rsidRPr="00A34739" w:rsidRDefault="00D246D0" w:rsidP="00D246D0">
      <w:pPr>
        <w:pStyle w:val="AODocTxt"/>
        <w:tabs>
          <w:tab w:val="left" w:leader="underscore" w:pos="9603"/>
        </w:tabs>
        <w:rPr>
          <w:rFonts w:eastAsia="Times New Roman"/>
          <w:i/>
        </w:rPr>
      </w:pPr>
      <w:r>
        <w:rPr>
          <w:rFonts w:eastAsia="Times New Roman"/>
          <w:i/>
        </w:rPr>
        <w:tab/>
      </w:r>
    </w:p>
    <w:p w14:paraId="34B38210" w14:textId="1E157A6E" w:rsidR="00D246D0" w:rsidRPr="00BC60D4" w:rsidRDefault="00D246D0" w:rsidP="00D246D0">
      <w:pPr>
        <w:pStyle w:val="AODocTxt"/>
        <w:tabs>
          <w:tab w:val="left" w:pos="5026"/>
        </w:tabs>
        <w:rPr>
          <w:b/>
          <w:i/>
        </w:rPr>
      </w:pPr>
      <w:r w:rsidRPr="00BC60D4">
        <w:t>TO</w:t>
      </w:r>
      <w:r w:rsidRPr="00BC60D4">
        <w:rPr>
          <w:rStyle w:val="FootnoteReference"/>
        </w:rPr>
        <w:footnoteReference w:id="5"/>
      </w:r>
      <w:r w:rsidRPr="00BC60D4">
        <w:t>:</w:t>
      </w:r>
      <w:r w:rsidRPr="00BC60D4">
        <w:rPr>
          <w:u w:val="single"/>
          <w:lang w:eastAsia="zh-CN"/>
        </w:rPr>
        <w:tab/>
      </w:r>
      <w:r w:rsidRPr="00BC60D4">
        <w:t xml:space="preserve"> (</w:t>
      </w:r>
      <w:r w:rsidR="00CD4AE3">
        <w:t xml:space="preserve"> </w:t>
      </w:r>
      <w:r>
        <w:t>“</w:t>
      </w:r>
      <w:r>
        <w:rPr>
          <w:b/>
          <w:i/>
        </w:rPr>
        <w:t>Information Recipient</w:t>
      </w:r>
      <w:r>
        <w:t>” or</w:t>
      </w:r>
      <w:r w:rsidRPr="00BC60D4">
        <w:t xml:space="preserve"> “</w:t>
      </w:r>
      <w:r w:rsidRPr="00FC002D">
        <w:rPr>
          <w:b/>
          <w:i/>
        </w:rPr>
        <w:t>Recipient</w:t>
      </w:r>
      <w:r w:rsidRPr="00BC60D4">
        <w:t>”)</w:t>
      </w:r>
    </w:p>
    <w:p w14:paraId="65915F6D" w14:textId="77777777" w:rsidR="00D246D0" w:rsidRPr="00BC60D4" w:rsidRDefault="00D246D0" w:rsidP="00D246D0">
      <w:pPr>
        <w:pStyle w:val="AODocTxt"/>
        <w:tabs>
          <w:tab w:val="left" w:pos="284"/>
        </w:tabs>
      </w:pPr>
      <w:r w:rsidRPr="00BC60D4">
        <w:rPr>
          <w:b/>
          <w:i/>
        </w:rPr>
        <w:t>A.</w:t>
      </w:r>
      <w:r>
        <w:rPr>
          <w:b/>
          <w:i/>
        </w:rPr>
        <w:tab/>
      </w:r>
      <w:r w:rsidRPr="00BC60D4">
        <w:rPr>
          <w:b/>
          <w:i/>
        </w:rPr>
        <w:t>General.</w:t>
      </w:r>
      <w:r w:rsidRPr="00BC60D4">
        <w:t xml:space="preserve"> The entity named below </w:t>
      </w:r>
      <w:r w:rsidR="007C104B" w:rsidRPr="00BC60D4">
        <w:t>(“</w:t>
      </w:r>
      <w:r w:rsidR="007C104B" w:rsidRPr="00BC60D4">
        <w:rPr>
          <w:b/>
          <w:i/>
        </w:rPr>
        <w:t>Named Entity</w:t>
      </w:r>
      <w:r w:rsidR="007C104B" w:rsidRPr="00BC60D4">
        <w:t xml:space="preserve">”) </w:t>
      </w:r>
      <w:r w:rsidRPr="00BC60D4">
        <w:t xml:space="preserve">hereby makes the statements in each of the applicable </w:t>
      </w:r>
      <w:r w:rsidR="005F6B23">
        <w:t>P</w:t>
      </w:r>
      <w:r>
        <w:t>arts</w:t>
      </w:r>
      <w:r w:rsidR="006E48B7">
        <w:t xml:space="preserve"> </w:t>
      </w:r>
      <w:r w:rsidRPr="00BC60D4">
        <w:t xml:space="preserve">to this ISDA </w:t>
      </w:r>
      <w:r>
        <w:t>U.S. Self-</w:t>
      </w:r>
      <w:r w:rsidRPr="00BC60D4">
        <w:t>Disclosure Letter (this “</w:t>
      </w:r>
      <w:r w:rsidRPr="00BC60D4">
        <w:rPr>
          <w:b/>
          <w:i/>
        </w:rPr>
        <w:t>Letter</w:t>
      </w:r>
      <w:r w:rsidRPr="00BC60D4">
        <w:t xml:space="preserve">” consisting of the main body of this letter together with all applicable </w:t>
      </w:r>
      <w:r w:rsidR="005F6B23">
        <w:t>P</w:t>
      </w:r>
      <w:r>
        <w:t>arts</w:t>
      </w:r>
      <w:r w:rsidRPr="00BC60D4">
        <w:t xml:space="preserve"> delivered from time to time, including electronically through ISDA Amend and/or such other relevant electronic platform identified by ISDA) with effect from the date specified in such </w:t>
      </w:r>
      <w:r w:rsidR="009102C4">
        <w:t>Letter</w:t>
      </w:r>
      <w:r w:rsidRPr="00BC60D4">
        <w:t xml:space="preserve"> as the effective date. Each such statement is intended to provide </w:t>
      </w:r>
      <w:r w:rsidR="002D4BE4">
        <w:t>Recipient</w:t>
      </w:r>
      <w:r w:rsidRPr="00BC60D4">
        <w:t xml:space="preserve"> with status information needed by </w:t>
      </w:r>
      <w:r w:rsidR="002D4BE4">
        <w:t>Recipient</w:t>
      </w:r>
      <w:r w:rsidRPr="00BC60D4">
        <w:t xml:space="preserve"> to determine the application of certain </w:t>
      </w:r>
      <w:r w:rsidR="00277EC8">
        <w:t xml:space="preserve">U.S. </w:t>
      </w:r>
      <w:r w:rsidRPr="00BC60D4">
        <w:t>regulatory requirements. The statements in this Letter are solely for the purposes of such determinations.</w:t>
      </w:r>
    </w:p>
    <w:p w14:paraId="1506BA9B" w14:textId="77777777" w:rsidR="00D246D0" w:rsidRPr="00BC60D4" w:rsidRDefault="00D246D0" w:rsidP="00D246D0">
      <w:pPr>
        <w:pStyle w:val="AODocTxt"/>
        <w:tabs>
          <w:tab w:val="left" w:pos="284"/>
        </w:tabs>
      </w:pPr>
      <w:r w:rsidRPr="00BC60D4">
        <w:rPr>
          <w:b/>
          <w:i/>
        </w:rPr>
        <w:t>B.</w:t>
      </w:r>
      <w:r>
        <w:rPr>
          <w:b/>
          <w:i/>
        </w:rPr>
        <w:tab/>
      </w:r>
      <w:r w:rsidRPr="00BC60D4">
        <w:rPr>
          <w:b/>
          <w:i/>
        </w:rPr>
        <w:t>Reliance.</w:t>
      </w:r>
      <w:r w:rsidRPr="00BC60D4">
        <w:t xml:space="preserve"> Subject to any statement to the contrary in any applicable </w:t>
      </w:r>
      <w:r w:rsidR="009102C4">
        <w:t>P</w:t>
      </w:r>
      <w:r w:rsidR="00701B85">
        <w:t>art</w:t>
      </w:r>
      <w:r w:rsidRPr="00BC60D4">
        <w:t>:</w:t>
      </w:r>
    </w:p>
    <w:p w14:paraId="3E319643" w14:textId="77777777" w:rsidR="00D246D0" w:rsidRPr="00BC60D4" w:rsidRDefault="00D246D0" w:rsidP="00D246D0">
      <w:pPr>
        <w:pStyle w:val="AODocTxt"/>
        <w:ind w:left="993" w:hanging="727"/>
      </w:pPr>
      <w:r w:rsidRPr="00BC60D4">
        <w:t>(i)</w:t>
      </w:r>
      <w:r w:rsidRPr="00BC60D4">
        <w:tab/>
      </w:r>
      <w:r w:rsidR="001C21CC">
        <w:t>Named Entity</w:t>
      </w:r>
      <w:r w:rsidRPr="00BC60D4">
        <w:t xml:space="preserve"> will notify </w:t>
      </w:r>
      <w:r w:rsidR="002D4BE4">
        <w:t>Recipient</w:t>
      </w:r>
      <w:r w:rsidRPr="00BC60D4">
        <w:t xml:space="preserve"> in writing before or as soon as reasonably practicable following any of the statements made by it in any </w:t>
      </w:r>
      <w:r w:rsidR="005F6B23">
        <w:t>P</w:t>
      </w:r>
      <w:r w:rsidR="006E48B7">
        <w:t xml:space="preserve">art </w:t>
      </w:r>
      <w:r w:rsidRPr="00BC60D4">
        <w:t>ceasing to be true;</w:t>
      </w:r>
    </w:p>
    <w:p w14:paraId="0F5E6CE6" w14:textId="77777777" w:rsidR="00D246D0" w:rsidRPr="00BC60D4" w:rsidRDefault="00D246D0" w:rsidP="00D246D0">
      <w:pPr>
        <w:pStyle w:val="AODocTxt"/>
        <w:ind w:left="993" w:hanging="709"/>
      </w:pPr>
      <w:r w:rsidRPr="00BC60D4">
        <w:lastRenderedPageBreak/>
        <w:t>(ii)</w:t>
      </w:r>
      <w:r w:rsidRPr="00BC60D4">
        <w:tab/>
      </w:r>
      <w:r w:rsidR="002D4BE4">
        <w:t>Recipient</w:t>
      </w:r>
      <w:r w:rsidRPr="00BC60D4">
        <w:t xml:space="preserve"> may rely on the statements given by </w:t>
      </w:r>
      <w:r w:rsidR="001C21CC">
        <w:t>Named Entity</w:t>
      </w:r>
      <w:r w:rsidRPr="00BC60D4">
        <w:t xml:space="preserve"> in each applicable </w:t>
      </w:r>
      <w:r w:rsidR="005F6B23">
        <w:t>P</w:t>
      </w:r>
      <w:r w:rsidR="006E48B7">
        <w:t xml:space="preserve">art </w:t>
      </w:r>
      <w:r w:rsidRPr="00BC60D4">
        <w:t xml:space="preserve">unless and until </w:t>
      </w:r>
      <w:r w:rsidR="001C21CC">
        <w:t>Named Entity</w:t>
      </w:r>
      <w:r w:rsidRPr="00BC60D4">
        <w:t xml:space="preserve"> notifies </w:t>
      </w:r>
      <w:r w:rsidR="002D4BE4">
        <w:t>Recipient</w:t>
      </w:r>
      <w:r w:rsidRPr="00BC60D4">
        <w:t xml:space="preserve"> in writing to the contrary;</w:t>
      </w:r>
      <w:r w:rsidR="00C52412">
        <w:t xml:space="preserve"> and</w:t>
      </w:r>
    </w:p>
    <w:p w14:paraId="34845DE4" w14:textId="77777777" w:rsidR="00D246D0" w:rsidRPr="00701B85" w:rsidRDefault="00D246D0" w:rsidP="00D246D0">
      <w:pPr>
        <w:pStyle w:val="AODocTxt"/>
        <w:ind w:left="993" w:hanging="709"/>
      </w:pPr>
      <w:r w:rsidRPr="00BC60D4">
        <w:t>(iii)</w:t>
      </w:r>
      <w:r w:rsidRPr="00BC60D4">
        <w:tab/>
        <w:t xml:space="preserve">to the extent any statement made in this Letter is inconsistent with any </w:t>
      </w:r>
      <w:r w:rsidR="00277EC8">
        <w:t xml:space="preserve">prior </w:t>
      </w:r>
      <w:r w:rsidRPr="00BC60D4">
        <w:t xml:space="preserve">statement given by </w:t>
      </w:r>
      <w:r w:rsidR="001C21CC">
        <w:t>Named Entity</w:t>
      </w:r>
      <w:r w:rsidRPr="00BC60D4">
        <w:t xml:space="preserve"> to </w:t>
      </w:r>
      <w:r w:rsidR="002D4BE4">
        <w:t>Recipient</w:t>
      </w:r>
      <w:r w:rsidRPr="00BC60D4">
        <w:t xml:space="preserve"> in any previous version of this Letter,</w:t>
      </w:r>
      <w:r w:rsidR="005F6B23">
        <w:t xml:space="preserve"> the ISDA Cross-Border Swaps Representation Letter (published Aug. 19, 2013), or the ISDA Regulatory Margin Self-Disclosure Letter (published June 30, 2016),</w:t>
      </w:r>
      <w:r w:rsidRPr="00BC60D4">
        <w:t xml:space="preserve"> the statements made herein shall prevail</w:t>
      </w:r>
      <w:r w:rsidR="00701B85">
        <w:t>.</w:t>
      </w:r>
      <w:r w:rsidRPr="00BC60D4">
        <w:t xml:space="preserve">  </w:t>
      </w:r>
    </w:p>
    <w:p w14:paraId="5512BF5B" w14:textId="77777777" w:rsidR="003B7472" w:rsidRDefault="003B7472" w:rsidP="00D246D0">
      <w:pPr>
        <w:pStyle w:val="AODocTxt"/>
      </w:pPr>
      <w:r w:rsidRPr="003B7472">
        <w:rPr>
          <w:b/>
          <w:i/>
        </w:rPr>
        <w:t>C. Definitions</w:t>
      </w:r>
      <w:r w:rsidRPr="003B7472">
        <w:rPr>
          <w:b/>
        </w:rPr>
        <w:t xml:space="preserve">. </w:t>
      </w:r>
      <w:r w:rsidRPr="003B7472">
        <w:t xml:space="preserve">Capitalized terms </w:t>
      </w:r>
      <w:r w:rsidRPr="003B7472">
        <w:rPr>
          <w:lang w:val="en-US"/>
        </w:rPr>
        <w:t>used in this letter have</w:t>
      </w:r>
      <w:r w:rsidR="00131292">
        <w:rPr>
          <w:lang w:val="en-US"/>
        </w:rPr>
        <w:t xml:space="preserve"> the meanings specified in the Appendix</w:t>
      </w:r>
      <w:r w:rsidRPr="003B7472">
        <w:rPr>
          <w:lang w:val="en-US"/>
        </w:rPr>
        <w:t>.</w:t>
      </w:r>
    </w:p>
    <w:p w14:paraId="4B43E37E" w14:textId="77777777" w:rsidR="00D246D0" w:rsidRPr="00BC60D4" w:rsidRDefault="00D246D0" w:rsidP="00D246D0">
      <w:pPr>
        <w:pStyle w:val="AODocTxt"/>
      </w:pPr>
      <w:r w:rsidRPr="00BC60D4">
        <w:t>Where this Letter is completed and delivered by an agent on behalf of one or more Named Entities, this Letter should be treated as if it were a separate Letter with respect to each Named Entity listed by the agent.</w:t>
      </w:r>
      <w:r w:rsidRPr="00BC60D4">
        <w:rPr>
          <w:rStyle w:val="FootnoteReference"/>
        </w:rPr>
        <w:footnoteReference w:id="6"/>
      </w:r>
    </w:p>
    <w:p w14:paraId="067B4606" w14:textId="77777777" w:rsidR="00D246D0" w:rsidRPr="00BC60D4" w:rsidRDefault="00D246D0" w:rsidP="00D246D0">
      <w:pPr>
        <w:pStyle w:val="AODocTxt"/>
      </w:pPr>
      <w:r w:rsidRPr="00BC60D4">
        <w:t xml:space="preserve">Executed and delivered with effect from: </w:t>
      </w:r>
    </w:p>
    <w:p w14:paraId="423A0136" w14:textId="77777777" w:rsidR="00D246D0" w:rsidRPr="00BC60D4" w:rsidRDefault="00D246D0" w:rsidP="00D246D0">
      <w:pPr>
        <w:pStyle w:val="AODocTxt"/>
        <w:tabs>
          <w:tab w:val="left" w:pos="5103"/>
          <w:tab w:val="left" w:pos="8789"/>
        </w:tabs>
      </w:pPr>
      <w:r w:rsidRPr="00BC60D4">
        <w:t>Date:</w:t>
      </w:r>
      <w:r w:rsidRPr="00BC60D4">
        <w:tab/>
      </w:r>
      <w:r w:rsidRPr="00BC60D4">
        <w:rPr>
          <w:u w:val="single"/>
        </w:rPr>
        <w:tab/>
      </w:r>
    </w:p>
    <w:p w14:paraId="464D54D3" w14:textId="77777777" w:rsidR="00D246D0" w:rsidRPr="00BC60D4" w:rsidRDefault="00D246D0" w:rsidP="00D246D0">
      <w:pPr>
        <w:pStyle w:val="AODocTxt"/>
        <w:tabs>
          <w:tab w:val="left" w:pos="5103"/>
          <w:tab w:val="left" w:pos="8789"/>
        </w:tabs>
      </w:pPr>
      <w:r w:rsidRPr="00BC60D4">
        <w:t xml:space="preserve">Full legal name of </w:t>
      </w:r>
      <w:r w:rsidR="001C21CC">
        <w:t>Named Entity</w:t>
      </w:r>
      <w:r w:rsidRPr="00BC60D4">
        <w:t>:</w:t>
      </w:r>
      <w:r w:rsidRPr="00BC60D4">
        <w:rPr>
          <w:rStyle w:val="FootnoteReference"/>
        </w:rPr>
        <w:footnoteReference w:id="7"/>
      </w:r>
      <w:r w:rsidRPr="00BC60D4">
        <w:t xml:space="preserve"> </w:t>
      </w:r>
      <w:r w:rsidRPr="00BC60D4">
        <w:tab/>
      </w:r>
      <w:r w:rsidRPr="00BC60D4">
        <w:rPr>
          <w:u w:val="single"/>
        </w:rPr>
        <w:tab/>
      </w:r>
    </w:p>
    <w:p w14:paraId="1FBC052F" w14:textId="77777777" w:rsidR="00D246D0" w:rsidRPr="00BC60D4" w:rsidRDefault="00D246D0" w:rsidP="00D246D0">
      <w:pPr>
        <w:pStyle w:val="AODocTxt"/>
        <w:tabs>
          <w:tab w:val="left" w:pos="5103"/>
          <w:tab w:val="left" w:pos="8789"/>
        </w:tabs>
        <w:rPr>
          <w:u w:val="single"/>
        </w:rPr>
      </w:pPr>
      <w:r w:rsidRPr="00BC60D4">
        <w:t xml:space="preserve">LEI of </w:t>
      </w:r>
      <w:r w:rsidR="001C21CC">
        <w:t>Named Entity</w:t>
      </w:r>
      <w:r w:rsidRPr="00BC60D4">
        <w:t>:</w:t>
      </w:r>
      <w:r w:rsidRPr="00BC60D4">
        <w:tab/>
      </w:r>
      <w:r w:rsidRPr="00BC60D4">
        <w:rPr>
          <w:u w:val="single"/>
        </w:rPr>
        <w:tab/>
      </w:r>
    </w:p>
    <w:p w14:paraId="0B1FB072" w14:textId="77777777" w:rsidR="00D246D0" w:rsidRPr="00BC60D4" w:rsidRDefault="00D246D0" w:rsidP="00D246D0">
      <w:pPr>
        <w:pStyle w:val="AODocTxt"/>
        <w:tabs>
          <w:tab w:val="left" w:pos="5103"/>
          <w:tab w:val="left" w:pos="8789"/>
        </w:tabs>
      </w:pPr>
      <w:r w:rsidRPr="00BC60D4">
        <w:lastRenderedPageBreak/>
        <w:t xml:space="preserve">[Alternative Identifier of </w:t>
      </w:r>
      <w:r w:rsidR="001C21CC">
        <w:t>Named Entity</w:t>
      </w:r>
      <w:r w:rsidRPr="00BC60D4">
        <w:t>:</w:t>
      </w:r>
      <w:r w:rsidRPr="00BC60D4">
        <w:tab/>
      </w:r>
      <w:r w:rsidRPr="00BC60D4">
        <w:rPr>
          <w:u w:val="single"/>
        </w:rPr>
        <w:tab/>
      </w:r>
      <w:r w:rsidRPr="00A91DF5">
        <w:t>]</w:t>
      </w:r>
      <w:r w:rsidRPr="00BC60D4">
        <w:rPr>
          <w:rStyle w:val="FootnoteReference"/>
        </w:rPr>
        <w:footnoteReference w:id="8"/>
      </w:r>
    </w:p>
    <w:p w14:paraId="59C0CD1F" w14:textId="77777777" w:rsidR="00D246D0" w:rsidRPr="00BC60D4" w:rsidRDefault="00D246D0" w:rsidP="00D246D0">
      <w:pPr>
        <w:pStyle w:val="AODocTxt"/>
        <w:tabs>
          <w:tab w:val="left" w:pos="5103"/>
          <w:tab w:val="left" w:pos="8789"/>
        </w:tabs>
        <w:jc w:val="left"/>
      </w:pPr>
      <w:r w:rsidRPr="00BC60D4">
        <w:t xml:space="preserve">If applicable, full legal name of the agent, acting </w:t>
      </w:r>
      <w:r w:rsidRPr="00BC60D4">
        <w:br/>
        <w:t xml:space="preserve">on behalf of </w:t>
      </w:r>
      <w:r w:rsidR="001C21CC">
        <w:t>Named Entity</w:t>
      </w:r>
      <w:r w:rsidRPr="00BC60D4">
        <w:t>:</w:t>
      </w:r>
      <w:r w:rsidRPr="00BC60D4">
        <w:rPr>
          <w:rStyle w:val="FootnoteReference"/>
        </w:rPr>
        <w:footnoteReference w:id="9"/>
      </w:r>
      <w:r w:rsidRPr="00BC60D4">
        <w:tab/>
      </w:r>
      <w:r w:rsidRPr="00BC60D4">
        <w:rPr>
          <w:u w:val="single"/>
        </w:rPr>
        <w:tab/>
      </w:r>
    </w:p>
    <w:p w14:paraId="5489F195" w14:textId="77777777" w:rsidR="00D246D0" w:rsidRPr="00BC60D4" w:rsidRDefault="00D246D0" w:rsidP="00D246D0">
      <w:pPr>
        <w:pStyle w:val="AODocTxt"/>
        <w:tabs>
          <w:tab w:val="left" w:pos="5103"/>
          <w:tab w:val="left" w:pos="8789"/>
        </w:tabs>
      </w:pPr>
      <w:r w:rsidRPr="00BC60D4">
        <w:t>Signature:</w:t>
      </w:r>
      <w:r w:rsidRPr="00BC60D4">
        <w:tab/>
      </w:r>
      <w:r w:rsidRPr="00BC60D4">
        <w:rPr>
          <w:u w:val="single"/>
        </w:rPr>
        <w:tab/>
      </w:r>
    </w:p>
    <w:p w14:paraId="4B05BA5E" w14:textId="77777777" w:rsidR="00D246D0" w:rsidRPr="00BC60D4" w:rsidRDefault="00D246D0" w:rsidP="00D246D0">
      <w:pPr>
        <w:pStyle w:val="AODocTxt"/>
        <w:tabs>
          <w:tab w:val="left" w:pos="5103"/>
          <w:tab w:val="left" w:pos="8789"/>
        </w:tabs>
      </w:pPr>
      <w:r w:rsidRPr="00BC60D4">
        <w:t>Name of signatory:</w:t>
      </w:r>
      <w:r w:rsidRPr="00BC60D4">
        <w:tab/>
      </w:r>
      <w:r w:rsidRPr="00BC60D4">
        <w:rPr>
          <w:u w:val="single"/>
        </w:rPr>
        <w:tab/>
      </w:r>
    </w:p>
    <w:p w14:paraId="35CB8ECD" w14:textId="77777777" w:rsidR="00D246D0" w:rsidRPr="00BC60D4" w:rsidRDefault="00D246D0" w:rsidP="00D246D0">
      <w:pPr>
        <w:pStyle w:val="AODocTxt"/>
        <w:tabs>
          <w:tab w:val="left" w:pos="5103"/>
          <w:tab w:val="left" w:pos="8789"/>
        </w:tabs>
        <w:rPr>
          <w:u w:val="single"/>
        </w:rPr>
      </w:pPr>
      <w:r w:rsidRPr="00BC60D4">
        <w:t>Title of signatory:</w:t>
      </w:r>
      <w:r w:rsidRPr="00BC60D4">
        <w:tab/>
      </w:r>
      <w:r w:rsidRPr="00BC60D4">
        <w:rPr>
          <w:u w:val="single"/>
        </w:rPr>
        <w:tab/>
      </w:r>
    </w:p>
    <w:p w14:paraId="5D322277" w14:textId="77777777" w:rsidR="0025140D" w:rsidRDefault="0025140D">
      <w:pPr>
        <w:spacing w:after="0"/>
        <w:rPr>
          <w:rFonts w:eastAsia="Times New Roman" w:cs="Times New Roman"/>
          <w:szCs w:val="20"/>
          <w:lang w:val="en-GB"/>
        </w:rPr>
      </w:pPr>
      <w:r>
        <w:rPr>
          <w:lang w:val="en-GB"/>
        </w:rPr>
        <w:br w:type="page"/>
      </w:r>
    </w:p>
    <w:p w14:paraId="676120D2" w14:textId="77777777" w:rsidR="00F873A4" w:rsidRPr="00446659" w:rsidRDefault="0025140D" w:rsidP="00D246D0">
      <w:pPr>
        <w:pStyle w:val="BodyText"/>
        <w:ind w:firstLine="0"/>
        <w:rPr>
          <w:b/>
          <w:sz w:val="22"/>
          <w:szCs w:val="22"/>
          <w:u w:val="single"/>
          <w:lang w:val="en-GB"/>
        </w:rPr>
      </w:pPr>
      <w:r w:rsidRPr="00446659">
        <w:rPr>
          <w:b/>
          <w:sz w:val="22"/>
          <w:szCs w:val="22"/>
          <w:u w:val="single"/>
          <w:lang w:val="en-GB"/>
        </w:rPr>
        <w:lastRenderedPageBreak/>
        <w:t>PART I:  REGISTRATION STATUS</w:t>
      </w:r>
    </w:p>
    <w:p w14:paraId="14350038" w14:textId="77777777" w:rsidR="00477D5B" w:rsidRPr="00446659" w:rsidRDefault="00CA33E1" w:rsidP="00D246D0">
      <w:pPr>
        <w:pStyle w:val="BodyText"/>
        <w:ind w:firstLine="0"/>
        <w:rPr>
          <w:i/>
          <w:color w:val="0070C0"/>
          <w:sz w:val="22"/>
          <w:szCs w:val="22"/>
          <w:lang w:val="en-GB"/>
        </w:rPr>
      </w:pPr>
      <w:r w:rsidRPr="00446659">
        <w:rPr>
          <w:i/>
          <w:color w:val="0070C0"/>
          <w:sz w:val="22"/>
          <w:szCs w:val="22"/>
          <w:lang w:val="en-GB"/>
        </w:rPr>
        <w:t>Ans</w:t>
      </w:r>
      <w:r w:rsidR="00F70C94">
        <w:rPr>
          <w:i/>
          <w:color w:val="0070C0"/>
          <w:sz w:val="22"/>
          <w:szCs w:val="22"/>
          <w:lang w:val="en-GB"/>
        </w:rPr>
        <w:t xml:space="preserve">wer the question </w:t>
      </w:r>
      <w:r w:rsidR="00DC3F34">
        <w:rPr>
          <w:i/>
          <w:color w:val="0070C0"/>
          <w:sz w:val="22"/>
          <w:szCs w:val="22"/>
          <w:lang w:val="en-GB"/>
        </w:rPr>
        <w:t xml:space="preserve">in item 1 </w:t>
      </w:r>
      <w:r w:rsidR="00F70C94">
        <w:rPr>
          <w:i/>
          <w:color w:val="0070C0"/>
          <w:sz w:val="22"/>
          <w:szCs w:val="22"/>
          <w:lang w:val="en-GB"/>
        </w:rPr>
        <w:t>and</w:t>
      </w:r>
      <w:r w:rsidRPr="00446659">
        <w:rPr>
          <w:i/>
          <w:color w:val="0070C0"/>
          <w:sz w:val="22"/>
          <w:szCs w:val="22"/>
          <w:lang w:val="en-GB"/>
        </w:rPr>
        <w:t xml:space="preserve"> </w:t>
      </w:r>
      <w:r w:rsidR="00F70C94">
        <w:rPr>
          <w:i/>
          <w:color w:val="0070C0"/>
          <w:sz w:val="22"/>
          <w:szCs w:val="22"/>
          <w:lang w:val="en-GB"/>
        </w:rPr>
        <w:t xml:space="preserve">then </w:t>
      </w:r>
      <w:r w:rsidRPr="00446659">
        <w:rPr>
          <w:i/>
          <w:color w:val="0070C0"/>
          <w:sz w:val="22"/>
          <w:szCs w:val="22"/>
          <w:lang w:val="en-GB"/>
        </w:rPr>
        <w:t xml:space="preserve">follow the subsequent instructions.  </w:t>
      </w:r>
    </w:p>
    <w:p w14:paraId="50561559" w14:textId="77777777" w:rsidR="00D02AFA" w:rsidRPr="00446659" w:rsidRDefault="00D02AFA" w:rsidP="00D02AFA">
      <w:pPr>
        <w:pStyle w:val="Heading3"/>
        <w:rPr>
          <w:sz w:val="22"/>
          <w:szCs w:val="22"/>
        </w:rPr>
      </w:pPr>
      <w:r w:rsidRPr="00446659">
        <w:rPr>
          <w:sz w:val="22"/>
          <w:szCs w:val="22"/>
          <w:lang w:val="en-GB"/>
        </w:rPr>
        <w:t>Is Named Entity any of the following</w:t>
      </w:r>
      <w:r w:rsidR="00A01DF9">
        <w:rPr>
          <w:sz w:val="22"/>
          <w:szCs w:val="22"/>
          <w:lang w:val="en-GB"/>
        </w:rPr>
        <w:t>?</w:t>
      </w:r>
      <w:r w:rsidRPr="00446659">
        <w:rPr>
          <w:sz w:val="22"/>
          <w:szCs w:val="22"/>
          <w:lang w:val="en-GB"/>
        </w:rPr>
        <w:t xml:space="preserve"> </w:t>
      </w:r>
      <w:r w:rsidR="00A01DF9">
        <w:rPr>
          <w:sz w:val="22"/>
          <w:szCs w:val="22"/>
          <w:lang w:val="en-GB"/>
        </w:rPr>
        <w:t xml:space="preserve"> </w:t>
      </w:r>
      <w:r w:rsidRPr="00446659">
        <w:rPr>
          <w:sz w:val="22"/>
          <w:szCs w:val="22"/>
          <w:lang w:val="en-GB"/>
        </w:rPr>
        <w:t>(</w:t>
      </w:r>
      <w:r w:rsidR="00A01DF9">
        <w:rPr>
          <w:sz w:val="22"/>
          <w:szCs w:val="22"/>
          <w:lang w:val="en-GB"/>
        </w:rPr>
        <w:t>C</w:t>
      </w:r>
      <w:r w:rsidRPr="00446659">
        <w:rPr>
          <w:sz w:val="22"/>
          <w:szCs w:val="22"/>
          <w:lang w:val="en-GB"/>
        </w:rPr>
        <w:t>heck each box that applies</w:t>
      </w:r>
      <w:r w:rsidR="00A01DF9">
        <w:rPr>
          <w:sz w:val="22"/>
          <w:szCs w:val="22"/>
          <w:lang w:val="en-GB"/>
        </w:rPr>
        <w:t>.</w:t>
      </w:r>
      <w:r w:rsidRPr="00446659">
        <w:rPr>
          <w:sz w:val="22"/>
          <w:szCs w:val="22"/>
          <w:lang w:val="en-GB"/>
        </w:rPr>
        <w:t>)</w:t>
      </w:r>
      <w:r w:rsidRPr="00446659">
        <w:rPr>
          <w:sz w:val="22"/>
          <w:szCs w:val="22"/>
          <w:lang w:val="en-GB"/>
        </w:rPr>
        <w:br/>
      </w:r>
      <w:r w:rsidRPr="00446659">
        <w:rPr>
          <w:sz w:val="22"/>
          <w:szCs w:val="22"/>
          <w:lang w:val="en-GB"/>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Swap Dealer (SD)</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Major Swap Participant (MSP)</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Security-Based Swap Dealer (SBSD)</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Major Security-Based Swap Participant (MSBSP)</w:t>
      </w:r>
      <w:r w:rsidR="00EC70BD">
        <w:rPr>
          <w:sz w:val="22"/>
          <w:szCs w:val="22"/>
        </w:rPr>
        <w:br/>
      </w:r>
      <w:r w:rsidR="00EC70BD" w:rsidRPr="00446659">
        <w:rPr>
          <w:sz w:val="22"/>
          <w:szCs w:val="22"/>
        </w:rPr>
        <w:fldChar w:fldCharType="begin">
          <w:ffData>
            <w:name w:val=""/>
            <w:enabled/>
            <w:calcOnExit w:val="0"/>
            <w:checkBox>
              <w:sizeAuto/>
              <w:default w:val="0"/>
            </w:checkBox>
          </w:ffData>
        </w:fldChar>
      </w:r>
      <w:r w:rsidR="00EC70BD" w:rsidRPr="00446659">
        <w:rPr>
          <w:sz w:val="22"/>
          <w:szCs w:val="22"/>
        </w:rPr>
        <w:instrText xml:space="preserve"> FORMCHECKBOX </w:instrText>
      </w:r>
      <w:r w:rsidR="00166DDA">
        <w:rPr>
          <w:sz w:val="22"/>
          <w:szCs w:val="22"/>
        </w:rPr>
      </w:r>
      <w:r w:rsidR="00166DDA">
        <w:rPr>
          <w:sz w:val="22"/>
          <w:szCs w:val="22"/>
        </w:rPr>
        <w:fldChar w:fldCharType="separate"/>
      </w:r>
      <w:r w:rsidR="00EC70BD" w:rsidRPr="00446659">
        <w:rPr>
          <w:sz w:val="22"/>
          <w:szCs w:val="22"/>
        </w:rPr>
        <w:fldChar w:fldCharType="end"/>
      </w:r>
      <w:r w:rsidR="00EC70BD">
        <w:rPr>
          <w:sz w:val="22"/>
          <w:szCs w:val="22"/>
        </w:rPr>
        <w:t xml:space="preserve">  </w:t>
      </w:r>
      <w:r w:rsidR="00A01DF9">
        <w:rPr>
          <w:sz w:val="22"/>
          <w:szCs w:val="22"/>
        </w:rPr>
        <w:t>None of the above</w:t>
      </w:r>
      <w:r w:rsidR="00335752" w:rsidRPr="00446659">
        <w:rPr>
          <w:sz w:val="22"/>
          <w:szCs w:val="22"/>
        </w:rPr>
        <w:br/>
      </w:r>
      <w:r w:rsidR="00335752" w:rsidRPr="00446659">
        <w:rPr>
          <w:sz w:val="22"/>
          <w:szCs w:val="22"/>
        </w:rPr>
        <w:br/>
      </w:r>
      <w:r w:rsidR="00811696">
        <w:rPr>
          <w:i/>
          <w:color w:val="0070C0"/>
          <w:sz w:val="22"/>
          <w:szCs w:val="22"/>
        </w:rPr>
        <w:t>-</w:t>
      </w:r>
      <w:r w:rsidRPr="00446659">
        <w:rPr>
          <w:i/>
          <w:color w:val="0070C0"/>
          <w:sz w:val="22"/>
          <w:szCs w:val="22"/>
        </w:rPr>
        <w:t>If Named Entity checked any box</w:t>
      </w:r>
      <w:r w:rsidR="00EC70BD">
        <w:rPr>
          <w:i/>
          <w:color w:val="0070C0"/>
          <w:sz w:val="22"/>
          <w:szCs w:val="22"/>
        </w:rPr>
        <w:t xml:space="preserve"> other than “None of the</w:t>
      </w:r>
      <w:r w:rsidRPr="00446659">
        <w:rPr>
          <w:i/>
          <w:color w:val="0070C0"/>
          <w:sz w:val="22"/>
          <w:szCs w:val="22"/>
        </w:rPr>
        <w:t xml:space="preserve"> above,</w:t>
      </w:r>
      <w:r w:rsidR="00EC70BD">
        <w:rPr>
          <w:i/>
          <w:color w:val="0070C0"/>
          <w:sz w:val="22"/>
          <w:szCs w:val="22"/>
        </w:rPr>
        <w:t>”</w:t>
      </w:r>
      <w:r w:rsidRPr="00446659">
        <w:rPr>
          <w:i/>
          <w:color w:val="0070C0"/>
          <w:sz w:val="22"/>
          <w:szCs w:val="22"/>
        </w:rPr>
        <w:t xml:space="preserve"> </w:t>
      </w:r>
      <w:r w:rsidR="00DC3F34">
        <w:rPr>
          <w:i/>
          <w:color w:val="0070C0"/>
          <w:sz w:val="22"/>
          <w:szCs w:val="22"/>
        </w:rPr>
        <w:t>go to item</w:t>
      </w:r>
      <w:r w:rsidR="00811696">
        <w:rPr>
          <w:i/>
          <w:color w:val="0070C0"/>
          <w:sz w:val="22"/>
          <w:szCs w:val="22"/>
        </w:rPr>
        <w:t xml:space="preserve"> 2</w:t>
      </w:r>
      <w:r w:rsidRPr="00446659">
        <w:rPr>
          <w:i/>
          <w:color w:val="0070C0"/>
          <w:sz w:val="22"/>
          <w:szCs w:val="22"/>
        </w:rPr>
        <w:t xml:space="preserve">.  </w:t>
      </w:r>
      <w:r w:rsidR="00811696">
        <w:rPr>
          <w:i/>
          <w:color w:val="0070C0"/>
          <w:sz w:val="22"/>
          <w:szCs w:val="22"/>
        </w:rPr>
        <w:br/>
      </w:r>
      <w:r w:rsidR="00811696">
        <w:rPr>
          <w:i/>
          <w:color w:val="0070C0"/>
          <w:sz w:val="22"/>
          <w:szCs w:val="22"/>
        </w:rPr>
        <w:br/>
        <w:t>-</w:t>
      </w:r>
      <w:r w:rsidR="00EC70BD">
        <w:rPr>
          <w:i/>
          <w:color w:val="0070C0"/>
          <w:sz w:val="22"/>
          <w:szCs w:val="22"/>
        </w:rPr>
        <w:t>If Named Entity checked “None of the above</w:t>
      </w:r>
      <w:r w:rsidRPr="00446659">
        <w:rPr>
          <w:i/>
          <w:color w:val="0070C0"/>
          <w:sz w:val="22"/>
          <w:szCs w:val="22"/>
        </w:rPr>
        <w:t>,</w:t>
      </w:r>
      <w:r w:rsidR="00EC70BD">
        <w:rPr>
          <w:i/>
          <w:color w:val="0070C0"/>
          <w:sz w:val="22"/>
          <w:szCs w:val="22"/>
        </w:rPr>
        <w:t xml:space="preserve">” </w:t>
      </w:r>
      <w:r w:rsidR="00DC3F34">
        <w:rPr>
          <w:i/>
          <w:color w:val="0070C0"/>
          <w:sz w:val="22"/>
          <w:szCs w:val="22"/>
        </w:rPr>
        <w:t>skip</w:t>
      </w:r>
      <w:r w:rsidRPr="00446659">
        <w:rPr>
          <w:i/>
          <w:color w:val="0070C0"/>
          <w:sz w:val="22"/>
          <w:szCs w:val="22"/>
        </w:rPr>
        <w:t xml:space="preserve"> to </w:t>
      </w:r>
      <w:r w:rsidR="00DC3F34">
        <w:rPr>
          <w:i/>
          <w:color w:val="0070C0"/>
          <w:sz w:val="22"/>
          <w:szCs w:val="22"/>
        </w:rPr>
        <w:t>item</w:t>
      </w:r>
      <w:r w:rsidRPr="00446659">
        <w:rPr>
          <w:i/>
          <w:color w:val="0070C0"/>
          <w:sz w:val="22"/>
          <w:szCs w:val="22"/>
        </w:rPr>
        <w:t xml:space="preserve"> 3</w:t>
      </w:r>
      <w:r w:rsidRPr="00446659">
        <w:rPr>
          <w:color w:val="0070C0"/>
          <w:sz w:val="22"/>
          <w:szCs w:val="22"/>
        </w:rPr>
        <w:t>.</w:t>
      </w:r>
    </w:p>
    <w:p w14:paraId="117DC93B" w14:textId="77777777" w:rsidR="008044B1" w:rsidRPr="00446659" w:rsidRDefault="008044B1" w:rsidP="008044B1">
      <w:pPr>
        <w:pStyle w:val="Heading3"/>
        <w:rPr>
          <w:sz w:val="22"/>
          <w:szCs w:val="22"/>
        </w:rPr>
      </w:pPr>
      <w:r w:rsidRPr="00446659">
        <w:rPr>
          <w:sz w:val="22"/>
          <w:szCs w:val="22"/>
        </w:rPr>
        <w:t>Does Named Entity have a Prudential Regulator?</w:t>
      </w:r>
      <w:r w:rsidRPr="00446659">
        <w:rPr>
          <w:sz w:val="22"/>
          <w:szCs w:val="22"/>
        </w:rPr>
        <w:br/>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Y</w:t>
      </w:r>
      <w:r w:rsidR="006504CC" w:rsidRPr="00446659">
        <w:rPr>
          <w:sz w:val="22"/>
          <w:szCs w:val="22"/>
        </w:rPr>
        <w:t>es</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No</w:t>
      </w:r>
      <w:r w:rsidR="00335752" w:rsidRPr="00446659">
        <w:rPr>
          <w:sz w:val="22"/>
          <w:szCs w:val="22"/>
        </w:rPr>
        <w:br/>
      </w:r>
      <w:r w:rsidR="00335752" w:rsidRPr="00446659">
        <w:rPr>
          <w:sz w:val="22"/>
          <w:szCs w:val="22"/>
        </w:rPr>
        <w:br/>
      </w:r>
      <w:r w:rsidR="00DC3F34">
        <w:rPr>
          <w:i/>
          <w:color w:val="0070C0"/>
          <w:sz w:val="22"/>
          <w:szCs w:val="22"/>
        </w:rPr>
        <w:t>Go to the next item.</w:t>
      </w:r>
    </w:p>
    <w:p w14:paraId="219DA45E" w14:textId="77777777" w:rsidR="008044B1" w:rsidRPr="00446659" w:rsidRDefault="008044B1" w:rsidP="008044B1">
      <w:pPr>
        <w:pStyle w:val="Heading3"/>
        <w:rPr>
          <w:sz w:val="22"/>
          <w:szCs w:val="22"/>
        </w:rPr>
      </w:pPr>
      <w:r w:rsidRPr="00446659">
        <w:rPr>
          <w:sz w:val="22"/>
          <w:szCs w:val="22"/>
        </w:rPr>
        <w:t>Is Named Entity a Multi-</w:t>
      </w:r>
      <w:r w:rsidR="00CA33E1" w:rsidRPr="00446659">
        <w:rPr>
          <w:sz w:val="22"/>
          <w:szCs w:val="22"/>
        </w:rPr>
        <w:t>Branch E</w:t>
      </w:r>
      <w:r w:rsidRPr="00446659">
        <w:rPr>
          <w:sz w:val="22"/>
          <w:szCs w:val="22"/>
        </w:rPr>
        <w:t>ntity?</w:t>
      </w:r>
      <w:r w:rsidR="00E77C84">
        <w:rPr>
          <w:sz w:val="22"/>
          <w:szCs w:val="22"/>
        </w:rPr>
        <w:t xml:space="preserve">  </w:t>
      </w:r>
      <w:r w:rsidRPr="00446659">
        <w:rPr>
          <w:sz w:val="22"/>
          <w:szCs w:val="22"/>
        </w:rPr>
        <w:br/>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Y</w:t>
      </w:r>
      <w:r w:rsidR="006504CC" w:rsidRPr="00446659">
        <w:rPr>
          <w:sz w:val="22"/>
          <w:szCs w:val="22"/>
        </w:rPr>
        <w:t>es</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No</w:t>
      </w:r>
      <w:r w:rsidR="00335752" w:rsidRPr="00446659">
        <w:rPr>
          <w:sz w:val="22"/>
          <w:szCs w:val="22"/>
        </w:rPr>
        <w:br/>
      </w:r>
      <w:r w:rsidR="00335752" w:rsidRPr="00446659">
        <w:rPr>
          <w:sz w:val="22"/>
          <w:szCs w:val="22"/>
        </w:rPr>
        <w:br/>
      </w:r>
      <w:r w:rsidRPr="00446659">
        <w:rPr>
          <w:i/>
          <w:color w:val="0070C0"/>
          <w:sz w:val="22"/>
          <w:szCs w:val="22"/>
        </w:rPr>
        <w:t>Go to Part II</w:t>
      </w:r>
      <w:r w:rsidRPr="00446659">
        <w:rPr>
          <w:color w:val="0070C0"/>
          <w:sz w:val="22"/>
          <w:szCs w:val="22"/>
        </w:rPr>
        <w:t>.</w:t>
      </w:r>
    </w:p>
    <w:p w14:paraId="37B76C03" w14:textId="77777777" w:rsidR="008044B1" w:rsidRPr="00446659" w:rsidRDefault="008044B1">
      <w:pPr>
        <w:spacing w:after="0"/>
        <w:rPr>
          <w:rFonts w:eastAsia="Times New Roman" w:cs="Times New Roman"/>
          <w:color w:val="0070C0"/>
          <w:sz w:val="22"/>
          <w:szCs w:val="22"/>
        </w:rPr>
      </w:pPr>
      <w:r w:rsidRPr="00446659">
        <w:rPr>
          <w:color w:val="0070C0"/>
          <w:sz w:val="22"/>
          <w:szCs w:val="22"/>
        </w:rPr>
        <w:br w:type="page"/>
      </w:r>
    </w:p>
    <w:p w14:paraId="12B77BF8" w14:textId="77777777" w:rsidR="008044B1" w:rsidRPr="00446659" w:rsidRDefault="008044B1" w:rsidP="008044B1">
      <w:pPr>
        <w:pStyle w:val="BodyText"/>
        <w:ind w:firstLine="0"/>
        <w:rPr>
          <w:b/>
          <w:sz w:val="22"/>
          <w:szCs w:val="22"/>
          <w:u w:val="single"/>
        </w:rPr>
      </w:pPr>
      <w:r w:rsidRPr="00446659">
        <w:rPr>
          <w:b/>
          <w:sz w:val="22"/>
          <w:szCs w:val="22"/>
          <w:u w:val="single"/>
        </w:rPr>
        <w:lastRenderedPageBreak/>
        <w:t>PART II:  CONNECTION TO THE UNITED STATES</w:t>
      </w:r>
    </w:p>
    <w:p w14:paraId="241B9A82" w14:textId="77777777" w:rsidR="008044B1" w:rsidRPr="00446659" w:rsidRDefault="0047088D" w:rsidP="008044B1">
      <w:pPr>
        <w:pStyle w:val="Heading2"/>
        <w:numPr>
          <w:ilvl w:val="1"/>
          <w:numId w:val="33"/>
        </w:numPr>
        <w:rPr>
          <w:b/>
          <w:sz w:val="22"/>
          <w:szCs w:val="22"/>
        </w:rPr>
      </w:pPr>
      <w:r w:rsidRPr="00446659">
        <w:rPr>
          <w:b/>
          <w:sz w:val="22"/>
          <w:szCs w:val="22"/>
        </w:rPr>
        <w:t>General Questions</w:t>
      </w:r>
    </w:p>
    <w:p w14:paraId="520336A8" w14:textId="77777777" w:rsidR="007D3F0D" w:rsidRDefault="00BF2E7E" w:rsidP="0047088D">
      <w:pPr>
        <w:pStyle w:val="BodyText"/>
        <w:rPr>
          <w:i/>
          <w:sz w:val="22"/>
          <w:szCs w:val="22"/>
        </w:rPr>
      </w:pPr>
      <w:r>
        <w:rPr>
          <w:b/>
          <w:i/>
          <w:sz w:val="22"/>
          <w:szCs w:val="22"/>
          <w:u w:val="single"/>
        </w:rPr>
        <w:t>Explanat</w:t>
      </w:r>
      <w:r w:rsidR="008502AD" w:rsidRPr="00CD7034">
        <w:rPr>
          <w:b/>
          <w:i/>
          <w:sz w:val="22"/>
          <w:szCs w:val="22"/>
          <w:u w:val="single"/>
        </w:rPr>
        <w:t>o</w:t>
      </w:r>
      <w:r>
        <w:rPr>
          <w:b/>
          <w:i/>
          <w:sz w:val="22"/>
          <w:szCs w:val="22"/>
          <w:u w:val="single"/>
        </w:rPr>
        <w:t>ry Note</w:t>
      </w:r>
      <w:r w:rsidR="006262BD" w:rsidRPr="00CD7034">
        <w:rPr>
          <w:b/>
          <w:i/>
          <w:sz w:val="22"/>
          <w:szCs w:val="22"/>
        </w:rPr>
        <w:t>:</w:t>
      </w:r>
      <w:r w:rsidR="006262BD" w:rsidRPr="00446659">
        <w:rPr>
          <w:i/>
          <w:sz w:val="22"/>
          <w:szCs w:val="22"/>
        </w:rPr>
        <w:t xml:space="preserve">  These </w:t>
      </w:r>
      <w:r w:rsidR="00DC3F34">
        <w:rPr>
          <w:i/>
          <w:sz w:val="22"/>
          <w:szCs w:val="22"/>
        </w:rPr>
        <w:t>items</w:t>
      </w:r>
      <w:r w:rsidR="006262BD" w:rsidRPr="00446659">
        <w:rPr>
          <w:i/>
          <w:sz w:val="22"/>
          <w:szCs w:val="22"/>
        </w:rPr>
        <w:t xml:space="preserve"> are designed to elicit information necessary for a</w:t>
      </w:r>
      <w:r w:rsidR="007D3F0D" w:rsidRPr="00446659">
        <w:rPr>
          <w:i/>
          <w:sz w:val="22"/>
          <w:szCs w:val="22"/>
        </w:rPr>
        <w:t>n</w:t>
      </w:r>
      <w:r w:rsidR="006262BD" w:rsidRPr="00446659">
        <w:rPr>
          <w:i/>
          <w:sz w:val="22"/>
          <w:szCs w:val="22"/>
        </w:rPr>
        <w:t xml:space="preserve"> Information Recipient </w:t>
      </w:r>
      <w:r w:rsidR="00A01DF9">
        <w:rPr>
          <w:i/>
          <w:sz w:val="22"/>
          <w:szCs w:val="22"/>
        </w:rPr>
        <w:t xml:space="preserve">that is not a U.S. person </w:t>
      </w:r>
      <w:r w:rsidR="006262BD" w:rsidRPr="00446659">
        <w:rPr>
          <w:i/>
          <w:sz w:val="22"/>
          <w:szCs w:val="22"/>
        </w:rPr>
        <w:t xml:space="preserve">to determine whether it </w:t>
      </w:r>
      <w:r w:rsidR="00F70C94">
        <w:rPr>
          <w:i/>
          <w:sz w:val="22"/>
          <w:szCs w:val="22"/>
        </w:rPr>
        <w:t>must</w:t>
      </w:r>
      <w:r w:rsidR="006262BD" w:rsidRPr="00446659">
        <w:rPr>
          <w:i/>
          <w:sz w:val="22"/>
          <w:szCs w:val="22"/>
        </w:rPr>
        <w:t xml:space="preserve"> count transactions with </w:t>
      </w:r>
      <w:r w:rsidR="001C21CC">
        <w:rPr>
          <w:i/>
          <w:sz w:val="22"/>
          <w:szCs w:val="22"/>
        </w:rPr>
        <w:t>Named Entity</w:t>
      </w:r>
      <w:r w:rsidR="006262BD" w:rsidRPr="00446659">
        <w:rPr>
          <w:i/>
          <w:sz w:val="22"/>
          <w:szCs w:val="22"/>
        </w:rPr>
        <w:t xml:space="preserve"> toward aggregation thresholds for registrati</w:t>
      </w:r>
      <w:r w:rsidR="00DC3F34">
        <w:rPr>
          <w:i/>
          <w:sz w:val="22"/>
          <w:szCs w:val="22"/>
        </w:rPr>
        <w:t>on as an SD, SBSD, MSP or MSBSP</w:t>
      </w:r>
      <w:r w:rsidR="00F70C94">
        <w:rPr>
          <w:i/>
          <w:sz w:val="22"/>
          <w:szCs w:val="22"/>
        </w:rPr>
        <w:t>,</w:t>
      </w:r>
      <w:r w:rsidR="006262BD" w:rsidRPr="00446659">
        <w:rPr>
          <w:i/>
          <w:sz w:val="22"/>
          <w:szCs w:val="22"/>
        </w:rPr>
        <w:t xml:space="preserve"> as well as for a</w:t>
      </w:r>
      <w:r w:rsidR="00F70C94">
        <w:rPr>
          <w:i/>
          <w:sz w:val="22"/>
          <w:szCs w:val="22"/>
        </w:rPr>
        <w:t>n</w:t>
      </w:r>
      <w:r w:rsidR="006262BD" w:rsidRPr="00446659">
        <w:rPr>
          <w:i/>
          <w:sz w:val="22"/>
          <w:szCs w:val="22"/>
        </w:rPr>
        <w:t xml:space="preserve"> Information Recipient that is a registered SD or SBSD to determine whether </w:t>
      </w:r>
      <w:r w:rsidR="00F70C94">
        <w:rPr>
          <w:i/>
          <w:sz w:val="22"/>
          <w:szCs w:val="22"/>
        </w:rPr>
        <w:t xml:space="preserve">certain </w:t>
      </w:r>
      <w:r w:rsidR="006262BD" w:rsidRPr="00446659">
        <w:rPr>
          <w:i/>
          <w:sz w:val="22"/>
          <w:szCs w:val="22"/>
        </w:rPr>
        <w:t>CFTC, SEC and/or Prudential Regulator rules may apply to the relationship</w:t>
      </w:r>
      <w:r w:rsidR="00F70C94">
        <w:rPr>
          <w:i/>
          <w:sz w:val="22"/>
          <w:szCs w:val="22"/>
        </w:rPr>
        <w:t xml:space="preserve"> with Named Entity based on</w:t>
      </w:r>
      <w:r w:rsidR="001C21CC">
        <w:rPr>
          <w:i/>
          <w:sz w:val="22"/>
          <w:szCs w:val="22"/>
        </w:rPr>
        <w:t xml:space="preserve"> its</w:t>
      </w:r>
      <w:r w:rsidR="00F70C94">
        <w:rPr>
          <w:i/>
          <w:sz w:val="22"/>
          <w:szCs w:val="22"/>
        </w:rPr>
        <w:t xml:space="preserve"> nexus to the United </w:t>
      </w:r>
      <w:r w:rsidR="006262BD" w:rsidRPr="00446659">
        <w:rPr>
          <w:i/>
          <w:sz w:val="22"/>
          <w:szCs w:val="22"/>
        </w:rPr>
        <w:t>S</w:t>
      </w:r>
      <w:r w:rsidR="00F70C94">
        <w:rPr>
          <w:i/>
          <w:sz w:val="22"/>
          <w:szCs w:val="22"/>
        </w:rPr>
        <w:t>tates</w:t>
      </w:r>
      <w:r w:rsidR="006262BD" w:rsidRPr="00446659">
        <w:rPr>
          <w:i/>
          <w:sz w:val="22"/>
          <w:szCs w:val="22"/>
        </w:rPr>
        <w:t>.</w:t>
      </w:r>
    </w:p>
    <w:p w14:paraId="6054A52B" w14:textId="77777777" w:rsidR="005D2FAD" w:rsidRPr="00916A93" w:rsidRDefault="005D2FAD" w:rsidP="0047088D">
      <w:pPr>
        <w:pStyle w:val="BodyText"/>
        <w:rPr>
          <w:color w:val="0070C0"/>
          <w:sz w:val="22"/>
          <w:szCs w:val="22"/>
        </w:rPr>
      </w:pPr>
      <w:r w:rsidRPr="00916A93">
        <w:rPr>
          <w:i/>
          <w:color w:val="0070C0"/>
          <w:sz w:val="22"/>
          <w:szCs w:val="22"/>
          <w:lang w:val="en-GB"/>
        </w:rPr>
        <w:t>Answer the question</w:t>
      </w:r>
      <w:r w:rsidR="00DC3F34">
        <w:rPr>
          <w:i/>
          <w:color w:val="0070C0"/>
          <w:sz w:val="22"/>
          <w:szCs w:val="22"/>
          <w:lang w:val="en-GB"/>
        </w:rPr>
        <w:t xml:space="preserve"> in item 1</w:t>
      </w:r>
      <w:r w:rsidRPr="00916A93">
        <w:rPr>
          <w:i/>
          <w:color w:val="0070C0"/>
          <w:sz w:val="22"/>
          <w:szCs w:val="22"/>
          <w:lang w:val="en-GB"/>
        </w:rPr>
        <w:t xml:space="preserve"> and then follow the subsequent instructions.</w:t>
      </w:r>
    </w:p>
    <w:p w14:paraId="2A51502B" w14:textId="77777777" w:rsidR="00624F85" w:rsidRPr="00446659" w:rsidRDefault="007D3F0D" w:rsidP="0036770F">
      <w:pPr>
        <w:pStyle w:val="Heading3"/>
        <w:rPr>
          <w:sz w:val="22"/>
          <w:szCs w:val="22"/>
        </w:rPr>
      </w:pPr>
      <w:r w:rsidRPr="00446659">
        <w:rPr>
          <w:sz w:val="22"/>
          <w:szCs w:val="22"/>
          <w:u w:val="single"/>
        </w:rPr>
        <w:t>U.S. Resident or Entity</w:t>
      </w:r>
      <w:r w:rsidRPr="00446659">
        <w:rPr>
          <w:sz w:val="22"/>
          <w:szCs w:val="22"/>
        </w:rPr>
        <w:br/>
      </w:r>
      <w:r w:rsidRPr="00446659">
        <w:rPr>
          <w:sz w:val="22"/>
          <w:szCs w:val="22"/>
        </w:rPr>
        <w:br/>
      </w:r>
      <w:r w:rsidR="006262BD" w:rsidRPr="00446659">
        <w:rPr>
          <w:sz w:val="22"/>
          <w:szCs w:val="22"/>
        </w:rPr>
        <w:t xml:space="preserve">Is Named Entity </w:t>
      </w:r>
      <w:r w:rsidR="006262BD" w:rsidRPr="00EC16EB">
        <w:rPr>
          <w:sz w:val="22"/>
          <w:szCs w:val="22"/>
        </w:rPr>
        <w:t>a</w:t>
      </w:r>
      <w:r w:rsidR="00477D5B" w:rsidRPr="00EC16EB">
        <w:rPr>
          <w:sz w:val="22"/>
          <w:szCs w:val="22"/>
        </w:rPr>
        <w:t xml:space="preserve"> </w:t>
      </w:r>
      <w:r w:rsidR="00EC16EB">
        <w:rPr>
          <w:sz w:val="22"/>
          <w:szCs w:val="22"/>
        </w:rPr>
        <w:t>natural person</w:t>
      </w:r>
      <w:r w:rsidR="00477D5B" w:rsidRPr="00EC16EB">
        <w:rPr>
          <w:sz w:val="22"/>
          <w:szCs w:val="22"/>
        </w:rPr>
        <w:t xml:space="preserve"> resident in the United </w:t>
      </w:r>
      <w:r w:rsidR="006262BD" w:rsidRPr="00EC16EB">
        <w:rPr>
          <w:sz w:val="22"/>
          <w:szCs w:val="22"/>
        </w:rPr>
        <w:t>S</w:t>
      </w:r>
      <w:r w:rsidR="00477D5B" w:rsidRPr="00EC16EB">
        <w:rPr>
          <w:sz w:val="22"/>
          <w:szCs w:val="22"/>
        </w:rPr>
        <w:t>tates</w:t>
      </w:r>
      <w:r w:rsidR="006262BD" w:rsidRPr="00EC16EB">
        <w:rPr>
          <w:sz w:val="22"/>
          <w:szCs w:val="22"/>
        </w:rPr>
        <w:t xml:space="preserve"> or an entity organized under the laws of the </w:t>
      </w:r>
      <w:r w:rsidR="006262BD" w:rsidRPr="00DC3F34">
        <w:rPr>
          <w:sz w:val="22"/>
          <w:szCs w:val="22"/>
        </w:rPr>
        <w:t>United States</w:t>
      </w:r>
      <w:r w:rsidR="006262BD" w:rsidRPr="00446659">
        <w:rPr>
          <w:sz w:val="22"/>
          <w:szCs w:val="22"/>
        </w:rPr>
        <w:t>?</w:t>
      </w:r>
      <w:r w:rsidR="00CD28FA">
        <w:rPr>
          <w:rStyle w:val="FootnoteReference"/>
          <w:sz w:val="22"/>
          <w:szCs w:val="22"/>
        </w:rPr>
        <w:footnoteReference w:id="10"/>
      </w:r>
      <w:r w:rsidR="00EC16EB">
        <w:rPr>
          <w:sz w:val="22"/>
          <w:szCs w:val="22"/>
        </w:rPr>
        <w:t xml:space="preserve"> </w:t>
      </w:r>
      <w:r w:rsidR="006262BD" w:rsidRPr="00446659">
        <w:rPr>
          <w:sz w:val="22"/>
          <w:szCs w:val="22"/>
        </w:rPr>
        <w:br/>
      </w:r>
      <w:r w:rsidR="006262BD" w:rsidRPr="00446659">
        <w:rPr>
          <w:sz w:val="22"/>
          <w:szCs w:val="22"/>
        </w:rPr>
        <w:br/>
      </w:r>
      <w:r w:rsidR="006262BD" w:rsidRPr="00446659">
        <w:rPr>
          <w:sz w:val="22"/>
          <w:szCs w:val="22"/>
        </w:rPr>
        <w:fldChar w:fldCharType="begin">
          <w:ffData>
            <w:name w:val=""/>
            <w:enabled/>
            <w:calcOnExit w:val="0"/>
            <w:checkBox>
              <w:sizeAuto/>
              <w:default w:val="0"/>
            </w:checkBox>
          </w:ffData>
        </w:fldChar>
      </w:r>
      <w:r w:rsidR="006262BD" w:rsidRPr="00446659">
        <w:rPr>
          <w:sz w:val="22"/>
          <w:szCs w:val="22"/>
        </w:rPr>
        <w:instrText xml:space="preserve"> FORMCHECKBOX </w:instrText>
      </w:r>
      <w:r w:rsidR="00166DDA">
        <w:rPr>
          <w:sz w:val="22"/>
          <w:szCs w:val="22"/>
        </w:rPr>
      </w:r>
      <w:r w:rsidR="00166DDA">
        <w:rPr>
          <w:sz w:val="22"/>
          <w:szCs w:val="22"/>
        </w:rPr>
        <w:fldChar w:fldCharType="separate"/>
      </w:r>
      <w:r w:rsidR="006262BD" w:rsidRPr="00446659">
        <w:rPr>
          <w:sz w:val="22"/>
          <w:szCs w:val="22"/>
        </w:rPr>
        <w:fldChar w:fldCharType="end"/>
      </w:r>
      <w:r w:rsidR="006262BD" w:rsidRPr="00446659">
        <w:rPr>
          <w:sz w:val="22"/>
          <w:szCs w:val="22"/>
        </w:rPr>
        <w:t xml:space="preserve">  Y</w:t>
      </w:r>
      <w:r w:rsidR="006504CC" w:rsidRPr="00446659">
        <w:rPr>
          <w:sz w:val="22"/>
          <w:szCs w:val="22"/>
        </w:rPr>
        <w:t>es</w:t>
      </w:r>
      <w:r w:rsidR="006262BD" w:rsidRPr="00446659">
        <w:rPr>
          <w:sz w:val="22"/>
          <w:szCs w:val="22"/>
        </w:rPr>
        <w:br/>
      </w:r>
      <w:r w:rsidR="006262BD" w:rsidRPr="00446659">
        <w:rPr>
          <w:sz w:val="22"/>
          <w:szCs w:val="22"/>
        </w:rPr>
        <w:fldChar w:fldCharType="begin">
          <w:ffData>
            <w:name w:val=""/>
            <w:enabled/>
            <w:calcOnExit w:val="0"/>
            <w:checkBox>
              <w:sizeAuto/>
              <w:default w:val="0"/>
            </w:checkBox>
          </w:ffData>
        </w:fldChar>
      </w:r>
      <w:r w:rsidR="006262BD" w:rsidRPr="00446659">
        <w:rPr>
          <w:sz w:val="22"/>
          <w:szCs w:val="22"/>
        </w:rPr>
        <w:instrText xml:space="preserve"> FORMCHECKBOX </w:instrText>
      </w:r>
      <w:r w:rsidR="00166DDA">
        <w:rPr>
          <w:sz w:val="22"/>
          <w:szCs w:val="22"/>
        </w:rPr>
      </w:r>
      <w:r w:rsidR="00166DDA">
        <w:rPr>
          <w:sz w:val="22"/>
          <w:szCs w:val="22"/>
        </w:rPr>
        <w:fldChar w:fldCharType="separate"/>
      </w:r>
      <w:r w:rsidR="006262BD" w:rsidRPr="00446659">
        <w:rPr>
          <w:sz w:val="22"/>
          <w:szCs w:val="22"/>
        </w:rPr>
        <w:fldChar w:fldCharType="end"/>
      </w:r>
      <w:r w:rsidR="006262BD" w:rsidRPr="00446659">
        <w:rPr>
          <w:sz w:val="22"/>
          <w:szCs w:val="22"/>
        </w:rPr>
        <w:t xml:space="preserve">  No</w:t>
      </w:r>
      <w:r w:rsidR="0036770F" w:rsidRPr="00446659">
        <w:rPr>
          <w:sz w:val="22"/>
          <w:szCs w:val="22"/>
        </w:rPr>
        <w:br/>
      </w:r>
      <w:r w:rsidR="0036770F" w:rsidRPr="00446659">
        <w:rPr>
          <w:sz w:val="22"/>
          <w:szCs w:val="22"/>
        </w:rPr>
        <w:br/>
      </w:r>
      <w:r w:rsidR="0036770F" w:rsidRPr="00045D2F">
        <w:rPr>
          <w:i/>
          <w:color w:val="0070C0"/>
          <w:sz w:val="22"/>
          <w:szCs w:val="22"/>
        </w:rPr>
        <w:t>-</w:t>
      </w:r>
      <w:r w:rsidR="00624F85" w:rsidRPr="00045D2F">
        <w:rPr>
          <w:i/>
          <w:color w:val="0070C0"/>
          <w:sz w:val="22"/>
          <w:szCs w:val="22"/>
        </w:rPr>
        <w:t>If</w:t>
      </w:r>
      <w:r w:rsidR="00624F85" w:rsidRPr="00446659">
        <w:rPr>
          <w:i/>
          <w:color w:val="0070C0"/>
          <w:sz w:val="22"/>
          <w:szCs w:val="22"/>
        </w:rPr>
        <w:t xml:space="preserve"> Named Entity </w:t>
      </w:r>
      <w:r w:rsidR="00DC3F34">
        <w:rPr>
          <w:i/>
          <w:color w:val="0070C0"/>
          <w:sz w:val="22"/>
          <w:szCs w:val="22"/>
        </w:rPr>
        <w:t>ch</w:t>
      </w:r>
      <w:r w:rsidR="00624F85" w:rsidRPr="00446659">
        <w:rPr>
          <w:i/>
          <w:color w:val="0070C0"/>
          <w:sz w:val="22"/>
          <w:szCs w:val="22"/>
        </w:rPr>
        <w:t>e</w:t>
      </w:r>
      <w:r w:rsidR="00DC3F34">
        <w:rPr>
          <w:i/>
          <w:color w:val="0070C0"/>
          <w:sz w:val="22"/>
          <w:szCs w:val="22"/>
        </w:rPr>
        <w:t>cke</w:t>
      </w:r>
      <w:r w:rsidR="00624F85" w:rsidRPr="00446659">
        <w:rPr>
          <w:i/>
          <w:color w:val="0070C0"/>
          <w:sz w:val="22"/>
          <w:szCs w:val="22"/>
        </w:rPr>
        <w:t>d “Yes</w:t>
      </w:r>
      <w:r w:rsidR="00DC3F34">
        <w:rPr>
          <w:i/>
          <w:color w:val="0070C0"/>
          <w:sz w:val="22"/>
          <w:szCs w:val="22"/>
        </w:rPr>
        <w:t>,</w:t>
      </w:r>
      <w:r w:rsidR="00624F85" w:rsidRPr="00446659">
        <w:rPr>
          <w:i/>
          <w:color w:val="0070C0"/>
          <w:sz w:val="22"/>
          <w:szCs w:val="22"/>
        </w:rPr>
        <w:t>”</w:t>
      </w:r>
      <w:r w:rsidR="00DC3F34">
        <w:rPr>
          <w:i/>
          <w:color w:val="0070C0"/>
          <w:sz w:val="22"/>
          <w:szCs w:val="22"/>
        </w:rPr>
        <w:t xml:space="preserve"> skip the rest of this Part as well as Parts II.B, II.C, II.D</w:t>
      </w:r>
      <w:r w:rsidR="005D456B">
        <w:rPr>
          <w:i/>
          <w:color w:val="0070C0"/>
          <w:sz w:val="22"/>
          <w:szCs w:val="22"/>
        </w:rPr>
        <w:t>,</w:t>
      </w:r>
      <w:r w:rsidR="00DC3F34">
        <w:rPr>
          <w:i/>
          <w:color w:val="0070C0"/>
          <w:sz w:val="22"/>
          <w:szCs w:val="22"/>
        </w:rPr>
        <w:t xml:space="preserve"> and II.E (go to the next Part that Information Recipient has requested, if any).</w:t>
      </w:r>
      <w:r w:rsidR="00624F85" w:rsidRPr="00446659">
        <w:rPr>
          <w:i/>
          <w:color w:val="0070C0"/>
          <w:sz w:val="22"/>
          <w:szCs w:val="22"/>
        </w:rPr>
        <w:t xml:space="preserve">  </w:t>
      </w:r>
      <w:r w:rsidR="0036770F" w:rsidRPr="00446659">
        <w:rPr>
          <w:i/>
          <w:sz w:val="22"/>
          <w:szCs w:val="22"/>
        </w:rPr>
        <w:br/>
      </w:r>
      <w:r w:rsidR="0036770F" w:rsidRPr="00446659">
        <w:rPr>
          <w:i/>
          <w:sz w:val="22"/>
          <w:szCs w:val="22"/>
        </w:rPr>
        <w:br/>
      </w:r>
      <w:r w:rsidR="0036770F" w:rsidRPr="00446659">
        <w:rPr>
          <w:i/>
          <w:color w:val="0070C0"/>
          <w:sz w:val="22"/>
          <w:szCs w:val="22"/>
        </w:rPr>
        <w:t>-</w:t>
      </w:r>
      <w:r w:rsidR="00624F85" w:rsidRPr="00446659">
        <w:rPr>
          <w:i/>
          <w:color w:val="0070C0"/>
          <w:sz w:val="22"/>
          <w:szCs w:val="22"/>
        </w:rPr>
        <w:t xml:space="preserve">If Named Entity </w:t>
      </w:r>
      <w:r w:rsidR="00DC3F34">
        <w:rPr>
          <w:i/>
          <w:color w:val="0070C0"/>
          <w:sz w:val="22"/>
          <w:szCs w:val="22"/>
        </w:rPr>
        <w:t>checked</w:t>
      </w:r>
      <w:r w:rsidR="00624F85" w:rsidRPr="00446659">
        <w:rPr>
          <w:i/>
          <w:color w:val="0070C0"/>
          <w:sz w:val="22"/>
          <w:szCs w:val="22"/>
        </w:rPr>
        <w:t xml:space="preserve"> “No,” </w:t>
      </w:r>
      <w:r w:rsidR="00DC3F34">
        <w:rPr>
          <w:i/>
          <w:color w:val="0070C0"/>
          <w:sz w:val="22"/>
          <w:szCs w:val="22"/>
        </w:rPr>
        <w:t>go to the next item</w:t>
      </w:r>
      <w:r w:rsidR="00624F85" w:rsidRPr="00446659">
        <w:rPr>
          <w:i/>
          <w:color w:val="0070C0"/>
          <w:sz w:val="22"/>
          <w:szCs w:val="22"/>
        </w:rPr>
        <w:t xml:space="preserve">. </w:t>
      </w:r>
    </w:p>
    <w:p w14:paraId="0C7D4A88" w14:textId="77777777" w:rsidR="008502AD" w:rsidRPr="00446659" w:rsidRDefault="007D3F0D" w:rsidP="0036770F">
      <w:pPr>
        <w:pStyle w:val="Heading3"/>
        <w:rPr>
          <w:sz w:val="22"/>
          <w:szCs w:val="22"/>
        </w:rPr>
      </w:pPr>
      <w:r w:rsidRPr="00446659">
        <w:rPr>
          <w:sz w:val="22"/>
          <w:szCs w:val="22"/>
          <w:u w:val="single"/>
        </w:rPr>
        <w:t>U.S. Person</w:t>
      </w:r>
      <w:r w:rsidR="00446659">
        <w:rPr>
          <w:sz w:val="22"/>
          <w:szCs w:val="22"/>
          <w:u w:val="single"/>
        </w:rPr>
        <w:t xml:space="preserve"> (CFTC 2020 Rule</w:t>
      </w:r>
      <w:r w:rsidR="00A006CF">
        <w:rPr>
          <w:sz w:val="22"/>
          <w:szCs w:val="22"/>
          <w:u w:val="single"/>
        </w:rPr>
        <w:t>s</w:t>
      </w:r>
      <w:r w:rsidR="00446659">
        <w:rPr>
          <w:sz w:val="22"/>
          <w:szCs w:val="22"/>
          <w:u w:val="single"/>
        </w:rPr>
        <w:t>/SEC Rule</w:t>
      </w:r>
      <w:r w:rsidR="00A006CF">
        <w:rPr>
          <w:sz w:val="22"/>
          <w:szCs w:val="22"/>
          <w:u w:val="single"/>
        </w:rPr>
        <w:t>s</w:t>
      </w:r>
      <w:r w:rsidR="00446659">
        <w:rPr>
          <w:sz w:val="22"/>
          <w:szCs w:val="22"/>
          <w:u w:val="single"/>
        </w:rPr>
        <w:t>)</w:t>
      </w:r>
      <w:r w:rsidRPr="00446659">
        <w:rPr>
          <w:sz w:val="22"/>
          <w:szCs w:val="22"/>
        </w:rPr>
        <w:br/>
      </w:r>
      <w:r w:rsidRPr="00446659">
        <w:rPr>
          <w:sz w:val="22"/>
          <w:szCs w:val="22"/>
        </w:rPr>
        <w:br/>
      </w:r>
      <w:r w:rsidR="006262BD" w:rsidRPr="00446659">
        <w:rPr>
          <w:sz w:val="22"/>
          <w:szCs w:val="22"/>
        </w:rPr>
        <w:t xml:space="preserve">Is Named Entity </w:t>
      </w:r>
      <w:r w:rsidR="004C5EA0" w:rsidRPr="00446659">
        <w:rPr>
          <w:sz w:val="22"/>
          <w:szCs w:val="22"/>
        </w:rPr>
        <w:t>a U.S. Person (CFTC 2020 Rule</w:t>
      </w:r>
      <w:r w:rsidR="00A006CF">
        <w:rPr>
          <w:sz w:val="22"/>
          <w:szCs w:val="22"/>
        </w:rPr>
        <w:t>s</w:t>
      </w:r>
      <w:r w:rsidR="004C5EA0" w:rsidRPr="00446659">
        <w:rPr>
          <w:sz w:val="22"/>
          <w:szCs w:val="22"/>
        </w:rPr>
        <w:t>/SEC Rule</w:t>
      </w:r>
      <w:r w:rsidR="00A006CF">
        <w:rPr>
          <w:sz w:val="22"/>
          <w:szCs w:val="22"/>
        </w:rPr>
        <w:t>s</w:t>
      </w:r>
      <w:r w:rsidR="004C5EA0" w:rsidRPr="00446659">
        <w:rPr>
          <w:sz w:val="22"/>
          <w:szCs w:val="22"/>
        </w:rPr>
        <w:t>)?</w:t>
      </w:r>
      <w:r w:rsidR="004C5EA0" w:rsidRPr="00446659">
        <w:rPr>
          <w:sz w:val="22"/>
          <w:szCs w:val="22"/>
        </w:rPr>
        <w:br/>
      </w:r>
      <w:r w:rsidR="004C5EA0" w:rsidRPr="00446659">
        <w:rPr>
          <w:sz w:val="22"/>
          <w:szCs w:val="22"/>
        </w:rPr>
        <w:br/>
      </w:r>
      <w:r w:rsidR="004C5EA0" w:rsidRPr="00446659">
        <w:rPr>
          <w:sz w:val="22"/>
          <w:szCs w:val="22"/>
        </w:rPr>
        <w:fldChar w:fldCharType="begin">
          <w:ffData>
            <w:name w:val=""/>
            <w:enabled/>
            <w:calcOnExit w:val="0"/>
            <w:checkBox>
              <w:sizeAuto/>
              <w:default w:val="0"/>
            </w:checkBox>
          </w:ffData>
        </w:fldChar>
      </w:r>
      <w:r w:rsidR="004C5EA0" w:rsidRPr="00446659">
        <w:rPr>
          <w:sz w:val="22"/>
          <w:szCs w:val="22"/>
        </w:rPr>
        <w:instrText xml:space="preserve"> FORMCHECKBOX </w:instrText>
      </w:r>
      <w:r w:rsidR="00166DDA">
        <w:rPr>
          <w:sz w:val="22"/>
          <w:szCs w:val="22"/>
        </w:rPr>
      </w:r>
      <w:r w:rsidR="00166DDA">
        <w:rPr>
          <w:sz w:val="22"/>
          <w:szCs w:val="22"/>
        </w:rPr>
        <w:fldChar w:fldCharType="separate"/>
      </w:r>
      <w:r w:rsidR="004C5EA0" w:rsidRPr="00446659">
        <w:rPr>
          <w:sz w:val="22"/>
          <w:szCs w:val="22"/>
        </w:rPr>
        <w:fldChar w:fldCharType="end"/>
      </w:r>
      <w:r w:rsidR="004C5EA0" w:rsidRPr="00446659">
        <w:rPr>
          <w:sz w:val="22"/>
          <w:szCs w:val="22"/>
        </w:rPr>
        <w:t xml:space="preserve">  Y</w:t>
      </w:r>
      <w:r w:rsidR="006504CC" w:rsidRPr="00446659">
        <w:rPr>
          <w:sz w:val="22"/>
          <w:szCs w:val="22"/>
        </w:rPr>
        <w:t>es</w:t>
      </w:r>
      <w:r w:rsidR="004C5EA0" w:rsidRPr="00446659">
        <w:rPr>
          <w:sz w:val="22"/>
          <w:szCs w:val="22"/>
        </w:rPr>
        <w:br/>
      </w:r>
      <w:r w:rsidR="004C5EA0" w:rsidRPr="00446659">
        <w:rPr>
          <w:sz w:val="22"/>
          <w:szCs w:val="22"/>
        </w:rPr>
        <w:fldChar w:fldCharType="begin">
          <w:ffData>
            <w:name w:val=""/>
            <w:enabled/>
            <w:calcOnExit w:val="0"/>
            <w:checkBox>
              <w:sizeAuto/>
              <w:default w:val="0"/>
            </w:checkBox>
          </w:ffData>
        </w:fldChar>
      </w:r>
      <w:r w:rsidR="004C5EA0" w:rsidRPr="00446659">
        <w:rPr>
          <w:sz w:val="22"/>
          <w:szCs w:val="22"/>
        </w:rPr>
        <w:instrText xml:space="preserve"> FORMCHECKBOX </w:instrText>
      </w:r>
      <w:r w:rsidR="00166DDA">
        <w:rPr>
          <w:sz w:val="22"/>
          <w:szCs w:val="22"/>
        </w:rPr>
      </w:r>
      <w:r w:rsidR="00166DDA">
        <w:rPr>
          <w:sz w:val="22"/>
          <w:szCs w:val="22"/>
        </w:rPr>
        <w:fldChar w:fldCharType="separate"/>
      </w:r>
      <w:r w:rsidR="004C5EA0" w:rsidRPr="00446659">
        <w:rPr>
          <w:sz w:val="22"/>
          <w:szCs w:val="22"/>
        </w:rPr>
        <w:fldChar w:fldCharType="end"/>
      </w:r>
      <w:r w:rsidR="004C5EA0" w:rsidRPr="00446659">
        <w:rPr>
          <w:sz w:val="22"/>
          <w:szCs w:val="22"/>
        </w:rPr>
        <w:t xml:space="preserve">  No</w:t>
      </w:r>
      <w:r w:rsidR="0036770F" w:rsidRPr="00446659">
        <w:rPr>
          <w:sz w:val="22"/>
          <w:szCs w:val="22"/>
        </w:rPr>
        <w:br/>
      </w:r>
      <w:r w:rsidR="0036770F" w:rsidRPr="00446659">
        <w:rPr>
          <w:sz w:val="22"/>
          <w:szCs w:val="22"/>
        </w:rPr>
        <w:br/>
      </w:r>
      <w:r w:rsidR="0036770F" w:rsidRPr="004B6E53">
        <w:rPr>
          <w:i/>
          <w:color w:val="0070C0"/>
          <w:sz w:val="22"/>
          <w:szCs w:val="22"/>
        </w:rPr>
        <w:t>-</w:t>
      </w:r>
      <w:r w:rsidR="008502AD" w:rsidRPr="004B6E53">
        <w:rPr>
          <w:i/>
          <w:color w:val="0070C0"/>
          <w:sz w:val="22"/>
          <w:szCs w:val="22"/>
        </w:rPr>
        <w:t>If</w:t>
      </w:r>
      <w:r w:rsidR="008502AD" w:rsidRPr="00446659">
        <w:rPr>
          <w:i/>
          <w:color w:val="0070C0"/>
          <w:sz w:val="22"/>
          <w:szCs w:val="22"/>
        </w:rPr>
        <w:t xml:space="preserve"> Named Ent</w:t>
      </w:r>
      <w:r w:rsidR="00BA665C">
        <w:rPr>
          <w:i/>
          <w:color w:val="0070C0"/>
          <w:sz w:val="22"/>
          <w:szCs w:val="22"/>
        </w:rPr>
        <w:t xml:space="preserve">ity </w:t>
      </w:r>
      <w:r w:rsidR="00DC3F34">
        <w:rPr>
          <w:i/>
          <w:color w:val="0070C0"/>
          <w:sz w:val="22"/>
          <w:szCs w:val="22"/>
        </w:rPr>
        <w:t>checked</w:t>
      </w:r>
      <w:r w:rsidR="00BA665C">
        <w:rPr>
          <w:i/>
          <w:color w:val="0070C0"/>
          <w:sz w:val="22"/>
          <w:szCs w:val="22"/>
        </w:rPr>
        <w:t xml:space="preserve"> “Yes</w:t>
      </w:r>
      <w:r w:rsidR="00DC3F34">
        <w:rPr>
          <w:i/>
          <w:color w:val="0070C0"/>
          <w:sz w:val="22"/>
          <w:szCs w:val="22"/>
        </w:rPr>
        <w:t>,”</w:t>
      </w:r>
      <w:r w:rsidR="008502AD" w:rsidRPr="00446659">
        <w:rPr>
          <w:i/>
          <w:color w:val="0070C0"/>
          <w:sz w:val="22"/>
          <w:szCs w:val="22"/>
        </w:rPr>
        <w:t xml:space="preserve"> </w:t>
      </w:r>
      <w:r w:rsidR="005D456B">
        <w:rPr>
          <w:i/>
          <w:color w:val="0070C0"/>
          <w:sz w:val="22"/>
          <w:szCs w:val="22"/>
        </w:rPr>
        <w:t>skip Parts II.B, II.C, II.D and II.E (go to the next Part that Information Recipient has requested, if any).</w:t>
      </w:r>
      <w:r w:rsidR="008502AD" w:rsidRPr="00446659">
        <w:rPr>
          <w:i/>
          <w:sz w:val="22"/>
          <w:szCs w:val="22"/>
        </w:rPr>
        <w:t xml:space="preserve"> </w:t>
      </w:r>
      <w:r w:rsidR="0036770F" w:rsidRPr="00446659">
        <w:rPr>
          <w:i/>
          <w:sz w:val="22"/>
          <w:szCs w:val="22"/>
        </w:rPr>
        <w:br/>
      </w:r>
      <w:r w:rsidR="0036770F" w:rsidRPr="00446659">
        <w:rPr>
          <w:i/>
          <w:sz w:val="22"/>
          <w:szCs w:val="22"/>
        </w:rPr>
        <w:br/>
      </w:r>
      <w:r w:rsidR="0036770F" w:rsidRPr="00446659">
        <w:rPr>
          <w:i/>
          <w:color w:val="0070C0"/>
          <w:sz w:val="22"/>
          <w:szCs w:val="22"/>
        </w:rPr>
        <w:t>-</w:t>
      </w:r>
      <w:r w:rsidR="008502AD" w:rsidRPr="00446659">
        <w:rPr>
          <w:i/>
          <w:color w:val="0070C0"/>
          <w:sz w:val="22"/>
          <w:szCs w:val="22"/>
        </w:rPr>
        <w:t xml:space="preserve">If Named Entity </w:t>
      </w:r>
      <w:r w:rsidR="005D456B">
        <w:rPr>
          <w:i/>
          <w:color w:val="0070C0"/>
          <w:sz w:val="22"/>
          <w:szCs w:val="22"/>
        </w:rPr>
        <w:t xml:space="preserve">checked “No,” </w:t>
      </w:r>
      <w:r w:rsidR="008502AD" w:rsidRPr="00446659">
        <w:rPr>
          <w:i/>
          <w:color w:val="0070C0"/>
          <w:sz w:val="22"/>
          <w:szCs w:val="22"/>
        </w:rPr>
        <w:t xml:space="preserve">go to </w:t>
      </w:r>
      <w:r w:rsidR="00245310">
        <w:rPr>
          <w:i/>
          <w:color w:val="0070C0"/>
          <w:sz w:val="22"/>
          <w:szCs w:val="22"/>
        </w:rPr>
        <w:t>Part II.B</w:t>
      </w:r>
      <w:r w:rsidR="008502AD" w:rsidRPr="00446659">
        <w:rPr>
          <w:i/>
          <w:color w:val="0070C0"/>
          <w:sz w:val="22"/>
          <w:szCs w:val="22"/>
        </w:rPr>
        <w:t xml:space="preserve">. </w:t>
      </w:r>
    </w:p>
    <w:p w14:paraId="3DA0ECC4" w14:textId="77777777" w:rsidR="00B31DA5" w:rsidRPr="000C1094" w:rsidRDefault="00B31DA5" w:rsidP="000C1094">
      <w:pPr>
        <w:pStyle w:val="Heading2"/>
        <w:numPr>
          <w:ilvl w:val="0"/>
          <w:numId w:val="0"/>
        </w:numPr>
        <w:ind w:left="720"/>
        <w:rPr>
          <w:sz w:val="22"/>
          <w:szCs w:val="22"/>
        </w:rPr>
      </w:pPr>
    </w:p>
    <w:p w14:paraId="61A7FF3B" w14:textId="77777777" w:rsidR="008502AD" w:rsidRPr="00446659" w:rsidRDefault="008502AD" w:rsidP="008502AD">
      <w:pPr>
        <w:pStyle w:val="Heading2"/>
        <w:rPr>
          <w:sz w:val="22"/>
          <w:szCs w:val="22"/>
        </w:rPr>
      </w:pPr>
      <w:r w:rsidRPr="00446659">
        <w:rPr>
          <w:b/>
          <w:sz w:val="22"/>
          <w:szCs w:val="22"/>
        </w:rPr>
        <w:t>CFTC 2020 Rule</w:t>
      </w:r>
      <w:r w:rsidR="00A006CF">
        <w:rPr>
          <w:b/>
          <w:sz w:val="22"/>
          <w:szCs w:val="22"/>
        </w:rPr>
        <w:t>s</w:t>
      </w:r>
    </w:p>
    <w:p w14:paraId="04F76715" w14:textId="77777777" w:rsidR="008502AD" w:rsidRDefault="00BF2E7E" w:rsidP="008502AD">
      <w:pPr>
        <w:pStyle w:val="BodyText"/>
        <w:rPr>
          <w:i/>
          <w:sz w:val="22"/>
          <w:szCs w:val="22"/>
        </w:rPr>
      </w:pPr>
      <w:r>
        <w:rPr>
          <w:b/>
          <w:i/>
          <w:sz w:val="22"/>
          <w:szCs w:val="22"/>
          <w:u w:val="single"/>
        </w:rPr>
        <w:t>Explanatory Note</w:t>
      </w:r>
      <w:r w:rsidR="007D3F0D" w:rsidRPr="00CD7034">
        <w:rPr>
          <w:b/>
          <w:i/>
          <w:sz w:val="22"/>
          <w:szCs w:val="22"/>
        </w:rPr>
        <w:t>:</w:t>
      </w:r>
      <w:r w:rsidR="007D3F0D" w:rsidRPr="00446659">
        <w:rPr>
          <w:i/>
          <w:sz w:val="22"/>
          <w:szCs w:val="22"/>
        </w:rPr>
        <w:t xml:space="preserve">  These </w:t>
      </w:r>
      <w:r w:rsidR="005D456B">
        <w:rPr>
          <w:i/>
          <w:sz w:val="22"/>
          <w:szCs w:val="22"/>
        </w:rPr>
        <w:t>items</w:t>
      </w:r>
      <w:r w:rsidR="007D3F0D" w:rsidRPr="00446659">
        <w:rPr>
          <w:i/>
          <w:sz w:val="22"/>
          <w:szCs w:val="22"/>
        </w:rPr>
        <w:t xml:space="preserve"> are designed to elicit information necessary to allow an Information Recipient that is not </w:t>
      </w:r>
      <w:r w:rsidR="005D456B">
        <w:rPr>
          <w:i/>
          <w:sz w:val="22"/>
          <w:szCs w:val="22"/>
        </w:rPr>
        <w:t xml:space="preserve">a U.S. person </w:t>
      </w:r>
      <w:r w:rsidR="007D3F0D" w:rsidRPr="00446659">
        <w:rPr>
          <w:i/>
          <w:sz w:val="22"/>
          <w:szCs w:val="22"/>
        </w:rPr>
        <w:t xml:space="preserve">to determine whether it </w:t>
      </w:r>
      <w:r w:rsidR="00245310">
        <w:rPr>
          <w:i/>
          <w:sz w:val="22"/>
          <w:szCs w:val="22"/>
        </w:rPr>
        <w:t>must</w:t>
      </w:r>
      <w:r w:rsidR="007D3F0D" w:rsidRPr="00446659">
        <w:rPr>
          <w:i/>
          <w:sz w:val="22"/>
          <w:szCs w:val="22"/>
        </w:rPr>
        <w:t xml:space="preserve"> count transactions with </w:t>
      </w:r>
      <w:r w:rsidR="001C21CC">
        <w:rPr>
          <w:i/>
          <w:sz w:val="22"/>
          <w:szCs w:val="22"/>
        </w:rPr>
        <w:t>Named Entity</w:t>
      </w:r>
      <w:r w:rsidR="007D3F0D" w:rsidRPr="00446659">
        <w:rPr>
          <w:i/>
          <w:sz w:val="22"/>
          <w:szCs w:val="22"/>
        </w:rPr>
        <w:t xml:space="preserve"> toward CFTC aggregation thresholds for registration </w:t>
      </w:r>
      <w:r w:rsidR="00A01DF9">
        <w:rPr>
          <w:i/>
          <w:sz w:val="22"/>
          <w:szCs w:val="22"/>
        </w:rPr>
        <w:t xml:space="preserve">as an SD or MSP </w:t>
      </w:r>
      <w:r w:rsidR="007D3F0D" w:rsidRPr="00446659">
        <w:rPr>
          <w:i/>
          <w:sz w:val="22"/>
          <w:szCs w:val="22"/>
        </w:rPr>
        <w:t>as well as for a</w:t>
      </w:r>
      <w:r w:rsidR="0023160A">
        <w:rPr>
          <w:i/>
          <w:sz w:val="22"/>
          <w:szCs w:val="22"/>
        </w:rPr>
        <w:t xml:space="preserve">n Information Recipient that is a </w:t>
      </w:r>
      <w:r w:rsidR="007D3F0D" w:rsidRPr="00446659">
        <w:rPr>
          <w:i/>
          <w:sz w:val="22"/>
          <w:szCs w:val="22"/>
        </w:rPr>
        <w:t xml:space="preserve"> registered SD to determine whether</w:t>
      </w:r>
      <w:r w:rsidR="00245310">
        <w:rPr>
          <w:i/>
          <w:sz w:val="22"/>
          <w:szCs w:val="22"/>
        </w:rPr>
        <w:t xml:space="preserve"> certain</w:t>
      </w:r>
      <w:r w:rsidR="007D3F0D" w:rsidRPr="00446659">
        <w:rPr>
          <w:i/>
          <w:sz w:val="22"/>
          <w:szCs w:val="22"/>
        </w:rPr>
        <w:t xml:space="preserve"> CFTC rules may apply to the relationship </w:t>
      </w:r>
      <w:r w:rsidR="00245310">
        <w:rPr>
          <w:i/>
          <w:sz w:val="22"/>
          <w:szCs w:val="22"/>
        </w:rPr>
        <w:t xml:space="preserve">with Named Entity based on </w:t>
      </w:r>
      <w:r w:rsidR="003E56EA">
        <w:rPr>
          <w:i/>
          <w:sz w:val="22"/>
          <w:szCs w:val="22"/>
        </w:rPr>
        <w:t xml:space="preserve">its </w:t>
      </w:r>
      <w:r w:rsidR="00245310">
        <w:rPr>
          <w:i/>
          <w:sz w:val="22"/>
          <w:szCs w:val="22"/>
        </w:rPr>
        <w:t xml:space="preserve">nexus to the United </w:t>
      </w:r>
      <w:r w:rsidR="007D3F0D" w:rsidRPr="00446659">
        <w:rPr>
          <w:i/>
          <w:sz w:val="22"/>
          <w:szCs w:val="22"/>
        </w:rPr>
        <w:t>S</w:t>
      </w:r>
      <w:r w:rsidR="00245310">
        <w:rPr>
          <w:i/>
          <w:sz w:val="22"/>
          <w:szCs w:val="22"/>
        </w:rPr>
        <w:t>tates</w:t>
      </w:r>
      <w:r w:rsidR="007D3F0D" w:rsidRPr="00446659">
        <w:rPr>
          <w:i/>
          <w:sz w:val="22"/>
          <w:szCs w:val="22"/>
        </w:rPr>
        <w:t>.</w:t>
      </w:r>
    </w:p>
    <w:p w14:paraId="223A52A5" w14:textId="77777777" w:rsidR="005D2FAD" w:rsidRPr="00916A93" w:rsidRDefault="005D2FAD" w:rsidP="008502AD">
      <w:pPr>
        <w:pStyle w:val="BodyText"/>
        <w:rPr>
          <w:i/>
          <w:color w:val="0070C0"/>
          <w:sz w:val="22"/>
          <w:szCs w:val="22"/>
        </w:rPr>
      </w:pPr>
      <w:r w:rsidRPr="00916A93">
        <w:rPr>
          <w:i/>
          <w:color w:val="0070C0"/>
          <w:sz w:val="22"/>
          <w:szCs w:val="22"/>
          <w:lang w:val="en-GB"/>
        </w:rPr>
        <w:t>Answer the question</w:t>
      </w:r>
      <w:r w:rsidR="005D456B">
        <w:rPr>
          <w:i/>
          <w:color w:val="0070C0"/>
          <w:sz w:val="22"/>
          <w:szCs w:val="22"/>
          <w:lang w:val="en-GB"/>
        </w:rPr>
        <w:t xml:space="preserve"> in item 1</w:t>
      </w:r>
      <w:r w:rsidRPr="00916A93">
        <w:rPr>
          <w:i/>
          <w:color w:val="0070C0"/>
          <w:sz w:val="22"/>
          <w:szCs w:val="22"/>
          <w:lang w:val="en-GB"/>
        </w:rPr>
        <w:t xml:space="preserve"> and then follow the subsequent instructions.</w:t>
      </w:r>
    </w:p>
    <w:p w14:paraId="32813864" w14:textId="77777777" w:rsidR="00045F5A" w:rsidRPr="00446659" w:rsidRDefault="007D3F0D" w:rsidP="0036770F">
      <w:pPr>
        <w:pStyle w:val="Heading3"/>
        <w:rPr>
          <w:sz w:val="22"/>
          <w:szCs w:val="22"/>
        </w:rPr>
      </w:pPr>
      <w:r w:rsidRPr="00446659">
        <w:rPr>
          <w:sz w:val="22"/>
          <w:szCs w:val="22"/>
          <w:u w:val="single"/>
        </w:rPr>
        <w:t>U.S. Person Guarantees</w:t>
      </w:r>
      <w:r w:rsidRPr="00446659">
        <w:rPr>
          <w:sz w:val="22"/>
          <w:szCs w:val="22"/>
        </w:rPr>
        <w:br/>
      </w:r>
      <w:r w:rsidRPr="00446659">
        <w:rPr>
          <w:sz w:val="22"/>
          <w:szCs w:val="22"/>
        </w:rPr>
        <w:br/>
        <w:t>Does Named Entity have a</w:t>
      </w:r>
      <w:r w:rsidR="00985F0D" w:rsidRPr="00446659">
        <w:rPr>
          <w:sz w:val="22"/>
          <w:szCs w:val="22"/>
        </w:rPr>
        <w:t>ny</w:t>
      </w:r>
      <w:r w:rsidRPr="00446659">
        <w:rPr>
          <w:sz w:val="22"/>
          <w:szCs w:val="22"/>
        </w:rPr>
        <w:t xml:space="preserve"> U.S. Person Guarantee</w:t>
      </w:r>
      <w:r w:rsidR="00245310">
        <w:rPr>
          <w:sz w:val="22"/>
          <w:szCs w:val="22"/>
        </w:rPr>
        <w:t>s</w:t>
      </w:r>
      <w:r w:rsidRPr="00446659">
        <w:rPr>
          <w:sz w:val="22"/>
          <w:szCs w:val="22"/>
        </w:rPr>
        <w:t xml:space="preserve"> (CFTC 2020 Rule</w:t>
      </w:r>
      <w:r w:rsidR="00A006CF">
        <w:rPr>
          <w:sz w:val="22"/>
          <w:szCs w:val="22"/>
        </w:rPr>
        <w:t>s</w:t>
      </w:r>
      <w:r w:rsidRPr="00446659">
        <w:rPr>
          <w:sz w:val="22"/>
          <w:szCs w:val="22"/>
        </w:rPr>
        <w:t>)?</w:t>
      </w:r>
      <w:r w:rsidR="00985F0D" w:rsidRPr="00446659">
        <w:rPr>
          <w:sz w:val="22"/>
          <w:szCs w:val="22"/>
        </w:rPr>
        <w:br/>
      </w:r>
      <w:r w:rsidR="00985F0D" w:rsidRPr="00446659">
        <w:rPr>
          <w:sz w:val="22"/>
          <w:szCs w:val="22"/>
        </w:rPr>
        <w:br/>
      </w:r>
      <w:r w:rsidR="00C11E9A" w:rsidRPr="00446659">
        <w:rPr>
          <w:i/>
          <w:sz w:val="22"/>
          <w:szCs w:val="22"/>
        </w:rPr>
        <w:t>Checking the box next to “U.S. Person Guarantees</w:t>
      </w:r>
      <w:r w:rsidR="00CD28FA">
        <w:rPr>
          <w:i/>
          <w:sz w:val="22"/>
          <w:szCs w:val="22"/>
        </w:rPr>
        <w:t xml:space="preserve"> (CFTC 2020 Rules)</w:t>
      </w:r>
      <w:r w:rsidR="00C11E9A" w:rsidRPr="00446659">
        <w:rPr>
          <w:i/>
          <w:sz w:val="22"/>
          <w:szCs w:val="22"/>
        </w:rPr>
        <w:t xml:space="preserve">” indicates that one or more of Named Entity’s obligations in </w:t>
      </w:r>
      <w:r w:rsidR="00A077A1">
        <w:rPr>
          <w:i/>
          <w:sz w:val="22"/>
          <w:szCs w:val="22"/>
        </w:rPr>
        <w:t>S</w:t>
      </w:r>
      <w:r w:rsidR="00C11E9A" w:rsidRPr="00446659">
        <w:rPr>
          <w:i/>
          <w:sz w:val="22"/>
          <w:szCs w:val="22"/>
        </w:rPr>
        <w:t xml:space="preserve">waps with Recipient </w:t>
      </w:r>
      <w:r w:rsidR="00CD28FA">
        <w:rPr>
          <w:i/>
          <w:sz w:val="22"/>
          <w:szCs w:val="22"/>
        </w:rPr>
        <w:t>are subject to</w:t>
      </w:r>
      <w:r w:rsidR="00C11E9A" w:rsidRPr="00446659">
        <w:rPr>
          <w:i/>
          <w:sz w:val="22"/>
          <w:szCs w:val="22"/>
        </w:rPr>
        <w:t xml:space="preserve"> a U.S. Person Guarantee (CFTC 2020 Rule</w:t>
      </w:r>
      <w:r w:rsidR="00A006CF">
        <w:rPr>
          <w:i/>
          <w:sz w:val="22"/>
          <w:szCs w:val="22"/>
        </w:rPr>
        <w:t>s</w:t>
      </w:r>
      <w:r w:rsidR="00C11E9A" w:rsidRPr="00446659">
        <w:rPr>
          <w:i/>
          <w:sz w:val="22"/>
          <w:szCs w:val="22"/>
        </w:rPr>
        <w:t>).</w:t>
      </w:r>
      <w:r w:rsidR="00C11E9A" w:rsidRPr="00446659">
        <w:rPr>
          <w:i/>
          <w:sz w:val="22"/>
          <w:szCs w:val="22"/>
        </w:rPr>
        <w:br/>
      </w:r>
      <w:r w:rsidR="00C11E9A" w:rsidRPr="00446659">
        <w:rPr>
          <w:i/>
          <w:sz w:val="22"/>
          <w:szCs w:val="22"/>
        </w:rPr>
        <w:br/>
      </w:r>
      <w:r w:rsidR="00985F0D" w:rsidRPr="00446659">
        <w:rPr>
          <w:i/>
          <w:sz w:val="22"/>
          <w:szCs w:val="22"/>
        </w:rPr>
        <w:t>Checking the box next to “No U.S. Person Guarantees</w:t>
      </w:r>
      <w:r w:rsidR="00CD28FA">
        <w:rPr>
          <w:i/>
          <w:sz w:val="22"/>
          <w:szCs w:val="22"/>
        </w:rPr>
        <w:t xml:space="preserve"> (CFTC 2020 Rules)</w:t>
      </w:r>
      <w:r w:rsidR="00985F0D" w:rsidRPr="00446659">
        <w:rPr>
          <w:i/>
          <w:sz w:val="22"/>
          <w:szCs w:val="22"/>
        </w:rPr>
        <w:t xml:space="preserve">” indicates that, to Named Entity’s knowledge, </w:t>
      </w:r>
      <w:r w:rsidR="00985F0D" w:rsidRPr="00D46752">
        <w:rPr>
          <w:i/>
          <w:sz w:val="22"/>
          <w:szCs w:val="22"/>
          <w:u w:val="single"/>
        </w:rPr>
        <w:t>none</w:t>
      </w:r>
      <w:r w:rsidR="00985F0D" w:rsidRPr="00446659">
        <w:rPr>
          <w:i/>
          <w:sz w:val="22"/>
          <w:szCs w:val="22"/>
        </w:rPr>
        <w:t xml:space="preserve"> of</w:t>
      </w:r>
      <w:r w:rsidR="00A077A1">
        <w:rPr>
          <w:i/>
          <w:sz w:val="22"/>
          <w:szCs w:val="22"/>
        </w:rPr>
        <w:t xml:space="preserve"> Named Entity’s obligations in S</w:t>
      </w:r>
      <w:r w:rsidR="00985F0D" w:rsidRPr="00446659">
        <w:rPr>
          <w:i/>
          <w:sz w:val="22"/>
          <w:szCs w:val="22"/>
        </w:rPr>
        <w:t>w</w:t>
      </w:r>
      <w:r w:rsidR="00A077A1">
        <w:rPr>
          <w:i/>
          <w:sz w:val="22"/>
          <w:szCs w:val="22"/>
        </w:rPr>
        <w:t>aps with Recipient (other than S</w:t>
      </w:r>
      <w:r w:rsidR="00985F0D" w:rsidRPr="00446659">
        <w:rPr>
          <w:i/>
          <w:sz w:val="22"/>
          <w:szCs w:val="22"/>
        </w:rPr>
        <w:t xml:space="preserve">waps notified to Recipient in writing prior to execution) </w:t>
      </w:r>
      <w:r w:rsidR="00CD28FA">
        <w:rPr>
          <w:i/>
          <w:sz w:val="22"/>
          <w:szCs w:val="22"/>
        </w:rPr>
        <w:t>are subject to</w:t>
      </w:r>
      <w:r w:rsidR="00985F0D" w:rsidRPr="00446659">
        <w:rPr>
          <w:i/>
          <w:sz w:val="22"/>
          <w:szCs w:val="22"/>
        </w:rPr>
        <w:t xml:space="preserve"> a U.S. Person Guarantee (CFTC 2020 Rule</w:t>
      </w:r>
      <w:r w:rsidR="00A006CF">
        <w:rPr>
          <w:i/>
          <w:sz w:val="22"/>
          <w:szCs w:val="22"/>
        </w:rPr>
        <w:t>s</w:t>
      </w:r>
      <w:r w:rsidR="00985F0D" w:rsidRPr="00446659">
        <w:rPr>
          <w:i/>
          <w:sz w:val="22"/>
          <w:szCs w:val="22"/>
        </w:rPr>
        <w:t xml:space="preserve">). </w:t>
      </w:r>
      <w:r w:rsidR="00985F0D" w:rsidRPr="00446659">
        <w:rPr>
          <w:i/>
          <w:sz w:val="22"/>
          <w:szCs w:val="22"/>
        </w:rPr>
        <w:br/>
      </w:r>
      <w:r w:rsidR="00985F0D" w:rsidRPr="00446659">
        <w:rPr>
          <w:i/>
          <w:sz w:val="22"/>
          <w:szCs w:val="22"/>
        </w:rPr>
        <w:br/>
      </w:r>
      <w:r w:rsidR="00C11E9A" w:rsidRPr="00446659">
        <w:rPr>
          <w:sz w:val="22"/>
          <w:szCs w:val="22"/>
        </w:rPr>
        <w:fldChar w:fldCharType="begin">
          <w:ffData>
            <w:name w:val=""/>
            <w:enabled/>
            <w:calcOnExit w:val="0"/>
            <w:checkBox>
              <w:sizeAuto/>
              <w:default w:val="0"/>
            </w:checkBox>
          </w:ffData>
        </w:fldChar>
      </w:r>
      <w:r w:rsidR="00C11E9A" w:rsidRPr="00446659">
        <w:rPr>
          <w:sz w:val="22"/>
          <w:szCs w:val="22"/>
        </w:rPr>
        <w:instrText xml:space="preserve"> FORMCHECKBOX </w:instrText>
      </w:r>
      <w:r w:rsidR="00166DDA">
        <w:rPr>
          <w:sz w:val="22"/>
          <w:szCs w:val="22"/>
        </w:rPr>
      </w:r>
      <w:r w:rsidR="00166DDA">
        <w:rPr>
          <w:sz w:val="22"/>
          <w:szCs w:val="22"/>
        </w:rPr>
        <w:fldChar w:fldCharType="separate"/>
      </w:r>
      <w:r w:rsidR="00C11E9A" w:rsidRPr="00446659">
        <w:rPr>
          <w:sz w:val="22"/>
          <w:szCs w:val="22"/>
        </w:rPr>
        <w:fldChar w:fldCharType="end"/>
      </w:r>
      <w:r w:rsidR="00C11E9A" w:rsidRPr="00446659">
        <w:rPr>
          <w:sz w:val="22"/>
          <w:szCs w:val="22"/>
        </w:rPr>
        <w:t xml:space="preserve">  U.S. Person Guarantees (CFTC 2020 Rule</w:t>
      </w:r>
      <w:r w:rsidR="00A006CF">
        <w:rPr>
          <w:sz w:val="22"/>
          <w:szCs w:val="22"/>
        </w:rPr>
        <w:t>s</w:t>
      </w:r>
      <w:r w:rsidR="00C11E9A" w:rsidRPr="00446659">
        <w:rPr>
          <w:sz w:val="22"/>
          <w:szCs w:val="22"/>
        </w:rPr>
        <w:t>)</w:t>
      </w:r>
      <w:r w:rsidR="00985F0D" w:rsidRPr="00446659">
        <w:rPr>
          <w:sz w:val="22"/>
          <w:szCs w:val="22"/>
        </w:rPr>
        <w:br/>
      </w:r>
      <w:r w:rsidR="00985F0D" w:rsidRPr="00446659">
        <w:rPr>
          <w:sz w:val="22"/>
          <w:szCs w:val="22"/>
        </w:rPr>
        <w:fldChar w:fldCharType="begin">
          <w:ffData>
            <w:name w:val=""/>
            <w:enabled/>
            <w:calcOnExit w:val="0"/>
            <w:checkBox>
              <w:sizeAuto/>
              <w:default w:val="0"/>
            </w:checkBox>
          </w:ffData>
        </w:fldChar>
      </w:r>
      <w:r w:rsidR="00985F0D" w:rsidRPr="00446659">
        <w:rPr>
          <w:sz w:val="22"/>
          <w:szCs w:val="22"/>
        </w:rPr>
        <w:instrText xml:space="preserve"> FORMCHECKBOX </w:instrText>
      </w:r>
      <w:r w:rsidR="00166DDA">
        <w:rPr>
          <w:sz w:val="22"/>
          <w:szCs w:val="22"/>
        </w:rPr>
      </w:r>
      <w:r w:rsidR="00166DDA">
        <w:rPr>
          <w:sz w:val="22"/>
          <w:szCs w:val="22"/>
        </w:rPr>
        <w:fldChar w:fldCharType="separate"/>
      </w:r>
      <w:r w:rsidR="00985F0D" w:rsidRPr="00446659">
        <w:rPr>
          <w:sz w:val="22"/>
          <w:szCs w:val="22"/>
        </w:rPr>
        <w:fldChar w:fldCharType="end"/>
      </w:r>
      <w:r w:rsidR="00985F0D" w:rsidRPr="00446659">
        <w:rPr>
          <w:sz w:val="22"/>
          <w:szCs w:val="22"/>
        </w:rPr>
        <w:t xml:space="preserve">  No U.S. Person Guarantees (CFTC 2020 Rule</w:t>
      </w:r>
      <w:r w:rsidR="00A006CF">
        <w:rPr>
          <w:sz w:val="22"/>
          <w:szCs w:val="22"/>
        </w:rPr>
        <w:t>s</w:t>
      </w:r>
      <w:r w:rsidR="00985F0D" w:rsidRPr="00446659">
        <w:rPr>
          <w:sz w:val="22"/>
          <w:szCs w:val="22"/>
        </w:rPr>
        <w:t>)</w:t>
      </w:r>
      <w:r w:rsidR="0036770F" w:rsidRPr="00446659">
        <w:rPr>
          <w:sz w:val="22"/>
          <w:szCs w:val="22"/>
        </w:rPr>
        <w:br/>
      </w:r>
      <w:r w:rsidR="0036770F" w:rsidRPr="00446659">
        <w:rPr>
          <w:sz w:val="22"/>
          <w:szCs w:val="22"/>
        </w:rPr>
        <w:br/>
      </w:r>
      <w:r w:rsidR="0036770F" w:rsidRPr="00446659">
        <w:rPr>
          <w:i/>
          <w:color w:val="0070C0"/>
          <w:sz w:val="22"/>
          <w:szCs w:val="22"/>
        </w:rPr>
        <w:t>-</w:t>
      </w:r>
      <w:r w:rsidR="001E7E74" w:rsidRPr="00446659">
        <w:rPr>
          <w:i/>
          <w:color w:val="0070C0"/>
          <w:sz w:val="22"/>
          <w:szCs w:val="22"/>
        </w:rPr>
        <w:t>If Named Entity checked “U.S. Person Guarantees</w:t>
      </w:r>
      <w:r w:rsidR="008E4069">
        <w:rPr>
          <w:i/>
          <w:color w:val="0070C0"/>
          <w:sz w:val="22"/>
          <w:szCs w:val="22"/>
        </w:rPr>
        <w:t xml:space="preserve"> (CFTC 2020 Rules)</w:t>
      </w:r>
      <w:r w:rsidR="001E7E74" w:rsidRPr="00446659">
        <w:rPr>
          <w:i/>
          <w:color w:val="0070C0"/>
          <w:sz w:val="22"/>
          <w:szCs w:val="22"/>
        </w:rPr>
        <w:t xml:space="preserve">,” </w:t>
      </w:r>
      <w:r w:rsidR="00830721">
        <w:rPr>
          <w:i/>
          <w:color w:val="0070C0"/>
          <w:sz w:val="22"/>
          <w:szCs w:val="22"/>
        </w:rPr>
        <w:t xml:space="preserve">then: </w:t>
      </w:r>
      <w:r w:rsidR="00830721">
        <w:rPr>
          <w:i/>
          <w:color w:val="0070C0"/>
          <w:sz w:val="22"/>
          <w:szCs w:val="22"/>
        </w:rPr>
        <w:br/>
      </w:r>
      <w:r w:rsidR="00830721">
        <w:rPr>
          <w:i/>
          <w:color w:val="0070C0"/>
          <w:sz w:val="22"/>
          <w:szCs w:val="22"/>
        </w:rPr>
        <w:br/>
      </w:r>
      <w:r w:rsidR="00E97333">
        <w:rPr>
          <w:i/>
          <w:color w:val="0070C0"/>
          <w:sz w:val="22"/>
          <w:szCs w:val="22"/>
        </w:rPr>
        <w:tab/>
        <w:t>I</w:t>
      </w:r>
      <w:r w:rsidR="00830721">
        <w:rPr>
          <w:i/>
          <w:color w:val="0070C0"/>
          <w:sz w:val="22"/>
          <w:szCs w:val="22"/>
        </w:rPr>
        <w:t>f Named Entity is not an SD</w:t>
      </w:r>
      <w:r w:rsidR="00E97333">
        <w:rPr>
          <w:i/>
          <w:color w:val="0070C0"/>
          <w:sz w:val="22"/>
          <w:szCs w:val="22"/>
        </w:rPr>
        <w:t xml:space="preserve"> and Information Recipient </w:t>
      </w:r>
      <w:r w:rsidR="00045D2F">
        <w:rPr>
          <w:i/>
          <w:color w:val="0070C0"/>
          <w:sz w:val="22"/>
          <w:szCs w:val="22"/>
        </w:rPr>
        <w:t>is</w:t>
      </w:r>
      <w:r w:rsidR="00E97333">
        <w:rPr>
          <w:i/>
          <w:color w:val="0070C0"/>
          <w:sz w:val="22"/>
          <w:szCs w:val="22"/>
        </w:rPr>
        <w:t xml:space="preserve"> a </w:t>
      </w:r>
      <w:r w:rsidR="00E97333" w:rsidRPr="0076154D">
        <w:rPr>
          <w:i/>
          <w:color w:val="0070C0"/>
          <w:sz w:val="22"/>
          <w:szCs w:val="22"/>
        </w:rPr>
        <w:t xml:space="preserve">Swap </w:t>
      </w:r>
      <w:r w:rsidR="0076154D" w:rsidRPr="0076154D">
        <w:rPr>
          <w:i/>
          <w:color w:val="0070C0"/>
          <w:sz w:val="22"/>
          <w:szCs w:val="22"/>
        </w:rPr>
        <w:t xml:space="preserve">Dealer De Minimis </w:t>
      </w:r>
      <w:r w:rsidR="00E97333" w:rsidRPr="0076154D">
        <w:rPr>
          <w:i/>
          <w:color w:val="0070C0"/>
          <w:sz w:val="22"/>
          <w:szCs w:val="22"/>
        </w:rPr>
        <w:t>Counting Entity</w:t>
      </w:r>
      <w:r w:rsidR="00E97333">
        <w:rPr>
          <w:i/>
          <w:color w:val="0070C0"/>
          <w:sz w:val="22"/>
          <w:szCs w:val="22"/>
        </w:rPr>
        <w:t>, go to the next item.  Otherwise, skip the rest of this Part II.B (go to the next Part that Information Recipient has requested, if any).</w:t>
      </w:r>
      <w:r w:rsidR="00830721">
        <w:rPr>
          <w:i/>
          <w:color w:val="0070C0"/>
          <w:sz w:val="22"/>
          <w:szCs w:val="22"/>
        </w:rPr>
        <w:br/>
      </w:r>
      <w:r w:rsidR="0036770F" w:rsidRPr="00446659">
        <w:rPr>
          <w:i/>
          <w:color w:val="0070C0"/>
          <w:sz w:val="22"/>
          <w:szCs w:val="22"/>
        </w:rPr>
        <w:br/>
        <w:t>-</w:t>
      </w:r>
      <w:r w:rsidR="00C11E9A" w:rsidRPr="00446659">
        <w:rPr>
          <w:i/>
          <w:color w:val="0070C0"/>
          <w:sz w:val="22"/>
          <w:szCs w:val="22"/>
        </w:rPr>
        <w:t xml:space="preserve">If Named Entity checked </w:t>
      </w:r>
      <w:r w:rsidR="00CC18E1">
        <w:rPr>
          <w:i/>
          <w:color w:val="0070C0"/>
          <w:sz w:val="22"/>
          <w:szCs w:val="22"/>
        </w:rPr>
        <w:t>“No U.S. Person Guarantees</w:t>
      </w:r>
      <w:r w:rsidR="008E4069">
        <w:rPr>
          <w:i/>
          <w:color w:val="0070C0"/>
          <w:sz w:val="22"/>
          <w:szCs w:val="22"/>
        </w:rPr>
        <w:t xml:space="preserve"> (CFTC 2020 Rules)</w:t>
      </w:r>
      <w:r w:rsidR="00CC18E1">
        <w:rPr>
          <w:i/>
          <w:color w:val="0070C0"/>
          <w:sz w:val="22"/>
          <w:szCs w:val="22"/>
        </w:rPr>
        <w:t>,”</w:t>
      </w:r>
      <w:r w:rsidR="00E97333">
        <w:rPr>
          <w:i/>
          <w:color w:val="0070C0"/>
          <w:sz w:val="22"/>
          <w:szCs w:val="22"/>
        </w:rPr>
        <w:t xml:space="preserve"> then:</w:t>
      </w:r>
      <w:r w:rsidR="00045F5A" w:rsidRPr="00446659">
        <w:rPr>
          <w:i/>
          <w:color w:val="0070C0"/>
          <w:sz w:val="22"/>
          <w:szCs w:val="22"/>
        </w:rPr>
        <w:t xml:space="preserve"> </w:t>
      </w:r>
      <w:r w:rsidR="00E97333">
        <w:rPr>
          <w:i/>
          <w:color w:val="0070C0"/>
          <w:sz w:val="22"/>
          <w:szCs w:val="22"/>
        </w:rPr>
        <w:br/>
      </w:r>
      <w:r w:rsidR="00E97333">
        <w:rPr>
          <w:i/>
          <w:color w:val="0070C0"/>
          <w:sz w:val="22"/>
          <w:szCs w:val="22"/>
        </w:rPr>
        <w:br/>
      </w:r>
      <w:r w:rsidR="00E97333">
        <w:rPr>
          <w:i/>
          <w:color w:val="0070C0"/>
          <w:sz w:val="22"/>
          <w:szCs w:val="22"/>
        </w:rPr>
        <w:tab/>
        <w:t xml:space="preserve">If </w:t>
      </w:r>
      <w:r w:rsidR="00045F5A" w:rsidRPr="00446659">
        <w:rPr>
          <w:i/>
          <w:color w:val="0070C0"/>
          <w:sz w:val="22"/>
          <w:szCs w:val="22"/>
        </w:rPr>
        <w:t>Named Entity is an SD</w:t>
      </w:r>
      <w:r w:rsidR="00E97333">
        <w:rPr>
          <w:i/>
          <w:color w:val="0070C0"/>
          <w:sz w:val="22"/>
          <w:szCs w:val="22"/>
        </w:rPr>
        <w:t xml:space="preserve"> or MSP</w:t>
      </w:r>
      <w:r w:rsidR="00CC18E1">
        <w:rPr>
          <w:i/>
          <w:color w:val="0070C0"/>
          <w:sz w:val="22"/>
          <w:szCs w:val="22"/>
        </w:rPr>
        <w:t>,</w:t>
      </w:r>
      <w:r w:rsidR="00045F5A" w:rsidRPr="00446659">
        <w:rPr>
          <w:i/>
          <w:color w:val="0070C0"/>
          <w:sz w:val="22"/>
          <w:szCs w:val="22"/>
        </w:rPr>
        <w:t xml:space="preserve"> and Information Re</w:t>
      </w:r>
      <w:r w:rsidR="00FE4D41">
        <w:rPr>
          <w:i/>
          <w:color w:val="0070C0"/>
          <w:sz w:val="22"/>
          <w:szCs w:val="22"/>
        </w:rPr>
        <w:t xml:space="preserve">cipient is an SD or MSP, </w:t>
      </w:r>
      <w:r w:rsidR="00245310">
        <w:rPr>
          <w:i/>
          <w:color w:val="0070C0"/>
          <w:sz w:val="22"/>
          <w:szCs w:val="22"/>
        </w:rPr>
        <w:t xml:space="preserve">skip </w:t>
      </w:r>
      <w:r w:rsidR="00E97333">
        <w:rPr>
          <w:i/>
          <w:color w:val="0070C0"/>
          <w:sz w:val="22"/>
          <w:szCs w:val="22"/>
        </w:rPr>
        <w:t xml:space="preserve">to item 4.  Otherwise, skip the rest </w:t>
      </w:r>
      <w:r w:rsidR="00902FD9">
        <w:rPr>
          <w:i/>
          <w:color w:val="0070C0"/>
          <w:sz w:val="22"/>
          <w:szCs w:val="22"/>
        </w:rPr>
        <w:t>of this Part II.B (go to the next Part that Information Recipient has requested, if any)</w:t>
      </w:r>
      <w:r w:rsidR="00245310">
        <w:rPr>
          <w:i/>
          <w:color w:val="0070C0"/>
          <w:sz w:val="22"/>
          <w:szCs w:val="22"/>
        </w:rPr>
        <w:t>.</w:t>
      </w:r>
      <w:r w:rsidR="00045F5A" w:rsidRPr="00446659">
        <w:rPr>
          <w:i/>
          <w:color w:val="0070C0"/>
          <w:sz w:val="22"/>
          <w:szCs w:val="22"/>
        </w:rPr>
        <w:t xml:space="preserve"> </w:t>
      </w:r>
    </w:p>
    <w:p w14:paraId="225D33DD" w14:textId="77777777" w:rsidR="00B20F15" w:rsidRPr="00446659" w:rsidRDefault="00045F5A" w:rsidP="00045F5A">
      <w:pPr>
        <w:pStyle w:val="Heading3"/>
        <w:rPr>
          <w:b/>
          <w:sz w:val="22"/>
          <w:szCs w:val="22"/>
        </w:rPr>
      </w:pPr>
      <w:r w:rsidRPr="00446659">
        <w:rPr>
          <w:sz w:val="22"/>
          <w:szCs w:val="22"/>
          <w:u w:val="single"/>
        </w:rPr>
        <w:t>Financial Entity Guarantees</w:t>
      </w:r>
      <w:r w:rsidRPr="00446659">
        <w:rPr>
          <w:b/>
          <w:sz w:val="22"/>
          <w:szCs w:val="22"/>
        </w:rPr>
        <w:br/>
      </w:r>
      <w:r w:rsidR="00477D5B" w:rsidRPr="00446659">
        <w:rPr>
          <w:b/>
          <w:sz w:val="22"/>
          <w:szCs w:val="22"/>
        </w:rPr>
        <w:br/>
      </w:r>
      <w:r w:rsidR="00477D5B" w:rsidRPr="00446659">
        <w:rPr>
          <w:sz w:val="22"/>
          <w:szCs w:val="22"/>
        </w:rPr>
        <w:t>Does Named Entity have Financial Entity Guarantees (CFTC 2020 Rule</w:t>
      </w:r>
      <w:r w:rsidR="00A006CF">
        <w:rPr>
          <w:sz w:val="22"/>
          <w:szCs w:val="22"/>
        </w:rPr>
        <w:t>s</w:t>
      </w:r>
      <w:r w:rsidR="00477D5B" w:rsidRPr="00446659">
        <w:rPr>
          <w:sz w:val="22"/>
          <w:szCs w:val="22"/>
        </w:rPr>
        <w:t>)?</w:t>
      </w:r>
      <w:r w:rsidR="00477D5B" w:rsidRPr="00446659">
        <w:rPr>
          <w:sz w:val="22"/>
          <w:szCs w:val="22"/>
        </w:rPr>
        <w:br/>
      </w:r>
      <w:r w:rsidR="00477D5B" w:rsidRPr="00446659">
        <w:rPr>
          <w:sz w:val="22"/>
          <w:szCs w:val="22"/>
        </w:rPr>
        <w:br/>
      </w:r>
      <w:r w:rsidR="00985F0D" w:rsidRPr="00446659">
        <w:rPr>
          <w:i/>
          <w:sz w:val="22"/>
          <w:szCs w:val="22"/>
        </w:rPr>
        <w:t>Checking the box next to “</w:t>
      </w:r>
      <w:r w:rsidR="00477D5B" w:rsidRPr="00446659">
        <w:rPr>
          <w:i/>
          <w:sz w:val="22"/>
          <w:szCs w:val="22"/>
        </w:rPr>
        <w:t>Financial Entity</w:t>
      </w:r>
      <w:r w:rsidR="00985F0D" w:rsidRPr="00446659">
        <w:rPr>
          <w:i/>
          <w:sz w:val="22"/>
          <w:szCs w:val="22"/>
        </w:rPr>
        <w:t xml:space="preserve"> Guarantees</w:t>
      </w:r>
      <w:r w:rsidR="00CD28FA">
        <w:rPr>
          <w:i/>
          <w:sz w:val="22"/>
          <w:szCs w:val="22"/>
        </w:rPr>
        <w:t xml:space="preserve"> (CFTC 2020 Rules)</w:t>
      </w:r>
      <w:r w:rsidR="00985F0D" w:rsidRPr="00446659">
        <w:rPr>
          <w:i/>
          <w:sz w:val="22"/>
          <w:szCs w:val="22"/>
        </w:rPr>
        <w:t>” indicates that one or</w:t>
      </w:r>
      <w:r w:rsidR="00477D5B" w:rsidRPr="00446659">
        <w:rPr>
          <w:i/>
          <w:sz w:val="22"/>
          <w:szCs w:val="22"/>
        </w:rPr>
        <w:t xml:space="preserve"> </w:t>
      </w:r>
      <w:r w:rsidR="00985F0D" w:rsidRPr="00446659">
        <w:rPr>
          <w:i/>
          <w:sz w:val="22"/>
          <w:szCs w:val="22"/>
        </w:rPr>
        <w:t xml:space="preserve">more of </w:t>
      </w:r>
      <w:r w:rsidR="00477D5B" w:rsidRPr="00446659">
        <w:rPr>
          <w:i/>
          <w:sz w:val="22"/>
          <w:szCs w:val="22"/>
        </w:rPr>
        <w:t>Named Entity</w:t>
      </w:r>
      <w:r w:rsidR="00985F0D" w:rsidRPr="00446659">
        <w:rPr>
          <w:i/>
          <w:sz w:val="22"/>
          <w:szCs w:val="22"/>
        </w:rPr>
        <w:t xml:space="preserve">’s obligations in </w:t>
      </w:r>
      <w:r w:rsidR="009C4E34">
        <w:rPr>
          <w:i/>
          <w:sz w:val="22"/>
          <w:szCs w:val="22"/>
        </w:rPr>
        <w:t>S</w:t>
      </w:r>
      <w:r w:rsidR="00477D5B" w:rsidRPr="00446659">
        <w:rPr>
          <w:i/>
          <w:sz w:val="22"/>
          <w:szCs w:val="22"/>
        </w:rPr>
        <w:t>waps</w:t>
      </w:r>
      <w:r w:rsidR="00985F0D" w:rsidRPr="00446659">
        <w:rPr>
          <w:i/>
          <w:sz w:val="22"/>
          <w:szCs w:val="22"/>
        </w:rPr>
        <w:t xml:space="preserve"> with Recipient</w:t>
      </w:r>
      <w:r w:rsidR="00477D5B" w:rsidRPr="00446659">
        <w:rPr>
          <w:i/>
          <w:sz w:val="22"/>
          <w:szCs w:val="22"/>
        </w:rPr>
        <w:t xml:space="preserve"> </w:t>
      </w:r>
      <w:r w:rsidR="00CD28FA">
        <w:rPr>
          <w:i/>
          <w:sz w:val="22"/>
          <w:szCs w:val="22"/>
        </w:rPr>
        <w:lastRenderedPageBreak/>
        <w:t>are subject to</w:t>
      </w:r>
      <w:r w:rsidR="00985F0D" w:rsidRPr="00446659">
        <w:rPr>
          <w:i/>
          <w:sz w:val="22"/>
          <w:szCs w:val="22"/>
        </w:rPr>
        <w:t xml:space="preserve"> a </w:t>
      </w:r>
      <w:r w:rsidR="00EE6A6E">
        <w:rPr>
          <w:i/>
          <w:sz w:val="22"/>
          <w:szCs w:val="22"/>
        </w:rPr>
        <w:t>U.S. Person</w:t>
      </w:r>
      <w:r w:rsidR="00477D5B" w:rsidRPr="00446659">
        <w:rPr>
          <w:i/>
          <w:sz w:val="22"/>
          <w:szCs w:val="22"/>
        </w:rPr>
        <w:t xml:space="preserve"> Guarantee (CFTC 2020 Rule</w:t>
      </w:r>
      <w:r w:rsidR="00A006CF">
        <w:rPr>
          <w:i/>
          <w:sz w:val="22"/>
          <w:szCs w:val="22"/>
        </w:rPr>
        <w:t>s</w:t>
      </w:r>
      <w:r w:rsidR="00477D5B" w:rsidRPr="00446659">
        <w:rPr>
          <w:i/>
          <w:sz w:val="22"/>
          <w:szCs w:val="22"/>
        </w:rPr>
        <w:t>)</w:t>
      </w:r>
      <w:r w:rsidR="00EE6A6E">
        <w:rPr>
          <w:i/>
          <w:sz w:val="22"/>
          <w:szCs w:val="22"/>
        </w:rPr>
        <w:t xml:space="preserve"> by a Financial Entity</w:t>
      </w:r>
      <w:r w:rsidR="00985F0D" w:rsidRPr="00446659">
        <w:rPr>
          <w:i/>
          <w:sz w:val="22"/>
          <w:szCs w:val="22"/>
        </w:rPr>
        <w:t>.</w:t>
      </w:r>
      <w:r w:rsidR="00477D5B" w:rsidRPr="00446659">
        <w:rPr>
          <w:i/>
          <w:sz w:val="22"/>
          <w:szCs w:val="22"/>
        </w:rPr>
        <w:br/>
      </w:r>
      <w:r w:rsidR="00477D5B" w:rsidRPr="00446659">
        <w:rPr>
          <w:i/>
          <w:sz w:val="22"/>
          <w:szCs w:val="22"/>
        </w:rPr>
        <w:br/>
      </w:r>
      <w:r w:rsidR="00985F0D" w:rsidRPr="00446659">
        <w:rPr>
          <w:i/>
          <w:sz w:val="22"/>
          <w:szCs w:val="22"/>
        </w:rPr>
        <w:t xml:space="preserve">Checking the box next to “No </w:t>
      </w:r>
      <w:r w:rsidR="00477D5B" w:rsidRPr="00446659">
        <w:rPr>
          <w:i/>
          <w:sz w:val="22"/>
          <w:szCs w:val="22"/>
        </w:rPr>
        <w:t>Financial Entity</w:t>
      </w:r>
      <w:r w:rsidR="00985F0D" w:rsidRPr="00446659">
        <w:rPr>
          <w:i/>
          <w:sz w:val="22"/>
          <w:szCs w:val="22"/>
        </w:rPr>
        <w:t xml:space="preserve"> Guarantees</w:t>
      </w:r>
      <w:r w:rsidR="00CD28FA">
        <w:rPr>
          <w:i/>
          <w:sz w:val="22"/>
          <w:szCs w:val="22"/>
        </w:rPr>
        <w:t xml:space="preserve"> (CFTC 2020 Rules)</w:t>
      </w:r>
      <w:r w:rsidR="00985F0D" w:rsidRPr="00446659">
        <w:rPr>
          <w:i/>
          <w:sz w:val="22"/>
          <w:szCs w:val="22"/>
        </w:rPr>
        <w:t>” indicates that, to</w:t>
      </w:r>
      <w:r w:rsidR="00477D5B" w:rsidRPr="00446659">
        <w:rPr>
          <w:i/>
          <w:sz w:val="22"/>
          <w:szCs w:val="22"/>
        </w:rPr>
        <w:t xml:space="preserve"> Named Entity</w:t>
      </w:r>
      <w:r w:rsidR="00985F0D" w:rsidRPr="00446659">
        <w:rPr>
          <w:i/>
          <w:sz w:val="22"/>
          <w:szCs w:val="22"/>
        </w:rPr>
        <w:t xml:space="preserve">’s knowledge, </w:t>
      </w:r>
      <w:r w:rsidR="00985F0D" w:rsidRPr="00D46752">
        <w:rPr>
          <w:i/>
          <w:sz w:val="22"/>
          <w:szCs w:val="22"/>
          <w:u w:val="single"/>
        </w:rPr>
        <w:t>none</w:t>
      </w:r>
      <w:r w:rsidR="00985F0D" w:rsidRPr="00446659">
        <w:rPr>
          <w:i/>
          <w:sz w:val="22"/>
          <w:szCs w:val="22"/>
        </w:rPr>
        <w:t xml:space="preserve"> of </w:t>
      </w:r>
      <w:r w:rsidR="00477D5B" w:rsidRPr="00446659">
        <w:rPr>
          <w:i/>
          <w:sz w:val="22"/>
          <w:szCs w:val="22"/>
        </w:rPr>
        <w:t>Named Entity</w:t>
      </w:r>
      <w:r w:rsidR="00985F0D" w:rsidRPr="00446659">
        <w:rPr>
          <w:i/>
          <w:sz w:val="22"/>
          <w:szCs w:val="22"/>
        </w:rPr>
        <w:t xml:space="preserve">’s obligations in </w:t>
      </w:r>
      <w:r w:rsidR="009C4E34">
        <w:rPr>
          <w:i/>
          <w:sz w:val="22"/>
          <w:szCs w:val="22"/>
        </w:rPr>
        <w:t>S</w:t>
      </w:r>
      <w:r w:rsidR="00477D5B" w:rsidRPr="00446659">
        <w:rPr>
          <w:i/>
          <w:sz w:val="22"/>
          <w:szCs w:val="22"/>
        </w:rPr>
        <w:t>waps</w:t>
      </w:r>
      <w:r w:rsidR="00985F0D" w:rsidRPr="00446659">
        <w:rPr>
          <w:i/>
          <w:sz w:val="22"/>
          <w:szCs w:val="22"/>
        </w:rPr>
        <w:t xml:space="preserve"> with Recipient (other than </w:t>
      </w:r>
      <w:r w:rsidR="009C4E34">
        <w:rPr>
          <w:i/>
          <w:sz w:val="22"/>
          <w:szCs w:val="22"/>
        </w:rPr>
        <w:t>S</w:t>
      </w:r>
      <w:r w:rsidR="00477D5B" w:rsidRPr="00446659">
        <w:rPr>
          <w:i/>
          <w:sz w:val="22"/>
          <w:szCs w:val="22"/>
        </w:rPr>
        <w:t>waps</w:t>
      </w:r>
      <w:r w:rsidR="00985F0D" w:rsidRPr="00446659">
        <w:rPr>
          <w:i/>
          <w:sz w:val="22"/>
          <w:szCs w:val="22"/>
        </w:rPr>
        <w:t xml:space="preserve"> notified to Recipient in</w:t>
      </w:r>
      <w:r w:rsidR="00477D5B" w:rsidRPr="00446659">
        <w:rPr>
          <w:i/>
          <w:sz w:val="22"/>
          <w:szCs w:val="22"/>
        </w:rPr>
        <w:t xml:space="preserve"> </w:t>
      </w:r>
      <w:r w:rsidR="00985F0D" w:rsidRPr="00446659">
        <w:rPr>
          <w:i/>
          <w:sz w:val="22"/>
          <w:szCs w:val="22"/>
        </w:rPr>
        <w:t xml:space="preserve">writing prior to execution) </w:t>
      </w:r>
      <w:r w:rsidR="006C3359">
        <w:rPr>
          <w:i/>
          <w:sz w:val="22"/>
          <w:szCs w:val="22"/>
        </w:rPr>
        <w:t>are subject to</w:t>
      </w:r>
      <w:r w:rsidR="00985F0D" w:rsidRPr="00446659">
        <w:rPr>
          <w:i/>
          <w:sz w:val="22"/>
          <w:szCs w:val="22"/>
        </w:rPr>
        <w:t xml:space="preserve"> a </w:t>
      </w:r>
      <w:r w:rsidR="00EE6A6E">
        <w:rPr>
          <w:i/>
          <w:sz w:val="22"/>
          <w:szCs w:val="22"/>
        </w:rPr>
        <w:t>U.S. Person</w:t>
      </w:r>
      <w:r w:rsidR="00477D5B" w:rsidRPr="00446659">
        <w:rPr>
          <w:i/>
          <w:sz w:val="22"/>
          <w:szCs w:val="22"/>
        </w:rPr>
        <w:t xml:space="preserve"> Guarantee (CFTC 2020 Rule</w:t>
      </w:r>
      <w:r w:rsidR="00A006CF">
        <w:rPr>
          <w:i/>
          <w:sz w:val="22"/>
          <w:szCs w:val="22"/>
        </w:rPr>
        <w:t>s</w:t>
      </w:r>
      <w:r w:rsidR="00477D5B" w:rsidRPr="00446659">
        <w:rPr>
          <w:i/>
          <w:sz w:val="22"/>
          <w:szCs w:val="22"/>
        </w:rPr>
        <w:t>)</w:t>
      </w:r>
      <w:r w:rsidR="00EE6A6E">
        <w:rPr>
          <w:i/>
          <w:sz w:val="22"/>
          <w:szCs w:val="22"/>
        </w:rPr>
        <w:t xml:space="preserve"> by a Financial Entity</w:t>
      </w:r>
      <w:r w:rsidR="00985F0D" w:rsidRPr="00446659">
        <w:rPr>
          <w:i/>
          <w:sz w:val="22"/>
          <w:szCs w:val="22"/>
        </w:rPr>
        <w:t>.</w:t>
      </w:r>
      <w:r w:rsidR="00477D5B" w:rsidRPr="00446659">
        <w:rPr>
          <w:b/>
          <w:sz w:val="22"/>
          <w:szCs w:val="22"/>
        </w:rPr>
        <w:br/>
      </w:r>
      <w:r w:rsidRPr="00446659">
        <w:rPr>
          <w:b/>
          <w:sz w:val="22"/>
          <w:szCs w:val="22"/>
        </w:rPr>
        <w:br/>
      </w:r>
      <w:r w:rsidR="00477D5B" w:rsidRPr="00446659">
        <w:rPr>
          <w:sz w:val="22"/>
          <w:szCs w:val="22"/>
        </w:rPr>
        <w:fldChar w:fldCharType="begin">
          <w:ffData>
            <w:name w:val=""/>
            <w:enabled/>
            <w:calcOnExit w:val="0"/>
            <w:checkBox>
              <w:sizeAuto/>
              <w:default w:val="0"/>
            </w:checkBox>
          </w:ffData>
        </w:fldChar>
      </w:r>
      <w:r w:rsidR="00477D5B" w:rsidRPr="00446659">
        <w:rPr>
          <w:sz w:val="22"/>
          <w:szCs w:val="22"/>
        </w:rPr>
        <w:instrText xml:space="preserve"> FORMCHECKBOX </w:instrText>
      </w:r>
      <w:r w:rsidR="00166DDA">
        <w:rPr>
          <w:sz w:val="22"/>
          <w:szCs w:val="22"/>
        </w:rPr>
      </w:r>
      <w:r w:rsidR="00166DDA">
        <w:rPr>
          <w:sz w:val="22"/>
          <w:szCs w:val="22"/>
        </w:rPr>
        <w:fldChar w:fldCharType="separate"/>
      </w:r>
      <w:r w:rsidR="00477D5B" w:rsidRPr="00446659">
        <w:rPr>
          <w:sz w:val="22"/>
          <w:szCs w:val="22"/>
        </w:rPr>
        <w:fldChar w:fldCharType="end"/>
      </w:r>
      <w:r w:rsidR="00477D5B" w:rsidRPr="00446659">
        <w:rPr>
          <w:sz w:val="22"/>
          <w:szCs w:val="22"/>
        </w:rPr>
        <w:t xml:space="preserve">  Financial Entity Guarantees (CFTC 2020 Rule</w:t>
      </w:r>
      <w:r w:rsidR="00A006CF">
        <w:rPr>
          <w:sz w:val="22"/>
          <w:szCs w:val="22"/>
        </w:rPr>
        <w:t>s</w:t>
      </w:r>
      <w:r w:rsidR="00477D5B" w:rsidRPr="00446659">
        <w:rPr>
          <w:sz w:val="22"/>
          <w:szCs w:val="22"/>
        </w:rPr>
        <w:t>)</w:t>
      </w:r>
      <w:r w:rsidR="00477D5B" w:rsidRPr="00446659">
        <w:rPr>
          <w:sz w:val="22"/>
          <w:szCs w:val="22"/>
        </w:rPr>
        <w:br/>
      </w:r>
      <w:r w:rsidR="00477D5B" w:rsidRPr="00446659">
        <w:rPr>
          <w:sz w:val="22"/>
          <w:szCs w:val="22"/>
        </w:rPr>
        <w:fldChar w:fldCharType="begin">
          <w:ffData>
            <w:name w:val=""/>
            <w:enabled/>
            <w:calcOnExit w:val="0"/>
            <w:checkBox>
              <w:sizeAuto/>
              <w:default w:val="0"/>
            </w:checkBox>
          </w:ffData>
        </w:fldChar>
      </w:r>
      <w:r w:rsidR="00477D5B" w:rsidRPr="00446659">
        <w:rPr>
          <w:sz w:val="22"/>
          <w:szCs w:val="22"/>
        </w:rPr>
        <w:instrText xml:space="preserve"> FORMCHECKBOX </w:instrText>
      </w:r>
      <w:r w:rsidR="00166DDA">
        <w:rPr>
          <w:sz w:val="22"/>
          <w:szCs w:val="22"/>
        </w:rPr>
      </w:r>
      <w:r w:rsidR="00166DDA">
        <w:rPr>
          <w:sz w:val="22"/>
          <w:szCs w:val="22"/>
        </w:rPr>
        <w:fldChar w:fldCharType="separate"/>
      </w:r>
      <w:r w:rsidR="00477D5B" w:rsidRPr="00446659">
        <w:rPr>
          <w:sz w:val="22"/>
          <w:szCs w:val="22"/>
        </w:rPr>
        <w:fldChar w:fldCharType="end"/>
      </w:r>
      <w:r w:rsidR="00477D5B" w:rsidRPr="00446659">
        <w:rPr>
          <w:sz w:val="22"/>
          <w:szCs w:val="22"/>
        </w:rPr>
        <w:t xml:space="preserve">  No Financial Entity Guarantees (CFTC 2020 Rule</w:t>
      </w:r>
      <w:r w:rsidR="00A006CF">
        <w:rPr>
          <w:sz w:val="22"/>
          <w:szCs w:val="22"/>
        </w:rPr>
        <w:t>s</w:t>
      </w:r>
      <w:r w:rsidR="00477D5B" w:rsidRPr="00446659">
        <w:rPr>
          <w:sz w:val="22"/>
          <w:szCs w:val="22"/>
        </w:rPr>
        <w:t>)</w:t>
      </w:r>
      <w:r w:rsidR="0072186C">
        <w:rPr>
          <w:sz w:val="22"/>
          <w:szCs w:val="22"/>
        </w:rPr>
        <w:br/>
      </w:r>
      <w:r w:rsidR="0072186C">
        <w:rPr>
          <w:sz w:val="22"/>
          <w:szCs w:val="22"/>
        </w:rPr>
        <w:br/>
      </w:r>
      <w:r w:rsidR="0072186C" w:rsidRPr="00704E47">
        <w:rPr>
          <w:i/>
          <w:color w:val="0070C0"/>
          <w:sz w:val="22"/>
          <w:szCs w:val="22"/>
        </w:rPr>
        <w:t>-</w:t>
      </w:r>
      <w:r w:rsidR="0072186C" w:rsidRPr="00446659">
        <w:rPr>
          <w:i/>
          <w:color w:val="0070C0"/>
          <w:sz w:val="22"/>
          <w:szCs w:val="22"/>
        </w:rPr>
        <w:t>If Named Entity checked “</w:t>
      </w:r>
      <w:r w:rsidR="0072186C">
        <w:rPr>
          <w:i/>
          <w:color w:val="0070C0"/>
          <w:sz w:val="22"/>
          <w:szCs w:val="22"/>
        </w:rPr>
        <w:t>Financial Entity</w:t>
      </w:r>
      <w:r w:rsidR="0072186C" w:rsidRPr="00446659">
        <w:rPr>
          <w:i/>
          <w:color w:val="0070C0"/>
          <w:sz w:val="22"/>
          <w:szCs w:val="22"/>
        </w:rPr>
        <w:t xml:space="preserve"> Guarantees</w:t>
      </w:r>
      <w:r w:rsidR="008E4069">
        <w:rPr>
          <w:i/>
          <w:color w:val="0070C0"/>
          <w:sz w:val="22"/>
          <w:szCs w:val="22"/>
        </w:rPr>
        <w:t xml:space="preserve"> (CFTC 2020 Rules)</w:t>
      </w:r>
      <w:r w:rsidR="0072186C" w:rsidRPr="00446659">
        <w:rPr>
          <w:i/>
          <w:color w:val="0070C0"/>
          <w:sz w:val="22"/>
          <w:szCs w:val="22"/>
        </w:rPr>
        <w:t xml:space="preserve">,” </w:t>
      </w:r>
      <w:r w:rsidR="0072186C">
        <w:rPr>
          <w:i/>
          <w:color w:val="0070C0"/>
          <w:sz w:val="22"/>
          <w:szCs w:val="22"/>
        </w:rPr>
        <w:t>go to the next item.</w:t>
      </w:r>
      <w:r w:rsidR="0072186C" w:rsidRPr="00446659">
        <w:rPr>
          <w:i/>
          <w:color w:val="0070C0"/>
          <w:sz w:val="22"/>
          <w:szCs w:val="22"/>
        </w:rPr>
        <w:br/>
      </w:r>
      <w:r w:rsidR="0072186C" w:rsidRPr="00446659">
        <w:rPr>
          <w:i/>
          <w:color w:val="0070C0"/>
          <w:sz w:val="22"/>
          <w:szCs w:val="22"/>
        </w:rPr>
        <w:br/>
        <w:t>-If Named Entity checked “</w:t>
      </w:r>
      <w:r w:rsidR="0072186C">
        <w:rPr>
          <w:i/>
          <w:color w:val="0070C0"/>
          <w:sz w:val="22"/>
          <w:szCs w:val="22"/>
        </w:rPr>
        <w:t>No Financial Entity</w:t>
      </w:r>
      <w:r w:rsidR="00FE4D41">
        <w:rPr>
          <w:i/>
          <w:color w:val="0070C0"/>
          <w:sz w:val="22"/>
          <w:szCs w:val="22"/>
        </w:rPr>
        <w:t xml:space="preserve"> Guarantees</w:t>
      </w:r>
      <w:r w:rsidR="008E4069">
        <w:rPr>
          <w:i/>
          <w:color w:val="0070C0"/>
          <w:sz w:val="22"/>
          <w:szCs w:val="22"/>
        </w:rPr>
        <w:t xml:space="preserve"> (CFTC 2020 Rules)</w:t>
      </w:r>
      <w:r w:rsidR="00FE4D41">
        <w:rPr>
          <w:i/>
          <w:color w:val="0070C0"/>
          <w:sz w:val="22"/>
          <w:szCs w:val="22"/>
        </w:rPr>
        <w:t xml:space="preserve">,” </w:t>
      </w:r>
      <w:r w:rsidR="0072186C">
        <w:rPr>
          <w:i/>
          <w:color w:val="0070C0"/>
          <w:sz w:val="22"/>
          <w:szCs w:val="22"/>
        </w:rPr>
        <w:t>ski</w:t>
      </w:r>
      <w:r w:rsidR="00902FD9">
        <w:rPr>
          <w:i/>
          <w:color w:val="0070C0"/>
          <w:sz w:val="22"/>
          <w:szCs w:val="22"/>
        </w:rPr>
        <w:t>p the rest of this Part II.B (</w:t>
      </w:r>
      <w:r w:rsidR="0072186C" w:rsidRPr="00446659">
        <w:rPr>
          <w:i/>
          <w:color w:val="0070C0"/>
          <w:sz w:val="22"/>
          <w:szCs w:val="22"/>
        </w:rPr>
        <w:t xml:space="preserve">go to the next </w:t>
      </w:r>
      <w:r w:rsidR="00902FD9">
        <w:rPr>
          <w:i/>
          <w:color w:val="0070C0"/>
          <w:sz w:val="22"/>
          <w:szCs w:val="22"/>
        </w:rPr>
        <w:t>P</w:t>
      </w:r>
      <w:r w:rsidR="0072186C">
        <w:rPr>
          <w:i/>
          <w:color w:val="0070C0"/>
          <w:sz w:val="22"/>
          <w:szCs w:val="22"/>
        </w:rPr>
        <w:t>art that Information Recipient has requested</w:t>
      </w:r>
      <w:r w:rsidR="00902FD9">
        <w:rPr>
          <w:i/>
          <w:color w:val="0070C0"/>
          <w:sz w:val="22"/>
          <w:szCs w:val="22"/>
        </w:rPr>
        <w:t>, if any)</w:t>
      </w:r>
      <w:r w:rsidR="0072186C" w:rsidRPr="00446659">
        <w:rPr>
          <w:i/>
          <w:color w:val="0070C0"/>
          <w:sz w:val="22"/>
          <w:szCs w:val="22"/>
        </w:rPr>
        <w:t xml:space="preserve">.  </w:t>
      </w:r>
    </w:p>
    <w:p w14:paraId="6C9B6F76" w14:textId="77777777" w:rsidR="00B20F15" w:rsidRPr="00446659" w:rsidRDefault="00B20F15" w:rsidP="00B20F15">
      <w:pPr>
        <w:pStyle w:val="Heading3"/>
        <w:rPr>
          <w:sz w:val="22"/>
          <w:szCs w:val="22"/>
        </w:rPr>
      </w:pPr>
      <w:r w:rsidRPr="00446659">
        <w:rPr>
          <w:sz w:val="22"/>
          <w:szCs w:val="22"/>
          <w:u w:val="single"/>
        </w:rPr>
        <w:t>SD Affiliate</w:t>
      </w:r>
      <w:r w:rsidRPr="00446659">
        <w:rPr>
          <w:sz w:val="22"/>
          <w:szCs w:val="22"/>
        </w:rPr>
        <w:br/>
      </w:r>
      <w:r w:rsidRPr="00446659">
        <w:rPr>
          <w:sz w:val="22"/>
          <w:szCs w:val="22"/>
        </w:rPr>
        <w:br/>
        <w:t xml:space="preserve">Does Named Entity have an </w:t>
      </w:r>
      <w:r w:rsidRPr="00902FD9">
        <w:rPr>
          <w:sz w:val="22"/>
          <w:szCs w:val="22"/>
        </w:rPr>
        <w:t xml:space="preserve">SD </w:t>
      </w:r>
      <w:r w:rsidR="007C2E3C" w:rsidRPr="00902FD9">
        <w:rPr>
          <w:sz w:val="22"/>
          <w:szCs w:val="22"/>
        </w:rPr>
        <w:t>A</w:t>
      </w:r>
      <w:r w:rsidRPr="00902FD9">
        <w:rPr>
          <w:sz w:val="22"/>
          <w:szCs w:val="22"/>
        </w:rPr>
        <w:t>ffiliate</w:t>
      </w:r>
      <w:r w:rsidRPr="00446659">
        <w:rPr>
          <w:sz w:val="22"/>
          <w:szCs w:val="22"/>
        </w:rPr>
        <w:t xml:space="preserve"> </w:t>
      </w:r>
      <w:r w:rsidRPr="006C3359">
        <w:rPr>
          <w:sz w:val="22"/>
          <w:szCs w:val="22"/>
        </w:rPr>
        <w:t xml:space="preserve">and itself operate below the </w:t>
      </w:r>
      <w:r w:rsidR="00902FD9" w:rsidRPr="006C3359">
        <w:rPr>
          <w:sz w:val="22"/>
          <w:szCs w:val="22"/>
        </w:rPr>
        <w:t xml:space="preserve">SD </w:t>
      </w:r>
      <w:r w:rsidR="00680CFE">
        <w:rPr>
          <w:sz w:val="22"/>
          <w:szCs w:val="22"/>
        </w:rPr>
        <w:t>De M</w:t>
      </w:r>
      <w:r w:rsidRPr="006C3359">
        <w:rPr>
          <w:sz w:val="22"/>
          <w:szCs w:val="22"/>
        </w:rPr>
        <w:t xml:space="preserve">inimis </w:t>
      </w:r>
      <w:r w:rsidR="00680CFE">
        <w:rPr>
          <w:sz w:val="22"/>
          <w:szCs w:val="22"/>
        </w:rPr>
        <w:t>T</w:t>
      </w:r>
      <w:r w:rsidRPr="006C3359">
        <w:rPr>
          <w:sz w:val="22"/>
          <w:szCs w:val="22"/>
        </w:rPr>
        <w:t>hreshold</w:t>
      </w:r>
      <w:r w:rsidRPr="00446659">
        <w:rPr>
          <w:sz w:val="22"/>
          <w:szCs w:val="22"/>
        </w:rPr>
        <w:t>?</w:t>
      </w:r>
      <w:r w:rsidR="00EE6A6E">
        <w:rPr>
          <w:sz w:val="22"/>
          <w:szCs w:val="22"/>
        </w:rPr>
        <w:t xml:space="preserve">  </w:t>
      </w:r>
      <w:r w:rsidRPr="00446659">
        <w:rPr>
          <w:sz w:val="22"/>
          <w:szCs w:val="22"/>
        </w:rPr>
        <w:br/>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Y</w:t>
      </w:r>
      <w:r w:rsidR="006504CC" w:rsidRPr="00446659">
        <w:rPr>
          <w:sz w:val="22"/>
          <w:szCs w:val="22"/>
        </w:rPr>
        <w:t>es</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No</w:t>
      </w:r>
      <w:r w:rsidR="00335752" w:rsidRPr="00446659">
        <w:rPr>
          <w:sz w:val="22"/>
          <w:szCs w:val="22"/>
        </w:rPr>
        <w:br/>
      </w:r>
      <w:r w:rsidR="00335752" w:rsidRPr="00446659">
        <w:rPr>
          <w:sz w:val="22"/>
          <w:szCs w:val="22"/>
        </w:rPr>
        <w:br/>
      </w:r>
      <w:r w:rsidR="007C2E3C">
        <w:rPr>
          <w:i/>
          <w:color w:val="0070C0"/>
          <w:sz w:val="22"/>
          <w:szCs w:val="22"/>
        </w:rPr>
        <w:t>Skip</w:t>
      </w:r>
      <w:r w:rsidR="00902FD9">
        <w:rPr>
          <w:i/>
          <w:color w:val="0070C0"/>
          <w:sz w:val="22"/>
          <w:szCs w:val="22"/>
        </w:rPr>
        <w:t xml:space="preserve"> the rest of this Part II.B (</w:t>
      </w:r>
      <w:r w:rsidR="007C2E3C">
        <w:rPr>
          <w:i/>
          <w:color w:val="0070C0"/>
          <w:sz w:val="22"/>
          <w:szCs w:val="22"/>
        </w:rPr>
        <w:t>g</w:t>
      </w:r>
      <w:r w:rsidRPr="00446659">
        <w:rPr>
          <w:i/>
          <w:color w:val="0070C0"/>
          <w:sz w:val="22"/>
          <w:szCs w:val="22"/>
        </w:rPr>
        <w:t xml:space="preserve">o to the next </w:t>
      </w:r>
      <w:r w:rsidR="00902FD9">
        <w:rPr>
          <w:i/>
          <w:color w:val="0070C0"/>
          <w:sz w:val="22"/>
          <w:szCs w:val="22"/>
        </w:rPr>
        <w:t>P</w:t>
      </w:r>
      <w:r w:rsidRPr="00446659">
        <w:rPr>
          <w:i/>
          <w:color w:val="0070C0"/>
          <w:sz w:val="22"/>
          <w:szCs w:val="22"/>
        </w:rPr>
        <w:t>art that Information Recipient has requested</w:t>
      </w:r>
      <w:r w:rsidR="00902FD9">
        <w:rPr>
          <w:i/>
          <w:color w:val="0070C0"/>
          <w:sz w:val="22"/>
          <w:szCs w:val="22"/>
        </w:rPr>
        <w:t>, if any)</w:t>
      </w:r>
      <w:r w:rsidRPr="00446659">
        <w:rPr>
          <w:i/>
          <w:color w:val="0070C0"/>
          <w:sz w:val="22"/>
          <w:szCs w:val="22"/>
        </w:rPr>
        <w:t>.</w:t>
      </w:r>
    </w:p>
    <w:p w14:paraId="220FFB54" w14:textId="77777777" w:rsidR="003B2409" w:rsidRPr="00446659" w:rsidRDefault="003B2409" w:rsidP="003B2409">
      <w:pPr>
        <w:pStyle w:val="Heading3"/>
        <w:rPr>
          <w:sz w:val="22"/>
          <w:szCs w:val="22"/>
        </w:rPr>
      </w:pPr>
      <w:r w:rsidRPr="00446659">
        <w:rPr>
          <w:sz w:val="22"/>
          <w:szCs w:val="22"/>
          <w:u w:val="single"/>
        </w:rPr>
        <w:t>Swap Entity Significant Risk Subsidiary</w:t>
      </w:r>
      <w:r w:rsidRPr="00446659">
        <w:rPr>
          <w:b/>
          <w:sz w:val="22"/>
          <w:szCs w:val="22"/>
        </w:rPr>
        <w:br/>
      </w:r>
      <w:r w:rsidRPr="00446659">
        <w:rPr>
          <w:b/>
          <w:sz w:val="22"/>
          <w:szCs w:val="22"/>
        </w:rPr>
        <w:br/>
      </w:r>
      <w:r w:rsidRPr="00446659">
        <w:rPr>
          <w:sz w:val="22"/>
          <w:szCs w:val="22"/>
        </w:rPr>
        <w:t>Is Named Entity a Swap Entity Significant Risk Subsidiary?</w:t>
      </w:r>
      <w:r w:rsidRPr="00446659">
        <w:rPr>
          <w:sz w:val="22"/>
          <w:szCs w:val="22"/>
        </w:rPr>
        <w:br/>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Y</w:t>
      </w:r>
      <w:r w:rsidR="006504CC" w:rsidRPr="00446659">
        <w:rPr>
          <w:sz w:val="22"/>
          <w:szCs w:val="22"/>
        </w:rPr>
        <w:t>es</w:t>
      </w:r>
      <w:r w:rsidRPr="00446659">
        <w:rPr>
          <w:sz w:val="22"/>
          <w:szCs w:val="22"/>
        </w:rPr>
        <w:br/>
      </w:r>
      <w:r w:rsidRPr="00446659">
        <w:rPr>
          <w:sz w:val="22"/>
          <w:szCs w:val="22"/>
        </w:rPr>
        <w:fldChar w:fldCharType="begin">
          <w:ffData>
            <w:name w:val=""/>
            <w:enabled/>
            <w:calcOnExit w:val="0"/>
            <w:checkBox>
              <w:sizeAuto/>
              <w:default w:val="0"/>
            </w:checkBox>
          </w:ffData>
        </w:fldChar>
      </w:r>
      <w:r w:rsidRPr="00446659">
        <w:rPr>
          <w:sz w:val="22"/>
          <w:szCs w:val="22"/>
        </w:rPr>
        <w:instrText xml:space="preserve"> FORMCHECKBOX </w:instrText>
      </w:r>
      <w:r w:rsidR="00166DDA">
        <w:rPr>
          <w:sz w:val="22"/>
          <w:szCs w:val="22"/>
        </w:rPr>
      </w:r>
      <w:r w:rsidR="00166DDA">
        <w:rPr>
          <w:sz w:val="22"/>
          <w:szCs w:val="22"/>
        </w:rPr>
        <w:fldChar w:fldCharType="separate"/>
      </w:r>
      <w:r w:rsidRPr="00446659">
        <w:rPr>
          <w:sz w:val="22"/>
          <w:szCs w:val="22"/>
        </w:rPr>
        <w:fldChar w:fldCharType="end"/>
      </w:r>
      <w:r w:rsidRPr="00446659">
        <w:rPr>
          <w:sz w:val="22"/>
          <w:szCs w:val="22"/>
        </w:rPr>
        <w:t xml:space="preserve">  No</w:t>
      </w:r>
      <w:r w:rsidR="00335752" w:rsidRPr="00446659">
        <w:rPr>
          <w:sz w:val="22"/>
          <w:szCs w:val="22"/>
        </w:rPr>
        <w:br/>
      </w:r>
      <w:r w:rsidR="00335752" w:rsidRPr="00446659">
        <w:rPr>
          <w:sz w:val="22"/>
          <w:szCs w:val="22"/>
        </w:rPr>
        <w:br/>
      </w:r>
      <w:r w:rsidR="00902FD9">
        <w:rPr>
          <w:i/>
          <w:color w:val="0070C0"/>
          <w:sz w:val="22"/>
          <w:szCs w:val="22"/>
        </w:rPr>
        <w:t>Go to the next P</w:t>
      </w:r>
      <w:r w:rsidRPr="00446659">
        <w:rPr>
          <w:i/>
          <w:color w:val="0070C0"/>
          <w:sz w:val="22"/>
          <w:szCs w:val="22"/>
        </w:rPr>
        <w:t>art that Information Recipient has requested</w:t>
      </w:r>
      <w:r w:rsidR="00902FD9">
        <w:rPr>
          <w:i/>
          <w:color w:val="0070C0"/>
          <w:sz w:val="22"/>
          <w:szCs w:val="22"/>
        </w:rPr>
        <w:t>, if any</w:t>
      </w:r>
      <w:r w:rsidRPr="00446659">
        <w:rPr>
          <w:i/>
          <w:color w:val="0070C0"/>
          <w:sz w:val="22"/>
          <w:szCs w:val="22"/>
        </w:rPr>
        <w:t>.</w:t>
      </w:r>
    </w:p>
    <w:p w14:paraId="5A2989ED" w14:textId="77777777" w:rsidR="001E7E74" w:rsidRPr="00446659" w:rsidRDefault="007050DC" w:rsidP="001E7E74">
      <w:pPr>
        <w:pStyle w:val="Heading2"/>
        <w:rPr>
          <w:b/>
          <w:sz w:val="22"/>
          <w:szCs w:val="22"/>
        </w:rPr>
      </w:pPr>
      <w:r>
        <w:rPr>
          <w:b/>
          <w:sz w:val="22"/>
          <w:szCs w:val="22"/>
        </w:rPr>
        <w:t xml:space="preserve">CFTC 2013 </w:t>
      </w:r>
      <w:r w:rsidR="004F6E8C">
        <w:rPr>
          <w:b/>
          <w:sz w:val="22"/>
          <w:szCs w:val="22"/>
        </w:rPr>
        <w:t>Interpretive</w:t>
      </w:r>
      <w:r>
        <w:rPr>
          <w:b/>
          <w:sz w:val="22"/>
          <w:szCs w:val="22"/>
        </w:rPr>
        <w:t xml:space="preserve"> Guidance</w:t>
      </w:r>
    </w:p>
    <w:p w14:paraId="069D1CB9" w14:textId="77777777" w:rsidR="001E7E74" w:rsidRDefault="005B538F" w:rsidP="001E7E74">
      <w:pPr>
        <w:pStyle w:val="BodyText"/>
        <w:rPr>
          <w:i/>
          <w:sz w:val="22"/>
          <w:szCs w:val="22"/>
        </w:rPr>
      </w:pPr>
      <w:r w:rsidRPr="00CD7034">
        <w:rPr>
          <w:b/>
          <w:i/>
          <w:sz w:val="22"/>
          <w:szCs w:val="22"/>
          <w:u w:val="single"/>
        </w:rPr>
        <w:t>Explanat</w:t>
      </w:r>
      <w:r w:rsidR="00BF2E7E">
        <w:rPr>
          <w:b/>
          <w:i/>
          <w:sz w:val="22"/>
          <w:szCs w:val="22"/>
          <w:u w:val="single"/>
        </w:rPr>
        <w:t>ory Note</w:t>
      </w:r>
      <w:r w:rsidRPr="00CD7034">
        <w:rPr>
          <w:b/>
          <w:i/>
          <w:sz w:val="22"/>
          <w:szCs w:val="22"/>
        </w:rPr>
        <w:t>:</w:t>
      </w:r>
      <w:r w:rsidRPr="00446659">
        <w:rPr>
          <w:i/>
          <w:sz w:val="22"/>
          <w:szCs w:val="22"/>
        </w:rPr>
        <w:t xml:space="preserve">  </w:t>
      </w:r>
      <w:r w:rsidR="00680CFE" w:rsidRPr="00680CFE">
        <w:rPr>
          <w:i/>
          <w:sz w:val="22"/>
          <w:szCs w:val="22"/>
        </w:rPr>
        <w:t>These questions are designed to elicit information necessary to allow a</w:t>
      </w:r>
      <w:r w:rsidR="00680CFE">
        <w:rPr>
          <w:i/>
          <w:sz w:val="22"/>
          <w:szCs w:val="22"/>
        </w:rPr>
        <w:t>n</w:t>
      </w:r>
      <w:r w:rsidR="00680CFE" w:rsidRPr="00680CFE">
        <w:rPr>
          <w:i/>
          <w:sz w:val="22"/>
          <w:szCs w:val="22"/>
        </w:rPr>
        <w:t xml:space="preserve"> Information Recipient that is not a U.S. person (including a non-SD) or</w:t>
      </w:r>
      <w:r w:rsidR="0023160A">
        <w:rPr>
          <w:i/>
          <w:sz w:val="22"/>
          <w:szCs w:val="22"/>
        </w:rPr>
        <w:t xml:space="preserve"> that is </w:t>
      </w:r>
      <w:r w:rsidR="00680CFE" w:rsidRPr="00680CFE">
        <w:rPr>
          <w:i/>
          <w:sz w:val="22"/>
          <w:szCs w:val="22"/>
        </w:rPr>
        <w:t xml:space="preserve">a U.S. SD that transacts from a foreign branch to determine if certain CFTC rules may apply to the relationship with Named Entity based on </w:t>
      </w:r>
      <w:r w:rsidR="003E56EA">
        <w:rPr>
          <w:i/>
          <w:sz w:val="22"/>
          <w:szCs w:val="22"/>
        </w:rPr>
        <w:t xml:space="preserve">its </w:t>
      </w:r>
      <w:r w:rsidR="00680CFE" w:rsidRPr="00680CFE">
        <w:rPr>
          <w:i/>
          <w:sz w:val="22"/>
          <w:szCs w:val="22"/>
        </w:rPr>
        <w:t>nexus to the United States</w:t>
      </w:r>
      <w:r w:rsidRPr="00446659">
        <w:rPr>
          <w:i/>
          <w:sz w:val="22"/>
          <w:szCs w:val="22"/>
        </w:rPr>
        <w:t>.</w:t>
      </w:r>
    </w:p>
    <w:p w14:paraId="54638D98" w14:textId="77777777" w:rsidR="005D2FAD" w:rsidRPr="00916A93" w:rsidRDefault="005D2FAD" w:rsidP="001E7E74">
      <w:pPr>
        <w:pStyle w:val="BodyText"/>
        <w:rPr>
          <w:color w:val="0070C0"/>
          <w:sz w:val="22"/>
          <w:szCs w:val="22"/>
        </w:rPr>
      </w:pPr>
      <w:r w:rsidRPr="00916A93">
        <w:rPr>
          <w:i/>
          <w:color w:val="0070C0"/>
          <w:sz w:val="22"/>
          <w:szCs w:val="22"/>
          <w:lang w:val="en-GB"/>
        </w:rPr>
        <w:t>Answer the question</w:t>
      </w:r>
      <w:r w:rsidR="00902FD9">
        <w:rPr>
          <w:i/>
          <w:color w:val="0070C0"/>
          <w:sz w:val="22"/>
          <w:szCs w:val="22"/>
          <w:lang w:val="en-GB"/>
        </w:rPr>
        <w:t xml:space="preserve"> in item 1</w:t>
      </w:r>
      <w:r w:rsidRPr="00916A93">
        <w:rPr>
          <w:i/>
          <w:color w:val="0070C0"/>
          <w:sz w:val="22"/>
          <w:szCs w:val="22"/>
          <w:lang w:val="en-GB"/>
        </w:rPr>
        <w:t xml:space="preserve"> and then follow the subsequent instructions.</w:t>
      </w:r>
    </w:p>
    <w:p w14:paraId="0A3BD664" w14:textId="77777777" w:rsidR="005B538F" w:rsidRPr="00446659" w:rsidRDefault="00AC3102" w:rsidP="0036770F">
      <w:pPr>
        <w:pStyle w:val="Heading3"/>
        <w:rPr>
          <w:sz w:val="22"/>
          <w:szCs w:val="22"/>
        </w:rPr>
      </w:pPr>
      <w:r w:rsidRPr="00446659">
        <w:rPr>
          <w:sz w:val="22"/>
          <w:szCs w:val="22"/>
          <w:u w:val="single"/>
        </w:rPr>
        <w:lastRenderedPageBreak/>
        <w:t>U.S. Person</w:t>
      </w:r>
      <w:r w:rsidRPr="00446659">
        <w:rPr>
          <w:sz w:val="22"/>
          <w:szCs w:val="22"/>
        </w:rPr>
        <w:br/>
      </w:r>
      <w:r w:rsidRPr="00446659">
        <w:rPr>
          <w:sz w:val="22"/>
          <w:szCs w:val="22"/>
        </w:rPr>
        <w:br/>
      </w:r>
      <w:r w:rsidR="00846B2E">
        <w:rPr>
          <w:sz w:val="22"/>
          <w:szCs w:val="22"/>
        </w:rPr>
        <w:t xml:space="preserve">Is </w:t>
      </w:r>
      <w:r w:rsidR="00313F48">
        <w:rPr>
          <w:sz w:val="22"/>
          <w:szCs w:val="22"/>
        </w:rPr>
        <w:t>Named Entity</w:t>
      </w:r>
      <w:r w:rsidR="00846B2E">
        <w:rPr>
          <w:sz w:val="22"/>
          <w:szCs w:val="22"/>
        </w:rPr>
        <w:t xml:space="preserve"> </w:t>
      </w:r>
      <w:r w:rsidR="00D41491">
        <w:rPr>
          <w:sz w:val="22"/>
          <w:szCs w:val="22"/>
        </w:rPr>
        <w:t>a</w:t>
      </w:r>
      <w:r w:rsidR="00846B2E">
        <w:rPr>
          <w:sz w:val="22"/>
          <w:szCs w:val="22"/>
        </w:rPr>
        <w:t xml:space="preserve"> </w:t>
      </w:r>
      <w:r w:rsidR="00383200">
        <w:rPr>
          <w:sz w:val="22"/>
          <w:szCs w:val="22"/>
        </w:rPr>
        <w:t xml:space="preserve">U.S. Person </w:t>
      </w:r>
      <w:r w:rsidR="005B538F" w:rsidRPr="00446659">
        <w:rPr>
          <w:sz w:val="22"/>
          <w:szCs w:val="22"/>
        </w:rPr>
        <w:t>(</w:t>
      </w:r>
      <w:r w:rsidR="007050DC">
        <w:rPr>
          <w:sz w:val="22"/>
          <w:szCs w:val="22"/>
        </w:rPr>
        <w:t xml:space="preserve">CFTC 2013 </w:t>
      </w:r>
      <w:r w:rsidR="004F6E8C">
        <w:rPr>
          <w:sz w:val="22"/>
          <w:szCs w:val="22"/>
        </w:rPr>
        <w:t>Interpretive</w:t>
      </w:r>
      <w:r w:rsidR="007050DC">
        <w:rPr>
          <w:sz w:val="22"/>
          <w:szCs w:val="22"/>
        </w:rPr>
        <w:t xml:space="preserve"> Guidance</w:t>
      </w:r>
      <w:r w:rsidR="005B538F" w:rsidRPr="00446659">
        <w:rPr>
          <w:sz w:val="22"/>
          <w:szCs w:val="22"/>
        </w:rPr>
        <w:t>)?</w:t>
      </w:r>
      <w:r w:rsidR="00E24296">
        <w:rPr>
          <w:sz w:val="22"/>
          <w:szCs w:val="22"/>
        </w:rPr>
        <w:t xml:space="preserve">  </w:t>
      </w:r>
      <w:r w:rsidRPr="00446659">
        <w:rPr>
          <w:sz w:val="22"/>
          <w:szCs w:val="22"/>
        </w:rPr>
        <w:br/>
      </w:r>
      <w:r w:rsidRPr="00446659">
        <w:rPr>
          <w:sz w:val="22"/>
          <w:szCs w:val="22"/>
        </w:rPr>
        <w:br/>
      </w:r>
      <w:r w:rsidRPr="00446659">
        <w:rPr>
          <w:i/>
          <w:sz w:val="22"/>
          <w:szCs w:val="22"/>
        </w:rPr>
        <w:t>Checking the box next to “Yes” indicates that Named Entity reasonably believes that it fall</w:t>
      </w:r>
      <w:r w:rsidR="00703B1E" w:rsidRPr="00446659">
        <w:rPr>
          <w:i/>
          <w:sz w:val="22"/>
          <w:szCs w:val="22"/>
        </w:rPr>
        <w:t>s</w:t>
      </w:r>
      <w:r w:rsidRPr="00446659">
        <w:rPr>
          <w:i/>
          <w:sz w:val="22"/>
          <w:szCs w:val="22"/>
        </w:rPr>
        <w:t xml:space="preserve"> within one or more of </w:t>
      </w:r>
      <w:r w:rsidR="00E24296">
        <w:rPr>
          <w:i/>
          <w:sz w:val="22"/>
          <w:szCs w:val="22"/>
        </w:rPr>
        <w:t>the U.S. Person C</w:t>
      </w:r>
      <w:r w:rsidRPr="00446659">
        <w:rPr>
          <w:i/>
          <w:sz w:val="22"/>
          <w:szCs w:val="22"/>
        </w:rPr>
        <w:t xml:space="preserve">ategories or would otherwise be deemed to be a “U.S. person” under the </w:t>
      </w:r>
      <w:r w:rsidR="00703B1E" w:rsidRPr="00383200">
        <w:rPr>
          <w:i/>
          <w:sz w:val="22"/>
          <w:szCs w:val="22"/>
        </w:rPr>
        <w:t xml:space="preserve">CFTC’s 2013 </w:t>
      </w:r>
      <w:r w:rsidRPr="00383200">
        <w:rPr>
          <w:i/>
          <w:sz w:val="22"/>
          <w:szCs w:val="22"/>
        </w:rPr>
        <w:t>Interpretive Guidance</w:t>
      </w:r>
      <w:r w:rsidRPr="00446659">
        <w:rPr>
          <w:i/>
          <w:sz w:val="22"/>
          <w:szCs w:val="22"/>
        </w:rPr>
        <w:t>.</w:t>
      </w:r>
      <w:r w:rsidR="00703B1E" w:rsidRPr="00446659">
        <w:rPr>
          <w:i/>
          <w:sz w:val="22"/>
          <w:szCs w:val="22"/>
        </w:rPr>
        <w:br/>
      </w:r>
      <w:r w:rsidR="00703B1E" w:rsidRPr="00446659">
        <w:rPr>
          <w:i/>
          <w:sz w:val="22"/>
          <w:szCs w:val="22"/>
        </w:rPr>
        <w:br/>
        <w:t xml:space="preserve">Checking the box next to “No” indicates that Named Entity reasonably believes that it does </w:t>
      </w:r>
      <w:r w:rsidR="00703B1E" w:rsidRPr="00D46752">
        <w:rPr>
          <w:i/>
          <w:sz w:val="22"/>
          <w:szCs w:val="22"/>
          <w:u w:val="single"/>
        </w:rPr>
        <w:t>not</w:t>
      </w:r>
      <w:r w:rsidR="00703B1E" w:rsidRPr="00446659">
        <w:rPr>
          <w:i/>
          <w:sz w:val="22"/>
          <w:szCs w:val="22"/>
        </w:rPr>
        <w:t xml:space="preserve"> fall within </w:t>
      </w:r>
      <w:r w:rsidR="00E24296">
        <w:rPr>
          <w:i/>
          <w:sz w:val="22"/>
          <w:szCs w:val="22"/>
        </w:rPr>
        <w:t>one or more of the U.S. Person C</w:t>
      </w:r>
      <w:r w:rsidR="00703B1E" w:rsidRPr="00446659">
        <w:rPr>
          <w:i/>
          <w:sz w:val="22"/>
          <w:szCs w:val="22"/>
        </w:rPr>
        <w:t xml:space="preserve">ategories </w:t>
      </w:r>
      <w:r w:rsidR="00E24296">
        <w:rPr>
          <w:i/>
          <w:sz w:val="22"/>
          <w:szCs w:val="22"/>
        </w:rPr>
        <w:t>and believes in good faith that it</w:t>
      </w:r>
      <w:r w:rsidR="00703B1E" w:rsidRPr="00446659">
        <w:rPr>
          <w:i/>
          <w:sz w:val="22"/>
          <w:szCs w:val="22"/>
        </w:rPr>
        <w:t xml:space="preserve"> would </w:t>
      </w:r>
      <w:r w:rsidR="00E24296">
        <w:rPr>
          <w:i/>
          <w:sz w:val="22"/>
          <w:szCs w:val="22"/>
        </w:rPr>
        <w:t xml:space="preserve">not </w:t>
      </w:r>
      <w:r w:rsidR="00703B1E" w:rsidRPr="00446659">
        <w:rPr>
          <w:i/>
          <w:sz w:val="22"/>
          <w:szCs w:val="22"/>
        </w:rPr>
        <w:t xml:space="preserve">otherwise be deemed to be a “U.S. person” under the </w:t>
      </w:r>
      <w:r w:rsidR="00703B1E" w:rsidRPr="007C2E3C">
        <w:rPr>
          <w:i/>
          <w:sz w:val="22"/>
          <w:szCs w:val="22"/>
        </w:rPr>
        <w:t>CFTC’s 2013 Interpretive Guidance</w:t>
      </w:r>
      <w:r w:rsidR="00703B1E" w:rsidRPr="00446659">
        <w:rPr>
          <w:i/>
          <w:sz w:val="22"/>
          <w:szCs w:val="22"/>
        </w:rPr>
        <w:t>.</w:t>
      </w:r>
      <w:r w:rsidR="005B538F" w:rsidRPr="00446659">
        <w:rPr>
          <w:sz w:val="22"/>
          <w:szCs w:val="22"/>
        </w:rPr>
        <w:br/>
      </w:r>
      <w:r w:rsidR="005B538F" w:rsidRPr="00446659">
        <w:rPr>
          <w:sz w:val="22"/>
          <w:szCs w:val="22"/>
        </w:rPr>
        <w:br/>
      </w:r>
      <w:r w:rsidR="005B538F" w:rsidRPr="00446659">
        <w:rPr>
          <w:sz w:val="22"/>
          <w:szCs w:val="22"/>
        </w:rPr>
        <w:fldChar w:fldCharType="begin">
          <w:ffData>
            <w:name w:val=""/>
            <w:enabled/>
            <w:calcOnExit w:val="0"/>
            <w:checkBox>
              <w:sizeAuto/>
              <w:default w:val="0"/>
            </w:checkBox>
          </w:ffData>
        </w:fldChar>
      </w:r>
      <w:r w:rsidR="005B538F" w:rsidRPr="00446659">
        <w:rPr>
          <w:sz w:val="22"/>
          <w:szCs w:val="22"/>
        </w:rPr>
        <w:instrText xml:space="preserve"> FORMCHECKBOX </w:instrText>
      </w:r>
      <w:r w:rsidR="00166DDA">
        <w:rPr>
          <w:sz w:val="22"/>
          <w:szCs w:val="22"/>
        </w:rPr>
      </w:r>
      <w:r w:rsidR="00166DDA">
        <w:rPr>
          <w:sz w:val="22"/>
          <w:szCs w:val="22"/>
        </w:rPr>
        <w:fldChar w:fldCharType="separate"/>
      </w:r>
      <w:r w:rsidR="005B538F" w:rsidRPr="00446659">
        <w:rPr>
          <w:sz w:val="22"/>
          <w:szCs w:val="22"/>
        </w:rPr>
        <w:fldChar w:fldCharType="end"/>
      </w:r>
      <w:r w:rsidR="005B538F" w:rsidRPr="00446659">
        <w:rPr>
          <w:sz w:val="22"/>
          <w:szCs w:val="22"/>
        </w:rPr>
        <w:t xml:space="preserve">  Y</w:t>
      </w:r>
      <w:r w:rsidR="006504CC" w:rsidRPr="00446659">
        <w:rPr>
          <w:sz w:val="22"/>
          <w:szCs w:val="22"/>
        </w:rPr>
        <w:t>es</w:t>
      </w:r>
      <w:r w:rsidR="005B538F" w:rsidRPr="00446659">
        <w:rPr>
          <w:sz w:val="22"/>
          <w:szCs w:val="22"/>
        </w:rPr>
        <w:br/>
      </w:r>
      <w:r w:rsidR="005B538F" w:rsidRPr="00446659">
        <w:rPr>
          <w:sz w:val="22"/>
          <w:szCs w:val="22"/>
        </w:rPr>
        <w:fldChar w:fldCharType="begin">
          <w:ffData>
            <w:name w:val=""/>
            <w:enabled/>
            <w:calcOnExit w:val="0"/>
            <w:checkBox>
              <w:sizeAuto/>
              <w:default w:val="0"/>
            </w:checkBox>
          </w:ffData>
        </w:fldChar>
      </w:r>
      <w:r w:rsidR="005B538F" w:rsidRPr="00446659">
        <w:rPr>
          <w:sz w:val="22"/>
          <w:szCs w:val="22"/>
        </w:rPr>
        <w:instrText xml:space="preserve"> FORMCHECKBOX </w:instrText>
      </w:r>
      <w:r w:rsidR="00166DDA">
        <w:rPr>
          <w:sz w:val="22"/>
          <w:szCs w:val="22"/>
        </w:rPr>
      </w:r>
      <w:r w:rsidR="00166DDA">
        <w:rPr>
          <w:sz w:val="22"/>
          <w:szCs w:val="22"/>
        </w:rPr>
        <w:fldChar w:fldCharType="separate"/>
      </w:r>
      <w:r w:rsidR="005B538F" w:rsidRPr="00446659">
        <w:rPr>
          <w:sz w:val="22"/>
          <w:szCs w:val="22"/>
        </w:rPr>
        <w:fldChar w:fldCharType="end"/>
      </w:r>
      <w:r w:rsidR="005B538F" w:rsidRPr="00446659">
        <w:rPr>
          <w:sz w:val="22"/>
          <w:szCs w:val="22"/>
        </w:rPr>
        <w:t xml:space="preserve">  No</w:t>
      </w:r>
      <w:r w:rsidR="0036770F" w:rsidRPr="00446659">
        <w:rPr>
          <w:sz w:val="22"/>
          <w:szCs w:val="22"/>
        </w:rPr>
        <w:br/>
      </w:r>
      <w:r w:rsidR="0036770F" w:rsidRPr="00446659">
        <w:rPr>
          <w:sz w:val="22"/>
          <w:szCs w:val="22"/>
        </w:rPr>
        <w:br/>
      </w:r>
      <w:r w:rsidR="0036770F" w:rsidRPr="00045D2F">
        <w:rPr>
          <w:i/>
          <w:color w:val="0070C0"/>
          <w:sz w:val="22"/>
          <w:szCs w:val="22"/>
        </w:rPr>
        <w:t>-</w:t>
      </w:r>
      <w:r w:rsidR="005B538F" w:rsidRPr="00446659">
        <w:rPr>
          <w:i/>
          <w:color w:val="0070C0"/>
          <w:sz w:val="22"/>
          <w:szCs w:val="22"/>
        </w:rPr>
        <w:t>If Named Entity checked “Yes</w:t>
      </w:r>
      <w:r w:rsidR="00313F48">
        <w:rPr>
          <w:i/>
          <w:color w:val="0070C0"/>
          <w:sz w:val="22"/>
          <w:szCs w:val="22"/>
        </w:rPr>
        <w:t>,</w:t>
      </w:r>
      <w:r w:rsidR="005B538F" w:rsidRPr="00446659">
        <w:rPr>
          <w:i/>
          <w:color w:val="0070C0"/>
          <w:sz w:val="22"/>
          <w:szCs w:val="22"/>
        </w:rPr>
        <w:t xml:space="preserve">” skip the rest of this </w:t>
      </w:r>
      <w:r w:rsidR="007C2E3C">
        <w:rPr>
          <w:i/>
          <w:color w:val="0070C0"/>
          <w:sz w:val="22"/>
          <w:szCs w:val="22"/>
        </w:rPr>
        <w:t>Part II.C</w:t>
      </w:r>
      <w:r w:rsidR="00E24296">
        <w:rPr>
          <w:i/>
          <w:color w:val="0070C0"/>
          <w:sz w:val="22"/>
          <w:szCs w:val="22"/>
        </w:rPr>
        <w:t xml:space="preserve"> (</w:t>
      </w:r>
      <w:r w:rsidRPr="00446659">
        <w:rPr>
          <w:i/>
          <w:color w:val="0070C0"/>
          <w:sz w:val="22"/>
          <w:szCs w:val="22"/>
        </w:rPr>
        <w:t xml:space="preserve">go </w:t>
      </w:r>
      <w:r w:rsidR="005B538F" w:rsidRPr="00446659">
        <w:rPr>
          <w:i/>
          <w:color w:val="0070C0"/>
          <w:sz w:val="22"/>
          <w:szCs w:val="22"/>
        </w:rPr>
        <w:t xml:space="preserve">to </w:t>
      </w:r>
      <w:r w:rsidR="00E24296">
        <w:rPr>
          <w:i/>
          <w:color w:val="0070C0"/>
          <w:sz w:val="22"/>
          <w:szCs w:val="22"/>
        </w:rPr>
        <w:t>the next P</w:t>
      </w:r>
      <w:r w:rsidR="005B538F" w:rsidRPr="00446659">
        <w:rPr>
          <w:i/>
          <w:color w:val="0070C0"/>
          <w:sz w:val="22"/>
          <w:szCs w:val="22"/>
        </w:rPr>
        <w:t>art that Information Recipient has requested</w:t>
      </w:r>
      <w:r w:rsidR="00E24296">
        <w:rPr>
          <w:i/>
          <w:color w:val="0070C0"/>
          <w:sz w:val="22"/>
          <w:szCs w:val="22"/>
        </w:rPr>
        <w:t>, if any)</w:t>
      </w:r>
      <w:r w:rsidR="005B538F" w:rsidRPr="00446659">
        <w:rPr>
          <w:i/>
          <w:color w:val="0070C0"/>
          <w:sz w:val="22"/>
          <w:szCs w:val="22"/>
        </w:rPr>
        <w:t xml:space="preserve">. </w:t>
      </w:r>
      <w:r w:rsidR="0036770F" w:rsidRPr="00446659">
        <w:rPr>
          <w:i/>
          <w:color w:val="0070C0"/>
          <w:sz w:val="22"/>
          <w:szCs w:val="22"/>
        </w:rPr>
        <w:br/>
      </w:r>
      <w:r w:rsidR="0036770F" w:rsidRPr="00446659">
        <w:rPr>
          <w:i/>
          <w:color w:val="0070C0"/>
          <w:sz w:val="22"/>
          <w:szCs w:val="22"/>
        </w:rPr>
        <w:br/>
        <w:t>-</w:t>
      </w:r>
      <w:r w:rsidR="00E24296">
        <w:rPr>
          <w:i/>
          <w:color w:val="0070C0"/>
          <w:sz w:val="22"/>
          <w:szCs w:val="22"/>
        </w:rPr>
        <w:t xml:space="preserve">If Named Entity checked “No,” </w:t>
      </w:r>
      <w:r w:rsidRPr="00446659">
        <w:rPr>
          <w:i/>
          <w:color w:val="0070C0"/>
          <w:sz w:val="22"/>
          <w:szCs w:val="22"/>
        </w:rPr>
        <w:t xml:space="preserve">go to the next </w:t>
      </w:r>
      <w:r w:rsidR="00E24296">
        <w:rPr>
          <w:i/>
          <w:color w:val="0070C0"/>
          <w:sz w:val="22"/>
          <w:szCs w:val="22"/>
        </w:rPr>
        <w:t>item</w:t>
      </w:r>
      <w:r w:rsidR="007C2E3C">
        <w:rPr>
          <w:i/>
          <w:color w:val="0070C0"/>
          <w:sz w:val="22"/>
          <w:szCs w:val="22"/>
        </w:rPr>
        <w:t>.</w:t>
      </w:r>
      <w:r w:rsidR="005B538F" w:rsidRPr="00446659">
        <w:rPr>
          <w:i/>
          <w:color w:val="0070C0"/>
          <w:sz w:val="22"/>
          <w:szCs w:val="22"/>
        </w:rPr>
        <w:t xml:space="preserve"> </w:t>
      </w:r>
    </w:p>
    <w:p w14:paraId="349C6976" w14:textId="77777777" w:rsidR="00703B1E" w:rsidRPr="00446659" w:rsidRDefault="000132AC" w:rsidP="0036770F">
      <w:pPr>
        <w:pStyle w:val="Heading3"/>
        <w:rPr>
          <w:sz w:val="22"/>
          <w:szCs w:val="22"/>
        </w:rPr>
      </w:pPr>
      <w:r>
        <w:rPr>
          <w:sz w:val="22"/>
          <w:szCs w:val="22"/>
          <w:u w:val="single"/>
        </w:rPr>
        <w:t>Affiliate Conduit</w:t>
      </w:r>
      <w:r w:rsidR="00986D8A">
        <w:rPr>
          <w:sz w:val="22"/>
          <w:szCs w:val="22"/>
          <w:u w:val="single"/>
        </w:rPr>
        <w:br/>
      </w:r>
      <w:r w:rsidR="00AC3102" w:rsidRPr="00446659">
        <w:rPr>
          <w:sz w:val="22"/>
          <w:szCs w:val="22"/>
          <w:u w:val="single"/>
        </w:rPr>
        <w:br/>
      </w:r>
      <w:r w:rsidR="00AC3102" w:rsidRPr="00446659">
        <w:rPr>
          <w:sz w:val="22"/>
          <w:szCs w:val="22"/>
        </w:rPr>
        <w:t>Is Named Entity a</w:t>
      </w:r>
      <w:r w:rsidR="007C2E3C">
        <w:rPr>
          <w:sz w:val="22"/>
          <w:szCs w:val="22"/>
        </w:rPr>
        <w:t>n</w:t>
      </w:r>
      <w:r w:rsidR="00AC3102" w:rsidRPr="00446659">
        <w:rPr>
          <w:sz w:val="22"/>
          <w:szCs w:val="22"/>
        </w:rPr>
        <w:t xml:space="preserve"> Affiliate Conduit?</w:t>
      </w:r>
      <w:r w:rsidR="00E24296">
        <w:rPr>
          <w:sz w:val="22"/>
          <w:szCs w:val="22"/>
        </w:rPr>
        <w:t xml:space="preserve">  </w:t>
      </w:r>
      <w:r>
        <w:rPr>
          <w:sz w:val="22"/>
          <w:szCs w:val="22"/>
        </w:rPr>
        <w:br/>
      </w:r>
      <w:r>
        <w:rPr>
          <w:sz w:val="22"/>
          <w:szCs w:val="22"/>
        </w:rPr>
        <w:br/>
      </w:r>
      <w:r w:rsidRPr="000132AC">
        <w:rPr>
          <w:i/>
          <w:sz w:val="22"/>
          <w:szCs w:val="22"/>
        </w:rPr>
        <w:t>Checking the box next to “Yes” indicates that Named Entity reasonably believes</w:t>
      </w:r>
      <w:r>
        <w:rPr>
          <w:i/>
          <w:sz w:val="22"/>
          <w:szCs w:val="22"/>
        </w:rPr>
        <w:t>,</w:t>
      </w:r>
      <w:r w:rsidRPr="000132AC">
        <w:rPr>
          <w:i/>
          <w:sz w:val="22"/>
          <w:szCs w:val="22"/>
        </w:rPr>
        <w:t xml:space="preserve"> based upon the relevant guidance in the </w:t>
      </w:r>
      <w:r>
        <w:rPr>
          <w:i/>
          <w:sz w:val="22"/>
          <w:szCs w:val="22"/>
        </w:rPr>
        <w:t xml:space="preserve">CFTC’s 2013 </w:t>
      </w:r>
      <w:r w:rsidRPr="000132AC">
        <w:rPr>
          <w:i/>
          <w:sz w:val="22"/>
          <w:szCs w:val="22"/>
        </w:rPr>
        <w:t>Interpretive Guidance,</w:t>
      </w:r>
      <w:r w:rsidR="00E24296">
        <w:rPr>
          <w:i/>
          <w:sz w:val="22"/>
          <w:szCs w:val="22"/>
        </w:rPr>
        <w:t xml:space="preserve"> including the Affiliate Conduit Factors,</w:t>
      </w:r>
      <w:r w:rsidRPr="000132AC">
        <w:rPr>
          <w:i/>
          <w:sz w:val="22"/>
          <w:szCs w:val="22"/>
        </w:rPr>
        <w:t xml:space="preserve"> that </w:t>
      </w:r>
      <w:r>
        <w:rPr>
          <w:i/>
          <w:sz w:val="22"/>
          <w:szCs w:val="22"/>
        </w:rPr>
        <w:t xml:space="preserve">Named Entity </w:t>
      </w:r>
      <w:r w:rsidRPr="000132AC">
        <w:rPr>
          <w:i/>
          <w:sz w:val="22"/>
          <w:szCs w:val="22"/>
        </w:rPr>
        <w:t xml:space="preserve">would be classified </w:t>
      </w:r>
      <w:r w:rsidR="00E24296">
        <w:rPr>
          <w:i/>
          <w:sz w:val="22"/>
          <w:szCs w:val="22"/>
        </w:rPr>
        <w:t>as an Affiliate Conduit.</w:t>
      </w:r>
      <w:r w:rsidRPr="000132AC">
        <w:rPr>
          <w:i/>
          <w:sz w:val="22"/>
          <w:szCs w:val="22"/>
        </w:rPr>
        <w:t xml:space="preserve">  </w:t>
      </w:r>
      <w:r w:rsidRPr="000132AC">
        <w:rPr>
          <w:i/>
          <w:sz w:val="22"/>
          <w:szCs w:val="22"/>
        </w:rPr>
        <w:br/>
      </w:r>
      <w:r w:rsidRPr="000132AC">
        <w:rPr>
          <w:i/>
          <w:sz w:val="22"/>
          <w:szCs w:val="22"/>
        </w:rPr>
        <w:br/>
        <w:t>Checking the box next to “No” indicates that Named Entity reasonably believes</w:t>
      </w:r>
      <w:r w:rsidR="00A403AC">
        <w:rPr>
          <w:i/>
          <w:sz w:val="22"/>
          <w:szCs w:val="22"/>
        </w:rPr>
        <w:t>,</w:t>
      </w:r>
      <w:r w:rsidRPr="000132AC">
        <w:rPr>
          <w:i/>
          <w:sz w:val="22"/>
          <w:szCs w:val="22"/>
        </w:rPr>
        <w:t xml:space="preserve"> based upon the relevant guidance in the </w:t>
      </w:r>
      <w:r>
        <w:rPr>
          <w:i/>
          <w:sz w:val="22"/>
          <w:szCs w:val="22"/>
        </w:rPr>
        <w:t xml:space="preserve">CFTC’s 2013 </w:t>
      </w:r>
      <w:r w:rsidRPr="000132AC">
        <w:rPr>
          <w:i/>
          <w:sz w:val="22"/>
          <w:szCs w:val="22"/>
        </w:rPr>
        <w:t>Interpretive Guidance,</w:t>
      </w:r>
      <w:r w:rsidR="0040656F">
        <w:rPr>
          <w:i/>
          <w:sz w:val="22"/>
          <w:szCs w:val="22"/>
        </w:rPr>
        <w:t xml:space="preserve"> including the Affiliate Conduit Factors,</w:t>
      </w:r>
      <w:r w:rsidRPr="000132AC">
        <w:rPr>
          <w:i/>
          <w:sz w:val="22"/>
          <w:szCs w:val="22"/>
        </w:rPr>
        <w:t xml:space="preserve"> that </w:t>
      </w:r>
      <w:r>
        <w:rPr>
          <w:i/>
          <w:sz w:val="22"/>
          <w:szCs w:val="22"/>
        </w:rPr>
        <w:t xml:space="preserve">Named Entity </w:t>
      </w:r>
      <w:r w:rsidRPr="000132AC">
        <w:rPr>
          <w:i/>
          <w:sz w:val="22"/>
          <w:szCs w:val="22"/>
        </w:rPr>
        <w:t xml:space="preserve">would </w:t>
      </w:r>
      <w:r>
        <w:rPr>
          <w:i/>
          <w:sz w:val="22"/>
          <w:szCs w:val="22"/>
        </w:rPr>
        <w:t xml:space="preserve">not </w:t>
      </w:r>
      <w:r w:rsidRPr="000132AC">
        <w:rPr>
          <w:i/>
          <w:sz w:val="22"/>
          <w:szCs w:val="22"/>
        </w:rPr>
        <w:t xml:space="preserve">be classified as an </w:t>
      </w:r>
      <w:r w:rsidR="0040656F">
        <w:rPr>
          <w:i/>
          <w:sz w:val="22"/>
          <w:szCs w:val="22"/>
        </w:rPr>
        <w:t>A</w:t>
      </w:r>
      <w:r w:rsidRPr="000132AC">
        <w:rPr>
          <w:i/>
          <w:sz w:val="22"/>
          <w:szCs w:val="22"/>
        </w:rPr>
        <w:t xml:space="preserve">ffiliate </w:t>
      </w:r>
      <w:r w:rsidR="0040656F">
        <w:rPr>
          <w:i/>
          <w:sz w:val="22"/>
          <w:szCs w:val="22"/>
        </w:rPr>
        <w:t>C</w:t>
      </w:r>
      <w:r w:rsidRPr="000132AC">
        <w:rPr>
          <w:i/>
          <w:sz w:val="22"/>
          <w:szCs w:val="22"/>
        </w:rPr>
        <w:t xml:space="preserve">onduit.  </w:t>
      </w:r>
      <w:r w:rsidR="00AC3102" w:rsidRPr="00446659">
        <w:rPr>
          <w:sz w:val="22"/>
          <w:szCs w:val="22"/>
        </w:rPr>
        <w:br/>
      </w:r>
      <w:r w:rsidR="00AC3102" w:rsidRPr="00446659">
        <w:rPr>
          <w:sz w:val="22"/>
          <w:szCs w:val="22"/>
        </w:rPr>
        <w:br/>
      </w:r>
      <w:r w:rsidR="00AC3102" w:rsidRPr="00446659">
        <w:rPr>
          <w:sz w:val="22"/>
          <w:szCs w:val="22"/>
        </w:rPr>
        <w:fldChar w:fldCharType="begin">
          <w:ffData>
            <w:name w:val=""/>
            <w:enabled/>
            <w:calcOnExit w:val="0"/>
            <w:checkBox>
              <w:sizeAuto/>
              <w:default w:val="0"/>
            </w:checkBox>
          </w:ffData>
        </w:fldChar>
      </w:r>
      <w:r w:rsidR="00AC3102" w:rsidRPr="00446659">
        <w:rPr>
          <w:sz w:val="22"/>
          <w:szCs w:val="22"/>
        </w:rPr>
        <w:instrText xml:space="preserve"> FORMCHECKBOX </w:instrText>
      </w:r>
      <w:r w:rsidR="00166DDA">
        <w:rPr>
          <w:sz w:val="22"/>
          <w:szCs w:val="22"/>
        </w:rPr>
      </w:r>
      <w:r w:rsidR="00166DDA">
        <w:rPr>
          <w:sz w:val="22"/>
          <w:szCs w:val="22"/>
        </w:rPr>
        <w:fldChar w:fldCharType="separate"/>
      </w:r>
      <w:r w:rsidR="00AC3102" w:rsidRPr="00446659">
        <w:rPr>
          <w:sz w:val="22"/>
          <w:szCs w:val="22"/>
        </w:rPr>
        <w:fldChar w:fldCharType="end"/>
      </w:r>
      <w:r w:rsidR="00AC3102" w:rsidRPr="00446659">
        <w:rPr>
          <w:sz w:val="22"/>
          <w:szCs w:val="22"/>
        </w:rPr>
        <w:t xml:space="preserve">  Y</w:t>
      </w:r>
      <w:r w:rsidR="006504CC" w:rsidRPr="00446659">
        <w:rPr>
          <w:sz w:val="22"/>
          <w:szCs w:val="22"/>
        </w:rPr>
        <w:t>es</w:t>
      </w:r>
      <w:r w:rsidR="00AC3102" w:rsidRPr="00446659">
        <w:rPr>
          <w:sz w:val="22"/>
          <w:szCs w:val="22"/>
        </w:rPr>
        <w:br/>
      </w:r>
      <w:r w:rsidR="00AC3102" w:rsidRPr="00446659">
        <w:rPr>
          <w:sz w:val="22"/>
          <w:szCs w:val="22"/>
        </w:rPr>
        <w:fldChar w:fldCharType="begin">
          <w:ffData>
            <w:name w:val=""/>
            <w:enabled/>
            <w:calcOnExit w:val="0"/>
            <w:checkBox>
              <w:sizeAuto/>
              <w:default w:val="0"/>
            </w:checkBox>
          </w:ffData>
        </w:fldChar>
      </w:r>
      <w:r w:rsidR="00AC3102" w:rsidRPr="00446659">
        <w:rPr>
          <w:sz w:val="22"/>
          <w:szCs w:val="22"/>
        </w:rPr>
        <w:instrText xml:space="preserve"> FORMCHECKBOX </w:instrText>
      </w:r>
      <w:r w:rsidR="00166DDA">
        <w:rPr>
          <w:sz w:val="22"/>
          <w:szCs w:val="22"/>
        </w:rPr>
      </w:r>
      <w:r w:rsidR="00166DDA">
        <w:rPr>
          <w:sz w:val="22"/>
          <w:szCs w:val="22"/>
        </w:rPr>
        <w:fldChar w:fldCharType="separate"/>
      </w:r>
      <w:r w:rsidR="00AC3102" w:rsidRPr="00446659">
        <w:rPr>
          <w:sz w:val="22"/>
          <w:szCs w:val="22"/>
        </w:rPr>
        <w:fldChar w:fldCharType="end"/>
      </w:r>
      <w:r w:rsidR="00AC3102" w:rsidRPr="00446659">
        <w:rPr>
          <w:sz w:val="22"/>
          <w:szCs w:val="22"/>
        </w:rPr>
        <w:t xml:space="preserve">  No</w:t>
      </w:r>
      <w:r w:rsidR="0036770F" w:rsidRPr="00446659">
        <w:rPr>
          <w:sz w:val="22"/>
          <w:szCs w:val="22"/>
        </w:rPr>
        <w:br/>
      </w:r>
      <w:r w:rsidR="0036770F" w:rsidRPr="00446659">
        <w:rPr>
          <w:sz w:val="22"/>
          <w:szCs w:val="22"/>
        </w:rPr>
        <w:br/>
      </w:r>
      <w:r w:rsidR="0036770F" w:rsidRPr="003E56EA">
        <w:rPr>
          <w:i/>
          <w:color w:val="0070C0"/>
          <w:sz w:val="22"/>
          <w:szCs w:val="22"/>
        </w:rPr>
        <w:t>-</w:t>
      </w:r>
      <w:r w:rsidR="00703B1E" w:rsidRPr="00446659">
        <w:rPr>
          <w:i/>
          <w:color w:val="0070C0"/>
          <w:sz w:val="22"/>
          <w:szCs w:val="22"/>
        </w:rPr>
        <w:t>If Named Entity checked “Ye</w:t>
      </w:r>
      <w:r w:rsidR="0040656F">
        <w:rPr>
          <w:i/>
          <w:color w:val="0070C0"/>
          <w:sz w:val="22"/>
          <w:szCs w:val="22"/>
        </w:rPr>
        <w:t>s</w:t>
      </w:r>
      <w:r w:rsidR="00A403AC">
        <w:rPr>
          <w:i/>
          <w:color w:val="0070C0"/>
          <w:sz w:val="22"/>
          <w:szCs w:val="22"/>
        </w:rPr>
        <w:t>,</w:t>
      </w:r>
      <w:r w:rsidR="0040656F">
        <w:rPr>
          <w:i/>
          <w:color w:val="0070C0"/>
          <w:sz w:val="22"/>
          <w:szCs w:val="22"/>
        </w:rPr>
        <w:t xml:space="preserve">” </w:t>
      </w:r>
      <w:r>
        <w:rPr>
          <w:i/>
          <w:color w:val="0070C0"/>
          <w:sz w:val="22"/>
          <w:szCs w:val="22"/>
        </w:rPr>
        <w:t>skip the rest of this P</w:t>
      </w:r>
      <w:r w:rsidR="00703B1E" w:rsidRPr="00446659">
        <w:rPr>
          <w:i/>
          <w:color w:val="0070C0"/>
          <w:sz w:val="22"/>
          <w:szCs w:val="22"/>
        </w:rPr>
        <w:t>art</w:t>
      </w:r>
      <w:r>
        <w:rPr>
          <w:i/>
          <w:color w:val="0070C0"/>
          <w:sz w:val="22"/>
          <w:szCs w:val="22"/>
        </w:rPr>
        <w:t xml:space="preserve"> II.C</w:t>
      </w:r>
      <w:r w:rsidR="0040656F">
        <w:rPr>
          <w:i/>
          <w:color w:val="0070C0"/>
          <w:sz w:val="22"/>
          <w:szCs w:val="22"/>
        </w:rPr>
        <w:t xml:space="preserve"> (go to the next P</w:t>
      </w:r>
      <w:r w:rsidR="00703B1E" w:rsidRPr="00446659">
        <w:rPr>
          <w:i/>
          <w:color w:val="0070C0"/>
          <w:sz w:val="22"/>
          <w:szCs w:val="22"/>
        </w:rPr>
        <w:t>art that Information Recipient has requested</w:t>
      </w:r>
      <w:r w:rsidR="0040656F">
        <w:rPr>
          <w:i/>
          <w:color w:val="0070C0"/>
          <w:sz w:val="22"/>
          <w:szCs w:val="22"/>
        </w:rPr>
        <w:t>, if any)</w:t>
      </w:r>
      <w:r w:rsidR="00703B1E" w:rsidRPr="00446659">
        <w:rPr>
          <w:i/>
          <w:color w:val="0070C0"/>
          <w:sz w:val="22"/>
          <w:szCs w:val="22"/>
        </w:rPr>
        <w:t xml:space="preserve">. </w:t>
      </w:r>
      <w:r w:rsidR="0036770F" w:rsidRPr="00446659">
        <w:rPr>
          <w:i/>
          <w:color w:val="0070C0"/>
          <w:sz w:val="22"/>
          <w:szCs w:val="22"/>
        </w:rPr>
        <w:br/>
      </w:r>
      <w:r w:rsidR="0036770F" w:rsidRPr="00446659">
        <w:rPr>
          <w:i/>
          <w:color w:val="0070C0"/>
          <w:sz w:val="22"/>
          <w:szCs w:val="22"/>
        </w:rPr>
        <w:br/>
        <w:t>-</w:t>
      </w:r>
      <w:r w:rsidR="00703B1E" w:rsidRPr="00446659">
        <w:rPr>
          <w:i/>
          <w:color w:val="0070C0"/>
          <w:sz w:val="22"/>
          <w:szCs w:val="22"/>
        </w:rPr>
        <w:t xml:space="preserve">If Named Entity checked “No,” go to the next </w:t>
      </w:r>
      <w:r>
        <w:rPr>
          <w:i/>
          <w:color w:val="0070C0"/>
          <w:sz w:val="22"/>
          <w:szCs w:val="22"/>
        </w:rPr>
        <w:t>item</w:t>
      </w:r>
      <w:r w:rsidR="00703B1E" w:rsidRPr="00446659">
        <w:rPr>
          <w:i/>
          <w:color w:val="0070C0"/>
          <w:sz w:val="22"/>
          <w:szCs w:val="22"/>
        </w:rPr>
        <w:t xml:space="preserve">. </w:t>
      </w:r>
    </w:p>
    <w:p w14:paraId="6F869102" w14:textId="77777777" w:rsidR="00D85305" w:rsidRPr="003A6DFC" w:rsidRDefault="006504CC" w:rsidP="003A6DFC">
      <w:pPr>
        <w:pStyle w:val="Heading3"/>
        <w:rPr>
          <w:i/>
          <w:sz w:val="22"/>
          <w:szCs w:val="22"/>
        </w:rPr>
      </w:pPr>
      <w:r w:rsidRPr="00446659">
        <w:rPr>
          <w:sz w:val="22"/>
          <w:szCs w:val="22"/>
          <w:u w:val="single"/>
        </w:rPr>
        <w:t>U.S. Person Guarantees</w:t>
      </w:r>
      <w:r w:rsidRPr="00446659">
        <w:rPr>
          <w:sz w:val="22"/>
          <w:szCs w:val="22"/>
        </w:rPr>
        <w:br/>
      </w:r>
      <w:r w:rsidRPr="00446659">
        <w:rPr>
          <w:sz w:val="22"/>
          <w:szCs w:val="22"/>
        </w:rPr>
        <w:br/>
        <w:t>Does Named Entity have U.S. Person Guarantees (</w:t>
      </w:r>
      <w:r w:rsidR="007050DC">
        <w:rPr>
          <w:sz w:val="22"/>
          <w:szCs w:val="22"/>
        </w:rPr>
        <w:t xml:space="preserve">CFTC 2013 </w:t>
      </w:r>
      <w:r w:rsidR="004F6E8C">
        <w:rPr>
          <w:sz w:val="22"/>
          <w:szCs w:val="22"/>
        </w:rPr>
        <w:t>Interpretive</w:t>
      </w:r>
      <w:r w:rsidR="007050DC">
        <w:rPr>
          <w:sz w:val="22"/>
          <w:szCs w:val="22"/>
        </w:rPr>
        <w:t xml:space="preserve"> Guidance</w:t>
      </w:r>
      <w:r w:rsidRPr="00446659">
        <w:rPr>
          <w:sz w:val="22"/>
          <w:szCs w:val="22"/>
        </w:rPr>
        <w:t>)?</w:t>
      </w:r>
      <w:r w:rsidR="00B80497">
        <w:rPr>
          <w:sz w:val="22"/>
          <w:szCs w:val="22"/>
        </w:rPr>
        <w:t xml:space="preserve">  </w:t>
      </w:r>
      <w:r w:rsidRPr="00446659">
        <w:rPr>
          <w:sz w:val="22"/>
          <w:szCs w:val="22"/>
        </w:rPr>
        <w:br/>
      </w:r>
      <w:r w:rsidRPr="00446659">
        <w:rPr>
          <w:sz w:val="22"/>
          <w:szCs w:val="22"/>
        </w:rPr>
        <w:lastRenderedPageBreak/>
        <w:br/>
      </w:r>
      <w:r w:rsidRPr="00446659">
        <w:rPr>
          <w:i/>
          <w:sz w:val="22"/>
          <w:szCs w:val="22"/>
        </w:rPr>
        <w:t>Checking the box next to “U.S. Person Guarantees</w:t>
      </w:r>
      <w:r w:rsidR="006C3359">
        <w:rPr>
          <w:i/>
          <w:sz w:val="22"/>
          <w:szCs w:val="22"/>
        </w:rPr>
        <w:t xml:space="preserve"> (</w:t>
      </w:r>
      <w:r w:rsidR="007050DC">
        <w:rPr>
          <w:i/>
          <w:sz w:val="22"/>
          <w:szCs w:val="22"/>
        </w:rPr>
        <w:t xml:space="preserve">CFTC 2013 </w:t>
      </w:r>
      <w:r w:rsidR="004F6E8C">
        <w:rPr>
          <w:i/>
          <w:sz w:val="22"/>
          <w:szCs w:val="22"/>
        </w:rPr>
        <w:t>Interpretive</w:t>
      </w:r>
      <w:r w:rsidR="007050DC">
        <w:rPr>
          <w:i/>
          <w:sz w:val="22"/>
          <w:szCs w:val="22"/>
        </w:rPr>
        <w:t xml:space="preserve"> Guidance</w:t>
      </w:r>
      <w:r w:rsidR="006C3359">
        <w:rPr>
          <w:i/>
          <w:sz w:val="22"/>
          <w:szCs w:val="22"/>
        </w:rPr>
        <w:t>)</w:t>
      </w:r>
      <w:r w:rsidRPr="00446659">
        <w:rPr>
          <w:i/>
          <w:sz w:val="22"/>
          <w:szCs w:val="22"/>
        </w:rPr>
        <w:t xml:space="preserve">” indicates that </w:t>
      </w:r>
      <w:r w:rsidR="00F578BB" w:rsidRPr="00446659">
        <w:rPr>
          <w:i/>
          <w:sz w:val="22"/>
          <w:szCs w:val="22"/>
        </w:rPr>
        <w:t xml:space="preserve">Named Entity reasonably believes that </w:t>
      </w:r>
      <w:r w:rsidRPr="00446659">
        <w:rPr>
          <w:i/>
          <w:sz w:val="22"/>
          <w:szCs w:val="22"/>
        </w:rPr>
        <w:t xml:space="preserve">one or more of Named </w:t>
      </w:r>
      <w:r w:rsidR="00B80497">
        <w:rPr>
          <w:i/>
          <w:sz w:val="22"/>
          <w:szCs w:val="22"/>
        </w:rPr>
        <w:t>Entity’s obligations in S</w:t>
      </w:r>
      <w:r w:rsidRPr="00446659">
        <w:rPr>
          <w:i/>
          <w:sz w:val="22"/>
          <w:szCs w:val="22"/>
        </w:rPr>
        <w:t xml:space="preserve">waps with Recipient </w:t>
      </w:r>
      <w:r w:rsidR="003A6DFC">
        <w:rPr>
          <w:i/>
          <w:sz w:val="22"/>
          <w:szCs w:val="22"/>
        </w:rPr>
        <w:t>are</w:t>
      </w:r>
      <w:r w:rsidR="003A6DFC" w:rsidRPr="003A6DFC">
        <w:rPr>
          <w:i/>
          <w:sz w:val="22"/>
          <w:szCs w:val="22"/>
        </w:rPr>
        <w:t xml:space="preserve"> supported by a Guarantee</w:t>
      </w:r>
      <w:r w:rsidR="003A6DFC">
        <w:rPr>
          <w:i/>
          <w:sz w:val="22"/>
          <w:szCs w:val="22"/>
        </w:rPr>
        <w:t xml:space="preserve"> (</w:t>
      </w:r>
      <w:r w:rsidR="007050DC">
        <w:rPr>
          <w:i/>
          <w:sz w:val="22"/>
          <w:szCs w:val="22"/>
        </w:rPr>
        <w:t xml:space="preserve">CFTC 2013 </w:t>
      </w:r>
      <w:r w:rsidR="004F6E8C">
        <w:rPr>
          <w:i/>
          <w:sz w:val="22"/>
          <w:szCs w:val="22"/>
        </w:rPr>
        <w:t>Interpretive</w:t>
      </w:r>
      <w:r w:rsidR="007050DC">
        <w:rPr>
          <w:i/>
          <w:sz w:val="22"/>
          <w:szCs w:val="22"/>
        </w:rPr>
        <w:t xml:space="preserve"> Guidance</w:t>
      </w:r>
      <w:r w:rsidR="003A6DFC">
        <w:rPr>
          <w:i/>
          <w:sz w:val="22"/>
          <w:szCs w:val="22"/>
        </w:rPr>
        <w:t>)</w:t>
      </w:r>
      <w:r w:rsidR="003A6DFC" w:rsidRPr="003A6DFC">
        <w:rPr>
          <w:i/>
          <w:sz w:val="22"/>
          <w:szCs w:val="22"/>
        </w:rPr>
        <w:t xml:space="preserve"> that</w:t>
      </w:r>
      <w:r w:rsidR="00A403AC">
        <w:rPr>
          <w:i/>
          <w:sz w:val="22"/>
          <w:szCs w:val="22"/>
        </w:rPr>
        <w:t xml:space="preserve"> is provided by a person that Named Entity</w:t>
      </w:r>
      <w:r w:rsidR="003A6DFC" w:rsidRPr="003A6DFC">
        <w:rPr>
          <w:i/>
          <w:sz w:val="22"/>
          <w:szCs w:val="22"/>
        </w:rPr>
        <w:t xml:space="preserve"> reasonably believe</w:t>
      </w:r>
      <w:r w:rsidR="00A403AC">
        <w:rPr>
          <w:i/>
          <w:sz w:val="22"/>
          <w:szCs w:val="22"/>
        </w:rPr>
        <w:t>s</w:t>
      </w:r>
      <w:r w:rsidR="003A6DFC" w:rsidRPr="003A6DFC">
        <w:rPr>
          <w:i/>
          <w:sz w:val="22"/>
          <w:szCs w:val="22"/>
        </w:rPr>
        <w:t xml:space="preserve"> falls within one or more of the U.S. Person Categories </w:t>
      </w:r>
      <w:r w:rsidR="006C3359">
        <w:rPr>
          <w:i/>
          <w:sz w:val="22"/>
          <w:szCs w:val="22"/>
        </w:rPr>
        <w:t>(</w:t>
      </w:r>
      <w:r w:rsidR="007050DC">
        <w:rPr>
          <w:i/>
          <w:sz w:val="22"/>
          <w:szCs w:val="22"/>
        </w:rPr>
        <w:t xml:space="preserve">CFTC 2013 </w:t>
      </w:r>
      <w:r w:rsidR="004F6E8C">
        <w:rPr>
          <w:i/>
          <w:sz w:val="22"/>
          <w:szCs w:val="22"/>
        </w:rPr>
        <w:t>Interpretive</w:t>
      </w:r>
      <w:r w:rsidR="007050DC">
        <w:rPr>
          <w:i/>
          <w:sz w:val="22"/>
          <w:szCs w:val="22"/>
        </w:rPr>
        <w:t xml:space="preserve"> Guidance</w:t>
      </w:r>
      <w:r w:rsidR="006C3359">
        <w:rPr>
          <w:i/>
          <w:sz w:val="22"/>
          <w:szCs w:val="22"/>
        </w:rPr>
        <w:t xml:space="preserve">) </w:t>
      </w:r>
      <w:r w:rsidR="003A6DFC" w:rsidRPr="003A6DFC">
        <w:rPr>
          <w:i/>
          <w:sz w:val="22"/>
          <w:szCs w:val="22"/>
        </w:rPr>
        <w:t xml:space="preserve">or would otherwise be deemed to be a “U.S. person” under the </w:t>
      </w:r>
      <w:r w:rsidR="003A6DFC">
        <w:rPr>
          <w:i/>
          <w:sz w:val="22"/>
          <w:szCs w:val="22"/>
        </w:rPr>
        <w:t xml:space="preserve">CFTC’s 2013 </w:t>
      </w:r>
      <w:r w:rsidR="003A6DFC" w:rsidRPr="003A6DFC">
        <w:rPr>
          <w:i/>
          <w:sz w:val="22"/>
          <w:szCs w:val="22"/>
        </w:rPr>
        <w:t xml:space="preserve">Interpretive Guidance. </w:t>
      </w:r>
      <w:r w:rsidRPr="003A6DFC">
        <w:rPr>
          <w:i/>
          <w:sz w:val="22"/>
          <w:szCs w:val="22"/>
        </w:rPr>
        <w:br/>
      </w:r>
      <w:r w:rsidRPr="003A6DFC">
        <w:rPr>
          <w:i/>
          <w:sz w:val="22"/>
          <w:szCs w:val="22"/>
        </w:rPr>
        <w:br/>
        <w:t>Checking the box next to “No U.S. Perso</w:t>
      </w:r>
      <w:r w:rsidR="000132AC" w:rsidRPr="003A6DFC">
        <w:rPr>
          <w:i/>
          <w:sz w:val="22"/>
          <w:szCs w:val="22"/>
        </w:rPr>
        <w:t>n Guarantees</w:t>
      </w:r>
      <w:r w:rsidR="006C3359">
        <w:rPr>
          <w:i/>
          <w:sz w:val="22"/>
          <w:szCs w:val="22"/>
        </w:rPr>
        <w:t xml:space="preserve"> (</w:t>
      </w:r>
      <w:r w:rsidR="007050DC">
        <w:rPr>
          <w:i/>
          <w:sz w:val="22"/>
          <w:szCs w:val="22"/>
        </w:rPr>
        <w:t xml:space="preserve">CFTC 2013 </w:t>
      </w:r>
      <w:r w:rsidR="004F6E8C">
        <w:rPr>
          <w:i/>
          <w:sz w:val="22"/>
          <w:szCs w:val="22"/>
        </w:rPr>
        <w:t>Interpretive</w:t>
      </w:r>
      <w:r w:rsidR="007050DC">
        <w:rPr>
          <w:i/>
          <w:sz w:val="22"/>
          <w:szCs w:val="22"/>
        </w:rPr>
        <w:t xml:space="preserve"> Guidance</w:t>
      </w:r>
      <w:r w:rsidR="006C3359">
        <w:rPr>
          <w:i/>
          <w:sz w:val="22"/>
          <w:szCs w:val="22"/>
        </w:rPr>
        <w:t>)</w:t>
      </w:r>
      <w:r w:rsidR="000132AC" w:rsidRPr="003A6DFC">
        <w:rPr>
          <w:i/>
          <w:sz w:val="22"/>
          <w:szCs w:val="22"/>
        </w:rPr>
        <w:t>” indicates that</w:t>
      </w:r>
      <w:r w:rsidRPr="003A6DFC">
        <w:rPr>
          <w:i/>
          <w:sz w:val="22"/>
          <w:szCs w:val="22"/>
        </w:rPr>
        <w:t xml:space="preserve"> Named </w:t>
      </w:r>
      <w:r w:rsidR="00F578BB" w:rsidRPr="003A6DFC">
        <w:rPr>
          <w:i/>
          <w:sz w:val="22"/>
          <w:szCs w:val="22"/>
        </w:rPr>
        <w:t>Entity reasonably believes that</w:t>
      </w:r>
      <w:r w:rsidRPr="003A6DFC">
        <w:rPr>
          <w:i/>
          <w:sz w:val="22"/>
          <w:szCs w:val="22"/>
        </w:rPr>
        <w:t xml:space="preserve"> </w:t>
      </w:r>
      <w:r w:rsidRPr="00D46752">
        <w:rPr>
          <w:i/>
          <w:sz w:val="22"/>
          <w:szCs w:val="22"/>
          <w:u w:val="single"/>
        </w:rPr>
        <w:t>none</w:t>
      </w:r>
      <w:r w:rsidRPr="003A6DFC">
        <w:rPr>
          <w:i/>
          <w:sz w:val="22"/>
          <w:szCs w:val="22"/>
        </w:rPr>
        <w:t xml:space="preserve"> of</w:t>
      </w:r>
      <w:r w:rsidR="003F322F">
        <w:rPr>
          <w:i/>
          <w:sz w:val="22"/>
          <w:szCs w:val="22"/>
        </w:rPr>
        <w:t xml:space="preserve"> Named Entity’s obligations in S</w:t>
      </w:r>
      <w:r w:rsidRPr="003A6DFC">
        <w:rPr>
          <w:i/>
          <w:sz w:val="22"/>
          <w:szCs w:val="22"/>
        </w:rPr>
        <w:t xml:space="preserve">waps with Recipient (other than swaps notified to Recipient in writing prior to execution) </w:t>
      </w:r>
      <w:r w:rsidR="003A6DFC" w:rsidRPr="003A6DFC">
        <w:rPr>
          <w:i/>
          <w:sz w:val="22"/>
          <w:szCs w:val="22"/>
        </w:rPr>
        <w:t>are supported by a Guarantee</w:t>
      </w:r>
      <w:r w:rsidR="003A6DFC">
        <w:rPr>
          <w:i/>
          <w:sz w:val="22"/>
          <w:szCs w:val="22"/>
        </w:rPr>
        <w:t xml:space="preserve"> (</w:t>
      </w:r>
      <w:r w:rsidR="007050DC">
        <w:rPr>
          <w:i/>
          <w:sz w:val="22"/>
          <w:szCs w:val="22"/>
        </w:rPr>
        <w:t xml:space="preserve">CFTC 2013 </w:t>
      </w:r>
      <w:r w:rsidR="004F6E8C">
        <w:rPr>
          <w:i/>
          <w:sz w:val="22"/>
          <w:szCs w:val="22"/>
        </w:rPr>
        <w:t>Interpretive</w:t>
      </w:r>
      <w:r w:rsidR="007050DC">
        <w:rPr>
          <w:i/>
          <w:sz w:val="22"/>
          <w:szCs w:val="22"/>
        </w:rPr>
        <w:t xml:space="preserve"> Guidance</w:t>
      </w:r>
      <w:r w:rsidR="003A6DFC">
        <w:rPr>
          <w:i/>
          <w:sz w:val="22"/>
          <w:szCs w:val="22"/>
        </w:rPr>
        <w:t>)</w:t>
      </w:r>
      <w:r w:rsidR="003A6DFC" w:rsidRPr="003A6DFC">
        <w:rPr>
          <w:i/>
          <w:sz w:val="22"/>
          <w:szCs w:val="22"/>
        </w:rPr>
        <w:t xml:space="preserve"> that</w:t>
      </w:r>
      <w:r w:rsidR="00A403AC">
        <w:rPr>
          <w:i/>
          <w:sz w:val="22"/>
          <w:szCs w:val="22"/>
        </w:rPr>
        <w:t xml:space="preserve"> is provided by a person that Named Entity</w:t>
      </w:r>
      <w:r w:rsidR="003A6DFC" w:rsidRPr="003A6DFC">
        <w:rPr>
          <w:i/>
          <w:sz w:val="22"/>
          <w:szCs w:val="22"/>
        </w:rPr>
        <w:t xml:space="preserve"> reasonably believe</w:t>
      </w:r>
      <w:r w:rsidR="003E56EA">
        <w:rPr>
          <w:i/>
          <w:sz w:val="22"/>
          <w:szCs w:val="22"/>
        </w:rPr>
        <w:t>s</w:t>
      </w:r>
      <w:r w:rsidR="003A6DFC" w:rsidRPr="003A6DFC">
        <w:rPr>
          <w:i/>
          <w:sz w:val="22"/>
          <w:szCs w:val="22"/>
        </w:rPr>
        <w:t xml:space="preserve"> falls within one or more of the U.S. Person Categories</w:t>
      </w:r>
      <w:r w:rsidR="006C3359">
        <w:rPr>
          <w:i/>
          <w:sz w:val="22"/>
          <w:szCs w:val="22"/>
        </w:rPr>
        <w:t xml:space="preserve"> (</w:t>
      </w:r>
      <w:r w:rsidR="007050DC">
        <w:rPr>
          <w:i/>
          <w:sz w:val="22"/>
          <w:szCs w:val="22"/>
        </w:rPr>
        <w:t xml:space="preserve">CFTC 2013 </w:t>
      </w:r>
      <w:r w:rsidR="004F6E8C">
        <w:rPr>
          <w:i/>
          <w:sz w:val="22"/>
          <w:szCs w:val="22"/>
        </w:rPr>
        <w:t>Interpretive</w:t>
      </w:r>
      <w:r w:rsidR="007050DC">
        <w:rPr>
          <w:i/>
          <w:sz w:val="22"/>
          <w:szCs w:val="22"/>
        </w:rPr>
        <w:t xml:space="preserve"> Guidance</w:t>
      </w:r>
      <w:r w:rsidR="006C3359">
        <w:rPr>
          <w:i/>
          <w:sz w:val="22"/>
          <w:szCs w:val="22"/>
        </w:rPr>
        <w:t>)</w:t>
      </w:r>
      <w:r w:rsidR="003A6DFC" w:rsidRPr="003A6DFC">
        <w:rPr>
          <w:i/>
          <w:sz w:val="22"/>
          <w:szCs w:val="22"/>
        </w:rPr>
        <w:t xml:space="preserve"> or would otherwise be deemed to be a “U.S. person” under the CFTC’s 2013 Interpretive Guidance. </w:t>
      </w:r>
      <w:r w:rsidRPr="003A6DFC">
        <w:rPr>
          <w:sz w:val="22"/>
          <w:szCs w:val="22"/>
        </w:rPr>
        <w:br/>
      </w:r>
      <w:r w:rsidRPr="003A6DFC">
        <w:rPr>
          <w:sz w:val="22"/>
          <w:szCs w:val="22"/>
        </w:rPr>
        <w:br/>
      </w:r>
      <w:r w:rsidRPr="003A6DFC">
        <w:rPr>
          <w:sz w:val="22"/>
          <w:szCs w:val="22"/>
        </w:rPr>
        <w:fldChar w:fldCharType="begin">
          <w:ffData>
            <w:name w:val=""/>
            <w:enabled/>
            <w:calcOnExit w:val="0"/>
            <w:checkBox>
              <w:sizeAuto/>
              <w:default w:val="0"/>
            </w:checkBox>
          </w:ffData>
        </w:fldChar>
      </w:r>
      <w:r w:rsidRPr="003A6DFC">
        <w:rPr>
          <w:sz w:val="22"/>
          <w:szCs w:val="22"/>
        </w:rPr>
        <w:instrText xml:space="preserve"> FORMCHECKBOX </w:instrText>
      </w:r>
      <w:r w:rsidR="00166DDA">
        <w:rPr>
          <w:sz w:val="22"/>
          <w:szCs w:val="22"/>
        </w:rPr>
      </w:r>
      <w:r w:rsidR="00166DDA">
        <w:rPr>
          <w:sz w:val="22"/>
          <w:szCs w:val="22"/>
        </w:rPr>
        <w:fldChar w:fldCharType="separate"/>
      </w:r>
      <w:r w:rsidRPr="003A6DFC">
        <w:rPr>
          <w:sz w:val="22"/>
          <w:szCs w:val="22"/>
        </w:rPr>
        <w:fldChar w:fldCharType="end"/>
      </w:r>
      <w:r w:rsidRPr="003A6DFC">
        <w:rPr>
          <w:sz w:val="22"/>
          <w:szCs w:val="22"/>
        </w:rPr>
        <w:t xml:space="preserve">  U.S. Person Guarantees</w:t>
      </w:r>
      <w:r w:rsidR="00F24173" w:rsidRPr="003A6DFC">
        <w:rPr>
          <w:sz w:val="22"/>
          <w:szCs w:val="22"/>
        </w:rPr>
        <w:t xml:space="preserve"> (</w:t>
      </w:r>
      <w:r w:rsidR="007050DC">
        <w:rPr>
          <w:sz w:val="22"/>
          <w:szCs w:val="22"/>
        </w:rPr>
        <w:t xml:space="preserve">CFTC 2013 </w:t>
      </w:r>
      <w:r w:rsidR="004F6E8C">
        <w:rPr>
          <w:sz w:val="22"/>
          <w:szCs w:val="22"/>
        </w:rPr>
        <w:t>Interpretive</w:t>
      </w:r>
      <w:r w:rsidR="007050DC">
        <w:rPr>
          <w:sz w:val="22"/>
          <w:szCs w:val="22"/>
        </w:rPr>
        <w:t xml:space="preserve"> Guidance</w:t>
      </w:r>
      <w:r w:rsidR="00F24173" w:rsidRPr="003A6DFC">
        <w:rPr>
          <w:sz w:val="22"/>
          <w:szCs w:val="22"/>
        </w:rPr>
        <w:t>)</w:t>
      </w:r>
      <w:r w:rsidRPr="003A6DFC">
        <w:rPr>
          <w:sz w:val="22"/>
          <w:szCs w:val="22"/>
        </w:rPr>
        <w:br/>
      </w:r>
      <w:r w:rsidRPr="003A6DFC">
        <w:rPr>
          <w:sz w:val="22"/>
          <w:szCs w:val="22"/>
        </w:rPr>
        <w:fldChar w:fldCharType="begin">
          <w:ffData>
            <w:name w:val=""/>
            <w:enabled/>
            <w:calcOnExit w:val="0"/>
            <w:checkBox>
              <w:sizeAuto/>
              <w:default w:val="0"/>
            </w:checkBox>
          </w:ffData>
        </w:fldChar>
      </w:r>
      <w:r w:rsidRPr="003A6DFC">
        <w:rPr>
          <w:sz w:val="22"/>
          <w:szCs w:val="22"/>
        </w:rPr>
        <w:instrText xml:space="preserve"> FORMCHECKBOX </w:instrText>
      </w:r>
      <w:r w:rsidR="00166DDA">
        <w:rPr>
          <w:sz w:val="22"/>
          <w:szCs w:val="22"/>
        </w:rPr>
      </w:r>
      <w:r w:rsidR="00166DDA">
        <w:rPr>
          <w:sz w:val="22"/>
          <w:szCs w:val="22"/>
        </w:rPr>
        <w:fldChar w:fldCharType="separate"/>
      </w:r>
      <w:r w:rsidRPr="003A6DFC">
        <w:rPr>
          <w:sz w:val="22"/>
          <w:szCs w:val="22"/>
        </w:rPr>
        <w:fldChar w:fldCharType="end"/>
      </w:r>
      <w:r w:rsidRPr="003A6DFC">
        <w:rPr>
          <w:sz w:val="22"/>
          <w:szCs w:val="22"/>
        </w:rPr>
        <w:t xml:space="preserve">  No U.S. Person Guarantees</w:t>
      </w:r>
      <w:r w:rsidR="00F24173" w:rsidRPr="003A6DFC">
        <w:rPr>
          <w:sz w:val="22"/>
          <w:szCs w:val="22"/>
        </w:rPr>
        <w:t xml:space="preserve"> (</w:t>
      </w:r>
      <w:r w:rsidR="007050DC">
        <w:rPr>
          <w:sz w:val="22"/>
          <w:szCs w:val="22"/>
        </w:rPr>
        <w:t xml:space="preserve">CFTC 2013 </w:t>
      </w:r>
      <w:r w:rsidR="004F6E8C">
        <w:rPr>
          <w:sz w:val="22"/>
          <w:szCs w:val="22"/>
        </w:rPr>
        <w:t>Interpretive</w:t>
      </w:r>
      <w:r w:rsidR="007050DC">
        <w:rPr>
          <w:sz w:val="22"/>
          <w:szCs w:val="22"/>
        </w:rPr>
        <w:t xml:space="preserve"> Guidance</w:t>
      </w:r>
      <w:r w:rsidR="00F24173" w:rsidRPr="003A6DFC">
        <w:rPr>
          <w:sz w:val="22"/>
          <w:szCs w:val="22"/>
        </w:rPr>
        <w:t>)</w:t>
      </w:r>
      <w:r w:rsidR="0036770F" w:rsidRPr="003A6DFC">
        <w:rPr>
          <w:sz w:val="22"/>
          <w:szCs w:val="22"/>
        </w:rPr>
        <w:br/>
      </w:r>
      <w:r w:rsidR="0036770F" w:rsidRPr="003A6DFC">
        <w:rPr>
          <w:sz w:val="22"/>
          <w:szCs w:val="22"/>
        </w:rPr>
        <w:br/>
      </w:r>
      <w:r w:rsidR="00B80497" w:rsidRPr="003A6DFC">
        <w:rPr>
          <w:i/>
          <w:color w:val="0070C0"/>
          <w:sz w:val="22"/>
          <w:szCs w:val="22"/>
        </w:rPr>
        <w:t>Go to the next Part that Information Recipient has requested, if any.</w:t>
      </w:r>
    </w:p>
    <w:p w14:paraId="1875DBF6" w14:textId="77777777" w:rsidR="00D85305" w:rsidRPr="00446659" w:rsidRDefault="005302DF" w:rsidP="00D85305">
      <w:pPr>
        <w:pStyle w:val="Heading2"/>
        <w:rPr>
          <w:b/>
          <w:sz w:val="22"/>
          <w:szCs w:val="22"/>
        </w:rPr>
      </w:pPr>
      <w:r>
        <w:rPr>
          <w:b/>
          <w:sz w:val="22"/>
          <w:szCs w:val="22"/>
        </w:rPr>
        <w:t>CFTC Margin Rule</w:t>
      </w:r>
      <w:r w:rsidR="00A006CF">
        <w:rPr>
          <w:b/>
          <w:sz w:val="22"/>
          <w:szCs w:val="22"/>
        </w:rPr>
        <w:t>s</w:t>
      </w:r>
    </w:p>
    <w:p w14:paraId="7C8424EF" w14:textId="77777777" w:rsidR="00335752" w:rsidRDefault="00BF2E7E" w:rsidP="00D85305">
      <w:pPr>
        <w:pStyle w:val="BodyText"/>
        <w:rPr>
          <w:i/>
          <w:sz w:val="22"/>
          <w:szCs w:val="22"/>
        </w:rPr>
      </w:pPr>
      <w:r>
        <w:rPr>
          <w:b/>
          <w:i/>
          <w:sz w:val="22"/>
          <w:szCs w:val="22"/>
          <w:u w:val="single"/>
        </w:rPr>
        <w:t>Explanat</w:t>
      </w:r>
      <w:r w:rsidR="0038215C" w:rsidRPr="008E0015">
        <w:rPr>
          <w:b/>
          <w:i/>
          <w:sz w:val="22"/>
          <w:szCs w:val="22"/>
          <w:u w:val="single"/>
        </w:rPr>
        <w:t>o</w:t>
      </w:r>
      <w:r>
        <w:rPr>
          <w:b/>
          <w:i/>
          <w:sz w:val="22"/>
          <w:szCs w:val="22"/>
          <w:u w:val="single"/>
        </w:rPr>
        <w:t>ry Note</w:t>
      </w:r>
      <w:r w:rsidR="0038215C" w:rsidRPr="008E0015">
        <w:rPr>
          <w:b/>
          <w:i/>
          <w:sz w:val="22"/>
          <w:szCs w:val="22"/>
        </w:rPr>
        <w:t>:</w:t>
      </w:r>
      <w:r w:rsidR="0038215C" w:rsidRPr="00446659">
        <w:rPr>
          <w:i/>
          <w:sz w:val="22"/>
          <w:szCs w:val="22"/>
        </w:rPr>
        <w:t xml:space="preserve">  These questions are designed to elicit information necessary to allow a non-U.S. SD/MSP that is subject to the CFTC’s margin rules to determine whether those margin rules apply to a relationship with a non-U.S. counterparty and, if each party is an SD or MSP subject to the CFTC’s margin rules, to determine whether substitute</w:t>
      </w:r>
      <w:r w:rsidR="0051062E">
        <w:rPr>
          <w:i/>
          <w:sz w:val="22"/>
          <w:szCs w:val="22"/>
        </w:rPr>
        <w:t>d compliance may be available for</w:t>
      </w:r>
      <w:r w:rsidR="0038215C" w:rsidRPr="00446659">
        <w:rPr>
          <w:i/>
          <w:sz w:val="22"/>
          <w:szCs w:val="22"/>
        </w:rPr>
        <w:t xml:space="preserve"> the collection or posting of initial margin.</w:t>
      </w:r>
    </w:p>
    <w:p w14:paraId="7489EA58" w14:textId="77777777" w:rsidR="008E0015" w:rsidRPr="009C2BA9" w:rsidRDefault="008E0015" w:rsidP="00D85305">
      <w:pPr>
        <w:pStyle w:val="BodyText"/>
        <w:rPr>
          <w:i/>
          <w:color w:val="0070C0"/>
          <w:sz w:val="22"/>
          <w:szCs w:val="22"/>
        </w:rPr>
      </w:pPr>
      <w:r w:rsidRPr="009C2BA9">
        <w:rPr>
          <w:i/>
          <w:color w:val="0070C0"/>
          <w:sz w:val="22"/>
          <w:szCs w:val="22"/>
        </w:rPr>
        <w:t xml:space="preserve">Read the instructions </w:t>
      </w:r>
      <w:r w:rsidR="008D15DB">
        <w:rPr>
          <w:i/>
          <w:color w:val="0070C0"/>
          <w:sz w:val="22"/>
          <w:szCs w:val="22"/>
        </w:rPr>
        <w:t>for item 1, answer if applicable, and then follow the subsequent instructions.</w:t>
      </w:r>
    </w:p>
    <w:p w14:paraId="69F0262E" w14:textId="77777777" w:rsidR="00D85305" w:rsidRPr="00446659" w:rsidRDefault="00335752" w:rsidP="00D85305">
      <w:pPr>
        <w:pStyle w:val="Heading3"/>
        <w:rPr>
          <w:sz w:val="22"/>
          <w:szCs w:val="22"/>
        </w:rPr>
      </w:pPr>
      <w:r w:rsidRPr="00446659">
        <w:rPr>
          <w:sz w:val="22"/>
          <w:szCs w:val="22"/>
          <w:u w:val="single"/>
        </w:rPr>
        <w:t>U.S. Person</w:t>
      </w:r>
      <w:r w:rsidRPr="00446659">
        <w:rPr>
          <w:sz w:val="22"/>
          <w:szCs w:val="22"/>
          <w:u w:val="single"/>
        </w:rPr>
        <w:br/>
      </w:r>
      <w:r w:rsidRPr="00446659">
        <w:rPr>
          <w:sz w:val="22"/>
          <w:szCs w:val="22"/>
          <w:u w:val="single"/>
        </w:rPr>
        <w:br/>
      </w:r>
      <w:r w:rsidR="008D15DB">
        <w:rPr>
          <w:i/>
          <w:color w:val="0070C0"/>
          <w:sz w:val="22"/>
          <w:szCs w:val="22"/>
        </w:rPr>
        <w:t xml:space="preserve">Answer </w:t>
      </w:r>
      <w:r w:rsidR="00FB30B0">
        <w:rPr>
          <w:i/>
          <w:color w:val="0070C0"/>
          <w:sz w:val="22"/>
          <w:szCs w:val="22"/>
        </w:rPr>
        <w:t xml:space="preserve">unless </w:t>
      </w:r>
      <w:r w:rsidRPr="00446659">
        <w:rPr>
          <w:i/>
          <w:color w:val="0070C0"/>
          <w:sz w:val="22"/>
          <w:szCs w:val="22"/>
        </w:rPr>
        <w:t xml:space="preserve">Named Entity </w:t>
      </w:r>
      <w:r w:rsidR="008D15DB">
        <w:rPr>
          <w:i/>
          <w:color w:val="0070C0"/>
          <w:sz w:val="22"/>
          <w:szCs w:val="22"/>
        </w:rPr>
        <w:t>checked</w:t>
      </w:r>
      <w:r w:rsidRPr="00446659">
        <w:rPr>
          <w:i/>
          <w:color w:val="0070C0"/>
          <w:sz w:val="22"/>
          <w:szCs w:val="22"/>
        </w:rPr>
        <w:t xml:space="preserve"> “</w:t>
      </w:r>
      <w:r w:rsidR="00FB30B0">
        <w:rPr>
          <w:i/>
          <w:color w:val="0070C0"/>
          <w:sz w:val="22"/>
          <w:szCs w:val="22"/>
        </w:rPr>
        <w:t>No</w:t>
      </w:r>
      <w:r w:rsidR="004928D1">
        <w:rPr>
          <w:i/>
          <w:color w:val="0070C0"/>
          <w:sz w:val="22"/>
          <w:szCs w:val="22"/>
        </w:rPr>
        <w:t xml:space="preserve">” to </w:t>
      </w:r>
      <w:r w:rsidR="008D15DB">
        <w:rPr>
          <w:i/>
          <w:color w:val="0070C0"/>
          <w:sz w:val="22"/>
          <w:szCs w:val="22"/>
        </w:rPr>
        <w:t>item</w:t>
      </w:r>
      <w:r w:rsidR="004928D1">
        <w:rPr>
          <w:i/>
          <w:color w:val="0070C0"/>
          <w:sz w:val="22"/>
          <w:szCs w:val="22"/>
        </w:rPr>
        <w:t xml:space="preserve"> 1</w:t>
      </w:r>
      <w:r w:rsidRPr="00446659">
        <w:rPr>
          <w:i/>
          <w:color w:val="0070C0"/>
          <w:sz w:val="22"/>
          <w:szCs w:val="22"/>
        </w:rPr>
        <w:t xml:space="preserve"> in Part II.C</w:t>
      </w:r>
      <w:r w:rsidR="00FB30B0">
        <w:rPr>
          <w:i/>
          <w:color w:val="0070C0"/>
          <w:sz w:val="22"/>
          <w:szCs w:val="22"/>
        </w:rPr>
        <w:t>, in which case</w:t>
      </w:r>
      <w:r w:rsidR="006C3359">
        <w:rPr>
          <w:i/>
          <w:color w:val="0070C0"/>
          <w:sz w:val="22"/>
          <w:szCs w:val="22"/>
        </w:rPr>
        <w:t xml:space="preserve"> </w:t>
      </w:r>
      <w:r w:rsidR="00CB58DB">
        <w:rPr>
          <w:i/>
          <w:color w:val="0070C0"/>
          <w:sz w:val="22"/>
          <w:szCs w:val="22"/>
        </w:rPr>
        <w:t>skip</w:t>
      </w:r>
      <w:r w:rsidR="00FB30B0">
        <w:rPr>
          <w:i/>
          <w:color w:val="0070C0"/>
          <w:sz w:val="22"/>
          <w:szCs w:val="22"/>
        </w:rPr>
        <w:t xml:space="preserve"> to the next item.  </w:t>
      </w:r>
      <w:r w:rsidRPr="00446659">
        <w:rPr>
          <w:sz w:val="22"/>
          <w:szCs w:val="22"/>
        </w:rPr>
        <w:br/>
      </w:r>
      <w:r w:rsidRPr="00446659">
        <w:rPr>
          <w:sz w:val="22"/>
          <w:szCs w:val="22"/>
        </w:rPr>
        <w:br/>
      </w:r>
      <w:r w:rsidR="0038215C" w:rsidRPr="00446659">
        <w:rPr>
          <w:sz w:val="22"/>
          <w:szCs w:val="22"/>
        </w:rPr>
        <w:t>Is Named Entity a U.S. Person (</w:t>
      </w:r>
      <w:r w:rsidR="00A006CF">
        <w:rPr>
          <w:sz w:val="22"/>
          <w:szCs w:val="22"/>
        </w:rPr>
        <w:t xml:space="preserve">CFTC </w:t>
      </w:r>
      <w:r w:rsidR="0038215C" w:rsidRPr="00446659">
        <w:rPr>
          <w:sz w:val="22"/>
          <w:szCs w:val="22"/>
        </w:rPr>
        <w:t>Margin Rule</w:t>
      </w:r>
      <w:r w:rsidR="00A006CF">
        <w:rPr>
          <w:sz w:val="22"/>
          <w:szCs w:val="22"/>
        </w:rPr>
        <w:t>s</w:t>
      </w:r>
      <w:r w:rsidR="0038215C" w:rsidRPr="00446659">
        <w:rPr>
          <w:sz w:val="22"/>
          <w:szCs w:val="22"/>
        </w:rPr>
        <w:t>)?</w:t>
      </w:r>
      <w:r w:rsidRPr="00446659">
        <w:rPr>
          <w:sz w:val="22"/>
          <w:szCs w:val="22"/>
        </w:rPr>
        <w:br/>
      </w:r>
      <w:r w:rsidR="0038215C" w:rsidRPr="00446659">
        <w:rPr>
          <w:sz w:val="22"/>
          <w:szCs w:val="22"/>
        </w:rPr>
        <w:br/>
      </w:r>
      <w:r w:rsidR="0038215C" w:rsidRPr="00446659">
        <w:rPr>
          <w:sz w:val="22"/>
          <w:szCs w:val="22"/>
        </w:rPr>
        <w:fldChar w:fldCharType="begin">
          <w:ffData>
            <w:name w:val=""/>
            <w:enabled/>
            <w:calcOnExit w:val="0"/>
            <w:checkBox>
              <w:sizeAuto/>
              <w:default w:val="0"/>
            </w:checkBox>
          </w:ffData>
        </w:fldChar>
      </w:r>
      <w:r w:rsidR="0038215C" w:rsidRPr="00446659">
        <w:rPr>
          <w:sz w:val="22"/>
          <w:szCs w:val="22"/>
        </w:rPr>
        <w:instrText xml:space="preserve"> FORMCHECKBOX </w:instrText>
      </w:r>
      <w:r w:rsidR="00166DDA">
        <w:rPr>
          <w:sz w:val="22"/>
          <w:szCs w:val="22"/>
        </w:rPr>
      </w:r>
      <w:r w:rsidR="00166DDA">
        <w:rPr>
          <w:sz w:val="22"/>
          <w:szCs w:val="22"/>
        </w:rPr>
        <w:fldChar w:fldCharType="separate"/>
      </w:r>
      <w:r w:rsidR="0038215C" w:rsidRPr="00446659">
        <w:rPr>
          <w:sz w:val="22"/>
          <w:szCs w:val="22"/>
        </w:rPr>
        <w:fldChar w:fldCharType="end"/>
      </w:r>
      <w:r w:rsidR="0038215C" w:rsidRPr="00446659">
        <w:rPr>
          <w:sz w:val="22"/>
          <w:szCs w:val="22"/>
        </w:rPr>
        <w:t xml:space="preserve">  Yes</w:t>
      </w:r>
      <w:r w:rsidR="0038215C" w:rsidRPr="00446659">
        <w:rPr>
          <w:sz w:val="22"/>
          <w:szCs w:val="22"/>
        </w:rPr>
        <w:br/>
      </w:r>
      <w:r w:rsidR="0038215C" w:rsidRPr="00446659">
        <w:rPr>
          <w:sz w:val="22"/>
          <w:szCs w:val="22"/>
        </w:rPr>
        <w:fldChar w:fldCharType="begin">
          <w:ffData>
            <w:name w:val=""/>
            <w:enabled/>
            <w:calcOnExit w:val="0"/>
            <w:checkBox>
              <w:sizeAuto/>
              <w:default w:val="0"/>
            </w:checkBox>
          </w:ffData>
        </w:fldChar>
      </w:r>
      <w:r w:rsidR="0038215C" w:rsidRPr="00446659">
        <w:rPr>
          <w:sz w:val="22"/>
          <w:szCs w:val="22"/>
        </w:rPr>
        <w:instrText xml:space="preserve"> FORMCHECKBOX </w:instrText>
      </w:r>
      <w:r w:rsidR="00166DDA">
        <w:rPr>
          <w:sz w:val="22"/>
          <w:szCs w:val="22"/>
        </w:rPr>
      </w:r>
      <w:r w:rsidR="00166DDA">
        <w:rPr>
          <w:sz w:val="22"/>
          <w:szCs w:val="22"/>
        </w:rPr>
        <w:fldChar w:fldCharType="separate"/>
      </w:r>
      <w:r w:rsidR="0038215C" w:rsidRPr="00446659">
        <w:rPr>
          <w:sz w:val="22"/>
          <w:szCs w:val="22"/>
        </w:rPr>
        <w:fldChar w:fldCharType="end"/>
      </w:r>
      <w:r w:rsidR="0038215C" w:rsidRPr="00446659">
        <w:rPr>
          <w:sz w:val="22"/>
          <w:szCs w:val="22"/>
        </w:rPr>
        <w:t xml:space="preserve">  No</w:t>
      </w:r>
      <w:r w:rsidR="008D15DB">
        <w:rPr>
          <w:sz w:val="22"/>
          <w:szCs w:val="22"/>
        </w:rPr>
        <w:br/>
      </w:r>
      <w:r w:rsidR="008D15DB">
        <w:rPr>
          <w:sz w:val="22"/>
          <w:szCs w:val="22"/>
        </w:rPr>
        <w:br/>
      </w:r>
      <w:r w:rsidR="008D15DB" w:rsidRPr="00FB30B0">
        <w:rPr>
          <w:i/>
          <w:color w:val="0070C0"/>
          <w:sz w:val="22"/>
          <w:szCs w:val="22"/>
        </w:rPr>
        <w:t>-</w:t>
      </w:r>
      <w:r w:rsidR="008D15DB" w:rsidRPr="008D15DB">
        <w:rPr>
          <w:i/>
          <w:color w:val="0070C0"/>
          <w:sz w:val="22"/>
          <w:szCs w:val="22"/>
        </w:rPr>
        <w:t>If Named Entity checked “Yes,” skip the rest of this Part II.D (go to the next Part that Information Recipient has requested, if any)</w:t>
      </w:r>
      <w:r w:rsidR="003F322F">
        <w:rPr>
          <w:i/>
          <w:color w:val="0070C0"/>
          <w:sz w:val="22"/>
          <w:szCs w:val="22"/>
        </w:rPr>
        <w:t>.</w:t>
      </w:r>
      <w:r w:rsidR="003F322F">
        <w:rPr>
          <w:i/>
          <w:color w:val="0070C0"/>
          <w:sz w:val="22"/>
          <w:szCs w:val="22"/>
        </w:rPr>
        <w:br/>
      </w:r>
      <w:r w:rsidR="003F322F">
        <w:rPr>
          <w:i/>
          <w:color w:val="0070C0"/>
          <w:sz w:val="22"/>
          <w:szCs w:val="22"/>
        </w:rPr>
        <w:lastRenderedPageBreak/>
        <w:br/>
        <w:t>-</w:t>
      </w:r>
      <w:r w:rsidR="00AD6A4F">
        <w:rPr>
          <w:i/>
          <w:color w:val="0070C0"/>
          <w:sz w:val="22"/>
          <w:szCs w:val="22"/>
        </w:rPr>
        <w:t>I</w:t>
      </w:r>
      <w:r w:rsidR="003F322F">
        <w:rPr>
          <w:i/>
          <w:color w:val="0070C0"/>
          <w:sz w:val="22"/>
          <w:szCs w:val="22"/>
        </w:rPr>
        <w:t>f Named Entity checked “No</w:t>
      </w:r>
      <w:r w:rsidR="00FB30B0">
        <w:rPr>
          <w:i/>
          <w:color w:val="0070C0"/>
          <w:sz w:val="22"/>
          <w:szCs w:val="22"/>
        </w:rPr>
        <w:t>,</w:t>
      </w:r>
      <w:r w:rsidR="008D15DB" w:rsidRPr="008D15DB">
        <w:rPr>
          <w:i/>
          <w:color w:val="0070C0"/>
          <w:sz w:val="22"/>
          <w:szCs w:val="22"/>
        </w:rPr>
        <w:t>”</w:t>
      </w:r>
      <w:r w:rsidR="00043314" w:rsidRPr="004A2F59">
        <w:rPr>
          <w:i/>
          <w:color w:val="0070C0"/>
          <w:sz w:val="22"/>
          <w:szCs w:val="22"/>
        </w:rPr>
        <w:t xml:space="preserve"> </w:t>
      </w:r>
      <w:r w:rsidR="00043314">
        <w:rPr>
          <w:i/>
          <w:color w:val="0070C0"/>
          <w:sz w:val="22"/>
          <w:szCs w:val="22"/>
        </w:rPr>
        <w:t xml:space="preserve">go </w:t>
      </w:r>
      <w:r w:rsidR="008D15DB" w:rsidRPr="008D15DB">
        <w:rPr>
          <w:i/>
          <w:color w:val="0070C0"/>
          <w:sz w:val="22"/>
          <w:szCs w:val="22"/>
        </w:rPr>
        <w:t>to the next item.</w:t>
      </w:r>
    </w:p>
    <w:p w14:paraId="3CF5A86C" w14:textId="77777777" w:rsidR="00001408" w:rsidRPr="004A2F59" w:rsidRDefault="00335752" w:rsidP="00001408">
      <w:pPr>
        <w:pStyle w:val="Heading3"/>
        <w:rPr>
          <w:sz w:val="22"/>
          <w:szCs w:val="22"/>
        </w:rPr>
      </w:pPr>
      <w:r w:rsidRPr="004A2F59">
        <w:rPr>
          <w:sz w:val="22"/>
          <w:szCs w:val="22"/>
          <w:u w:val="single"/>
        </w:rPr>
        <w:t>Foreign Consolidated Subsidiary</w:t>
      </w:r>
      <w:r w:rsidR="0036770F" w:rsidRPr="004A2F59">
        <w:rPr>
          <w:sz w:val="22"/>
          <w:szCs w:val="22"/>
          <w:u w:val="single"/>
        </w:rPr>
        <w:br/>
      </w:r>
      <w:r w:rsidR="0036770F" w:rsidRPr="004A2F59">
        <w:rPr>
          <w:sz w:val="22"/>
          <w:szCs w:val="22"/>
          <w:u w:val="single"/>
        </w:rPr>
        <w:br/>
      </w:r>
      <w:r w:rsidR="00D262CF" w:rsidRPr="00D262CF">
        <w:rPr>
          <w:i/>
          <w:color w:val="0070C0"/>
          <w:sz w:val="22"/>
          <w:szCs w:val="22"/>
        </w:rPr>
        <w:t xml:space="preserve">Answer if Named Entity is an SD, MSP, SBSD, or MSBSP as indicated in item 1 of Part I </w:t>
      </w:r>
      <w:r w:rsidR="008D15DB">
        <w:rPr>
          <w:i/>
          <w:color w:val="0070C0"/>
          <w:sz w:val="22"/>
          <w:szCs w:val="22"/>
        </w:rPr>
        <w:t xml:space="preserve">and either checked “No” </w:t>
      </w:r>
      <w:r w:rsidR="00BA2522">
        <w:rPr>
          <w:i/>
          <w:color w:val="0070C0"/>
          <w:sz w:val="22"/>
          <w:szCs w:val="22"/>
        </w:rPr>
        <w:t xml:space="preserve">or did not provide a response </w:t>
      </w:r>
      <w:r w:rsidR="008D15DB">
        <w:rPr>
          <w:i/>
          <w:color w:val="0070C0"/>
          <w:sz w:val="22"/>
          <w:szCs w:val="22"/>
        </w:rPr>
        <w:t>for item 1 immediately above</w:t>
      </w:r>
      <w:r w:rsidR="00D262CF">
        <w:rPr>
          <w:i/>
          <w:color w:val="0070C0"/>
          <w:sz w:val="22"/>
          <w:szCs w:val="22"/>
        </w:rPr>
        <w:t xml:space="preserve">.  </w:t>
      </w:r>
      <w:r w:rsidR="00CB58DB">
        <w:rPr>
          <w:i/>
          <w:color w:val="0070C0"/>
          <w:sz w:val="22"/>
          <w:szCs w:val="22"/>
        </w:rPr>
        <w:t>Otherwise, skip to the next item.</w:t>
      </w:r>
      <w:r w:rsidR="00001408" w:rsidRPr="004A2F59">
        <w:rPr>
          <w:i/>
          <w:color w:val="0070C0"/>
          <w:sz w:val="22"/>
          <w:szCs w:val="22"/>
        </w:rPr>
        <w:br/>
      </w:r>
      <w:r w:rsidR="00001408" w:rsidRPr="004A2F59">
        <w:rPr>
          <w:i/>
          <w:color w:val="0070C0"/>
          <w:sz w:val="22"/>
          <w:szCs w:val="22"/>
        </w:rPr>
        <w:br/>
      </w:r>
      <w:r w:rsidR="00001408" w:rsidRPr="004A2F59">
        <w:rPr>
          <w:sz w:val="22"/>
          <w:szCs w:val="22"/>
        </w:rPr>
        <w:t>Is Named Entity a Foreign Consolidated Subsidiary</w:t>
      </w:r>
      <w:r w:rsidR="006C3359">
        <w:rPr>
          <w:sz w:val="22"/>
          <w:szCs w:val="22"/>
        </w:rPr>
        <w:t xml:space="preserve"> (CFTC Margin Rules)</w:t>
      </w:r>
      <w:r w:rsidR="00001408" w:rsidRPr="004A2F59">
        <w:rPr>
          <w:sz w:val="22"/>
          <w:szCs w:val="22"/>
        </w:rPr>
        <w:t>?</w:t>
      </w:r>
      <w:r w:rsidR="00001408" w:rsidRPr="004A2F59">
        <w:rPr>
          <w:i/>
          <w:color w:val="0070C0"/>
          <w:sz w:val="22"/>
          <w:szCs w:val="22"/>
        </w:rPr>
        <w:br/>
      </w:r>
      <w:r w:rsidR="00001408" w:rsidRPr="004A2F59">
        <w:rPr>
          <w:i/>
          <w:color w:val="0070C0"/>
          <w:sz w:val="22"/>
          <w:szCs w:val="22"/>
        </w:rPr>
        <w:br/>
      </w:r>
      <w:r w:rsidR="00001408" w:rsidRPr="004A2F59">
        <w:rPr>
          <w:sz w:val="22"/>
          <w:szCs w:val="22"/>
        </w:rPr>
        <w:fldChar w:fldCharType="begin">
          <w:ffData>
            <w:name w:val=""/>
            <w:enabled/>
            <w:calcOnExit w:val="0"/>
            <w:checkBox>
              <w:sizeAuto/>
              <w:default w:val="0"/>
            </w:checkBox>
          </w:ffData>
        </w:fldChar>
      </w:r>
      <w:r w:rsidR="00001408" w:rsidRPr="004A2F59">
        <w:rPr>
          <w:sz w:val="22"/>
          <w:szCs w:val="22"/>
        </w:rPr>
        <w:instrText xml:space="preserve"> FORMCHECKBOX </w:instrText>
      </w:r>
      <w:r w:rsidR="00166DDA">
        <w:rPr>
          <w:sz w:val="22"/>
          <w:szCs w:val="22"/>
        </w:rPr>
      </w:r>
      <w:r w:rsidR="00166DDA">
        <w:rPr>
          <w:sz w:val="22"/>
          <w:szCs w:val="22"/>
        </w:rPr>
        <w:fldChar w:fldCharType="separate"/>
      </w:r>
      <w:r w:rsidR="00001408" w:rsidRPr="004A2F59">
        <w:rPr>
          <w:sz w:val="22"/>
          <w:szCs w:val="22"/>
        </w:rPr>
        <w:fldChar w:fldCharType="end"/>
      </w:r>
      <w:r w:rsidR="00001408" w:rsidRPr="004A2F59">
        <w:rPr>
          <w:sz w:val="22"/>
          <w:szCs w:val="22"/>
        </w:rPr>
        <w:t xml:space="preserve">  Yes</w:t>
      </w:r>
      <w:r w:rsidR="00001408" w:rsidRPr="004A2F59">
        <w:rPr>
          <w:sz w:val="22"/>
          <w:szCs w:val="22"/>
        </w:rPr>
        <w:br/>
      </w:r>
      <w:r w:rsidR="00001408" w:rsidRPr="004A2F59">
        <w:rPr>
          <w:sz w:val="22"/>
          <w:szCs w:val="22"/>
        </w:rPr>
        <w:fldChar w:fldCharType="begin">
          <w:ffData>
            <w:name w:val=""/>
            <w:enabled/>
            <w:calcOnExit w:val="0"/>
            <w:checkBox>
              <w:sizeAuto/>
              <w:default w:val="0"/>
            </w:checkBox>
          </w:ffData>
        </w:fldChar>
      </w:r>
      <w:r w:rsidR="00001408" w:rsidRPr="004A2F59">
        <w:rPr>
          <w:sz w:val="22"/>
          <w:szCs w:val="22"/>
        </w:rPr>
        <w:instrText xml:space="preserve"> FORMCHECKBOX </w:instrText>
      </w:r>
      <w:r w:rsidR="00166DDA">
        <w:rPr>
          <w:sz w:val="22"/>
          <w:szCs w:val="22"/>
        </w:rPr>
      </w:r>
      <w:r w:rsidR="00166DDA">
        <w:rPr>
          <w:sz w:val="22"/>
          <w:szCs w:val="22"/>
        </w:rPr>
        <w:fldChar w:fldCharType="separate"/>
      </w:r>
      <w:r w:rsidR="00001408" w:rsidRPr="004A2F59">
        <w:rPr>
          <w:sz w:val="22"/>
          <w:szCs w:val="22"/>
        </w:rPr>
        <w:fldChar w:fldCharType="end"/>
      </w:r>
      <w:r w:rsidR="00001408" w:rsidRPr="004A2F59">
        <w:rPr>
          <w:sz w:val="22"/>
          <w:szCs w:val="22"/>
        </w:rPr>
        <w:t xml:space="preserve">  No</w:t>
      </w:r>
      <w:r w:rsidR="008D15DB">
        <w:rPr>
          <w:sz w:val="22"/>
          <w:szCs w:val="22"/>
        </w:rPr>
        <w:br/>
      </w:r>
      <w:r w:rsidR="008D15DB">
        <w:rPr>
          <w:sz w:val="22"/>
          <w:szCs w:val="22"/>
        </w:rPr>
        <w:br/>
      </w:r>
      <w:r w:rsidR="00D262CF">
        <w:rPr>
          <w:i/>
          <w:color w:val="0070C0"/>
          <w:sz w:val="22"/>
          <w:szCs w:val="22"/>
        </w:rPr>
        <w:t>-If Named Entity checked “Yes,” skip the rest of this Part II.D and go to the next Part that Information Recipient has requested, if any.</w:t>
      </w:r>
      <w:r w:rsidR="00D262CF">
        <w:rPr>
          <w:i/>
          <w:color w:val="0070C0"/>
          <w:sz w:val="22"/>
          <w:szCs w:val="22"/>
        </w:rPr>
        <w:br/>
      </w:r>
      <w:r w:rsidR="00D262CF">
        <w:rPr>
          <w:i/>
          <w:color w:val="0070C0"/>
          <w:sz w:val="22"/>
          <w:szCs w:val="22"/>
        </w:rPr>
        <w:br/>
        <w:t>-If Named Entity checked “No</w:t>
      </w:r>
      <w:r w:rsidR="00CB58DB">
        <w:rPr>
          <w:i/>
          <w:color w:val="0070C0"/>
          <w:sz w:val="22"/>
          <w:szCs w:val="22"/>
        </w:rPr>
        <w:t>,</w:t>
      </w:r>
      <w:r w:rsidR="00D262CF">
        <w:rPr>
          <w:i/>
          <w:color w:val="0070C0"/>
          <w:sz w:val="22"/>
          <w:szCs w:val="22"/>
        </w:rPr>
        <w:t>”</w:t>
      </w:r>
      <w:r w:rsidR="00043314" w:rsidRPr="004A2F59">
        <w:rPr>
          <w:i/>
          <w:color w:val="0070C0"/>
          <w:sz w:val="22"/>
          <w:szCs w:val="22"/>
        </w:rPr>
        <w:t xml:space="preserve"> </w:t>
      </w:r>
      <w:r w:rsidR="00D262CF">
        <w:rPr>
          <w:i/>
          <w:color w:val="0070C0"/>
          <w:sz w:val="22"/>
          <w:szCs w:val="22"/>
        </w:rPr>
        <w:t>g</w:t>
      </w:r>
      <w:r w:rsidR="00D262CF" w:rsidRPr="00D262CF">
        <w:rPr>
          <w:i/>
          <w:color w:val="0070C0"/>
          <w:sz w:val="22"/>
          <w:szCs w:val="22"/>
        </w:rPr>
        <w:t>o to the next item.</w:t>
      </w:r>
    </w:p>
    <w:p w14:paraId="374B1EC9" w14:textId="77777777" w:rsidR="0038215C" w:rsidRPr="004A2F59" w:rsidRDefault="00001408" w:rsidP="0038215C">
      <w:pPr>
        <w:pStyle w:val="Heading3"/>
        <w:rPr>
          <w:i/>
          <w:color w:val="0070C0"/>
          <w:sz w:val="22"/>
          <w:szCs w:val="22"/>
        </w:rPr>
      </w:pPr>
      <w:r w:rsidRPr="004A2F59">
        <w:rPr>
          <w:sz w:val="22"/>
          <w:szCs w:val="22"/>
          <w:u w:val="single"/>
        </w:rPr>
        <w:t>U.S. Person Guarantees</w:t>
      </w:r>
      <w:r w:rsidRPr="004A2F59">
        <w:rPr>
          <w:sz w:val="22"/>
          <w:szCs w:val="22"/>
          <w:u w:val="single"/>
        </w:rPr>
        <w:br/>
      </w:r>
      <w:r w:rsidRPr="004A2F59">
        <w:rPr>
          <w:sz w:val="22"/>
          <w:szCs w:val="22"/>
          <w:u w:val="single"/>
        </w:rPr>
        <w:br/>
      </w:r>
      <w:r w:rsidR="00CB58DB">
        <w:rPr>
          <w:i/>
          <w:color w:val="0070C0"/>
          <w:sz w:val="22"/>
          <w:szCs w:val="22"/>
        </w:rPr>
        <w:t>Answer unless</w:t>
      </w:r>
      <w:r w:rsidR="005D189E">
        <w:rPr>
          <w:i/>
          <w:color w:val="0070C0"/>
          <w:sz w:val="22"/>
          <w:szCs w:val="22"/>
        </w:rPr>
        <w:t xml:space="preserve"> </w:t>
      </w:r>
      <w:r w:rsidR="00285642">
        <w:rPr>
          <w:i/>
          <w:color w:val="0070C0"/>
          <w:sz w:val="22"/>
          <w:szCs w:val="22"/>
        </w:rPr>
        <w:t>Named Entity</w:t>
      </w:r>
      <w:r w:rsidR="008D15DB">
        <w:rPr>
          <w:i/>
          <w:color w:val="0070C0"/>
          <w:sz w:val="22"/>
          <w:szCs w:val="22"/>
        </w:rPr>
        <w:t xml:space="preserve"> checked</w:t>
      </w:r>
      <w:r w:rsidR="00723120">
        <w:rPr>
          <w:i/>
          <w:color w:val="0070C0"/>
          <w:sz w:val="22"/>
          <w:szCs w:val="22"/>
        </w:rPr>
        <w:t xml:space="preserve"> </w:t>
      </w:r>
      <w:r w:rsidR="00CB58DB">
        <w:rPr>
          <w:i/>
          <w:color w:val="0070C0"/>
          <w:sz w:val="22"/>
          <w:szCs w:val="22"/>
        </w:rPr>
        <w:t>“No</w:t>
      </w:r>
      <w:r w:rsidR="00285642">
        <w:rPr>
          <w:i/>
          <w:color w:val="0070C0"/>
          <w:sz w:val="22"/>
          <w:szCs w:val="22"/>
        </w:rPr>
        <w:t>”</w:t>
      </w:r>
      <w:r w:rsidR="00723120">
        <w:rPr>
          <w:i/>
          <w:color w:val="0070C0"/>
          <w:sz w:val="22"/>
          <w:szCs w:val="22"/>
        </w:rPr>
        <w:t xml:space="preserve"> for</w:t>
      </w:r>
      <w:r w:rsidRPr="004A2F59">
        <w:rPr>
          <w:i/>
          <w:color w:val="0070C0"/>
          <w:sz w:val="22"/>
          <w:szCs w:val="22"/>
        </w:rPr>
        <w:t xml:space="preserve"> Part II.C </w:t>
      </w:r>
      <w:r w:rsidR="00723120">
        <w:rPr>
          <w:i/>
          <w:color w:val="0070C0"/>
          <w:sz w:val="22"/>
          <w:szCs w:val="22"/>
        </w:rPr>
        <w:t>i</w:t>
      </w:r>
      <w:r w:rsidRPr="004A2F59">
        <w:rPr>
          <w:i/>
          <w:color w:val="0070C0"/>
          <w:sz w:val="22"/>
          <w:szCs w:val="22"/>
        </w:rPr>
        <w:t>tem 3</w:t>
      </w:r>
      <w:r w:rsidR="00CB58DB">
        <w:rPr>
          <w:i/>
          <w:color w:val="0070C0"/>
          <w:sz w:val="22"/>
          <w:szCs w:val="22"/>
        </w:rPr>
        <w:t>, in which case go to the next Part that Information Recipient has requested, if any.</w:t>
      </w:r>
      <w:r w:rsidR="00D262CF">
        <w:rPr>
          <w:i/>
          <w:color w:val="0070C0"/>
          <w:sz w:val="22"/>
          <w:szCs w:val="22"/>
        </w:rPr>
        <w:t xml:space="preserve">  </w:t>
      </w:r>
      <w:r w:rsidRPr="004A2F59">
        <w:rPr>
          <w:sz w:val="22"/>
          <w:szCs w:val="22"/>
        </w:rPr>
        <w:br/>
      </w:r>
      <w:r w:rsidRPr="004A2F59">
        <w:rPr>
          <w:sz w:val="22"/>
          <w:szCs w:val="22"/>
        </w:rPr>
        <w:br/>
        <w:t>Does Named Entity have U.S. Person Guarantees (CFTC Margin Rule</w:t>
      </w:r>
      <w:r w:rsidR="00A006CF">
        <w:rPr>
          <w:sz w:val="22"/>
          <w:szCs w:val="22"/>
        </w:rPr>
        <w:t>s</w:t>
      </w:r>
      <w:r w:rsidRPr="004A2F59">
        <w:rPr>
          <w:sz w:val="22"/>
          <w:szCs w:val="22"/>
        </w:rPr>
        <w:t xml:space="preserve">)? </w:t>
      </w:r>
      <w:r w:rsidR="00F24173" w:rsidRPr="004A2F59">
        <w:rPr>
          <w:sz w:val="22"/>
          <w:szCs w:val="22"/>
        </w:rPr>
        <w:br/>
      </w:r>
      <w:r w:rsidR="00F24173" w:rsidRPr="004A2F59">
        <w:rPr>
          <w:sz w:val="22"/>
          <w:szCs w:val="22"/>
        </w:rPr>
        <w:br/>
      </w:r>
      <w:r w:rsidR="00F24173" w:rsidRPr="00285642">
        <w:rPr>
          <w:i/>
          <w:sz w:val="22"/>
          <w:szCs w:val="22"/>
          <w:lang w:val="x-none"/>
        </w:rPr>
        <w:t>Checking the box next to “U</w:t>
      </w:r>
      <w:r w:rsidR="00F24173" w:rsidRPr="00285642">
        <w:rPr>
          <w:i/>
          <w:sz w:val="22"/>
          <w:szCs w:val="22"/>
        </w:rPr>
        <w:t>.</w:t>
      </w:r>
      <w:r w:rsidR="00F24173" w:rsidRPr="00285642">
        <w:rPr>
          <w:i/>
          <w:sz w:val="22"/>
          <w:szCs w:val="22"/>
          <w:lang w:val="x-none"/>
        </w:rPr>
        <w:t>S</w:t>
      </w:r>
      <w:r w:rsidR="00F24173" w:rsidRPr="00285642">
        <w:rPr>
          <w:i/>
          <w:sz w:val="22"/>
          <w:szCs w:val="22"/>
        </w:rPr>
        <w:t>.</w:t>
      </w:r>
      <w:r w:rsidR="00F24173" w:rsidRPr="00285642">
        <w:rPr>
          <w:i/>
          <w:sz w:val="22"/>
          <w:szCs w:val="22"/>
          <w:lang w:val="x-none"/>
        </w:rPr>
        <w:t xml:space="preserve"> </w:t>
      </w:r>
      <w:r w:rsidR="0031368E" w:rsidRPr="00285642">
        <w:rPr>
          <w:i/>
          <w:sz w:val="22"/>
          <w:szCs w:val="22"/>
        </w:rPr>
        <w:t xml:space="preserve">Person </w:t>
      </w:r>
      <w:r w:rsidR="00F24173" w:rsidRPr="00285642">
        <w:rPr>
          <w:i/>
          <w:sz w:val="22"/>
          <w:szCs w:val="22"/>
          <w:lang w:val="x-none"/>
        </w:rPr>
        <w:t>Guarantees</w:t>
      </w:r>
      <w:r w:rsidR="006C3359">
        <w:rPr>
          <w:i/>
          <w:sz w:val="22"/>
          <w:szCs w:val="22"/>
        </w:rPr>
        <w:t xml:space="preserve"> (CFTC Margin Rules)</w:t>
      </w:r>
      <w:r w:rsidR="00F24173" w:rsidRPr="00285642">
        <w:rPr>
          <w:i/>
          <w:sz w:val="22"/>
          <w:szCs w:val="22"/>
          <w:lang w:val="x-none"/>
        </w:rPr>
        <w:t>” indicates that one or</w:t>
      </w:r>
      <w:r w:rsidR="00F24173" w:rsidRPr="00285642">
        <w:rPr>
          <w:i/>
          <w:sz w:val="22"/>
          <w:szCs w:val="22"/>
        </w:rPr>
        <w:t xml:space="preserve"> </w:t>
      </w:r>
      <w:r w:rsidR="00F24173" w:rsidRPr="00285642">
        <w:rPr>
          <w:i/>
          <w:sz w:val="22"/>
          <w:szCs w:val="22"/>
          <w:lang w:val="x-none"/>
        </w:rPr>
        <w:t xml:space="preserve">more of </w:t>
      </w:r>
      <w:r w:rsidR="00F24173" w:rsidRPr="00285642">
        <w:rPr>
          <w:i/>
          <w:sz w:val="22"/>
          <w:szCs w:val="22"/>
        </w:rPr>
        <w:t>Named Entity</w:t>
      </w:r>
      <w:r w:rsidR="00F24173" w:rsidRPr="00285642">
        <w:rPr>
          <w:i/>
          <w:sz w:val="22"/>
          <w:szCs w:val="22"/>
          <w:lang w:val="x-none"/>
        </w:rPr>
        <w:t xml:space="preserve">’s obligations in </w:t>
      </w:r>
      <w:r w:rsidR="00F24173" w:rsidRPr="003A6DFC">
        <w:rPr>
          <w:i/>
          <w:sz w:val="22"/>
          <w:szCs w:val="22"/>
          <w:lang w:val="x-none"/>
        </w:rPr>
        <w:t>Uncleared Swaps</w:t>
      </w:r>
      <w:r w:rsidR="00F24173" w:rsidRPr="00285642">
        <w:rPr>
          <w:i/>
          <w:sz w:val="22"/>
          <w:szCs w:val="22"/>
          <w:lang w:val="x-none"/>
        </w:rPr>
        <w:t xml:space="preserve"> with Recipient</w:t>
      </w:r>
      <w:r w:rsidR="00F24173" w:rsidRPr="00285642">
        <w:rPr>
          <w:i/>
          <w:sz w:val="22"/>
          <w:szCs w:val="22"/>
        </w:rPr>
        <w:t xml:space="preserve"> </w:t>
      </w:r>
      <w:r w:rsidR="00F24173" w:rsidRPr="00285642">
        <w:rPr>
          <w:i/>
          <w:sz w:val="22"/>
          <w:szCs w:val="22"/>
          <w:lang w:val="x-none"/>
        </w:rPr>
        <w:t xml:space="preserve">receive a </w:t>
      </w:r>
      <w:r w:rsidR="00F24173" w:rsidRPr="00285642">
        <w:rPr>
          <w:i/>
          <w:sz w:val="22"/>
          <w:szCs w:val="22"/>
        </w:rPr>
        <w:t>U.S. Person Guarantee (CFTC Margin Rule</w:t>
      </w:r>
      <w:r w:rsidR="00A006CF">
        <w:rPr>
          <w:i/>
          <w:sz w:val="22"/>
          <w:szCs w:val="22"/>
        </w:rPr>
        <w:t>s</w:t>
      </w:r>
      <w:r w:rsidR="00F24173" w:rsidRPr="00285642">
        <w:rPr>
          <w:i/>
          <w:sz w:val="22"/>
          <w:szCs w:val="22"/>
        </w:rPr>
        <w:t>)</w:t>
      </w:r>
      <w:r w:rsidR="00F24173" w:rsidRPr="00285642">
        <w:rPr>
          <w:i/>
          <w:sz w:val="22"/>
          <w:szCs w:val="22"/>
          <w:lang w:val="x-none"/>
        </w:rPr>
        <w:t>.</w:t>
      </w:r>
      <w:r w:rsidR="00672C89">
        <w:rPr>
          <w:i/>
          <w:sz w:val="22"/>
          <w:szCs w:val="22"/>
        </w:rPr>
        <w:br/>
      </w:r>
      <w:r w:rsidR="00672C89">
        <w:rPr>
          <w:i/>
          <w:sz w:val="22"/>
          <w:szCs w:val="22"/>
        </w:rPr>
        <w:br/>
      </w:r>
      <w:r w:rsidR="00672C89" w:rsidRPr="00285642">
        <w:rPr>
          <w:i/>
          <w:sz w:val="22"/>
          <w:szCs w:val="22"/>
          <w:lang w:val="x-none"/>
        </w:rPr>
        <w:t>Checking the box next to “No U</w:t>
      </w:r>
      <w:r w:rsidR="00672C89" w:rsidRPr="00285642">
        <w:rPr>
          <w:i/>
          <w:sz w:val="22"/>
          <w:szCs w:val="22"/>
        </w:rPr>
        <w:t>.</w:t>
      </w:r>
      <w:r w:rsidR="00672C89" w:rsidRPr="00285642">
        <w:rPr>
          <w:i/>
          <w:sz w:val="22"/>
          <w:szCs w:val="22"/>
          <w:lang w:val="x-none"/>
        </w:rPr>
        <w:t>S</w:t>
      </w:r>
      <w:r w:rsidR="00672C89" w:rsidRPr="00285642">
        <w:rPr>
          <w:i/>
          <w:sz w:val="22"/>
          <w:szCs w:val="22"/>
        </w:rPr>
        <w:t>. Person</w:t>
      </w:r>
      <w:r w:rsidR="00672C89" w:rsidRPr="00285642">
        <w:rPr>
          <w:i/>
          <w:sz w:val="22"/>
          <w:szCs w:val="22"/>
          <w:lang w:val="x-none"/>
        </w:rPr>
        <w:t xml:space="preserve"> Guarantees</w:t>
      </w:r>
      <w:r w:rsidR="00672C89">
        <w:rPr>
          <w:i/>
          <w:sz w:val="22"/>
          <w:szCs w:val="22"/>
        </w:rPr>
        <w:t xml:space="preserve"> (CFTC Margin Rules)</w:t>
      </w:r>
      <w:r w:rsidR="00672C89" w:rsidRPr="00285642">
        <w:rPr>
          <w:i/>
          <w:sz w:val="22"/>
          <w:szCs w:val="22"/>
          <w:lang w:val="x-none"/>
        </w:rPr>
        <w:t>” indicates that, to</w:t>
      </w:r>
      <w:r w:rsidR="00672C89" w:rsidRPr="00285642">
        <w:rPr>
          <w:i/>
          <w:sz w:val="22"/>
          <w:szCs w:val="22"/>
        </w:rPr>
        <w:t xml:space="preserve"> Named Entity</w:t>
      </w:r>
      <w:r w:rsidR="00672C89" w:rsidRPr="00285642">
        <w:rPr>
          <w:i/>
          <w:sz w:val="22"/>
          <w:szCs w:val="22"/>
          <w:lang w:val="x-none"/>
        </w:rPr>
        <w:t xml:space="preserve">’s knowledge, </w:t>
      </w:r>
      <w:r w:rsidR="00672C89" w:rsidRPr="00D46752">
        <w:rPr>
          <w:i/>
          <w:sz w:val="22"/>
          <w:szCs w:val="22"/>
          <w:u w:val="single"/>
          <w:lang w:val="x-none"/>
        </w:rPr>
        <w:t>none</w:t>
      </w:r>
      <w:r w:rsidR="00672C89" w:rsidRPr="00285642">
        <w:rPr>
          <w:i/>
          <w:sz w:val="22"/>
          <w:szCs w:val="22"/>
          <w:lang w:val="x-none"/>
        </w:rPr>
        <w:t xml:space="preserve"> of </w:t>
      </w:r>
      <w:r w:rsidR="00672C89" w:rsidRPr="00285642">
        <w:rPr>
          <w:i/>
          <w:sz w:val="22"/>
          <w:szCs w:val="22"/>
        </w:rPr>
        <w:t>Named Entity</w:t>
      </w:r>
      <w:r w:rsidR="00672C89" w:rsidRPr="00285642">
        <w:rPr>
          <w:i/>
          <w:sz w:val="22"/>
          <w:szCs w:val="22"/>
          <w:lang w:val="x-none"/>
        </w:rPr>
        <w:t xml:space="preserve">’s obligations in </w:t>
      </w:r>
      <w:r w:rsidR="00672C89" w:rsidRPr="00723120">
        <w:rPr>
          <w:i/>
          <w:sz w:val="22"/>
          <w:szCs w:val="22"/>
          <w:lang w:val="x-none"/>
        </w:rPr>
        <w:t>Uncleared</w:t>
      </w:r>
      <w:r w:rsidR="00672C89" w:rsidRPr="00723120">
        <w:rPr>
          <w:i/>
          <w:sz w:val="22"/>
          <w:szCs w:val="22"/>
        </w:rPr>
        <w:t xml:space="preserve"> </w:t>
      </w:r>
      <w:r w:rsidR="00672C89" w:rsidRPr="00723120">
        <w:rPr>
          <w:i/>
          <w:sz w:val="22"/>
          <w:szCs w:val="22"/>
          <w:lang w:val="x-none"/>
        </w:rPr>
        <w:t>Swaps</w:t>
      </w:r>
      <w:r w:rsidR="00672C89" w:rsidRPr="00285642">
        <w:rPr>
          <w:i/>
          <w:sz w:val="22"/>
          <w:szCs w:val="22"/>
          <w:lang w:val="x-none"/>
        </w:rPr>
        <w:t xml:space="preserve"> with Recipient (other than Uncleared Swaps notified to Recipient in</w:t>
      </w:r>
      <w:r w:rsidR="00672C89" w:rsidRPr="00285642">
        <w:rPr>
          <w:i/>
          <w:sz w:val="22"/>
          <w:szCs w:val="22"/>
        </w:rPr>
        <w:t xml:space="preserve"> </w:t>
      </w:r>
      <w:r w:rsidR="00672C89" w:rsidRPr="00285642">
        <w:rPr>
          <w:i/>
          <w:sz w:val="22"/>
          <w:szCs w:val="22"/>
          <w:lang w:val="x-none"/>
        </w:rPr>
        <w:t xml:space="preserve">writing prior to execution) receive a </w:t>
      </w:r>
      <w:r w:rsidR="00672C89" w:rsidRPr="00285642">
        <w:rPr>
          <w:i/>
          <w:sz w:val="22"/>
          <w:szCs w:val="22"/>
        </w:rPr>
        <w:t>U.S. Person Guarantee (CFTC Margin Rule</w:t>
      </w:r>
      <w:r w:rsidR="00672C89">
        <w:rPr>
          <w:i/>
          <w:sz w:val="22"/>
          <w:szCs w:val="22"/>
        </w:rPr>
        <w:t>s</w:t>
      </w:r>
      <w:r w:rsidR="00672C89" w:rsidRPr="00285642">
        <w:rPr>
          <w:i/>
          <w:sz w:val="22"/>
          <w:szCs w:val="22"/>
        </w:rPr>
        <w:t>)</w:t>
      </w:r>
      <w:r w:rsidR="00672C89" w:rsidRPr="00285642">
        <w:rPr>
          <w:i/>
          <w:sz w:val="22"/>
          <w:szCs w:val="22"/>
          <w:lang w:val="x-none"/>
        </w:rPr>
        <w:t>.</w:t>
      </w:r>
      <w:r w:rsidR="006C3359">
        <w:rPr>
          <w:i/>
          <w:sz w:val="22"/>
          <w:szCs w:val="22"/>
        </w:rPr>
        <w:br/>
      </w:r>
      <w:r w:rsidR="002F5517" w:rsidRPr="004A2F59">
        <w:rPr>
          <w:sz w:val="22"/>
          <w:szCs w:val="22"/>
        </w:rPr>
        <w:br/>
      </w:r>
      <w:r w:rsidR="006C3359" w:rsidRPr="004A2F59">
        <w:rPr>
          <w:sz w:val="22"/>
          <w:szCs w:val="22"/>
        </w:rPr>
        <w:fldChar w:fldCharType="begin">
          <w:ffData>
            <w:name w:val=""/>
            <w:enabled/>
            <w:calcOnExit w:val="0"/>
            <w:checkBox>
              <w:sizeAuto/>
              <w:default w:val="0"/>
            </w:checkBox>
          </w:ffData>
        </w:fldChar>
      </w:r>
      <w:r w:rsidR="006C3359" w:rsidRPr="004A2F59">
        <w:rPr>
          <w:sz w:val="22"/>
          <w:szCs w:val="22"/>
        </w:rPr>
        <w:instrText xml:space="preserve"> FORMCHECKBOX </w:instrText>
      </w:r>
      <w:r w:rsidR="00166DDA">
        <w:rPr>
          <w:sz w:val="22"/>
          <w:szCs w:val="22"/>
        </w:rPr>
      </w:r>
      <w:r w:rsidR="00166DDA">
        <w:rPr>
          <w:sz w:val="22"/>
          <w:szCs w:val="22"/>
        </w:rPr>
        <w:fldChar w:fldCharType="separate"/>
      </w:r>
      <w:r w:rsidR="006C3359" w:rsidRPr="004A2F59">
        <w:rPr>
          <w:sz w:val="22"/>
          <w:szCs w:val="22"/>
        </w:rPr>
        <w:fldChar w:fldCharType="end"/>
      </w:r>
      <w:r w:rsidR="006C3359" w:rsidRPr="004A2F59">
        <w:rPr>
          <w:sz w:val="22"/>
          <w:szCs w:val="22"/>
        </w:rPr>
        <w:t xml:space="preserve">  </w:t>
      </w:r>
      <w:r w:rsidR="00672C89" w:rsidRPr="004A2F59">
        <w:rPr>
          <w:sz w:val="22"/>
          <w:szCs w:val="22"/>
        </w:rPr>
        <w:t>U.S. Person Guarantees (CFTC Margin Rule</w:t>
      </w:r>
      <w:r w:rsidR="00672C89">
        <w:rPr>
          <w:sz w:val="22"/>
          <w:szCs w:val="22"/>
        </w:rPr>
        <w:t>s</w:t>
      </w:r>
      <w:r w:rsidR="00672C89" w:rsidRPr="004A2F59">
        <w:rPr>
          <w:sz w:val="22"/>
          <w:szCs w:val="22"/>
        </w:rPr>
        <w:t>)</w:t>
      </w:r>
      <w:r w:rsidR="00672C89">
        <w:rPr>
          <w:sz w:val="22"/>
          <w:szCs w:val="22"/>
        </w:rPr>
        <w:br/>
      </w:r>
      <w:r w:rsidR="002F5517" w:rsidRPr="004A2F59">
        <w:rPr>
          <w:sz w:val="22"/>
          <w:szCs w:val="22"/>
        </w:rPr>
        <w:fldChar w:fldCharType="begin">
          <w:ffData>
            <w:name w:val=""/>
            <w:enabled/>
            <w:calcOnExit w:val="0"/>
            <w:checkBox>
              <w:sizeAuto/>
              <w:default w:val="0"/>
            </w:checkBox>
          </w:ffData>
        </w:fldChar>
      </w:r>
      <w:r w:rsidR="002F5517" w:rsidRPr="004A2F59">
        <w:rPr>
          <w:sz w:val="22"/>
          <w:szCs w:val="22"/>
        </w:rPr>
        <w:instrText xml:space="preserve"> FORMCHECKBOX </w:instrText>
      </w:r>
      <w:r w:rsidR="00166DDA">
        <w:rPr>
          <w:sz w:val="22"/>
          <w:szCs w:val="22"/>
        </w:rPr>
      </w:r>
      <w:r w:rsidR="00166DDA">
        <w:rPr>
          <w:sz w:val="22"/>
          <w:szCs w:val="22"/>
        </w:rPr>
        <w:fldChar w:fldCharType="separate"/>
      </w:r>
      <w:r w:rsidR="002F5517" w:rsidRPr="004A2F59">
        <w:rPr>
          <w:sz w:val="22"/>
          <w:szCs w:val="22"/>
        </w:rPr>
        <w:fldChar w:fldCharType="end"/>
      </w:r>
      <w:r w:rsidR="002F5517" w:rsidRPr="004A2F59">
        <w:rPr>
          <w:sz w:val="22"/>
          <w:szCs w:val="22"/>
        </w:rPr>
        <w:t xml:space="preserve">  </w:t>
      </w:r>
      <w:r w:rsidR="00672C89" w:rsidRPr="004A2F59">
        <w:rPr>
          <w:sz w:val="22"/>
          <w:szCs w:val="22"/>
        </w:rPr>
        <w:t>No U.S. Person Guarantees (CFTC Margin Rule</w:t>
      </w:r>
      <w:r w:rsidR="00672C89">
        <w:rPr>
          <w:sz w:val="22"/>
          <w:szCs w:val="22"/>
        </w:rPr>
        <w:t>s</w:t>
      </w:r>
      <w:r w:rsidR="00672C89" w:rsidRPr="004A2F59">
        <w:rPr>
          <w:sz w:val="22"/>
          <w:szCs w:val="22"/>
        </w:rPr>
        <w:t>)</w:t>
      </w:r>
      <w:r w:rsidR="002F5517" w:rsidRPr="004A2F59">
        <w:rPr>
          <w:sz w:val="22"/>
          <w:szCs w:val="22"/>
        </w:rPr>
        <w:br/>
      </w:r>
      <w:r w:rsidR="002F5517" w:rsidRPr="004A2F59">
        <w:rPr>
          <w:sz w:val="22"/>
          <w:szCs w:val="22"/>
        </w:rPr>
        <w:br/>
      </w:r>
      <w:r w:rsidR="002F5517" w:rsidRPr="004A2F59">
        <w:rPr>
          <w:i/>
          <w:color w:val="0070C0"/>
          <w:sz w:val="22"/>
          <w:szCs w:val="22"/>
        </w:rPr>
        <w:t xml:space="preserve">Go to the next </w:t>
      </w:r>
      <w:r w:rsidR="00D262CF">
        <w:rPr>
          <w:i/>
          <w:color w:val="0070C0"/>
          <w:sz w:val="22"/>
          <w:szCs w:val="22"/>
        </w:rPr>
        <w:t>P</w:t>
      </w:r>
      <w:r w:rsidR="004928D1">
        <w:rPr>
          <w:i/>
          <w:color w:val="0070C0"/>
          <w:sz w:val="22"/>
          <w:szCs w:val="22"/>
        </w:rPr>
        <w:t xml:space="preserve">art </w:t>
      </w:r>
      <w:r w:rsidR="002F5517" w:rsidRPr="004A2F59">
        <w:rPr>
          <w:i/>
          <w:color w:val="0070C0"/>
          <w:sz w:val="22"/>
          <w:szCs w:val="22"/>
        </w:rPr>
        <w:t>that Info</w:t>
      </w:r>
      <w:r w:rsidR="00D262CF">
        <w:rPr>
          <w:i/>
          <w:color w:val="0070C0"/>
          <w:sz w:val="22"/>
          <w:szCs w:val="22"/>
        </w:rPr>
        <w:t>rmation Recipient has requested, if any</w:t>
      </w:r>
      <w:r w:rsidR="002F5517" w:rsidRPr="004A2F59">
        <w:rPr>
          <w:i/>
          <w:color w:val="0070C0"/>
          <w:sz w:val="22"/>
          <w:szCs w:val="22"/>
        </w:rPr>
        <w:t>.</w:t>
      </w:r>
    </w:p>
    <w:p w14:paraId="57E8DFE8" w14:textId="77777777" w:rsidR="00CA33E1" w:rsidRPr="004A2F59" w:rsidRDefault="005302DF" w:rsidP="00CA33E1">
      <w:pPr>
        <w:pStyle w:val="Heading2"/>
        <w:rPr>
          <w:b/>
          <w:sz w:val="22"/>
          <w:szCs w:val="22"/>
        </w:rPr>
      </w:pPr>
      <w:r>
        <w:rPr>
          <w:b/>
          <w:sz w:val="22"/>
          <w:szCs w:val="22"/>
        </w:rPr>
        <w:t>PR Margin Rule</w:t>
      </w:r>
      <w:r w:rsidR="00A006CF">
        <w:rPr>
          <w:b/>
          <w:sz w:val="22"/>
          <w:szCs w:val="22"/>
        </w:rPr>
        <w:t>s</w:t>
      </w:r>
    </w:p>
    <w:p w14:paraId="1BE2ADC9" w14:textId="77777777" w:rsidR="00CA33E1" w:rsidRPr="004A2F59" w:rsidRDefault="00BF2E7E" w:rsidP="00CA33E1">
      <w:pPr>
        <w:pStyle w:val="BodyText"/>
        <w:rPr>
          <w:i/>
          <w:sz w:val="22"/>
          <w:szCs w:val="22"/>
        </w:rPr>
      </w:pPr>
      <w:r>
        <w:rPr>
          <w:b/>
          <w:i/>
          <w:sz w:val="22"/>
          <w:szCs w:val="22"/>
          <w:u w:val="single"/>
        </w:rPr>
        <w:t>Explanatory Note</w:t>
      </w:r>
      <w:r w:rsidR="003C1FCB" w:rsidRPr="004A2F59">
        <w:rPr>
          <w:b/>
          <w:i/>
          <w:sz w:val="22"/>
          <w:szCs w:val="22"/>
        </w:rPr>
        <w:t>:</w:t>
      </w:r>
      <w:r w:rsidR="003C1FCB" w:rsidRPr="004A2F59">
        <w:rPr>
          <w:i/>
          <w:sz w:val="22"/>
          <w:szCs w:val="22"/>
        </w:rPr>
        <w:t xml:space="preserve">  These questions are designed to elicit information necessary to allow a non-U.S. SD or MSP that is subject to the Prudential Regulators’ margin rules to determine whether those margin rules apply to a relationship with a non-U.S. counterparty, and</w:t>
      </w:r>
      <w:r w:rsidR="003E56EA">
        <w:rPr>
          <w:i/>
          <w:sz w:val="22"/>
          <w:szCs w:val="22"/>
        </w:rPr>
        <w:t>,</w:t>
      </w:r>
      <w:r w:rsidR="003C1FCB" w:rsidRPr="004A2F59">
        <w:rPr>
          <w:i/>
          <w:sz w:val="22"/>
          <w:szCs w:val="22"/>
        </w:rPr>
        <w:t xml:space="preserve"> if the respondent is a SD or MSP registered with the CFTC, for any SD or MSP that is subject to the </w:t>
      </w:r>
      <w:r w:rsidR="003C1FCB" w:rsidRPr="004A2F59">
        <w:rPr>
          <w:i/>
          <w:sz w:val="22"/>
          <w:szCs w:val="22"/>
        </w:rPr>
        <w:lastRenderedPageBreak/>
        <w:t>Prudential Regulators’ margin rules to determine whether substituted compliance may be available for the collection or posting of initial margin.</w:t>
      </w:r>
    </w:p>
    <w:p w14:paraId="6231BE13" w14:textId="77777777" w:rsidR="008E0015" w:rsidRPr="004A2F59" w:rsidRDefault="00704E47" w:rsidP="00CA33E1">
      <w:pPr>
        <w:pStyle w:val="BodyText"/>
        <w:rPr>
          <w:i/>
          <w:sz w:val="22"/>
          <w:szCs w:val="22"/>
        </w:rPr>
      </w:pPr>
      <w:r>
        <w:rPr>
          <w:i/>
          <w:color w:val="0070C0"/>
          <w:sz w:val="22"/>
          <w:szCs w:val="22"/>
        </w:rPr>
        <w:t>R</w:t>
      </w:r>
      <w:r w:rsidR="008E0015" w:rsidRPr="007914CB">
        <w:rPr>
          <w:i/>
          <w:color w:val="0070C0"/>
          <w:sz w:val="22"/>
          <w:szCs w:val="22"/>
        </w:rPr>
        <w:t xml:space="preserve">ead the instructions </w:t>
      </w:r>
      <w:r w:rsidR="00162A35" w:rsidRPr="007914CB">
        <w:rPr>
          <w:i/>
          <w:color w:val="0070C0"/>
          <w:sz w:val="22"/>
          <w:szCs w:val="22"/>
        </w:rPr>
        <w:t>for item</w:t>
      </w:r>
      <w:r w:rsidR="009C2BA9" w:rsidRPr="007914CB">
        <w:rPr>
          <w:i/>
          <w:color w:val="0070C0"/>
          <w:sz w:val="22"/>
          <w:szCs w:val="22"/>
        </w:rPr>
        <w:t xml:space="preserve"> 1</w:t>
      </w:r>
      <w:r w:rsidR="00D262CF">
        <w:rPr>
          <w:i/>
          <w:color w:val="0070C0"/>
          <w:sz w:val="22"/>
          <w:szCs w:val="22"/>
        </w:rPr>
        <w:t>, answer if applicable,</w:t>
      </w:r>
      <w:r w:rsidR="008E0015" w:rsidRPr="007914CB">
        <w:rPr>
          <w:i/>
          <w:color w:val="0070C0"/>
          <w:sz w:val="22"/>
          <w:szCs w:val="22"/>
        </w:rPr>
        <w:t xml:space="preserve"> </w:t>
      </w:r>
      <w:r w:rsidR="009C2BA9" w:rsidRPr="007914CB">
        <w:rPr>
          <w:i/>
          <w:color w:val="0070C0"/>
          <w:sz w:val="22"/>
          <w:szCs w:val="22"/>
        </w:rPr>
        <w:t>and follow any subsequent instruction</w:t>
      </w:r>
      <w:r w:rsidR="00490EB2">
        <w:rPr>
          <w:i/>
          <w:color w:val="0070C0"/>
          <w:sz w:val="22"/>
          <w:szCs w:val="22"/>
        </w:rPr>
        <w:t xml:space="preserve">s.  </w:t>
      </w:r>
    </w:p>
    <w:p w14:paraId="2955D8BD" w14:textId="77777777" w:rsidR="003C1FCB" w:rsidRPr="004A2F59" w:rsidRDefault="003C1FCB" w:rsidP="003C1FCB">
      <w:pPr>
        <w:pStyle w:val="Heading3"/>
        <w:rPr>
          <w:i/>
          <w:color w:val="0070C0"/>
          <w:sz w:val="22"/>
          <w:szCs w:val="22"/>
        </w:rPr>
      </w:pPr>
      <w:r w:rsidRPr="004A2F59">
        <w:rPr>
          <w:sz w:val="22"/>
          <w:szCs w:val="22"/>
          <w:u w:val="single"/>
        </w:rPr>
        <w:t>PR Foreign Consolidated Subsidiary</w:t>
      </w:r>
      <w:r w:rsidRPr="004A2F59">
        <w:rPr>
          <w:sz w:val="22"/>
          <w:szCs w:val="22"/>
        </w:rPr>
        <w:br/>
      </w:r>
      <w:r w:rsidRPr="004A2F59">
        <w:rPr>
          <w:sz w:val="22"/>
          <w:szCs w:val="22"/>
        </w:rPr>
        <w:br/>
      </w:r>
      <w:r w:rsidRPr="004A2F59">
        <w:rPr>
          <w:i/>
          <w:color w:val="0070C0"/>
          <w:sz w:val="22"/>
          <w:szCs w:val="22"/>
        </w:rPr>
        <w:t xml:space="preserve">Answer if Named Entity is an SD, MSP, SBSD, or MSBSP as indicated in </w:t>
      </w:r>
      <w:r w:rsidR="00162A35">
        <w:rPr>
          <w:i/>
          <w:color w:val="0070C0"/>
          <w:sz w:val="22"/>
          <w:szCs w:val="22"/>
        </w:rPr>
        <w:t>item</w:t>
      </w:r>
      <w:r w:rsidRPr="004A2F59">
        <w:rPr>
          <w:i/>
          <w:color w:val="0070C0"/>
          <w:sz w:val="22"/>
          <w:szCs w:val="22"/>
        </w:rPr>
        <w:t xml:space="preserve"> 1 of Part I.</w:t>
      </w:r>
      <w:r w:rsidR="009C2BA9">
        <w:rPr>
          <w:i/>
          <w:color w:val="0070C0"/>
          <w:sz w:val="22"/>
          <w:szCs w:val="22"/>
        </w:rPr>
        <w:t xml:space="preserve">  </w:t>
      </w:r>
      <w:r w:rsidR="009C2BA9" w:rsidRPr="00D262CF">
        <w:rPr>
          <w:i/>
          <w:color w:val="0070C0"/>
          <w:sz w:val="22"/>
          <w:szCs w:val="22"/>
        </w:rPr>
        <w:t>If Named Entity has not identified itself as any of these</w:t>
      </w:r>
      <w:r w:rsidR="00723120" w:rsidRPr="00D262CF">
        <w:rPr>
          <w:i/>
          <w:color w:val="0070C0"/>
          <w:sz w:val="22"/>
          <w:szCs w:val="22"/>
        </w:rPr>
        <w:t xml:space="preserve"> entity types</w:t>
      </w:r>
      <w:r w:rsidR="00FE4D41">
        <w:rPr>
          <w:i/>
          <w:color w:val="0070C0"/>
          <w:sz w:val="22"/>
          <w:szCs w:val="22"/>
        </w:rPr>
        <w:t xml:space="preserve">, </w:t>
      </w:r>
      <w:r w:rsidR="00D262CF">
        <w:rPr>
          <w:i/>
          <w:color w:val="0070C0"/>
          <w:sz w:val="22"/>
          <w:szCs w:val="22"/>
        </w:rPr>
        <w:t>skip to the next item</w:t>
      </w:r>
      <w:r w:rsidR="009C2BA9" w:rsidRPr="00D262CF">
        <w:rPr>
          <w:i/>
          <w:color w:val="0070C0"/>
          <w:sz w:val="22"/>
          <w:szCs w:val="22"/>
        </w:rPr>
        <w:t>.</w:t>
      </w:r>
      <w:r w:rsidR="00D262CF">
        <w:rPr>
          <w:i/>
          <w:color w:val="0070C0"/>
          <w:sz w:val="22"/>
          <w:szCs w:val="22"/>
        </w:rPr>
        <w:br/>
      </w:r>
      <w:r w:rsidRPr="004A2F59">
        <w:rPr>
          <w:sz w:val="22"/>
          <w:szCs w:val="22"/>
        </w:rPr>
        <w:br/>
        <w:t>Is Named Entity a PR Foreign Consolidated Subsidiary?</w:t>
      </w:r>
      <w:r w:rsidRPr="004A2F59">
        <w:rPr>
          <w:sz w:val="22"/>
          <w:szCs w:val="22"/>
        </w:rPr>
        <w:br/>
      </w:r>
      <w:r w:rsidRPr="004A2F59">
        <w:rPr>
          <w:sz w:val="22"/>
          <w:szCs w:val="22"/>
        </w:rPr>
        <w:br/>
      </w:r>
      <w:r w:rsidRPr="004A2F59">
        <w:rPr>
          <w:sz w:val="22"/>
          <w:szCs w:val="22"/>
        </w:rPr>
        <w:fldChar w:fldCharType="begin">
          <w:ffData>
            <w:name w:val=""/>
            <w:enabled/>
            <w:calcOnExit w:val="0"/>
            <w:checkBox>
              <w:sizeAuto/>
              <w:default w:val="0"/>
            </w:checkBox>
          </w:ffData>
        </w:fldChar>
      </w:r>
      <w:r w:rsidRPr="004A2F59">
        <w:rPr>
          <w:sz w:val="22"/>
          <w:szCs w:val="22"/>
        </w:rPr>
        <w:instrText xml:space="preserve"> FORMCHECKBOX </w:instrText>
      </w:r>
      <w:r w:rsidR="00166DDA">
        <w:rPr>
          <w:sz w:val="22"/>
          <w:szCs w:val="22"/>
        </w:rPr>
      </w:r>
      <w:r w:rsidR="00166DDA">
        <w:rPr>
          <w:sz w:val="22"/>
          <w:szCs w:val="22"/>
        </w:rPr>
        <w:fldChar w:fldCharType="separate"/>
      </w:r>
      <w:r w:rsidRPr="004A2F59">
        <w:rPr>
          <w:sz w:val="22"/>
          <w:szCs w:val="22"/>
        </w:rPr>
        <w:fldChar w:fldCharType="end"/>
      </w:r>
      <w:r w:rsidRPr="004A2F59">
        <w:rPr>
          <w:sz w:val="22"/>
          <w:szCs w:val="22"/>
        </w:rPr>
        <w:t xml:space="preserve">  Yes</w:t>
      </w:r>
      <w:r w:rsidRPr="004A2F59">
        <w:rPr>
          <w:sz w:val="22"/>
          <w:szCs w:val="22"/>
        </w:rPr>
        <w:br/>
      </w:r>
      <w:r w:rsidRPr="004A2F59">
        <w:rPr>
          <w:sz w:val="22"/>
          <w:szCs w:val="22"/>
        </w:rPr>
        <w:fldChar w:fldCharType="begin">
          <w:ffData>
            <w:name w:val=""/>
            <w:enabled/>
            <w:calcOnExit w:val="0"/>
            <w:checkBox>
              <w:sizeAuto/>
              <w:default w:val="0"/>
            </w:checkBox>
          </w:ffData>
        </w:fldChar>
      </w:r>
      <w:r w:rsidRPr="004A2F59">
        <w:rPr>
          <w:sz w:val="22"/>
          <w:szCs w:val="22"/>
        </w:rPr>
        <w:instrText xml:space="preserve"> FORMCHECKBOX </w:instrText>
      </w:r>
      <w:r w:rsidR="00166DDA">
        <w:rPr>
          <w:sz w:val="22"/>
          <w:szCs w:val="22"/>
        </w:rPr>
      </w:r>
      <w:r w:rsidR="00166DDA">
        <w:rPr>
          <w:sz w:val="22"/>
          <w:szCs w:val="22"/>
        </w:rPr>
        <w:fldChar w:fldCharType="separate"/>
      </w:r>
      <w:r w:rsidRPr="004A2F59">
        <w:rPr>
          <w:sz w:val="22"/>
          <w:szCs w:val="22"/>
        </w:rPr>
        <w:fldChar w:fldCharType="end"/>
      </w:r>
      <w:r w:rsidRPr="004A2F59">
        <w:rPr>
          <w:sz w:val="22"/>
          <w:szCs w:val="22"/>
        </w:rPr>
        <w:t xml:space="preserve">  No</w:t>
      </w:r>
      <w:r w:rsidR="00DF3119" w:rsidRPr="004A2F59">
        <w:rPr>
          <w:sz w:val="22"/>
          <w:szCs w:val="22"/>
        </w:rPr>
        <w:br/>
      </w:r>
      <w:r w:rsidR="00DF3119" w:rsidRPr="004A2F59">
        <w:rPr>
          <w:sz w:val="22"/>
          <w:szCs w:val="22"/>
        </w:rPr>
        <w:br/>
      </w:r>
      <w:r w:rsidR="00DF3119" w:rsidRPr="004A2F59">
        <w:rPr>
          <w:i/>
          <w:color w:val="0070C0"/>
          <w:sz w:val="22"/>
          <w:szCs w:val="22"/>
        </w:rPr>
        <w:t>-</w:t>
      </w:r>
      <w:r w:rsidR="00043314">
        <w:rPr>
          <w:i/>
          <w:color w:val="0070C0"/>
          <w:sz w:val="22"/>
          <w:szCs w:val="22"/>
        </w:rPr>
        <w:t xml:space="preserve">If Named Entity checked “Yes,” </w:t>
      </w:r>
      <w:r w:rsidR="003F3F05">
        <w:rPr>
          <w:i/>
          <w:color w:val="0070C0"/>
          <w:sz w:val="22"/>
          <w:szCs w:val="22"/>
        </w:rPr>
        <w:t xml:space="preserve">skip the rest of this Part II.E. </w:t>
      </w:r>
      <w:r w:rsidR="00043314">
        <w:rPr>
          <w:i/>
          <w:color w:val="0070C0"/>
          <w:sz w:val="22"/>
          <w:szCs w:val="22"/>
        </w:rPr>
        <w:t>(go to the next P</w:t>
      </w:r>
      <w:r w:rsidR="00DF3119" w:rsidRPr="004A2F59">
        <w:rPr>
          <w:i/>
          <w:color w:val="0070C0"/>
          <w:sz w:val="22"/>
          <w:szCs w:val="22"/>
        </w:rPr>
        <w:t>art that Information Recipient has requested</w:t>
      </w:r>
      <w:r w:rsidR="00043314">
        <w:rPr>
          <w:i/>
          <w:color w:val="0070C0"/>
          <w:sz w:val="22"/>
          <w:szCs w:val="22"/>
        </w:rPr>
        <w:t>, if any)</w:t>
      </w:r>
      <w:r w:rsidR="00DF3119" w:rsidRPr="004A2F59">
        <w:rPr>
          <w:i/>
          <w:color w:val="0070C0"/>
          <w:sz w:val="22"/>
          <w:szCs w:val="22"/>
        </w:rPr>
        <w:t>.</w:t>
      </w:r>
      <w:r w:rsidR="00DF3119" w:rsidRPr="004A2F59">
        <w:rPr>
          <w:i/>
          <w:color w:val="0070C0"/>
          <w:sz w:val="22"/>
          <w:szCs w:val="22"/>
        </w:rPr>
        <w:br/>
      </w:r>
      <w:r w:rsidR="00DF3119" w:rsidRPr="004A2F59">
        <w:rPr>
          <w:i/>
          <w:color w:val="0070C0"/>
          <w:sz w:val="22"/>
          <w:szCs w:val="22"/>
        </w:rPr>
        <w:br/>
        <w:t>-If Named Entity checked “No,”</w:t>
      </w:r>
      <w:r w:rsidR="00043314">
        <w:rPr>
          <w:i/>
          <w:color w:val="0070C0"/>
          <w:sz w:val="22"/>
          <w:szCs w:val="22"/>
        </w:rPr>
        <w:t xml:space="preserve"> or </w:t>
      </w:r>
      <w:r w:rsidR="00937226">
        <w:rPr>
          <w:i/>
          <w:color w:val="0070C0"/>
          <w:sz w:val="22"/>
          <w:szCs w:val="22"/>
        </w:rPr>
        <w:t>did not provide a response for</w:t>
      </w:r>
      <w:r w:rsidR="00043314">
        <w:rPr>
          <w:i/>
          <w:color w:val="0070C0"/>
          <w:sz w:val="22"/>
          <w:szCs w:val="22"/>
        </w:rPr>
        <w:t xml:space="preserve"> this item,</w:t>
      </w:r>
      <w:r w:rsidR="00DF3119" w:rsidRPr="004A2F59">
        <w:rPr>
          <w:i/>
          <w:color w:val="0070C0"/>
          <w:sz w:val="22"/>
          <w:szCs w:val="22"/>
        </w:rPr>
        <w:t xml:space="preserve"> go to the next </w:t>
      </w:r>
      <w:r w:rsidR="00043314">
        <w:rPr>
          <w:i/>
          <w:color w:val="0070C0"/>
          <w:sz w:val="22"/>
          <w:szCs w:val="22"/>
        </w:rPr>
        <w:t>item</w:t>
      </w:r>
      <w:r w:rsidR="00DF3119" w:rsidRPr="004A2F59">
        <w:rPr>
          <w:i/>
          <w:color w:val="0070C0"/>
          <w:sz w:val="22"/>
          <w:szCs w:val="22"/>
        </w:rPr>
        <w:t>.</w:t>
      </w:r>
    </w:p>
    <w:p w14:paraId="5D688B79" w14:textId="77777777" w:rsidR="00DF3119" w:rsidRPr="006E557D" w:rsidRDefault="00DF63F2" w:rsidP="008E0015">
      <w:pPr>
        <w:pStyle w:val="Heading3"/>
        <w:rPr>
          <w:i/>
          <w:color w:val="0070C0"/>
          <w:sz w:val="22"/>
          <w:szCs w:val="22"/>
        </w:rPr>
      </w:pPr>
      <w:r w:rsidRPr="00B35A94">
        <w:rPr>
          <w:sz w:val="22"/>
          <w:szCs w:val="22"/>
          <w:u w:val="single"/>
        </w:rPr>
        <w:t>PR U.S. Guarantees</w:t>
      </w:r>
      <w:r w:rsidRPr="004A2F59">
        <w:rPr>
          <w:sz w:val="22"/>
          <w:szCs w:val="22"/>
          <w:u w:val="single"/>
        </w:rPr>
        <w:br/>
      </w:r>
      <w:r w:rsidRPr="004A2F59">
        <w:rPr>
          <w:sz w:val="22"/>
          <w:szCs w:val="22"/>
          <w:u w:val="single"/>
        </w:rPr>
        <w:br/>
      </w:r>
      <w:r w:rsidR="0031368E" w:rsidRPr="004A2F59">
        <w:rPr>
          <w:sz w:val="22"/>
          <w:szCs w:val="22"/>
        </w:rPr>
        <w:t xml:space="preserve">Does Named Entity have </w:t>
      </w:r>
      <w:r w:rsidR="00852D3C">
        <w:rPr>
          <w:sz w:val="22"/>
          <w:szCs w:val="22"/>
        </w:rPr>
        <w:t xml:space="preserve">PR </w:t>
      </w:r>
      <w:r w:rsidR="0031368E" w:rsidRPr="004A2F59">
        <w:rPr>
          <w:sz w:val="22"/>
          <w:szCs w:val="22"/>
        </w:rPr>
        <w:t>U.S. Guarantees?</w:t>
      </w:r>
      <w:r w:rsidR="003126CA">
        <w:rPr>
          <w:sz w:val="22"/>
          <w:szCs w:val="22"/>
        </w:rPr>
        <w:t xml:space="preserve">  </w:t>
      </w:r>
      <w:r w:rsidR="0031368E" w:rsidRPr="004A2F59">
        <w:rPr>
          <w:sz w:val="22"/>
          <w:szCs w:val="22"/>
        </w:rPr>
        <w:br/>
      </w:r>
      <w:r w:rsidR="0031368E" w:rsidRPr="004A2F59">
        <w:rPr>
          <w:sz w:val="22"/>
          <w:szCs w:val="22"/>
        </w:rPr>
        <w:br/>
      </w:r>
      <w:r w:rsidR="0031368E" w:rsidRPr="004A2F59">
        <w:rPr>
          <w:i/>
          <w:sz w:val="22"/>
          <w:szCs w:val="22"/>
        </w:rPr>
        <w:t xml:space="preserve">Checking the box next to “U.S. Person Guarantees” indicates that one or more of Named Entity’s </w:t>
      </w:r>
      <w:r w:rsidR="003126CA">
        <w:rPr>
          <w:i/>
          <w:sz w:val="22"/>
          <w:szCs w:val="22"/>
        </w:rPr>
        <w:t xml:space="preserve">obligations under </w:t>
      </w:r>
      <w:r w:rsidR="0031368E" w:rsidRPr="004A2F59">
        <w:rPr>
          <w:i/>
          <w:sz w:val="22"/>
          <w:szCs w:val="22"/>
        </w:rPr>
        <w:t xml:space="preserve">Uncleared Swaps </w:t>
      </w:r>
      <w:r w:rsidR="003126CA">
        <w:rPr>
          <w:i/>
          <w:sz w:val="22"/>
          <w:szCs w:val="22"/>
        </w:rPr>
        <w:t>or</w:t>
      </w:r>
      <w:r w:rsidR="0031368E" w:rsidRPr="004A2F59">
        <w:rPr>
          <w:i/>
          <w:sz w:val="22"/>
          <w:szCs w:val="22"/>
        </w:rPr>
        <w:t xml:space="preserve"> </w:t>
      </w:r>
      <w:r w:rsidR="0031368E" w:rsidRPr="003A6DFC">
        <w:rPr>
          <w:i/>
          <w:sz w:val="22"/>
          <w:szCs w:val="22"/>
        </w:rPr>
        <w:t xml:space="preserve">Uncleared </w:t>
      </w:r>
      <w:r w:rsidR="00D262CF" w:rsidRPr="003A6DFC">
        <w:rPr>
          <w:i/>
          <w:sz w:val="22"/>
          <w:szCs w:val="22"/>
        </w:rPr>
        <w:t>SBS</w:t>
      </w:r>
      <w:r w:rsidR="0031368E" w:rsidRPr="004A2F59">
        <w:rPr>
          <w:i/>
          <w:sz w:val="22"/>
          <w:szCs w:val="22"/>
        </w:rPr>
        <w:t xml:space="preserve"> with Recipient </w:t>
      </w:r>
      <w:r w:rsidR="003126CA">
        <w:rPr>
          <w:i/>
          <w:sz w:val="22"/>
          <w:szCs w:val="22"/>
        </w:rPr>
        <w:t>may have a Guarantee (PR Margin Rules) from</w:t>
      </w:r>
      <w:r w:rsidR="0031368E" w:rsidRPr="004A2F59">
        <w:rPr>
          <w:i/>
          <w:sz w:val="22"/>
          <w:szCs w:val="22"/>
        </w:rPr>
        <w:t xml:space="preserve"> a PR U.S. Person, PR U.S. Branch or PR Foreign Consolidated Subsidiary.</w:t>
      </w:r>
      <w:r w:rsidR="00C90B6E">
        <w:rPr>
          <w:i/>
          <w:sz w:val="22"/>
          <w:szCs w:val="22"/>
        </w:rPr>
        <w:t xml:space="preserve">  </w:t>
      </w:r>
      <w:r w:rsidR="0031368E" w:rsidRPr="004A2F59">
        <w:rPr>
          <w:i/>
          <w:sz w:val="22"/>
          <w:szCs w:val="22"/>
        </w:rPr>
        <w:br/>
      </w:r>
      <w:r w:rsidR="0031368E" w:rsidRPr="004A2F59">
        <w:rPr>
          <w:i/>
          <w:sz w:val="22"/>
          <w:szCs w:val="22"/>
        </w:rPr>
        <w:br/>
        <w:t xml:space="preserve">Checking the box next to “No U.S. Person Guarantees” indicates that, to Named Entity’s knowledge, </w:t>
      </w:r>
      <w:r w:rsidR="0031368E" w:rsidRPr="00D46752">
        <w:rPr>
          <w:i/>
          <w:sz w:val="22"/>
          <w:szCs w:val="22"/>
          <w:u w:val="single"/>
        </w:rPr>
        <w:t>none</w:t>
      </w:r>
      <w:r w:rsidR="0031368E" w:rsidRPr="004A2F59">
        <w:rPr>
          <w:i/>
          <w:sz w:val="22"/>
          <w:szCs w:val="22"/>
        </w:rPr>
        <w:t xml:space="preserve"> of Named Entity’s </w:t>
      </w:r>
      <w:r w:rsidR="003126CA">
        <w:rPr>
          <w:i/>
          <w:sz w:val="22"/>
          <w:szCs w:val="22"/>
        </w:rPr>
        <w:t xml:space="preserve">obligations under </w:t>
      </w:r>
      <w:r w:rsidR="0031368E" w:rsidRPr="004A2F59">
        <w:rPr>
          <w:i/>
          <w:sz w:val="22"/>
          <w:szCs w:val="22"/>
        </w:rPr>
        <w:t xml:space="preserve">Uncleared Swaps and Uncleared </w:t>
      </w:r>
      <w:r w:rsidR="00D262CF">
        <w:rPr>
          <w:i/>
          <w:sz w:val="22"/>
          <w:szCs w:val="22"/>
        </w:rPr>
        <w:t>SBS</w:t>
      </w:r>
      <w:r w:rsidR="0031368E" w:rsidRPr="004A2F59">
        <w:rPr>
          <w:i/>
          <w:sz w:val="22"/>
          <w:szCs w:val="22"/>
        </w:rPr>
        <w:t xml:space="preserve"> with Recipient (other than Uncleared Swaps and Uncleared </w:t>
      </w:r>
      <w:r w:rsidR="00D262CF">
        <w:rPr>
          <w:i/>
          <w:sz w:val="22"/>
          <w:szCs w:val="22"/>
        </w:rPr>
        <w:t xml:space="preserve">SBS </w:t>
      </w:r>
      <w:r w:rsidR="0031368E" w:rsidRPr="004A2F59">
        <w:rPr>
          <w:i/>
          <w:sz w:val="22"/>
          <w:szCs w:val="22"/>
        </w:rPr>
        <w:t xml:space="preserve">notified to Recipient in writing prior to execution) </w:t>
      </w:r>
      <w:r w:rsidR="003126CA">
        <w:rPr>
          <w:i/>
          <w:sz w:val="22"/>
          <w:szCs w:val="22"/>
        </w:rPr>
        <w:t>have a Guarantee (PR Margin Rules) from</w:t>
      </w:r>
      <w:r w:rsidR="0031368E" w:rsidRPr="004A2F59">
        <w:rPr>
          <w:i/>
          <w:sz w:val="22"/>
          <w:szCs w:val="22"/>
        </w:rPr>
        <w:t xml:space="preserve"> a PR U</w:t>
      </w:r>
      <w:r w:rsidR="00CB4B17" w:rsidRPr="004A2F59">
        <w:rPr>
          <w:i/>
          <w:sz w:val="22"/>
          <w:szCs w:val="22"/>
        </w:rPr>
        <w:t>.</w:t>
      </w:r>
      <w:r w:rsidR="0031368E" w:rsidRPr="004A2F59">
        <w:rPr>
          <w:i/>
          <w:sz w:val="22"/>
          <w:szCs w:val="22"/>
        </w:rPr>
        <w:t>S</w:t>
      </w:r>
      <w:r w:rsidR="00CB4B17" w:rsidRPr="004A2F59">
        <w:rPr>
          <w:i/>
          <w:sz w:val="22"/>
          <w:szCs w:val="22"/>
        </w:rPr>
        <w:t>.</w:t>
      </w:r>
      <w:r w:rsidR="0031368E" w:rsidRPr="004A2F59">
        <w:rPr>
          <w:i/>
          <w:sz w:val="22"/>
          <w:szCs w:val="22"/>
        </w:rPr>
        <w:t xml:space="preserve"> Person, PR U</w:t>
      </w:r>
      <w:r w:rsidR="00CB4B17" w:rsidRPr="004A2F59">
        <w:rPr>
          <w:i/>
          <w:sz w:val="22"/>
          <w:szCs w:val="22"/>
        </w:rPr>
        <w:t>.</w:t>
      </w:r>
      <w:r w:rsidR="0031368E" w:rsidRPr="004A2F59">
        <w:rPr>
          <w:i/>
          <w:sz w:val="22"/>
          <w:szCs w:val="22"/>
        </w:rPr>
        <w:t>S</w:t>
      </w:r>
      <w:r w:rsidR="00CB4B17" w:rsidRPr="004A2F59">
        <w:rPr>
          <w:i/>
          <w:sz w:val="22"/>
          <w:szCs w:val="22"/>
        </w:rPr>
        <w:t xml:space="preserve">. Branch or PR Foreign </w:t>
      </w:r>
      <w:r w:rsidR="00CB4B17" w:rsidRPr="006E557D">
        <w:rPr>
          <w:i/>
          <w:sz w:val="22"/>
          <w:szCs w:val="22"/>
        </w:rPr>
        <w:t>Consolidated Subsidiary.</w:t>
      </w:r>
      <w:r w:rsidRPr="006E557D">
        <w:rPr>
          <w:sz w:val="22"/>
          <w:szCs w:val="22"/>
        </w:rPr>
        <w:br/>
      </w:r>
      <w:r w:rsidRPr="006E557D">
        <w:rPr>
          <w:sz w:val="22"/>
          <w:szCs w:val="22"/>
        </w:rPr>
        <w:br/>
      </w:r>
      <w:r w:rsidRPr="006E557D">
        <w:rPr>
          <w:sz w:val="22"/>
          <w:szCs w:val="22"/>
        </w:rPr>
        <w:fldChar w:fldCharType="begin">
          <w:ffData>
            <w:name w:val=""/>
            <w:enabled/>
            <w:calcOnExit w:val="0"/>
            <w:checkBox>
              <w:sizeAuto/>
              <w:default w:val="0"/>
            </w:checkBox>
          </w:ffData>
        </w:fldChar>
      </w:r>
      <w:r w:rsidRPr="006E557D">
        <w:rPr>
          <w:sz w:val="22"/>
          <w:szCs w:val="22"/>
        </w:rPr>
        <w:instrText xml:space="preserve"> FORMCHECKBOX </w:instrText>
      </w:r>
      <w:r w:rsidR="00166DDA">
        <w:rPr>
          <w:sz w:val="22"/>
          <w:szCs w:val="22"/>
        </w:rPr>
      </w:r>
      <w:r w:rsidR="00166DDA">
        <w:rPr>
          <w:sz w:val="22"/>
          <w:szCs w:val="22"/>
        </w:rPr>
        <w:fldChar w:fldCharType="separate"/>
      </w:r>
      <w:r w:rsidRPr="006E557D">
        <w:rPr>
          <w:sz w:val="22"/>
          <w:szCs w:val="22"/>
        </w:rPr>
        <w:fldChar w:fldCharType="end"/>
      </w:r>
      <w:r w:rsidRPr="006E557D">
        <w:rPr>
          <w:sz w:val="22"/>
          <w:szCs w:val="22"/>
        </w:rPr>
        <w:t xml:space="preserve">  </w:t>
      </w:r>
      <w:r w:rsidR="00852D3C" w:rsidRPr="007471F6">
        <w:rPr>
          <w:sz w:val="22"/>
          <w:szCs w:val="22"/>
        </w:rPr>
        <w:t xml:space="preserve">PR </w:t>
      </w:r>
      <w:r w:rsidR="0031368E" w:rsidRPr="007471F6">
        <w:rPr>
          <w:sz w:val="22"/>
          <w:szCs w:val="22"/>
        </w:rPr>
        <w:t xml:space="preserve">U.S. Guarantees </w:t>
      </w:r>
      <w:r w:rsidRPr="006E557D">
        <w:rPr>
          <w:sz w:val="22"/>
          <w:szCs w:val="22"/>
        </w:rPr>
        <w:br/>
      </w:r>
      <w:r w:rsidRPr="006E557D">
        <w:rPr>
          <w:sz w:val="22"/>
          <w:szCs w:val="22"/>
        </w:rPr>
        <w:fldChar w:fldCharType="begin">
          <w:ffData>
            <w:name w:val=""/>
            <w:enabled/>
            <w:calcOnExit w:val="0"/>
            <w:checkBox>
              <w:sizeAuto/>
              <w:default w:val="0"/>
            </w:checkBox>
          </w:ffData>
        </w:fldChar>
      </w:r>
      <w:r w:rsidRPr="006E557D">
        <w:rPr>
          <w:sz w:val="22"/>
          <w:szCs w:val="22"/>
        </w:rPr>
        <w:instrText xml:space="preserve"> FORMCHECKBOX </w:instrText>
      </w:r>
      <w:r w:rsidR="00166DDA">
        <w:rPr>
          <w:sz w:val="22"/>
          <w:szCs w:val="22"/>
        </w:rPr>
      </w:r>
      <w:r w:rsidR="00166DDA">
        <w:rPr>
          <w:sz w:val="22"/>
          <w:szCs w:val="22"/>
        </w:rPr>
        <w:fldChar w:fldCharType="separate"/>
      </w:r>
      <w:r w:rsidRPr="006E557D">
        <w:rPr>
          <w:sz w:val="22"/>
          <w:szCs w:val="22"/>
        </w:rPr>
        <w:fldChar w:fldCharType="end"/>
      </w:r>
      <w:r w:rsidRPr="006E557D">
        <w:rPr>
          <w:sz w:val="22"/>
          <w:szCs w:val="22"/>
        </w:rPr>
        <w:t xml:space="preserve">  No</w:t>
      </w:r>
      <w:r w:rsidR="0031368E" w:rsidRPr="006E557D">
        <w:rPr>
          <w:sz w:val="22"/>
          <w:szCs w:val="22"/>
        </w:rPr>
        <w:t xml:space="preserve"> </w:t>
      </w:r>
      <w:r w:rsidR="00852D3C">
        <w:rPr>
          <w:sz w:val="22"/>
          <w:szCs w:val="22"/>
        </w:rPr>
        <w:t xml:space="preserve">PR </w:t>
      </w:r>
      <w:r w:rsidR="0031368E" w:rsidRPr="006E557D">
        <w:rPr>
          <w:sz w:val="22"/>
          <w:szCs w:val="22"/>
        </w:rPr>
        <w:t xml:space="preserve">U.S. Person Guarantees </w:t>
      </w:r>
      <w:r w:rsidRPr="006E557D">
        <w:rPr>
          <w:sz w:val="22"/>
          <w:szCs w:val="22"/>
          <w:highlight w:val="yellow"/>
        </w:rPr>
        <w:br/>
      </w:r>
      <w:r w:rsidRPr="006E557D">
        <w:rPr>
          <w:sz w:val="22"/>
          <w:szCs w:val="22"/>
          <w:highlight w:val="yellow"/>
        </w:rPr>
        <w:br/>
      </w:r>
      <w:r w:rsidR="00043314">
        <w:rPr>
          <w:i/>
          <w:color w:val="0070C0"/>
          <w:sz w:val="22"/>
          <w:szCs w:val="22"/>
        </w:rPr>
        <w:t>Go to the next Part th</w:t>
      </w:r>
      <w:r w:rsidR="002244AD">
        <w:rPr>
          <w:i/>
          <w:color w:val="0070C0"/>
          <w:sz w:val="22"/>
          <w:szCs w:val="22"/>
        </w:rPr>
        <w:t>at</w:t>
      </w:r>
      <w:r w:rsidR="00043314">
        <w:rPr>
          <w:i/>
          <w:color w:val="0070C0"/>
          <w:sz w:val="22"/>
          <w:szCs w:val="22"/>
        </w:rPr>
        <w:t xml:space="preserve"> Information Recipient has requested</w:t>
      </w:r>
      <w:r w:rsidR="002244AD">
        <w:rPr>
          <w:i/>
          <w:color w:val="0070C0"/>
          <w:sz w:val="22"/>
          <w:szCs w:val="22"/>
        </w:rPr>
        <w:t>,</w:t>
      </w:r>
      <w:r w:rsidR="00043314">
        <w:rPr>
          <w:i/>
          <w:color w:val="0070C0"/>
          <w:sz w:val="22"/>
          <w:szCs w:val="22"/>
        </w:rPr>
        <w:t xml:space="preserve"> if any.</w:t>
      </w:r>
    </w:p>
    <w:p w14:paraId="0EBB7F5F" w14:textId="77777777" w:rsidR="00B31DA5" w:rsidRDefault="00B31DA5" w:rsidP="000C1094">
      <w:pPr>
        <w:pStyle w:val="Heading2"/>
        <w:numPr>
          <w:ilvl w:val="0"/>
          <w:numId w:val="0"/>
        </w:numPr>
        <w:ind w:left="720"/>
        <w:rPr>
          <w:b/>
          <w:sz w:val="22"/>
          <w:szCs w:val="22"/>
        </w:rPr>
      </w:pPr>
    </w:p>
    <w:p w14:paraId="4A120DE4" w14:textId="77777777" w:rsidR="00B31DA5" w:rsidRPr="000C1094" w:rsidRDefault="00B31DA5" w:rsidP="000C1094">
      <w:pPr>
        <w:pStyle w:val="BodyText"/>
      </w:pPr>
    </w:p>
    <w:p w14:paraId="31ABCE61" w14:textId="77777777" w:rsidR="004A2F59" w:rsidRPr="00916A93" w:rsidRDefault="004A2F59" w:rsidP="004A2F59">
      <w:pPr>
        <w:pStyle w:val="Heading2"/>
        <w:rPr>
          <w:b/>
          <w:sz w:val="22"/>
          <w:szCs w:val="22"/>
        </w:rPr>
      </w:pPr>
      <w:r w:rsidRPr="00916A93">
        <w:rPr>
          <w:b/>
          <w:sz w:val="22"/>
          <w:szCs w:val="22"/>
        </w:rPr>
        <w:lastRenderedPageBreak/>
        <w:t>Multi-Branch Entities</w:t>
      </w:r>
    </w:p>
    <w:p w14:paraId="27191DF5" w14:textId="77777777" w:rsidR="005573A1" w:rsidRPr="00916A93" w:rsidRDefault="00BF2E7E" w:rsidP="004A2F59">
      <w:pPr>
        <w:pStyle w:val="BodyText"/>
        <w:rPr>
          <w:i/>
          <w:sz w:val="22"/>
          <w:szCs w:val="22"/>
        </w:rPr>
      </w:pPr>
      <w:r>
        <w:rPr>
          <w:b/>
          <w:i/>
          <w:sz w:val="22"/>
          <w:szCs w:val="22"/>
          <w:u w:val="single"/>
        </w:rPr>
        <w:t>Explanat</w:t>
      </w:r>
      <w:r w:rsidR="004A2F59" w:rsidRPr="00916A93">
        <w:rPr>
          <w:b/>
          <w:i/>
          <w:sz w:val="22"/>
          <w:szCs w:val="22"/>
          <w:u w:val="single"/>
        </w:rPr>
        <w:t>o</w:t>
      </w:r>
      <w:r>
        <w:rPr>
          <w:b/>
          <w:i/>
          <w:sz w:val="22"/>
          <w:szCs w:val="22"/>
          <w:u w:val="single"/>
        </w:rPr>
        <w:t>ry Note</w:t>
      </w:r>
      <w:r w:rsidR="004A2F59" w:rsidRPr="00916A93">
        <w:rPr>
          <w:b/>
          <w:i/>
          <w:sz w:val="22"/>
          <w:szCs w:val="22"/>
        </w:rPr>
        <w:t>:</w:t>
      </w:r>
      <w:r w:rsidR="004A2F59" w:rsidRPr="00916A93">
        <w:rPr>
          <w:i/>
          <w:sz w:val="22"/>
          <w:szCs w:val="22"/>
        </w:rPr>
        <w:t xml:space="preserve">  These questions are designed to elicit information necessary to allow a</w:t>
      </w:r>
      <w:r w:rsidR="00FE3813">
        <w:rPr>
          <w:i/>
          <w:sz w:val="22"/>
          <w:szCs w:val="22"/>
        </w:rPr>
        <w:t>n Information Recipient that is (i) a</w:t>
      </w:r>
      <w:r w:rsidR="004A2F59" w:rsidRPr="00916A93">
        <w:rPr>
          <w:i/>
          <w:sz w:val="22"/>
          <w:szCs w:val="22"/>
        </w:rPr>
        <w:t xml:space="preserve"> non-U.S. person that is</w:t>
      </w:r>
      <w:r w:rsidR="001F26D6">
        <w:rPr>
          <w:i/>
          <w:sz w:val="22"/>
          <w:szCs w:val="22"/>
        </w:rPr>
        <w:t xml:space="preserve"> </w:t>
      </w:r>
      <w:r w:rsidR="004A2F59" w:rsidRPr="00916A93">
        <w:rPr>
          <w:i/>
          <w:sz w:val="22"/>
          <w:szCs w:val="22"/>
        </w:rPr>
        <w:t>dealing in de minimis amounts of swaps and/or SBS to determine if transactions with a multi-branch U.S. counterparty are subject to aggregation towards de minimis thresholds, (ii) a registered SD</w:t>
      </w:r>
      <w:r w:rsidR="006F536D">
        <w:rPr>
          <w:i/>
          <w:sz w:val="22"/>
          <w:szCs w:val="22"/>
        </w:rPr>
        <w:t xml:space="preserve"> or SBSD</w:t>
      </w:r>
      <w:r w:rsidR="004A2F59" w:rsidRPr="00916A93">
        <w:rPr>
          <w:i/>
          <w:sz w:val="22"/>
          <w:szCs w:val="22"/>
        </w:rPr>
        <w:t xml:space="preserve"> to determine if various CFTC </w:t>
      </w:r>
      <w:r w:rsidR="006F536D">
        <w:rPr>
          <w:i/>
          <w:sz w:val="22"/>
          <w:szCs w:val="22"/>
        </w:rPr>
        <w:t xml:space="preserve">or SEC (non-margin) </w:t>
      </w:r>
      <w:r w:rsidR="004A2F59" w:rsidRPr="00916A93">
        <w:rPr>
          <w:i/>
          <w:sz w:val="22"/>
          <w:szCs w:val="22"/>
        </w:rPr>
        <w:t xml:space="preserve">requirements apply to </w:t>
      </w:r>
      <w:r w:rsidR="006F536D">
        <w:rPr>
          <w:i/>
          <w:sz w:val="22"/>
          <w:szCs w:val="22"/>
        </w:rPr>
        <w:t>the</w:t>
      </w:r>
      <w:r w:rsidR="004A2F59" w:rsidRPr="00916A93">
        <w:rPr>
          <w:i/>
          <w:sz w:val="22"/>
          <w:szCs w:val="22"/>
        </w:rPr>
        <w:t xml:space="preserve"> relationship under </w:t>
      </w:r>
      <w:r w:rsidR="006F536D">
        <w:rPr>
          <w:i/>
          <w:sz w:val="22"/>
          <w:szCs w:val="22"/>
        </w:rPr>
        <w:t xml:space="preserve">applicable CFTC and SEC </w:t>
      </w:r>
      <w:r w:rsidR="004A2F59" w:rsidRPr="00916A93">
        <w:rPr>
          <w:i/>
          <w:sz w:val="22"/>
          <w:szCs w:val="22"/>
        </w:rPr>
        <w:t xml:space="preserve"> rules and interpretations, and/or (iii) a registered SD to determine the applicability of the CFTC and Prudential Regulators margin rules.</w:t>
      </w:r>
      <w:r w:rsidR="00027CE8">
        <w:rPr>
          <w:i/>
          <w:sz w:val="22"/>
          <w:szCs w:val="22"/>
        </w:rPr>
        <w:br/>
      </w:r>
      <w:r w:rsidR="00027CE8">
        <w:rPr>
          <w:i/>
          <w:sz w:val="22"/>
          <w:szCs w:val="22"/>
        </w:rPr>
        <w:br/>
      </w:r>
      <w:r w:rsidR="00027CE8">
        <w:rPr>
          <w:i/>
          <w:sz w:val="22"/>
          <w:szCs w:val="22"/>
        </w:rPr>
        <w:tab/>
      </w:r>
      <w:r w:rsidR="00704E47">
        <w:rPr>
          <w:i/>
          <w:color w:val="0070C0"/>
          <w:sz w:val="22"/>
          <w:szCs w:val="22"/>
        </w:rPr>
        <w:t>If Named Entity identified itself as a Multi-Branch Entity in Part I, r</w:t>
      </w:r>
      <w:r w:rsidR="00704E47" w:rsidRPr="007914CB">
        <w:rPr>
          <w:i/>
          <w:color w:val="0070C0"/>
          <w:sz w:val="22"/>
          <w:szCs w:val="22"/>
        </w:rPr>
        <w:t>ead the instructions for item 1</w:t>
      </w:r>
      <w:r w:rsidR="00704E47">
        <w:rPr>
          <w:i/>
          <w:color w:val="0070C0"/>
          <w:sz w:val="22"/>
          <w:szCs w:val="22"/>
        </w:rPr>
        <w:t>, answer if applicable,</w:t>
      </w:r>
      <w:r w:rsidR="00704E47" w:rsidRPr="007914CB">
        <w:rPr>
          <w:i/>
          <w:color w:val="0070C0"/>
          <w:sz w:val="22"/>
          <w:szCs w:val="22"/>
        </w:rPr>
        <w:t xml:space="preserve"> and follow any subsequent instruction</w:t>
      </w:r>
      <w:r w:rsidR="00704E47">
        <w:rPr>
          <w:i/>
          <w:color w:val="0070C0"/>
          <w:sz w:val="22"/>
          <w:szCs w:val="22"/>
        </w:rPr>
        <w:t>s.  Otherwise, skip this Part and go to the next Part that Information Recipient has requested, if any.</w:t>
      </w:r>
      <w:r w:rsidR="00704E47">
        <w:rPr>
          <w:i/>
          <w:sz w:val="22"/>
          <w:szCs w:val="22"/>
        </w:rPr>
        <w:t xml:space="preserve"> </w:t>
      </w:r>
    </w:p>
    <w:p w14:paraId="099EF4C2" w14:textId="77777777" w:rsidR="006E557D" w:rsidRPr="00916A93" w:rsidRDefault="0076572B" w:rsidP="0076572B">
      <w:pPr>
        <w:pStyle w:val="Heading3"/>
        <w:rPr>
          <w:i/>
          <w:sz w:val="22"/>
          <w:szCs w:val="22"/>
        </w:rPr>
      </w:pPr>
      <w:r w:rsidRPr="00916A93">
        <w:rPr>
          <w:sz w:val="22"/>
          <w:szCs w:val="22"/>
          <w:u w:val="single"/>
        </w:rPr>
        <w:t>SBS t</w:t>
      </w:r>
      <w:r w:rsidR="00001D25" w:rsidRPr="00916A93">
        <w:rPr>
          <w:sz w:val="22"/>
          <w:szCs w:val="22"/>
          <w:u w:val="single"/>
        </w:rPr>
        <w:t>hrough</w:t>
      </w:r>
      <w:r w:rsidR="00734BD0" w:rsidRPr="00916A93">
        <w:rPr>
          <w:sz w:val="22"/>
          <w:szCs w:val="22"/>
          <w:u w:val="single"/>
        </w:rPr>
        <w:t xml:space="preserve"> </w:t>
      </w:r>
      <w:r w:rsidR="00822842">
        <w:rPr>
          <w:sz w:val="22"/>
          <w:szCs w:val="22"/>
          <w:u w:val="single"/>
        </w:rPr>
        <w:t>Foreign</w:t>
      </w:r>
      <w:r w:rsidR="00734BD0" w:rsidRPr="00916A93">
        <w:rPr>
          <w:sz w:val="22"/>
          <w:szCs w:val="22"/>
          <w:u w:val="single"/>
        </w:rPr>
        <w:t xml:space="preserve"> Branch</w:t>
      </w:r>
      <w:r w:rsidR="00001D25" w:rsidRPr="00916A93">
        <w:rPr>
          <w:sz w:val="22"/>
          <w:szCs w:val="22"/>
          <w:u w:val="single"/>
        </w:rPr>
        <w:t xml:space="preserve"> (SEC Rule</w:t>
      </w:r>
      <w:r w:rsidR="00A006CF">
        <w:rPr>
          <w:sz w:val="22"/>
          <w:szCs w:val="22"/>
          <w:u w:val="single"/>
        </w:rPr>
        <w:t>s</w:t>
      </w:r>
      <w:r w:rsidR="00001D25" w:rsidRPr="00916A93">
        <w:rPr>
          <w:sz w:val="22"/>
          <w:szCs w:val="22"/>
          <w:u w:val="single"/>
        </w:rPr>
        <w:t>)</w:t>
      </w:r>
      <w:r w:rsidR="00734BD0" w:rsidRPr="00916A93">
        <w:rPr>
          <w:sz w:val="22"/>
          <w:szCs w:val="22"/>
        </w:rPr>
        <w:br/>
      </w:r>
      <w:r w:rsidR="00734BD0" w:rsidRPr="00916A93">
        <w:rPr>
          <w:sz w:val="22"/>
          <w:szCs w:val="22"/>
        </w:rPr>
        <w:br/>
      </w:r>
      <w:r w:rsidRPr="00916A93">
        <w:rPr>
          <w:i/>
          <w:color w:val="0070C0"/>
          <w:sz w:val="22"/>
          <w:szCs w:val="22"/>
        </w:rPr>
        <w:t xml:space="preserve">Named Entity may answer the following question if </w:t>
      </w:r>
      <w:r w:rsidR="00027CE8">
        <w:rPr>
          <w:i/>
          <w:color w:val="0070C0"/>
          <w:sz w:val="22"/>
          <w:szCs w:val="22"/>
        </w:rPr>
        <w:t xml:space="preserve">(i) </w:t>
      </w:r>
      <w:r w:rsidRPr="00916A93">
        <w:rPr>
          <w:i/>
          <w:color w:val="0070C0"/>
          <w:sz w:val="22"/>
          <w:szCs w:val="22"/>
        </w:rPr>
        <w:t>Named Entity</w:t>
      </w:r>
      <w:r w:rsidR="005573A1" w:rsidRPr="00916A93">
        <w:rPr>
          <w:i/>
          <w:color w:val="0070C0"/>
          <w:sz w:val="22"/>
          <w:szCs w:val="22"/>
        </w:rPr>
        <w:t xml:space="preserve"> will transact SBS with Information Recipient</w:t>
      </w:r>
      <w:r w:rsidR="00822842">
        <w:rPr>
          <w:i/>
          <w:color w:val="0070C0"/>
          <w:sz w:val="22"/>
          <w:szCs w:val="22"/>
        </w:rPr>
        <w:t>,</w:t>
      </w:r>
      <w:r w:rsidR="005573A1" w:rsidRPr="00916A93">
        <w:rPr>
          <w:i/>
          <w:color w:val="0070C0"/>
          <w:sz w:val="22"/>
          <w:szCs w:val="22"/>
        </w:rPr>
        <w:t xml:space="preserve"> </w:t>
      </w:r>
      <w:r w:rsidR="00027CE8">
        <w:rPr>
          <w:i/>
          <w:color w:val="0070C0"/>
          <w:sz w:val="22"/>
          <w:szCs w:val="22"/>
        </w:rPr>
        <w:t>(ii)</w:t>
      </w:r>
      <w:r w:rsidR="005573A1" w:rsidRPr="00916A93">
        <w:rPr>
          <w:i/>
          <w:color w:val="0070C0"/>
          <w:sz w:val="22"/>
          <w:szCs w:val="22"/>
        </w:rPr>
        <w:t xml:space="preserve"> Named Entity</w:t>
      </w:r>
      <w:r w:rsidRPr="00916A93">
        <w:rPr>
          <w:i/>
          <w:color w:val="0070C0"/>
          <w:sz w:val="22"/>
          <w:szCs w:val="22"/>
        </w:rPr>
        <w:t xml:space="preserve"> </w:t>
      </w:r>
      <w:r w:rsidR="00D35585">
        <w:rPr>
          <w:i/>
          <w:color w:val="0070C0"/>
          <w:sz w:val="22"/>
          <w:szCs w:val="22"/>
        </w:rPr>
        <w:t xml:space="preserve">is a U.S. </w:t>
      </w:r>
      <w:r w:rsidR="000C1094">
        <w:rPr>
          <w:i/>
          <w:color w:val="0070C0"/>
          <w:sz w:val="22"/>
          <w:szCs w:val="22"/>
        </w:rPr>
        <w:t>b</w:t>
      </w:r>
      <w:r w:rsidR="00D35585">
        <w:rPr>
          <w:i/>
          <w:color w:val="0070C0"/>
          <w:sz w:val="22"/>
          <w:szCs w:val="22"/>
        </w:rPr>
        <w:t xml:space="preserve">ank that </w:t>
      </w:r>
      <w:r w:rsidR="00FE4D41">
        <w:rPr>
          <w:i/>
          <w:color w:val="0070C0"/>
          <w:sz w:val="22"/>
          <w:szCs w:val="22"/>
        </w:rPr>
        <w:t>checked</w:t>
      </w:r>
      <w:r w:rsidR="00AB40A5">
        <w:rPr>
          <w:i/>
          <w:color w:val="0070C0"/>
          <w:sz w:val="22"/>
          <w:szCs w:val="22"/>
        </w:rPr>
        <w:t xml:space="preserve"> “Yes” to any item i</w:t>
      </w:r>
      <w:r w:rsidRPr="00916A93">
        <w:rPr>
          <w:i/>
          <w:color w:val="0070C0"/>
          <w:sz w:val="22"/>
          <w:szCs w:val="22"/>
        </w:rPr>
        <w:t>n Part II.A</w:t>
      </w:r>
      <w:r w:rsidR="00852D3C">
        <w:rPr>
          <w:i/>
          <w:color w:val="0070C0"/>
          <w:sz w:val="22"/>
          <w:szCs w:val="22"/>
        </w:rPr>
        <w:t>,</w:t>
      </w:r>
      <w:r w:rsidRPr="00916A93">
        <w:rPr>
          <w:i/>
          <w:color w:val="0070C0"/>
          <w:sz w:val="22"/>
          <w:szCs w:val="22"/>
        </w:rPr>
        <w:t xml:space="preserve"> and </w:t>
      </w:r>
      <w:r w:rsidR="00027CE8">
        <w:rPr>
          <w:i/>
          <w:color w:val="0070C0"/>
          <w:sz w:val="22"/>
          <w:szCs w:val="22"/>
        </w:rPr>
        <w:t>(iii)</w:t>
      </w:r>
      <w:r w:rsidRPr="00916A93">
        <w:rPr>
          <w:i/>
          <w:color w:val="0070C0"/>
          <w:sz w:val="22"/>
          <w:szCs w:val="22"/>
        </w:rPr>
        <w:t xml:space="preserve"> either of the following conditions </w:t>
      </w:r>
      <w:r w:rsidR="005573A1" w:rsidRPr="00916A93">
        <w:rPr>
          <w:i/>
          <w:color w:val="0070C0"/>
          <w:sz w:val="22"/>
          <w:szCs w:val="22"/>
        </w:rPr>
        <w:t>is</w:t>
      </w:r>
      <w:r w:rsidRPr="00916A93">
        <w:rPr>
          <w:i/>
          <w:color w:val="0070C0"/>
          <w:sz w:val="22"/>
          <w:szCs w:val="22"/>
        </w:rPr>
        <w:t xml:space="preserve"> met:</w:t>
      </w:r>
      <w:r w:rsidR="005573A1" w:rsidRPr="00916A93">
        <w:rPr>
          <w:i/>
          <w:color w:val="0070C0"/>
          <w:sz w:val="22"/>
          <w:szCs w:val="22"/>
        </w:rPr>
        <w:br/>
      </w:r>
      <w:r w:rsidR="005573A1" w:rsidRPr="00916A93">
        <w:rPr>
          <w:i/>
          <w:color w:val="0070C0"/>
          <w:sz w:val="22"/>
          <w:szCs w:val="22"/>
        </w:rPr>
        <w:br/>
        <w:t>-Information Recipient has identified itself as an SBSD; or</w:t>
      </w:r>
      <w:r w:rsidR="005573A1" w:rsidRPr="00916A93">
        <w:rPr>
          <w:i/>
          <w:color w:val="0070C0"/>
          <w:sz w:val="22"/>
          <w:szCs w:val="22"/>
        </w:rPr>
        <w:br/>
      </w:r>
      <w:r w:rsidR="005573A1" w:rsidRPr="00916A93">
        <w:rPr>
          <w:i/>
          <w:color w:val="0070C0"/>
          <w:sz w:val="22"/>
          <w:szCs w:val="22"/>
        </w:rPr>
        <w:br/>
        <w:t>-Named Entity has identified itself as an SBSD.</w:t>
      </w:r>
      <w:r w:rsidR="005573A1" w:rsidRPr="00916A93">
        <w:rPr>
          <w:i/>
          <w:sz w:val="22"/>
          <w:szCs w:val="22"/>
        </w:rPr>
        <w:br/>
      </w:r>
      <w:r w:rsidR="005573A1" w:rsidRPr="00916A93">
        <w:rPr>
          <w:i/>
          <w:sz w:val="22"/>
          <w:szCs w:val="22"/>
        </w:rPr>
        <w:br/>
      </w:r>
      <w:r w:rsidR="005573A1" w:rsidRPr="00916A93">
        <w:rPr>
          <w:sz w:val="22"/>
          <w:szCs w:val="22"/>
        </w:rPr>
        <w:t xml:space="preserve">Will Named Entity transact SBS with Recipient through a </w:t>
      </w:r>
      <w:r w:rsidR="00027CE8" w:rsidRPr="006D5297">
        <w:rPr>
          <w:sz w:val="22"/>
          <w:szCs w:val="22"/>
        </w:rPr>
        <w:t>Foreign</w:t>
      </w:r>
      <w:r w:rsidR="005573A1" w:rsidRPr="006D5297">
        <w:rPr>
          <w:sz w:val="22"/>
          <w:szCs w:val="22"/>
        </w:rPr>
        <w:t xml:space="preserve"> Branch</w:t>
      </w:r>
      <w:r w:rsidR="006D5297" w:rsidRPr="006D5297">
        <w:rPr>
          <w:sz w:val="22"/>
          <w:szCs w:val="22"/>
        </w:rPr>
        <w:t xml:space="preserve"> (SEC Rules)</w:t>
      </w:r>
      <w:r w:rsidR="005573A1" w:rsidRPr="006D5297">
        <w:rPr>
          <w:sz w:val="22"/>
          <w:szCs w:val="22"/>
        </w:rPr>
        <w:t>?</w:t>
      </w:r>
      <w:r w:rsidR="002B2987">
        <w:rPr>
          <w:sz w:val="22"/>
          <w:szCs w:val="22"/>
        </w:rPr>
        <w:t xml:space="preserve"> </w:t>
      </w:r>
      <w:r w:rsidR="006D5027">
        <w:rPr>
          <w:sz w:val="22"/>
          <w:szCs w:val="22"/>
        </w:rPr>
        <w:br/>
      </w:r>
      <w:r w:rsidR="006D5027">
        <w:rPr>
          <w:sz w:val="22"/>
          <w:szCs w:val="22"/>
        </w:rPr>
        <w:br/>
      </w:r>
      <w:r w:rsidR="005F2371">
        <w:rPr>
          <w:i/>
          <w:sz w:val="22"/>
          <w:szCs w:val="22"/>
          <w:lang w:val="x-none"/>
        </w:rPr>
        <w:t>Checking the box next to “</w:t>
      </w:r>
      <w:r w:rsidR="006D5027">
        <w:rPr>
          <w:i/>
          <w:sz w:val="22"/>
          <w:szCs w:val="22"/>
        </w:rPr>
        <w:t>Foreign</w:t>
      </w:r>
      <w:r w:rsidR="006D5027" w:rsidRPr="00234454">
        <w:rPr>
          <w:i/>
          <w:sz w:val="22"/>
          <w:szCs w:val="22"/>
          <w:lang w:val="x-none"/>
        </w:rPr>
        <w:t xml:space="preserve"> Branch Transactions</w:t>
      </w:r>
      <w:r w:rsidR="00B20F9C">
        <w:rPr>
          <w:i/>
          <w:sz w:val="22"/>
          <w:szCs w:val="22"/>
        </w:rPr>
        <w:t xml:space="preserve"> </w:t>
      </w:r>
      <w:r w:rsidR="00FF4601">
        <w:rPr>
          <w:i/>
          <w:sz w:val="22"/>
          <w:szCs w:val="22"/>
        </w:rPr>
        <w:t xml:space="preserve">Qualify </w:t>
      </w:r>
      <w:r w:rsidR="00B20F9C">
        <w:rPr>
          <w:i/>
          <w:sz w:val="22"/>
          <w:szCs w:val="22"/>
        </w:rPr>
        <w:t>(SEC Rules)</w:t>
      </w:r>
      <w:r w:rsidR="006D5027" w:rsidRPr="00234454">
        <w:rPr>
          <w:i/>
          <w:sz w:val="22"/>
          <w:szCs w:val="22"/>
          <w:lang w:val="x-none"/>
        </w:rPr>
        <w:t>” indicates</w:t>
      </w:r>
      <w:r w:rsidR="006D5027" w:rsidRPr="00234454">
        <w:rPr>
          <w:i/>
          <w:sz w:val="22"/>
          <w:szCs w:val="22"/>
        </w:rPr>
        <w:t xml:space="preserve"> </w:t>
      </w:r>
      <w:r w:rsidR="006D5027" w:rsidRPr="00234454">
        <w:rPr>
          <w:i/>
          <w:sz w:val="22"/>
          <w:szCs w:val="22"/>
          <w:lang w:val="x-none"/>
        </w:rPr>
        <w:t xml:space="preserve">that </w:t>
      </w:r>
      <w:r w:rsidR="00B20F9C">
        <w:rPr>
          <w:i/>
          <w:sz w:val="22"/>
          <w:szCs w:val="22"/>
        </w:rPr>
        <w:t xml:space="preserve">(other than SBS transactions notified to Recipient in writing prior to execution) each of </w:t>
      </w:r>
      <w:r w:rsidR="006D5027">
        <w:rPr>
          <w:i/>
          <w:sz w:val="22"/>
          <w:szCs w:val="22"/>
        </w:rPr>
        <w:t>Named Entity</w:t>
      </w:r>
      <w:r w:rsidR="00B20F9C">
        <w:rPr>
          <w:i/>
          <w:sz w:val="22"/>
          <w:szCs w:val="22"/>
        </w:rPr>
        <w:t>’s</w:t>
      </w:r>
      <w:r w:rsidR="006D5027">
        <w:rPr>
          <w:i/>
          <w:sz w:val="22"/>
          <w:szCs w:val="22"/>
          <w:lang w:val="x-none"/>
        </w:rPr>
        <w:t xml:space="preserve"> </w:t>
      </w:r>
      <w:r w:rsidR="006D5027" w:rsidRPr="002244AD">
        <w:rPr>
          <w:i/>
          <w:sz w:val="22"/>
          <w:szCs w:val="22"/>
        </w:rPr>
        <w:t>S</w:t>
      </w:r>
      <w:r w:rsidR="006D5027">
        <w:rPr>
          <w:i/>
          <w:sz w:val="22"/>
          <w:szCs w:val="22"/>
        </w:rPr>
        <w:t>BS</w:t>
      </w:r>
      <w:r w:rsidR="006D5027" w:rsidRPr="002244AD">
        <w:rPr>
          <w:i/>
          <w:sz w:val="22"/>
          <w:szCs w:val="22"/>
          <w:lang w:val="x-none"/>
        </w:rPr>
        <w:t xml:space="preserve"> </w:t>
      </w:r>
      <w:r w:rsidR="00621221">
        <w:rPr>
          <w:i/>
          <w:sz w:val="22"/>
          <w:szCs w:val="22"/>
        </w:rPr>
        <w:t xml:space="preserve">transactions </w:t>
      </w:r>
      <w:r w:rsidR="006D5027" w:rsidRPr="00234454">
        <w:rPr>
          <w:i/>
          <w:sz w:val="22"/>
          <w:szCs w:val="22"/>
          <w:lang w:val="x-none"/>
        </w:rPr>
        <w:t>with Recipient</w:t>
      </w:r>
      <w:r w:rsidR="00B20F9C">
        <w:rPr>
          <w:i/>
          <w:sz w:val="22"/>
          <w:szCs w:val="22"/>
        </w:rPr>
        <w:t xml:space="preserve"> </w:t>
      </w:r>
      <w:r w:rsidR="00FF4601">
        <w:rPr>
          <w:i/>
          <w:sz w:val="22"/>
          <w:szCs w:val="22"/>
        </w:rPr>
        <w:t xml:space="preserve">where a non-U.S. branch </w:t>
      </w:r>
      <w:r w:rsidR="00340921">
        <w:rPr>
          <w:i/>
          <w:sz w:val="22"/>
          <w:szCs w:val="22"/>
        </w:rPr>
        <w:t xml:space="preserve">of Named Entity </w:t>
      </w:r>
      <w:r w:rsidR="00FF4601">
        <w:rPr>
          <w:i/>
          <w:sz w:val="22"/>
          <w:szCs w:val="22"/>
        </w:rPr>
        <w:t xml:space="preserve">is </w:t>
      </w:r>
      <w:r w:rsidR="00867DE6">
        <w:rPr>
          <w:i/>
          <w:sz w:val="22"/>
          <w:szCs w:val="22"/>
        </w:rPr>
        <w:t xml:space="preserve">named in the relevant transaction documentation as </w:t>
      </w:r>
      <w:r w:rsidR="00FF4601">
        <w:rPr>
          <w:i/>
          <w:sz w:val="22"/>
          <w:szCs w:val="22"/>
        </w:rPr>
        <w:t xml:space="preserve">the counterparty to the </w:t>
      </w:r>
      <w:r w:rsidR="004A1DDC">
        <w:rPr>
          <w:i/>
          <w:sz w:val="22"/>
          <w:szCs w:val="22"/>
        </w:rPr>
        <w:t>SBS</w:t>
      </w:r>
      <w:r w:rsidR="00FF4601">
        <w:rPr>
          <w:i/>
          <w:sz w:val="22"/>
          <w:szCs w:val="22"/>
        </w:rPr>
        <w:t xml:space="preserve"> qualifies as </w:t>
      </w:r>
      <w:r w:rsidR="006D5027">
        <w:rPr>
          <w:i/>
          <w:sz w:val="22"/>
          <w:szCs w:val="22"/>
        </w:rPr>
        <w:t>a Transaction Conducted Through a Foreign Branch</w:t>
      </w:r>
      <w:r w:rsidR="00B20F9C">
        <w:rPr>
          <w:i/>
          <w:sz w:val="22"/>
          <w:szCs w:val="22"/>
        </w:rPr>
        <w:t xml:space="preserve"> of Named Entity that is arranged, negotiated and executed on behalf of a Foreign Branch (SEC Rule</w:t>
      </w:r>
      <w:r w:rsidR="00AD6A4F">
        <w:rPr>
          <w:i/>
          <w:sz w:val="22"/>
          <w:szCs w:val="22"/>
        </w:rPr>
        <w:t>s</w:t>
      </w:r>
      <w:r w:rsidR="00B20F9C">
        <w:rPr>
          <w:i/>
          <w:sz w:val="22"/>
          <w:szCs w:val="22"/>
        </w:rPr>
        <w:t>) of Named Entity by persons located outside the United States</w:t>
      </w:r>
      <w:r w:rsidR="006D5027" w:rsidRPr="00234454">
        <w:rPr>
          <w:i/>
          <w:sz w:val="22"/>
          <w:szCs w:val="22"/>
          <w:lang w:val="x-none"/>
        </w:rPr>
        <w:t>.</w:t>
      </w:r>
      <w:r w:rsidR="006D5027">
        <w:rPr>
          <w:i/>
          <w:sz w:val="22"/>
          <w:szCs w:val="22"/>
        </w:rPr>
        <w:t xml:space="preserve">  </w:t>
      </w:r>
      <w:r w:rsidR="006D5027">
        <w:rPr>
          <w:i/>
          <w:sz w:val="22"/>
          <w:szCs w:val="22"/>
        </w:rPr>
        <w:br/>
      </w:r>
      <w:r w:rsidR="006D5027">
        <w:rPr>
          <w:i/>
          <w:sz w:val="22"/>
          <w:szCs w:val="22"/>
        </w:rPr>
        <w:br/>
      </w:r>
      <w:r w:rsidR="006D5027" w:rsidRPr="00234454">
        <w:rPr>
          <w:i/>
          <w:sz w:val="22"/>
          <w:szCs w:val="22"/>
          <w:lang w:val="x-none"/>
        </w:rPr>
        <w:t>Checking the box next to “</w:t>
      </w:r>
      <w:r w:rsidR="006D5027">
        <w:rPr>
          <w:i/>
          <w:sz w:val="22"/>
          <w:szCs w:val="22"/>
        </w:rPr>
        <w:t>Foreign</w:t>
      </w:r>
      <w:r w:rsidR="006D5027" w:rsidRPr="00234454">
        <w:rPr>
          <w:i/>
          <w:sz w:val="22"/>
          <w:szCs w:val="22"/>
          <w:lang w:val="x-none"/>
        </w:rPr>
        <w:t xml:space="preserve"> Branch Transactions</w:t>
      </w:r>
      <w:r w:rsidR="00B20F9C">
        <w:rPr>
          <w:i/>
          <w:sz w:val="22"/>
          <w:szCs w:val="22"/>
        </w:rPr>
        <w:t xml:space="preserve"> </w:t>
      </w:r>
      <w:r w:rsidR="00811927">
        <w:rPr>
          <w:i/>
          <w:sz w:val="22"/>
          <w:szCs w:val="22"/>
        </w:rPr>
        <w:t xml:space="preserve">May Not </w:t>
      </w:r>
      <w:r w:rsidR="00FF4601">
        <w:rPr>
          <w:i/>
          <w:sz w:val="22"/>
          <w:szCs w:val="22"/>
        </w:rPr>
        <w:t xml:space="preserve">Qualify </w:t>
      </w:r>
      <w:r w:rsidR="00B20F9C">
        <w:rPr>
          <w:i/>
          <w:sz w:val="22"/>
          <w:szCs w:val="22"/>
        </w:rPr>
        <w:t>(SEC Rules)</w:t>
      </w:r>
      <w:r w:rsidR="006D5027" w:rsidRPr="00234454">
        <w:rPr>
          <w:i/>
          <w:sz w:val="22"/>
          <w:szCs w:val="22"/>
          <w:lang w:val="x-none"/>
        </w:rPr>
        <w:t>” indicates that</w:t>
      </w:r>
      <w:r w:rsidR="006D5027" w:rsidRPr="00234454">
        <w:rPr>
          <w:i/>
          <w:sz w:val="22"/>
          <w:szCs w:val="22"/>
        </w:rPr>
        <w:t xml:space="preserve"> </w:t>
      </w:r>
      <w:r w:rsidR="00B20F9C">
        <w:rPr>
          <w:i/>
          <w:sz w:val="22"/>
          <w:szCs w:val="22"/>
        </w:rPr>
        <w:t>one or more</w:t>
      </w:r>
      <w:r w:rsidR="006D5027" w:rsidRPr="00234454">
        <w:rPr>
          <w:i/>
          <w:sz w:val="22"/>
          <w:szCs w:val="22"/>
          <w:lang w:val="x-none"/>
        </w:rPr>
        <w:t xml:space="preserve"> </w:t>
      </w:r>
      <w:r w:rsidR="006D5027">
        <w:rPr>
          <w:i/>
          <w:sz w:val="22"/>
          <w:szCs w:val="22"/>
        </w:rPr>
        <w:t>SBS</w:t>
      </w:r>
      <w:r w:rsidR="006D5027" w:rsidRPr="00234454">
        <w:rPr>
          <w:i/>
          <w:sz w:val="22"/>
          <w:szCs w:val="22"/>
          <w:lang w:val="x-none"/>
        </w:rPr>
        <w:t xml:space="preserve"> </w:t>
      </w:r>
      <w:r w:rsidR="00621221">
        <w:rPr>
          <w:i/>
          <w:sz w:val="22"/>
          <w:szCs w:val="22"/>
        </w:rPr>
        <w:t xml:space="preserve">transactions </w:t>
      </w:r>
      <w:r w:rsidR="006D5027" w:rsidRPr="00234454">
        <w:rPr>
          <w:i/>
          <w:sz w:val="22"/>
          <w:szCs w:val="22"/>
          <w:lang w:val="x-none"/>
        </w:rPr>
        <w:t xml:space="preserve">with Recipient </w:t>
      </w:r>
      <w:r w:rsidR="00340921">
        <w:rPr>
          <w:i/>
          <w:sz w:val="22"/>
          <w:szCs w:val="22"/>
        </w:rPr>
        <w:t xml:space="preserve">where a non-U.S. branch of Named Entity is the counterparty </w:t>
      </w:r>
      <w:r w:rsidR="00822842">
        <w:rPr>
          <w:i/>
          <w:sz w:val="22"/>
          <w:szCs w:val="22"/>
        </w:rPr>
        <w:t xml:space="preserve">may </w:t>
      </w:r>
      <w:r w:rsidR="00822842" w:rsidRPr="00D46752">
        <w:rPr>
          <w:i/>
          <w:sz w:val="22"/>
          <w:szCs w:val="22"/>
          <w:u w:val="single"/>
        </w:rPr>
        <w:t>not</w:t>
      </w:r>
      <w:r w:rsidR="00822842">
        <w:rPr>
          <w:i/>
          <w:sz w:val="22"/>
          <w:szCs w:val="22"/>
        </w:rPr>
        <w:t xml:space="preserve"> </w:t>
      </w:r>
      <w:r w:rsidR="00340921">
        <w:rPr>
          <w:i/>
          <w:sz w:val="22"/>
          <w:szCs w:val="22"/>
        </w:rPr>
        <w:t xml:space="preserve">qualify as </w:t>
      </w:r>
      <w:r w:rsidR="006D5027">
        <w:rPr>
          <w:i/>
          <w:sz w:val="22"/>
          <w:szCs w:val="22"/>
        </w:rPr>
        <w:t>a Transaction Conducted Through a Foreign Branch</w:t>
      </w:r>
      <w:r w:rsidR="00B20F9C">
        <w:rPr>
          <w:i/>
          <w:sz w:val="22"/>
          <w:szCs w:val="22"/>
        </w:rPr>
        <w:t xml:space="preserve"> of Named Entity that is arranged, negotiated and executed on behalf of a Foreign Branch (SEC Rule) of Named Entity by persons located outside the United States</w:t>
      </w:r>
      <w:r w:rsidR="006D5027" w:rsidRPr="00234454">
        <w:rPr>
          <w:i/>
          <w:sz w:val="22"/>
          <w:szCs w:val="22"/>
          <w:lang w:val="x-none"/>
        </w:rPr>
        <w:t>.</w:t>
      </w:r>
      <w:r w:rsidR="006D5027">
        <w:rPr>
          <w:i/>
          <w:sz w:val="22"/>
          <w:szCs w:val="22"/>
        </w:rPr>
        <w:t xml:space="preserve">  </w:t>
      </w:r>
      <w:r w:rsidR="005573A1" w:rsidRPr="00916A93">
        <w:rPr>
          <w:i/>
          <w:sz w:val="22"/>
          <w:szCs w:val="22"/>
        </w:rPr>
        <w:br/>
      </w:r>
      <w:r w:rsidR="005573A1" w:rsidRPr="00916A93">
        <w:rPr>
          <w:i/>
          <w:sz w:val="22"/>
          <w:szCs w:val="22"/>
        </w:rPr>
        <w:br/>
      </w:r>
      <w:r w:rsidR="005573A1" w:rsidRPr="00916A93">
        <w:rPr>
          <w:sz w:val="22"/>
          <w:szCs w:val="22"/>
        </w:rPr>
        <w:fldChar w:fldCharType="begin">
          <w:ffData>
            <w:name w:val=""/>
            <w:enabled/>
            <w:calcOnExit w:val="0"/>
            <w:checkBox>
              <w:sizeAuto/>
              <w:default w:val="0"/>
            </w:checkBox>
          </w:ffData>
        </w:fldChar>
      </w:r>
      <w:r w:rsidR="005573A1" w:rsidRPr="00916A93">
        <w:rPr>
          <w:sz w:val="22"/>
          <w:szCs w:val="22"/>
        </w:rPr>
        <w:instrText xml:space="preserve"> FORMCHECKBOX </w:instrText>
      </w:r>
      <w:r w:rsidR="00166DDA">
        <w:rPr>
          <w:sz w:val="22"/>
          <w:szCs w:val="22"/>
        </w:rPr>
      </w:r>
      <w:r w:rsidR="00166DDA">
        <w:rPr>
          <w:sz w:val="22"/>
          <w:szCs w:val="22"/>
        </w:rPr>
        <w:fldChar w:fldCharType="separate"/>
      </w:r>
      <w:r w:rsidR="005573A1" w:rsidRPr="00916A93">
        <w:rPr>
          <w:sz w:val="22"/>
          <w:szCs w:val="22"/>
        </w:rPr>
        <w:fldChar w:fldCharType="end"/>
      </w:r>
      <w:r w:rsidR="005573A1" w:rsidRPr="00916A93">
        <w:rPr>
          <w:sz w:val="22"/>
          <w:szCs w:val="22"/>
        </w:rPr>
        <w:t xml:space="preserve">  </w:t>
      </w:r>
      <w:r w:rsidR="006D5027">
        <w:rPr>
          <w:sz w:val="22"/>
          <w:szCs w:val="22"/>
        </w:rPr>
        <w:t>Foreign Branch Transactions</w:t>
      </w:r>
      <w:r w:rsidR="00B20F9C">
        <w:rPr>
          <w:sz w:val="22"/>
          <w:szCs w:val="22"/>
        </w:rPr>
        <w:t xml:space="preserve"> </w:t>
      </w:r>
      <w:r w:rsidR="001E6530">
        <w:rPr>
          <w:sz w:val="22"/>
          <w:szCs w:val="22"/>
        </w:rPr>
        <w:t xml:space="preserve">Qualify </w:t>
      </w:r>
      <w:r w:rsidR="00B20F9C">
        <w:rPr>
          <w:sz w:val="22"/>
          <w:szCs w:val="22"/>
        </w:rPr>
        <w:t>(SEC Rules)</w:t>
      </w:r>
      <w:r w:rsidR="005573A1" w:rsidRPr="00916A93">
        <w:rPr>
          <w:sz w:val="22"/>
          <w:szCs w:val="22"/>
        </w:rPr>
        <w:br/>
      </w:r>
      <w:r w:rsidR="005573A1" w:rsidRPr="00916A93">
        <w:rPr>
          <w:sz w:val="22"/>
          <w:szCs w:val="22"/>
        </w:rPr>
        <w:fldChar w:fldCharType="begin">
          <w:ffData>
            <w:name w:val=""/>
            <w:enabled/>
            <w:calcOnExit w:val="0"/>
            <w:checkBox>
              <w:sizeAuto/>
              <w:default w:val="0"/>
            </w:checkBox>
          </w:ffData>
        </w:fldChar>
      </w:r>
      <w:r w:rsidR="005573A1" w:rsidRPr="00916A93">
        <w:rPr>
          <w:sz w:val="22"/>
          <w:szCs w:val="22"/>
        </w:rPr>
        <w:instrText xml:space="preserve"> FORMCHECKBOX </w:instrText>
      </w:r>
      <w:r w:rsidR="00166DDA">
        <w:rPr>
          <w:sz w:val="22"/>
          <w:szCs w:val="22"/>
        </w:rPr>
      </w:r>
      <w:r w:rsidR="00166DDA">
        <w:rPr>
          <w:sz w:val="22"/>
          <w:szCs w:val="22"/>
        </w:rPr>
        <w:fldChar w:fldCharType="separate"/>
      </w:r>
      <w:r w:rsidR="005573A1" w:rsidRPr="00916A93">
        <w:rPr>
          <w:sz w:val="22"/>
          <w:szCs w:val="22"/>
        </w:rPr>
        <w:fldChar w:fldCharType="end"/>
      </w:r>
      <w:r w:rsidR="005573A1" w:rsidRPr="00916A93">
        <w:rPr>
          <w:sz w:val="22"/>
          <w:szCs w:val="22"/>
        </w:rPr>
        <w:t xml:space="preserve">  </w:t>
      </w:r>
      <w:r w:rsidR="006D5027">
        <w:rPr>
          <w:sz w:val="22"/>
          <w:szCs w:val="22"/>
        </w:rPr>
        <w:t>Foreign Branch Transactions</w:t>
      </w:r>
      <w:r w:rsidR="00B20F9C">
        <w:rPr>
          <w:sz w:val="22"/>
          <w:szCs w:val="22"/>
        </w:rPr>
        <w:t xml:space="preserve"> </w:t>
      </w:r>
      <w:r w:rsidR="00811927">
        <w:rPr>
          <w:sz w:val="22"/>
          <w:szCs w:val="22"/>
        </w:rPr>
        <w:t xml:space="preserve">May Not </w:t>
      </w:r>
      <w:r w:rsidR="001E6530">
        <w:rPr>
          <w:sz w:val="22"/>
          <w:szCs w:val="22"/>
        </w:rPr>
        <w:t xml:space="preserve">Qualify </w:t>
      </w:r>
      <w:r w:rsidR="00B20F9C">
        <w:rPr>
          <w:sz w:val="22"/>
          <w:szCs w:val="22"/>
        </w:rPr>
        <w:t>(SEC Rules)</w:t>
      </w:r>
      <w:r w:rsidR="00027CE8">
        <w:rPr>
          <w:sz w:val="22"/>
          <w:szCs w:val="22"/>
        </w:rPr>
        <w:br/>
      </w:r>
      <w:r w:rsidR="00027CE8">
        <w:rPr>
          <w:sz w:val="22"/>
          <w:szCs w:val="22"/>
        </w:rPr>
        <w:br/>
      </w:r>
      <w:r w:rsidR="00027CE8" w:rsidRPr="00027CE8">
        <w:rPr>
          <w:i/>
          <w:color w:val="0070C0"/>
          <w:sz w:val="22"/>
          <w:szCs w:val="22"/>
        </w:rPr>
        <w:t>Go to the next item.</w:t>
      </w:r>
    </w:p>
    <w:p w14:paraId="32206528" w14:textId="77777777" w:rsidR="006E557D" w:rsidRPr="00234454" w:rsidRDefault="00001D25" w:rsidP="0076572B">
      <w:pPr>
        <w:pStyle w:val="Heading3"/>
        <w:rPr>
          <w:i/>
          <w:sz w:val="22"/>
          <w:szCs w:val="22"/>
        </w:rPr>
      </w:pPr>
      <w:r w:rsidRPr="00234454">
        <w:rPr>
          <w:sz w:val="22"/>
          <w:szCs w:val="22"/>
          <w:u w:val="single"/>
        </w:rPr>
        <w:lastRenderedPageBreak/>
        <w:t xml:space="preserve">Swaps </w:t>
      </w:r>
      <w:r w:rsidR="00B20F9C">
        <w:rPr>
          <w:sz w:val="22"/>
          <w:szCs w:val="22"/>
          <w:u w:val="single"/>
        </w:rPr>
        <w:t xml:space="preserve">booked </w:t>
      </w:r>
      <w:r w:rsidRPr="00234454">
        <w:rPr>
          <w:sz w:val="22"/>
          <w:szCs w:val="22"/>
          <w:u w:val="single"/>
        </w:rPr>
        <w:t>through</w:t>
      </w:r>
      <w:r w:rsidR="006E557D" w:rsidRPr="00234454">
        <w:rPr>
          <w:sz w:val="22"/>
          <w:szCs w:val="22"/>
          <w:u w:val="single"/>
        </w:rPr>
        <w:t xml:space="preserve"> U.S. Branch</w:t>
      </w:r>
      <w:r w:rsidRPr="00234454">
        <w:rPr>
          <w:sz w:val="22"/>
          <w:szCs w:val="22"/>
          <w:u w:val="single"/>
        </w:rPr>
        <w:t xml:space="preserve"> (CFTC 2020 Rule</w:t>
      </w:r>
      <w:r w:rsidR="00A006CF">
        <w:rPr>
          <w:sz w:val="22"/>
          <w:szCs w:val="22"/>
          <w:u w:val="single"/>
        </w:rPr>
        <w:t>s</w:t>
      </w:r>
      <w:r w:rsidRPr="00234454">
        <w:rPr>
          <w:sz w:val="22"/>
          <w:szCs w:val="22"/>
          <w:u w:val="single"/>
        </w:rPr>
        <w:t>)</w:t>
      </w:r>
      <w:r w:rsidR="006E557D" w:rsidRPr="00234454">
        <w:rPr>
          <w:sz w:val="22"/>
          <w:szCs w:val="22"/>
          <w:u w:val="single"/>
        </w:rPr>
        <w:br/>
      </w:r>
      <w:r w:rsidR="006E557D" w:rsidRPr="00234454">
        <w:rPr>
          <w:sz w:val="22"/>
          <w:szCs w:val="22"/>
          <w:u w:val="single"/>
        </w:rPr>
        <w:br/>
      </w:r>
      <w:r w:rsidR="00B20F9C">
        <w:rPr>
          <w:i/>
          <w:color w:val="0070C0"/>
          <w:sz w:val="22"/>
          <w:szCs w:val="22"/>
        </w:rPr>
        <w:t>A</w:t>
      </w:r>
      <w:r w:rsidR="006E557D" w:rsidRPr="00234454">
        <w:rPr>
          <w:i/>
          <w:color w:val="0070C0"/>
          <w:sz w:val="22"/>
          <w:szCs w:val="22"/>
        </w:rPr>
        <w:t xml:space="preserve">nswer if </w:t>
      </w:r>
      <w:r w:rsidR="00027CE8">
        <w:rPr>
          <w:i/>
          <w:color w:val="0070C0"/>
          <w:sz w:val="22"/>
          <w:szCs w:val="22"/>
        </w:rPr>
        <w:t>(i) Named Entity will transact S</w:t>
      </w:r>
      <w:r w:rsidR="006E557D" w:rsidRPr="00234454">
        <w:rPr>
          <w:i/>
          <w:color w:val="0070C0"/>
          <w:sz w:val="22"/>
          <w:szCs w:val="22"/>
        </w:rPr>
        <w:t>waps with Information Recipient</w:t>
      </w:r>
      <w:r w:rsidR="00822842">
        <w:rPr>
          <w:i/>
          <w:color w:val="0070C0"/>
          <w:sz w:val="22"/>
          <w:szCs w:val="22"/>
        </w:rPr>
        <w:t>,</w:t>
      </w:r>
      <w:r w:rsidR="006E557D" w:rsidRPr="00234454">
        <w:rPr>
          <w:i/>
          <w:color w:val="0070C0"/>
          <w:sz w:val="22"/>
          <w:szCs w:val="22"/>
        </w:rPr>
        <w:t xml:space="preserve"> </w:t>
      </w:r>
      <w:r w:rsidR="00027CE8">
        <w:rPr>
          <w:i/>
          <w:color w:val="0070C0"/>
          <w:sz w:val="22"/>
          <w:szCs w:val="22"/>
        </w:rPr>
        <w:t>(ii)</w:t>
      </w:r>
      <w:r w:rsidR="006E557D" w:rsidRPr="00234454">
        <w:rPr>
          <w:i/>
          <w:color w:val="0070C0"/>
          <w:sz w:val="22"/>
          <w:szCs w:val="22"/>
        </w:rPr>
        <w:t xml:space="preserve"> Named Entity </w:t>
      </w:r>
      <w:r w:rsidR="00027CE8">
        <w:rPr>
          <w:i/>
          <w:color w:val="0070C0"/>
          <w:sz w:val="22"/>
          <w:szCs w:val="22"/>
        </w:rPr>
        <w:t>checked</w:t>
      </w:r>
      <w:r w:rsidR="006E557D" w:rsidRPr="00234454">
        <w:rPr>
          <w:i/>
          <w:color w:val="0070C0"/>
          <w:sz w:val="22"/>
          <w:szCs w:val="22"/>
        </w:rPr>
        <w:t xml:space="preserve"> “No” to both </w:t>
      </w:r>
      <w:r w:rsidR="00822842">
        <w:rPr>
          <w:i/>
          <w:color w:val="0070C0"/>
          <w:sz w:val="22"/>
          <w:szCs w:val="22"/>
        </w:rPr>
        <w:t>items</w:t>
      </w:r>
      <w:r w:rsidR="006E557D" w:rsidRPr="00234454">
        <w:rPr>
          <w:i/>
          <w:color w:val="0070C0"/>
          <w:sz w:val="22"/>
          <w:szCs w:val="22"/>
        </w:rPr>
        <w:t xml:space="preserve"> in Part II.A</w:t>
      </w:r>
      <w:r w:rsidR="00822842">
        <w:rPr>
          <w:i/>
          <w:color w:val="0070C0"/>
          <w:sz w:val="22"/>
          <w:szCs w:val="22"/>
        </w:rPr>
        <w:t>,</w:t>
      </w:r>
      <w:r w:rsidR="006E557D" w:rsidRPr="00234454">
        <w:rPr>
          <w:i/>
          <w:color w:val="0070C0"/>
          <w:sz w:val="22"/>
          <w:szCs w:val="22"/>
        </w:rPr>
        <w:t xml:space="preserve"> and </w:t>
      </w:r>
      <w:r w:rsidR="00027CE8">
        <w:rPr>
          <w:i/>
          <w:color w:val="0070C0"/>
          <w:sz w:val="22"/>
          <w:szCs w:val="22"/>
        </w:rPr>
        <w:t xml:space="preserve">(iii) </w:t>
      </w:r>
      <w:r w:rsidR="006E557D" w:rsidRPr="00234454">
        <w:rPr>
          <w:i/>
          <w:color w:val="0070C0"/>
          <w:sz w:val="22"/>
          <w:szCs w:val="22"/>
        </w:rPr>
        <w:t>Information Recipient has identified itself as an SD.</w:t>
      </w:r>
      <w:r w:rsidR="006E557D" w:rsidRPr="00234454">
        <w:rPr>
          <w:i/>
          <w:sz w:val="22"/>
          <w:szCs w:val="22"/>
        </w:rPr>
        <w:br/>
      </w:r>
      <w:r w:rsidR="006E557D" w:rsidRPr="00234454">
        <w:rPr>
          <w:i/>
          <w:sz w:val="22"/>
          <w:szCs w:val="22"/>
        </w:rPr>
        <w:br/>
      </w:r>
      <w:r w:rsidR="00B20F9C">
        <w:rPr>
          <w:sz w:val="22"/>
          <w:szCs w:val="22"/>
        </w:rPr>
        <w:t>Will Named Entity book S</w:t>
      </w:r>
      <w:r w:rsidR="006E557D" w:rsidRPr="00234454">
        <w:rPr>
          <w:sz w:val="22"/>
          <w:szCs w:val="22"/>
        </w:rPr>
        <w:t>waps</w:t>
      </w:r>
      <w:r w:rsidR="00234454" w:rsidRPr="00234454">
        <w:rPr>
          <w:sz w:val="22"/>
          <w:szCs w:val="22"/>
        </w:rPr>
        <w:t xml:space="preserve"> with Recipient through a U.S. </w:t>
      </w:r>
      <w:r w:rsidR="00234454">
        <w:rPr>
          <w:sz w:val="22"/>
          <w:szCs w:val="22"/>
        </w:rPr>
        <w:t>B</w:t>
      </w:r>
      <w:r w:rsidR="006E557D" w:rsidRPr="00234454">
        <w:rPr>
          <w:sz w:val="22"/>
          <w:szCs w:val="22"/>
        </w:rPr>
        <w:t>ranch (CFTC 2020 Rule</w:t>
      </w:r>
      <w:r w:rsidR="00A006CF">
        <w:rPr>
          <w:sz w:val="22"/>
          <w:szCs w:val="22"/>
        </w:rPr>
        <w:t>s</w:t>
      </w:r>
      <w:r w:rsidR="006E557D" w:rsidRPr="00234454">
        <w:rPr>
          <w:sz w:val="22"/>
          <w:szCs w:val="22"/>
        </w:rPr>
        <w:t>)?</w:t>
      </w:r>
      <w:r w:rsidR="00234454" w:rsidRPr="00234454">
        <w:rPr>
          <w:sz w:val="22"/>
          <w:szCs w:val="22"/>
        </w:rPr>
        <w:br/>
      </w:r>
      <w:r w:rsidR="00234454" w:rsidRPr="00234454">
        <w:rPr>
          <w:sz w:val="22"/>
          <w:szCs w:val="22"/>
        </w:rPr>
        <w:br/>
      </w:r>
      <w:r w:rsidR="002B2987" w:rsidRPr="00234454">
        <w:rPr>
          <w:i/>
          <w:sz w:val="22"/>
          <w:szCs w:val="22"/>
          <w:lang w:val="x-none"/>
        </w:rPr>
        <w:t>Checking the box next to “Some or All U</w:t>
      </w:r>
      <w:r w:rsidR="002B2987">
        <w:rPr>
          <w:i/>
          <w:sz w:val="22"/>
          <w:szCs w:val="22"/>
        </w:rPr>
        <w:t>.</w:t>
      </w:r>
      <w:r w:rsidR="002B2987" w:rsidRPr="00234454">
        <w:rPr>
          <w:i/>
          <w:sz w:val="22"/>
          <w:szCs w:val="22"/>
          <w:lang w:val="x-none"/>
        </w:rPr>
        <w:t>S</w:t>
      </w:r>
      <w:r w:rsidR="002B2987">
        <w:rPr>
          <w:i/>
          <w:sz w:val="22"/>
          <w:szCs w:val="22"/>
        </w:rPr>
        <w:t>.</w:t>
      </w:r>
      <w:r w:rsidR="002B2987" w:rsidRPr="00234454">
        <w:rPr>
          <w:i/>
          <w:sz w:val="22"/>
          <w:szCs w:val="22"/>
          <w:lang w:val="x-none"/>
        </w:rPr>
        <w:t xml:space="preserve"> Branch Transactions</w:t>
      </w:r>
      <w:r w:rsidR="00B20F9C">
        <w:rPr>
          <w:i/>
          <w:sz w:val="22"/>
          <w:szCs w:val="22"/>
        </w:rPr>
        <w:t xml:space="preserve"> (CFTC 2020 Rule</w:t>
      </w:r>
      <w:r w:rsidR="00D46752">
        <w:rPr>
          <w:i/>
          <w:sz w:val="22"/>
          <w:szCs w:val="22"/>
        </w:rPr>
        <w:t>s</w:t>
      </w:r>
      <w:r w:rsidR="00B20F9C">
        <w:rPr>
          <w:i/>
          <w:sz w:val="22"/>
          <w:szCs w:val="22"/>
        </w:rPr>
        <w:t>)</w:t>
      </w:r>
      <w:r w:rsidR="002B2987" w:rsidRPr="00234454">
        <w:rPr>
          <w:i/>
          <w:sz w:val="22"/>
          <w:szCs w:val="22"/>
          <w:lang w:val="x-none"/>
        </w:rPr>
        <w:t>” indicates</w:t>
      </w:r>
      <w:r w:rsidR="002B2987" w:rsidRPr="00234454">
        <w:rPr>
          <w:i/>
          <w:sz w:val="22"/>
          <w:szCs w:val="22"/>
        </w:rPr>
        <w:t xml:space="preserve"> </w:t>
      </w:r>
      <w:r w:rsidR="002B2987" w:rsidRPr="00234454">
        <w:rPr>
          <w:i/>
          <w:sz w:val="22"/>
          <w:szCs w:val="22"/>
          <w:lang w:val="x-none"/>
        </w:rPr>
        <w:t xml:space="preserve">that </w:t>
      </w:r>
      <w:r w:rsidR="00B20F9C">
        <w:rPr>
          <w:i/>
          <w:sz w:val="22"/>
          <w:szCs w:val="22"/>
        </w:rPr>
        <w:t>one or more of Named Entity’s Swaps with Recipient may be a Swap Booked in a U.S. Branch (CFTC 2020 Rule</w:t>
      </w:r>
      <w:r w:rsidR="00D46752">
        <w:rPr>
          <w:i/>
          <w:sz w:val="22"/>
          <w:szCs w:val="22"/>
        </w:rPr>
        <w:t>s</w:t>
      </w:r>
      <w:r w:rsidR="00B20F9C">
        <w:rPr>
          <w:i/>
          <w:sz w:val="22"/>
          <w:szCs w:val="22"/>
        </w:rPr>
        <w:t>) of Named Entity.</w:t>
      </w:r>
      <w:r w:rsidR="00917A12">
        <w:rPr>
          <w:i/>
          <w:sz w:val="22"/>
          <w:szCs w:val="22"/>
        </w:rPr>
        <w:t xml:space="preserve"> </w:t>
      </w:r>
      <w:r w:rsidR="002B2987">
        <w:rPr>
          <w:i/>
          <w:sz w:val="22"/>
          <w:szCs w:val="22"/>
        </w:rPr>
        <w:br/>
      </w:r>
      <w:r w:rsidR="002B2987">
        <w:rPr>
          <w:i/>
          <w:sz w:val="22"/>
          <w:szCs w:val="22"/>
        </w:rPr>
        <w:br/>
      </w:r>
      <w:r w:rsidR="00234454" w:rsidRPr="00234454">
        <w:rPr>
          <w:i/>
          <w:sz w:val="22"/>
          <w:szCs w:val="22"/>
          <w:lang w:val="x-none"/>
        </w:rPr>
        <w:t>Checking the box next to “No U</w:t>
      </w:r>
      <w:r w:rsidR="00234454">
        <w:rPr>
          <w:i/>
          <w:sz w:val="22"/>
          <w:szCs w:val="22"/>
        </w:rPr>
        <w:t>.</w:t>
      </w:r>
      <w:r w:rsidR="00234454" w:rsidRPr="00234454">
        <w:rPr>
          <w:i/>
          <w:sz w:val="22"/>
          <w:szCs w:val="22"/>
          <w:lang w:val="x-none"/>
        </w:rPr>
        <w:t>S</w:t>
      </w:r>
      <w:r w:rsidR="00234454">
        <w:rPr>
          <w:i/>
          <w:sz w:val="22"/>
          <w:szCs w:val="22"/>
        </w:rPr>
        <w:t>.</w:t>
      </w:r>
      <w:r w:rsidR="00234454" w:rsidRPr="00234454">
        <w:rPr>
          <w:i/>
          <w:sz w:val="22"/>
          <w:szCs w:val="22"/>
          <w:lang w:val="x-none"/>
        </w:rPr>
        <w:t xml:space="preserve"> Branch Transactions</w:t>
      </w:r>
      <w:r w:rsidR="00B20F9C">
        <w:rPr>
          <w:i/>
          <w:sz w:val="22"/>
          <w:szCs w:val="22"/>
        </w:rPr>
        <w:t xml:space="preserve"> (CFTC 2020 Rule</w:t>
      </w:r>
      <w:r w:rsidR="00D46752">
        <w:rPr>
          <w:i/>
          <w:sz w:val="22"/>
          <w:szCs w:val="22"/>
        </w:rPr>
        <w:t>s</w:t>
      </w:r>
      <w:r w:rsidR="00B20F9C">
        <w:rPr>
          <w:i/>
          <w:sz w:val="22"/>
          <w:szCs w:val="22"/>
        </w:rPr>
        <w:t>)</w:t>
      </w:r>
      <w:r w:rsidR="00234454" w:rsidRPr="00234454">
        <w:rPr>
          <w:i/>
          <w:sz w:val="22"/>
          <w:szCs w:val="22"/>
          <w:lang w:val="x-none"/>
        </w:rPr>
        <w:t>” indicates that</w:t>
      </w:r>
      <w:r w:rsidR="00234454" w:rsidRPr="00234454">
        <w:rPr>
          <w:i/>
          <w:sz w:val="22"/>
          <w:szCs w:val="22"/>
        </w:rPr>
        <w:t xml:space="preserve"> </w:t>
      </w:r>
      <w:r w:rsidR="00B20F9C" w:rsidRPr="00D46752">
        <w:rPr>
          <w:i/>
          <w:sz w:val="22"/>
          <w:szCs w:val="22"/>
          <w:u w:val="single"/>
        </w:rPr>
        <w:t>none</w:t>
      </w:r>
      <w:r w:rsidR="00B20F9C">
        <w:rPr>
          <w:i/>
          <w:sz w:val="22"/>
          <w:szCs w:val="22"/>
        </w:rPr>
        <w:t xml:space="preserve"> of </w:t>
      </w:r>
      <w:r w:rsidR="006967C8">
        <w:rPr>
          <w:i/>
          <w:sz w:val="22"/>
          <w:szCs w:val="22"/>
        </w:rPr>
        <w:t>Named Entity</w:t>
      </w:r>
      <w:r w:rsidR="00B20F9C">
        <w:rPr>
          <w:i/>
          <w:sz w:val="22"/>
          <w:szCs w:val="22"/>
        </w:rPr>
        <w:t>’s Swaps with Recipient will be a</w:t>
      </w:r>
      <w:r w:rsidR="00234454" w:rsidRPr="00234454">
        <w:rPr>
          <w:i/>
          <w:sz w:val="22"/>
          <w:szCs w:val="22"/>
          <w:lang w:val="x-none"/>
        </w:rPr>
        <w:t xml:space="preserve"> </w:t>
      </w:r>
      <w:r w:rsidR="00D46752">
        <w:rPr>
          <w:i/>
          <w:sz w:val="22"/>
          <w:szCs w:val="22"/>
        </w:rPr>
        <w:t>Swap Booked in a U.S. Branch (CFTC 2020 Rules) of Named Entity</w:t>
      </w:r>
      <w:r w:rsidR="00234454" w:rsidRPr="00234454">
        <w:rPr>
          <w:i/>
          <w:sz w:val="22"/>
          <w:szCs w:val="22"/>
          <w:lang w:val="x-none"/>
        </w:rPr>
        <w:t>.</w:t>
      </w:r>
      <w:r w:rsidR="00234454" w:rsidRPr="00234454">
        <w:rPr>
          <w:i/>
          <w:sz w:val="22"/>
          <w:szCs w:val="22"/>
        </w:rPr>
        <w:t xml:space="preserve"> </w:t>
      </w:r>
      <w:r w:rsidR="00234454" w:rsidRPr="00234454">
        <w:rPr>
          <w:i/>
          <w:sz w:val="22"/>
          <w:szCs w:val="22"/>
        </w:rPr>
        <w:br/>
      </w:r>
      <w:r w:rsidR="006E557D" w:rsidRPr="00234454">
        <w:rPr>
          <w:sz w:val="22"/>
          <w:szCs w:val="22"/>
        </w:rPr>
        <w:br/>
      </w:r>
      <w:r w:rsidR="006E557D" w:rsidRPr="00234454">
        <w:rPr>
          <w:sz w:val="22"/>
          <w:szCs w:val="22"/>
        </w:rPr>
        <w:fldChar w:fldCharType="begin">
          <w:ffData>
            <w:name w:val=""/>
            <w:enabled/>
            <w:calcOnExit w:val="0"/>
            <w:checkBox>
              <w:sizeAuto/>
              <w:default w:val="0"/>
            </w:checkBox>
          </w:ffData>
        </w:fldChar>
      </w:r>
      <w:r w:rsidR="006E557D" w:rsidRPr="00234454">
        <w:rPr>
          <w:sz w:val="22"/>
          <w:szCs w:val="22"/>
        </w:rPr>
        <w:instrText xml:space="preserve"> FORMCHECKBOX </w:instrText>
      </w:r>
      <w:r w:rsidR="00166DDA">
        <w:rPr>
          <w:sz w:val="22"/>
          <w:szCs w:val="22"/>
        </w:rPr>
      </w:r>
      <w:r w:rsidR="00166DDA">
        <w:rPr>
          <w:sz w:val="22"/>
          <w:szCs w:val="22"/>
        </w:rPr>
        <w:fldChar w:fldCharType="separate"/>
      </w:r>
      <w:r w:rsidR="006E557D" w:rsidRPr="00234454">
        <w:rPr>
          <w:sz w:val="22"/>
          <w:szCs w:val="22"/>
        </w:rPr>
        <w:fldChar w:fldCharType="end"/>
      </w:r>
      <w:r w:rsidR="006E557D" w:rsidRPr="00234454">
        <w:rPr>
          <w:sz w:val="22"/>
          <w:szCs w:val="22"/>
        </w:rPr>
        <w:t xml:space="preserve">  </w:t>
      </w:r>
      <w:r w:rsidR="00234454" w:rsidRPr="00234454">
        <w:rPr>
          <w:sz w:val="22"/>
          <w:szCs w:val="22"/>
        </w:rPr>
        <w:t xml:space="preserve">Some or all U.S. </w:t>
      </w:r>
      <w:r w:rsidR="00234454">
        <w:rPr>
          <w:sz w:val="22"/>
          <w:szCs w:val="22"/>
        </w:rPr>
        <w:t>B</w:t>
      </w:r>
      <w:r w:rsidR="00234454" w:rsidRPr="00234454">
        <w:rPr>
          <w:sz w:val="22"/>
          <w:szCs w:val="22"/>
        </w:rPr>
        <w:t xml:space="preserve">ranch </w:t>
      </w:r>
      <w:r w:rsidR="00234454">
        <w:rPr>
          <w:sz w:val="22"/>
          <w:szCs w:val="22"/>
        </w:rPr>
        <w:t>T</w:t>
      </w:r>
      <w:r w:rsidR="00234454" w:rsidRPr="00234454">
        <w:rPr>
          <w:sz w:val="22"/>
          <w:szCs w:val="22"/>
        </w:rPr>
        <w:t>ransactions</w:t>
      </w:r>
      <w:r w:rsidR="00234454">
        <w:rPr>
          <w:sz w:val="22"/>
          <w:szCs w:val="22"/>
        </w:rPr>
        <w:t xml:space="preserve"> </w:t>
      </w:r>
      <w:r w:rsidR="00234454" w:rsidRPr="00234454">
        <w:rPr>
          <w:sz w:val="22"/>
          <w:szCs w:val="22"/>
        </w:rPr>
        <w:t>(CFTC 2020 Rule</w:t>
      </w:r>
      <w:r w:rsidR="00A006CF">
        <w:rPr>
          <w:sz w:val="22"/>
          <w:szCs w:val="22"/>
        </w:rPr>
        <w:t>s</w:t>
      </w:r>
      <w:r w:rsidR="00234454" w:rsidRPr="00234454">
        <w:rPr>
          <w:sz w:val="22"/>
          <w:szCs w:val="22"/>
        </w:rPr>
        <w:t>)</w:t>
      </w:r>
      <w:r w:rsidR="006E557D" w:rsidRPr="00234454">
        <w:rPr>
          <w:sz w:val="22"/>
          <w:szCs w:val="22"/>
        </w:rPr>
        <w:br/>
      </w:r>
      <w:r w:rsidR="006E557D" w:rsidRPr="00234454">
        <w:rPr>
          <w:sz w:val="22"/>
          <w:szCs w:val="22"/>
        </w:rPr>
        <w:fldChar w:fldCharType="begin">
          <w:ffData>
            <w:name w:val=""/>
            <w:enabled/>
            <w:calcOnExit w:val="0"/>
            <w:checkBox>
              <w:sizeAuto/>
              <w:default w:val="0"/>
            </w:checkBox>
          </w:ffData>
        </w:fldChar>
      </w:r>
      <w:r w:rsidR="006E557D" w:rsidRPr="00234454">
        <w:rPr>
          <w:sz w:val="22"/>
          <w:szCs w:val="22"/>
        </w:rPr>
        <w:instrText xml:space="preserve"> FORMCHECKBOX </w:instrText>
      </w:r>
      <w:r w:rsidR="00166DDA">
        <w:rPr>
          <w:sz w:val="22"/>
          <w:szCs w:val="22"/>
        </w:rPr>
      </w:r>
      <w:r w:rsidR="00166DDA">
        <w:rPr>
          <w:sz w:val="22"/>
          <w:szCs w:val="22"/>
        </w:rPr>
        <w:fldChar w:fldCharType="separate"/>
      </w:r>
      <w:r w:rsidR="006E557D" w:rsidRPr="00234454">
        <w:rPr>
          <w:sz w:val="22"/>
          <w:szCs w:val="22"/>
        </w:rPr>
        <w:fldChar w:fldCharType="end"/>
      </w:r>
      <w:r w:rsidR="006E557D" w:rsidRPr="00234454">
        <w:rPr>
          <w:sz w:val="22"/>
          <w:szCs w:val="22"/>
        </w:rPr>
        <w:t xml:space="preserve">  No</w:t>
      </w:r>
      <w:r w:rsidR="00234454" w:rsidRPr="00234454">
        <w:rPr>
          <w:sz w:val="22"/>
          <w:szCs w:val="22"/>
        </w:rPr>
        <w:t xml:space="preserve"> U.S. </w:t>
      </w:r>
      <w:r w:rsidR="00234454">
        <w:rPr>
          <w:sz w:val="22"/>
          <w:szCs w:val="22"/>
        </w:rPr>
        <w:t>B</w:t>
      </w:r>
      <w:r w:rsidR="00234454" w:rsidRPr="00234454">
        <w:rPr>
          <w:sz w:val="22"/>
          <w:szCs w:val="22"/>
        </w:rPr>
        <w:t xml:space="preserve">ranch </w:t>
      </w:r>
      <w:r w:rsidR="00234454">
        <w:rPr>
          <w:sz w:val="22"/>
          <w:szCs w:val="22"/>
        </w:rPr>
        <w:t>T</w:t>
      </w:r>
      <w:r w:rsidR="00234454" w:rsidRPr="00234454">
        <w:rPr>
          <w:sz w:val="22"/>
          <w:szCs w:val="22"/>
        </w:rPr>
        <w:t>ransactions</w:t>
      </w:r>
      <w:r w:rsidR="00234454">
        <w:rPr>
          <w:sz w:val="22"/>
          <w:szCs w:val="22"/>
        </w:rPr>
        <w:t xml:space="preserve"> </w:t>
      </w:r>
      <w:r w:rsidR="00234454" w:rsidRPr="00234454">
        <w:rPr>
          <w:sz w:val="22"/>
          <w:szCs w:val="22"/>
        </w:rPr>
        <w:t>(CFTC 2020 Rule</w:t>
      </w:r>
      <w:r w:rsidR="00A006CF">
        <w:rPr>
          <w:sz w:val="22"/>
          <w:szCs w:val="22"/>
        </w:rPr>
        <w:t>s</w:t>
      </w:r>
      <w:r w:rsidR="00234454" w:rsidRPr="00234454">
        <w:rPr>
          <w:sz w:val="22"/>
          <w:szCs w:val="22"/>
        </w:rPr>
        <w:t>)</w:t>
      </w:r>
      <w:r w:rsidR="00FF6A80">
        <w:rPr>
          <w:sz w:val="22"/>
          <w:szCs w:val="22"/>
        </w:rPr>
        <w:br/>
      </w:r>
      <w:r w:rsidR="00FF6A80">
        <w:rPr>
          <w:sz w:val="22"/>
          <w:szCs w:val="22"/>
        </w:rPr>
        <w:br/>
      </w:r>
      <w:r w:rsidR="00FF6A80" w:rsidRPr="00FF6A80">
        <w:rPr>
          <w:i/>
          <w:color w:val="0070C0"/>
          <w:sz w:val="22"/>
          <w:szCs w:val="22"/>
        </w:rPr>
        <w:t>Go to the next item.</w:t>
      </w:r>
    </w:p>
    <w:p w14:paraId="1FD58F97" w14:textId="77777777" w:rsidR="00AB40A5" w:rsidRPr="00AB40A5" w:rsidRDefault="00AB40A5" w:rsidP="0076572B">
      <w:pPr>
        <w:pStyle w:val="Heading3"/>
        <w:rPr>
          <w:i/>
          <w:sz w:val="22"/>
          <w:szCs w:val="22"/>
        </w:rPr>
      </w:pPr>
      <w:r>
        <w:rPr>
          <w:sz w:val="22"/>
          <w:szCs w:val="22"/>
          <w:u w:val="single"/>
        </w:rPr>
        <w:t xml:space="preserve">Swaps </w:t>
      </w:r>
      <w:r w:rsidR="00E519B8">
        <w:rPr>
          <w:sz w:val="22"/>
          <w:szCs w:val="22"/>
          <w:u w:val="single"/>
        </w:rPr>
        <w:t>conducted</w:t>
      </w:r>
      <w:r>
        <w:rPr>
          <w:sz w:val="22"/>
          <w:szCs w:val="22"/>
          <w:u w:val="single"/>
        </w:rPr>
        <w:t xml:space="preserve"> through Foreign Branch (CFTC 2020 Rules)</w:t>
      </w:r>
      <w:r>
        <w:rPr>
          <w:sz w:val="22"/>
          <w:szCs w:val="22"/>
        </w:rPr>
        <w:br/>
      </w:r>
      <w:r>
        <w:rPr>
          <w:sz w:val="22"/>
          <w:szCs w:val="22"/>
        </w:rPr>
        <w:br/>
      </w:r>
      <w:r w:rsidR="007C1CE8">
        <w:rPr>
          <w:i/>
          <w:color w:val="0070C0"/>
          <w:sz w:val="22"/>
          <w:szCs w:val="22"/>
        </w:rPr>
        <w:t>Named Entity may a</w:t>
      </w:r>
      <w:r w:rsidRPr="00234454">
        <w:rPr>
          <w:i/>
          <w:color w:val="0070C0"/>
          <w:sz w:val="22"/>
          <w:szCs w:val="22"/>
        </w:rPr>
        <w:t xml:space="preserve">nswer if </w:t>
      </w:r>
      <w:r>
        <w:rPr>
          <w:i/>
          <w:color w:val="0070C0"/>
          <w:sz w:val="22"/>
          <w:szCs w:val="22"/>
        </w:rPr>
        <w:t>(i) Named Entity will transact S</w:t>
      </w:r>
      <w:r w:rsidRPr="00234454">
        <w:rPr>
          <w:i/>
          <w:color w:val="0070C0"/>
          <w:sz w:val="22"/>
          <w:szCs w:val="22"/>
        </w:rPr>
        <w:t>waps with Information Recipient</w:t>
      </w:r>
      <w:r>
        <w:rPr>
          <w:i/>
          <w:color w:val="0070C0"/>
          <w:sz w:val="22"/>
          <w:szCs w:val="22"/>
        </w:rPr>
        <w:t>,</w:t>
      </w:r>
      <w:r w:rsidRPr="00234454">
        <w:rPr>
          <w:i/>
          <w:color w:val="0070C0"/>
          <w:sz w:val="22"/>
          <w:szCs w:val="22"/>
        </w:rPr>
        <w:t xml:space="preserve"> </w:t>
      </w:r>
      <w:r>
        <w:rPr>
          <w:i/>
          <w:color w:val="0070C0"/>
          <w:sz w:val="22"/>
          <w:szCs w:val="22"/>
        </w:rPr>
        <w:t>(ii)</w:t>
      </w:r>
      <w:r w:rsidRPr="00234454">
        <w:rPr>
          <w:i/>
          <w:color w:val="0070C0"/>
          <w:sz w:val="22"/>
          <w:szCs w:val="22"/>
        </w:rPr>
        <w:t xml:space="preserve"> Named Entity</w:t>
      </w:r>
      <w:r w:rsidR="00811927">
        <w:rPr>
          <w:i/>
          <w:color w:val="0070C0"/>
          <w:sz w:val="22"/>
          <w:szCs w:val="22"/>
        </w:rPr>
        <w:t xml:space="preserve"> is a U.S. bank that</w:t>
      </w:r>
      <w:r w:rsidRPr="00234454">
        <w:rPr>
          <w:i/>
          <w:color w:val="0070C0"/>
          <w:sz w:val="22"/>
          <w:szCs w:val="22"/>
        </w:rPr>
        <w:t xml:space="preserve"> </w:t>
      </w:r>
      <w:r>
        <w:rPr>
          <w:i/>
          <w:color w:val="0070C0"/>
          <w:sz w:val="22"/>
          <w:szCs w:val="22"/>
        </w:rPr>
        <w:t>checked “Yes</w:t>
      </w:r>
      <w:r w:rsidRPr="00234454">
        <w:rPr>
          <w:i/>
          <w:color w:val="0070C0"/>
          <w:sz w:val="22"/>
          <w:szCs w:val="22"/>
        </w:rPr>
        <w:t xml:space="preserve">” to </w:t>
      </w:r>
      <w:r>
        <w:rPr>
          <w:i/>
          <w:color w:val="0070C0"/>
          <w:sz w:val="22"/>
          <w:szCs w:val="22"/>
        </w:rPr>
        <w:t>any item</w:t>
      </w:r>
      <w:r w:rsidRPr="00234454">
        <w:rPr>
          <w:i/>
          <w:color w:val="0070C0"/>
          <w:sz w:val="22"/>
          <w:szCs w:val="22"/>
        </w:rPr>
        <w:t xml:space="preserve"> in Part II.A</w:t>
      </w:r>
      <w:r>
        <w:rPr>
          <w:i/>
          <w:color w:val="0070C0"/>
          <w:sz w:val="22"/>
          <w:szCs w:val="22"/>
        </w:rPr>
        <w:t>,</w:t>
      </w:r>
      <w:r w:rsidRPr="00234454">
        <w:rPr>
          <w:i/>
          <w:color w:val="0070C0"/>
          <w:sz w:val="22"/>
          <w:szCs w:val="22"/>
        </w:rPr>
        <w:t xml:space="preserve"> and </w:t>
      </w:r>
      <w:r>
        <w:rPr>
          <w:i/>
          <w:color w:val="0070C0"/>
          <w:sz w:val="22"/>
          <w:szCs w:val="22"/>
        </w:rPr>
        <w:t xml:space="preserve">(iii) </w:t>
      </w:r>
      <w:r w:rsidRPr="00234454">
        <w:rPr>
          <w:i/>
          <w:color w:val="0070C0"/>
          <w:sz w:val="22"/>
          <w:szCs w:val="22"/>
        </w:rPr>
        <w:t>Information Recipient has identified itself as an SD.</w:t>
      </w:r>
      <w:r>
        <w:rPr>
          <w:i/>
          <w:color w:val="0070C0"/>
          <w:sz w:val="22"/>
          <w:szCs w:val="22"/>
        </w:rPr>
        <w:br/>
      </w:r>
      <w:r>
        <w:rPr>
          <w:i/>
          <w:color w:val="0070C0"/>
          <w:sz w:val="22"/>
          <w:szCs w:val="22"/>
        </w:rPr>
        <w:br/>
      </w:r>
      <w:r>
        <w:rPr>
          <w:sz w:val="22"/>
          <w:szCs w:val="22"/>
        </w:rPr>
        <w:t>Will Named Entity</w:t>
      </w:r>
      <w:r w:rsidR="00E519B8">
        <w:rPr>
          <w:sz w:val="22"/>
          <w:szCs w:val="22"/>
        </w:rPr>
        <w:t xml:space="preserve"> conduct</w:t>
      </w:r>
      <w:r>
        <w:rPr>
          <w:sz w:val="22"/>
          <w:szCs w:val="22"/>
        </w:rPr>
        <w:t xml:space="preserve"> S</w:t>
      </w:r>
      <w:r w:rsidRPr="00234454">
        <w:rPr>
          <w:sz w:val="22"/>
          <w:szCs w:val="22"/>
        </w:rPr>
        <w:t xml:space="preserve">waps with Recipient through a </w:t>
      </w:r>
      <w:r>
        <w:rPr>
          <w:sz w:val="22"/>
          <w:szCs w:val="22"/>
        </w:rPr>
        <w:t>Foreign Branch</w:t>
      </w:r>
      <w:r w:rsidRPr="00234454">
        <w:rPr>
          <w:sz w:val="22"/>
          <w:szCs w:val="22"/>
        </w:rPr>
        <w:t xml:space="preserve"> (CFTC 2020 Rule</w:t>
      </w:r>
      <w:r>
        <w:rPr>
          <w:sz w:val="22"/>
          <w:szCs w:val="22"/>
        </w:rPr>
        <w:t>s</w:t>
      </w:r>
      <w:r w:rsidRPr="00234454">
        <w:rPr>
          <w:sz w:val="22"/>
          <w:szCs w:val="22"/>
        </w:rPr>
        <w:t>)?</w:t>
      </w:r>
      <w:r w:rsidRPr="00234454">
        <w:rPr>
          <w:sz w:val="22"/>
          <w:szCs w:val="22"/>
        </w:rPr>
        <w:br/>
      </w:r>
      <w:r w:rsidRPr="00234454">
        <w:rPr>
          <w:sz w:val="22"/>
          <w:szCs w:val="22"/>
        </w:rPr>
        <w:br/>
      </w:r>
      <w:r w:rsidR="006D2D12">
        <w:rPr>
          <w:i/>
          <w:sz w:val="22"/>
          <w:szCs w:val="22"/>
          <w:lang w:val="x-none"/>
        </w:rPr>
        <w:t>Checking the box next to “</w:t>
      </w:r>
      <w:r w:rsidR="006D2D12" w:rsidRPr="00234454">
        <w:rPr>
          <w:i/>
          <w:sz w:val="22"/>
          <w:szCs w:val="22"/>
          <w:lang w:val="x-none"/>
        </w:rPr>
        <w:t xml:space="preserve"> </w:t>
      </w:r>
      <w:r w:rsidR="006D2D12">
        <w:rPr>
          <w:i/>
          <w:sz w:val="22"/>
          <w:szCs w:val="22"/>
        </w:rPr>
        <w:t>Foreign</w:t>
      </w:r>
      <w:r w:rsidR="006D2D12" w:rsidRPr="00234454">
        <w:rPr>
          <w:i/>
          <w:sz w:val="22"/>
          <w:szCs w:val="22"/>
          <w:lang w:val="x-none"/>
        </w:rPr>
        <w:t xml:space="preserve"> Branch Transactions</w:t>
      </w:r>
      <w:r w:rsidR="006D2D12">
        <w:rPr>
          <w:i/>
          <w:sz w:val="22"/>
          <w:szCs w:val="22"/>
        </w:rPr>
        <w:t xml:space="preserve"> </w:t>
      </w:r>
      <w:r w:rsidR="00867DE6">
        <w:rPr>
          <w:i/>
          <w:sz w:val="22"/>
          <w:szCs w:val="22"/>
        </w:rPr>
        <w:t xml:space="preserve">Qualify </w:t>
      </w:r>
      <w:r w:rsidR="006D2D12">
        <w:rPr>
          <w:i/>
          <w:sz w:val="22"/>
          <w:szCs w:val="22"/>
        </w:rPr>
        <w:t>(CFTC 2020 Rules)</w:t>
      </w:r>
      <w:r w:rsidR="006D2D12" w:rsidRPr="00234454">
        <w:rPr>
          <w:i/>
          <w:sz w:val="22"/>
          <w:szCs w:val="22"/>
          <w:lang w:val="x-none"/>
        </w:rPr>
        <w:t>” indicates</w:t>
      </w:r>
      <w:r w:rsidR="006D2D12" w:rsidRPr="00234454">
        <w:rPr>
          <w:i/>
          <w:sz w:val="22"/>
          <w:szCs w:val="22"/>
        </w:rPr>
        <w:t xml:space="preserve"> </w:t>
      </w:r>
      <w:r w:rsidR="006D2D12" w:rsidRPr="00234454">
        <w:rPr>
          <w:i/>
          <w:sz w:val="22"/>
          <w:szCs w:val="22"/>
          <w:lang w:val="x-none"/>
        </w:rPr>
        <w:t xml:space="preserve">that </w:t>
      </w:r>
      <w:r w:rsidR="006D2D12">
        <w:rPr>
          <w:i/>
          <w:sz w:val="22"/>
          <w:szCs w:val="22"/>
        </w:rPr>
        <w:t>(other than Swap transactions notified to Recipient in writing prior to execution) each of Named Entity’s</w:t>
      </w:r>
      <w:r w:rsidR="006D2D12">
        <w:rPr>
          <w:i/>
          <w:sz w:val="22"/>
          <w:szCs w:val="22"/>
          <w:lang w:val="x-none"/>
        </w:rPr>
        <w:t xml:space="preserve"> </w:t>
      </w:r>
      <w:r w:rsidR="006D2D12" w:rsidRPr="002244AD">
        <w:rPr>
          <w:i/>
          <w:sz w:val="22"/>
          <w:szCs w:val="22"/>
        </w:rPr>
        <w:t>S</w:t>
      </w:r>
      <w:r w:rsidR="006D2D12">
        <w:rPr>
          <w:i/>
          <w:sz w:val="22"/>
          <w:szCs w:val="22"/>
        </w:rPr>
        <w:t>wap</w:t>
      </w:r>
      <w:r w:rsidR="006D2D12" w:rsidRPr="002244AD">
        <w:rPr>
          <w:i/>
          <w:sz w:val="22"/>
          <w:szCs w:val="22"/>
          <w:lang w:val="x-none"/>
        </w:rPr>
        <w:t xml:space="preserve"> </w:t>
      </w:r>
      <w:r w:rsidR="006D2D12">
        <w:rPr>
          <w:i/>
          <w:sz w:val="22"/>
          <w:szCs w:val="22"/>
        </w:rPr>
        <w:t xml:space="preserve">transactions </w:t>
      </w:r>
      <w:r w:rsidR="006D2D12" w:rsidRPr="00234454">
        <w:rPr>
          <w:i/>
          <w:sz w:val="22"/>
          <w:szCs w:val="22"/>
          <w:lang w:val="x-none"/>
        </w:rPr>
        <w:t>with Recipient</w:t>
      </w:r>
      <w:r w:rsidR="00867DE6">
        <w:rPr>
          <w:i/>
          <w:sz w:val="22"/>
          <w:szCs w:val="22"/>
        </w:rPr>
        <w:t xml:space="preserve"> where a non-U.S. branch of Named Entity is named in the relevant transaction documentation as the </w:t>
      </w:r>
      <w:r w:rsidR="00F95A1E">
        <w:rPr>
          <w:i/>
          <w:sz w:val="22"/>
          <w:szCs w:val="22"/>
        </w:rPr>
        <w:t xml:space="preserve">office for Named Entity </w:t>
      </w:r>
      <w:r w:rsidR="00867DE6">
        <w:rPr>
          <w:i/>
          <w:sz w:val="22"/>
          <w:szCs w:val="22"/>
        </w:rPr>
        <w:t>qualifies as</w:t>
      </w:r>
      <w:r w:rsidR="006D2D12">
        <w:rPr>
          <w:i/>
          <w:sz w:val="22"/>
          <w:szCs w:val="22"/>
        </w:rPr>
        <w:t xml:space="preserve"> a Swap Conducted Through a Foreign Branch (CFTC 2020 Rules) of Named Entity</w:t>
      </w:r>
      <w:r w:rsidR="006D2D12" w:rsidRPr="00234454">
        <w:rPr>
          <w:i/>
          <w:sz w:val="22"/>
          <w:szCs w:val="22"/>
          <w:lang w:val="x-none"/>
        </w:rPr>
        <w:t>.</w:t>
      </w:r>
      <w:r w:rsidR="006D2D12">
        <w:rPr>
          <w:i/>
          <w:sz w:val="22"/>
          <w:szCs w:val="22"/>
        </w:rPr>
        <w:t xml:space="preserve">  </w:t>
      </w:r>
      <w:r w:rsidR="006D2D12">
        <w:rPr>
          <w:i/>
          <w:sz w:val="22"/>
          <w:szCs w:val="22"/>
        </w:rPr>
        <w:br/>
      </w:r>
      <w:r w:rsidR="006D2D12">
        <w:rPr>
          <w:i/>
          <w:sz w:val="22"/>
          <w:szCs w:val="22"/>
        </w:rPr>
        <w:br/>
      </w:r>
      <w:r w:rsidR="006D2D12" w:rsidRPr="00234454">
        <w:rPr>
          <w:i/>
          <w:sz w:val="22"/>
          <w:szCs w:val="22"/>
          <w:lang w:val="x-none"/>
        </w:rPr>
        <w:t>Checking the box next to “</w:t>
      </w:r>
      <w:r w:rsidR="006D2D12">
        <w:rPr>
          <w:i/>
          <w:sz w:val="22"/>
          <w:szCs w:val="22"/>
        </w:rPr>
        <w:t xml:space="preserve"> Foreign</w:t>
      </w:r>
      <w:r w:rsidR="006D2D12" w:rsidRPr="00234454">
        <w:rPr>
          <w:i/>
          <w:sz w:val="22"/>
          <w:szCs w:val="22"/>
          <w:lang w:val="x-none"/>
        </w:rPr>
        <w:t xml:space="preserve"> Branch Transactions</w:t>
      </w:r>
      <w:r w:rsidR="00F95A1E">
        <w:rPr>
          <w:i/>
          <w:sz w:val="22"/>
          <w:szCs w:val="22"/>
        </w:rPr>
        <w:t xml:space="preserve"> May Not Qualify</w:t>
      </w:r>
      <w:r w:rsidR="00562907">
        <w:rPr>
          <w:i/>
          <w:sz w:val="22"/>
          <w:szCs w:val="22"/>
        </w:rPr>
        <w:t xml:space="preserve"> (CFTC 2020</w:t>
      </w:r>
      <w:r w:rsidR="006D2D12">
        <w:rPr>
          <w:i/>
          <w:sz w:val="22"/>
          <w:szCs w:val="22"/>
        </w:rPr>
        <w:t xml:space="preserve"> Rules)</w:t>
      </w:r>
      <w:r w:rsidR="006D2D12" w:rsidRPr="00234454">
        <w:rPr>
          <w:i/>
          <w:sz w:val="22"/>
          <w:szCs w:val="22"/>
          <w:lang w:val="x-none"/>
        </w:rPr>
        <w:t>” indicates that</w:t>
      </w:r>
      <w:r w:rsidR="006D2D12" w:rsidRPr="00234454">
        <w:rPr>
          <w:i/>
          <w:sz w:val="22"/>
          <w:szCs w:val="22"/>
        </w:rPr>
        <w:t xml:space="preserve"> </w:t>
      </w:r>
      <w:r w:rsidR="006D2D12">
        <w:rPr>
          <w:i/>
          <w:sz w:val="22"/>
          <w:szCs w:val="22"/>
        </w:rPr>
        <w:t>one or more</w:t>
      </w:r>
      <w:r w:rsidR="006D2D12" w:rsidRPr="00234454">
        <w:rPr>
          <w:i/>
          <w:sz w:val="22"/>
          <w:szCs w:val="22"/>
          <w:lang w:val="x-none"/>
        </w:rPr>
        <w:t xml:space="preserve"> </w:t>
      </w:r>
      <w:r w:rsidR="006D2D12">
        <w:rPr>
          <w:i/>
          <w:sz w:val="22"/>
          <w:szCs w:val="22"/>
        </w:rPr>
        <w:t xml:space="preserve">Swap transactions </w:t>
      </w:r>
      <w:r w:rsidR="006D2D12" w:rsidRPr="00234454">
        <w:rPr>
          <w:i/>
          <w:sz w:val="22"/>
          <w:szCs w:val="22"/>
          <w:lang w:val="x-none"/>
        </w:rPr>
        <w:t xml:space="preserve">with Recipient </w:t>
      </w:r>
      <w:r w:rsidR="00867DE6">
        <w:rPr>
          <w:i/>
          <w:sz w:val="22"/>
          <w:szCs w:val="22"/>
        </w:rPr>
        <w:t xml:space="preserve">where a non-U.S. branch of Named Entity is </w:t>
      </w:r>
      <w:r w:rsidR="00F95A1E">
        <w:rPr>
          <w:i/>
          <w:sz w:val="22"/>
          <w:szCs w:val="22"/>
        </w:rPr>
        <w:t>named as the office for Named Entity</w:t>
      </w:r>
      <w:r w:rsidR="00867DE6">
        <w:rPr>
          <w:i/>
          <w:sz w:val="22"/>
          <w:szCs w:val="22"/>
        </w:rPr>
        <w:t xml:space="preserve"> </w:t>
      </w:r>
      <w:r w:rsidR="006D2D12">
        <w:rPr>
          <w:i/>
          <w:sz w:val="22"/>
          <w:szCs w:val="22"/>
        </w:rPr>
        <w:t xml:space="preserve">may </w:t>
      </w:r>
      <w:r w:rsidR="006D2D12" w:rsidRPr="00D46752">
        <w:rPr>
          <w:i/>
          <w:sz w:val="22"/>
          <w:szCs w:val="22"/>
          <w:u w:val="single"/>
        </w:rPr>
        <w:t>not</w:t>
      </w:r>
      <w:r w:rsidR="006D2D12">
        <w:rPr>
          <w:i/>
          <w:sz w:val="22"/>
          <w:szCs w:val="22"/>
        </w:rPr>
        <w:t xml:space="preserve"> </w:t>
      </w:r>
      <w:r w:rsidR="00867DE6">
        <w:rPr>
          <w:i/>
          <w:sz w:val="22"/>
          <w:szCs w:val="22"/>
        </w:rPr>
        <w:t>qualify</w:t>
      </w:r>
      <w:r w:rsidR="003E56EA">
        <w:rPr>
          <w:i/>
          <w:sz w:val="22"/>
          <w:szCs w:val="22"/>
        </w:rPr>
        <w:t xml:space="preserve"> as</w:t>
      </w:r>
      <w:r w:rsidR="00867DE6">
        <w:rPr>
          <w:i/>
          <w:sz w:val="22"/>
          <w:szCs w:val="22"/>
        </w:rPr>
        <w:t xml:space="preserve"> </w:t>
      </w:r>
      <w:r w:rsidR="006D2D12">
        <w:rPr>
          <w:i/>
          <w:sz w:val="22"/>
          <w:szCs w:val="22"/>
        </w:rPr>
        <w:t>a Swap Conducted Through a Foreign Branch (CFTC 2020 Rules) of Named Entity</w:t>
      </w:r>
      <w:r w:rsidR="006D2D12" w:rsidRPr="00234454">
        <w:rPr>
          <w:i/>
          <w:sz w:val="22"/>
          <w:szCs w:val="22"/>
          <w:lang w:val="x-none"/>
        </w:rPr>
        <w:t>.</w:t>
      </w:r>
      <w:r w:rsidR="006D2D12">
        <w:rPr>
          <w:i/>
          <w:sz w:val="22"/>
          <w:szCs w:val="22"/>
        </w:rPr>
        <w:t xml:space="preserve">  </w:t>
      </w:r>
      <w:r w:rsidRPr="00234454">
        <w:rPr>
          <w:i/>
          <w:sz w:val="22"/>
          <w:szCs w:val="22"/>
        </w:rPr>
        <w:br/>
      </w:r>
      <w:r w:rsidRPr="00234454">
        <w:rPr>
          <w:sz w:val="22"/>
          <w:szCs w:val="22"/>
        </w:rPr>
        <w:br/>
      </w:r>
      <w:r w:rsidRPr="00234454">
        <w:rPr>
          <w:sz w:val="22"/>
          <w:szCs w:val="22"/>
        </w:rPr>
        <w:fldChar w:fldCharType="begin">
          <w:ffData>
            <w:name w:val=""/>
            <w:enabled/>
            <w:calcOnExit w:val="0"/>
            <w:checkBox>
              <w:sizeAuto/>
              <w:default w:val="0"/>
            </w:checkBox>
          </w:ffData>
        </w:fldChar>
      </w:r>
      <w:r w:rsidRPr="00234454">
        <w:rPr>
          <w:sz w:val="22"/>
          <w:szCs w:val="22"/>
        </w:rPr>
        <w:instrText xml:space="preserve"> FORMCHECKBOX </w:instrText>
      </w:r>
      <w:r w:rsidR="00166DDA">
        <w:rPr>
          <w:sz w:val="22"/>
          <w:szCs w:val="22"/>
        </w:rPr>
      </w:r>
      <w:r w:rsidR="00166DDA">
        <w:rPr>
          <w:sz w:val="22"/>
          <w:szCs w:val="22"/>
        </w:rPr>
        <w:fldChar w:fldCharType="separate"/>
      </w:r>
      <w:r w:rsidRPr="00234454">
        <w:rPr>
          <w:sz w:val="22"/>
          <w:szCs w:val="22"/>
        </w:rPr>
        <w:fldChar w:fldCharType="end"/>
      </w:r>
      <w:r w:rsidRPr="00234454">
        <w:rPr>
          <w:sz w:val="22"/>
          <w:szCs w:val="22"/>
        </w:rPr>
        <w:t xml:space="preserve">  </w:t>
      </w:r>
      <w:r>
        <w:rPr>
          <w:sz w:val="22"/>
          <w:szCs w:val="22"/>
        </w:rPr>
        <w:t>Foreign</w:t>
      </w:r>
      <w:r w:rsidRPr="00234454">
        <w:rPr>
          <w:sz w:val="22"/>
          <w:szCs w:val="22"/>
        </w:rPr>
        <w:t xml:space="preserve"> </w:t>
      </w:r>
      <w:r>
        <w:rPr>
          <w:sz w:val="22"/>
          <w:szCs w:val="22"/>
        </w:rPr>
        <w:t>B</w:t>
      </w:r>
      <w:r w:rsidRPr="00234454">
        <w:rPr>
          <w:sz w:val="22"/>
          <w:szCs w:val="22"/>
        </w:rPr>
        <w:t xml:space="preserve">ranch </w:t>
      </w:r>
      <w:r>
        <w:rPr>
          <w:sz w:val="22"/>
          <w:szCs w:val="22"/>
        </w:rPr>
        <w:t>T</w:t>
      </w:r>
      <w:r w:rsidRPr="00234454">
        <w:rPr>
          <w:sz w:val="22"/>
          <w:szCs w:val="22"/>
        </w:rPr>
        <w:t>ransactions</w:t>
      </w:r>
      <w:r>
        <w:rPr>
          <w:sz w:val="22"/>
          <w:szCs w:val="22"/>
        </w:rPr>
        <w:t xml:space="preserve"> </w:t>
      </w:r>
      <w:r w:rsidR="00F95A1E">
        <w:rPr>
          <w:sz w:val="22"/>
          <w:szCs w:val="22"/>
        </w:rPr>
        <w:t xml:space="preserve">Qualify </w:t>
      </w:r>
      <w:r w:rsidRPr="00234454">
        <w:rPr>
          <w:sz w:val="22"/>
          <w:szCs w:val="22"/>
        </w:rPr>
        <w:t>(CFTC 2020 Rule</w:t>
      </w:r>
      <w:r>
        <w:rPr>
          <w:sz w:val="22"/>
          <w:szCs w:val="22"/>
        </w:rPr>
        <w:t>s</w:t>
      </w:r>
      <w:r w:rsidRPr="00234454">
        <w:rPr>
          <w:sz w:val="22"/>
          <w:szCs w:val="22"/>
        </w:rPr>
        <w:t>)</w:t>
      </w:r>
      <w:r w:rsidRPr="00234454">
        <w:rPr>
          <w:sz w:val="22"/>
          <w:szCs w:val="22"/>
        </w:rPr>
        <w:br/>
      </w:r>
      <w:r w:rsidRPr="00234454">
        <w:rPr>
          <w:sz w:val="22"/>
          <w:szCs w:val="22"/>
        </w:rPr>
        <w:fldChar w:fldCharType="begin">
          <w:ffData>
            <w:name w:val=""/>
            <w:enabled/>
            <w:calcOnExit w:val="0"/>
            <w:checkBox>
              <w:sizeAuto/>
              <w:default w:val="0"/>
            </w:checkBox>
          </w:ffData>
        </w:fldChar>
      </w:r>
      <w:r w:rsidRPr="00234454">
        <w:rPr>
          <w:sz w:val="22"/>
          <w:szCs w:val="22"/>
        </w:rPr>
        <w:instrText xml:space="preserve"> FORMCHECKBOX </w:instrText>
      </w:r>
      <w:r w:rsidR="00166DDA">
        <w:rPr>
          <w:sz w:val="22"/>
          <w:szCs w:val="22"/>
        </w:rPr>
      </w:r>
      <w:r w:rsidR="00166DDA">
        <w:rPr>
          <w:sz w:val="22"/>
          <w:szCs w:val="22"/>
        </w:rPr>
        <w:fldChar w:fldCharType="separate"/>
      </w:r>
      <w:r w:rsidRPr="00234454">
        <w:rPr>
          <w:sz w:val="22"/>
          <w:szCs w:val="22"/>
        </w:rPr>
        <w:fldChar w:fldCharType="end"/>
      </w:r>
      <w:r w:rsidRPr="00234454">
        <w:rPr>
          <w:sz w:val="22"/>
          <w:szCs w:val="22"/>
        </w:rPr>
        <w:t xml:space="preserve">  </w:t>
      </w:r>
      <w:r>
        <w:rPr>
          <w:sz w:val="22"/>
          <w:szCs w:val="22"/>
        </w:rPr>
        <w:t>Foreign</w:t>
      </w:r>
      <w:r w:rsidRPr="00234454">
        <w:rPr>
          <w:sz w:val="22"/>
          <w:szCs w:val="22"/>
        </w:rPr>
        <w:t xml:space="preserve"> </w:t>
      </w:r>
      <w:r>
        <w:rPr>
          <w:sz w:val="22"/>
          <w:szCs w:val="22"/>
        </w:rPr>
        <w:t>B</w:t>
      </w:r>
      <w:r w:rsidRPr="00234454">
        <w:rPr>
          <w:sz w:val="22"/>
          <w:szCs w:val="22"/>
        </w:rPr>
        <w:t xml:space="preserve">ranch </w:t>
      </w:r>
      <w:r>
        <w:rPr>
          <w:sz w:val="22"/>
          <w:szCs w:val="22"/>
        </w:rPr>
        <w:t>T</w:t>
      </w:r>
      <w:r w:rsidRPr="00234454">
        <w:rPr>
          <w:sz w:val="22"/>
          <w:szCs w:val="22"/>
        </w:rPr>
        <w:t>ransactions</w:t>
      </w:r>
      <w:r>
        <w:rPr>
          <w:sz w:val="22"/>
          <w:szCs w:val="22"/>
        </w:rPr>
        <w:t xml:space="preserve"> </w:t>
      </w:r>
      <w:r w:rsidR="00867DE6">
        <w:rPr>
          <w:sz w:val="22"/>
          <w:szCs w:val="22"/>
        </w:rPr>
        <w:t xml:space="preserve">May Not Qualify </w:t>
      </w:r>
      <w:r w:rsidRPr="00234454">
        <w:rPr>
          <w:sz w:val="22"/>
          <w:szCs w:val="22"/>
        </w:rPr>
        <w:t>(CFTC 2020 Rule</w:t>
      </w:r>
      <w:r>
        <w:rPr>
          <w:sz w:val="22"/>
          <w:szCs w:val="22"/>
        </w:rPr>
        <w:t>s</w:t>
      </w:r>
      <w:r w:rsidRPr="00234454">
        <w:rPr>
          <w:sz w:val="22"/>
          <w:szCs w:val="22"/>
        </w:rPr>
        <w:t>)</w:t>
      </w:r>
      <w:r>
        <w:rPr>
          <w:sz w:val="22"/>
          <w:szCs w:val="22"/>
        </w:rPr>
        <w:br/>
      </w:r>
      <w:r>
        <w:rPr>
          <w:sz w:val="22"/>
          <w:szCs w:val="22"/>
        </w:rPr>
        <w:lastRenderedPageBreak/>
        <w:br/>
      </w:r>
      <w:r w:rsidRPr="00FF6A80">
        <w:rPr>
          <w:i/>
          <w:color w:val="0070C0"/>
          <w:sz w:val="22"/>
          <w:szCs w:val="22"/>
        </w:rPr>
        <w:t>Go to the next item.</w:t>
      </w:r>
    </w:p>
    <w:p w14:paraId="5EF26873" w14:textId="77777777" w:rsidR="009E1997" w:rsidRPr="00916A93" w:rsidRDefault="00001D25" w:rsidP="0076572B">
      <w:pPr>
        <w:pStyle w:val="Heading3"/>
        <w:rPr>
          <w:i/>
          <w:sz w:val="22"/>
          <w:szCs w:val="22"/>
        </w:rPr>
      </w:pPr>
      <w:r w:rsidRPr="00916A93">
        <w:rPr>
          <w:sz w:val="22"/>
          <w:szCs w:val="22"/>
          <w:u w:val="single"/>
        </w:rPr>
        <w:t>Swaps through U.S. Branch (CFTC Margin Rule</w:t>
      </w:r>
      <w:r w:rsidR="00A006CF">
        <w:rPr>
          <w:sz w:val="22"/>
          <w:szCs w:val="22"/>
          <w:u w:val="single"/>
        </w:rPr>
        <w:t>s</w:t>
      </w:r>
      <w:r w:rsidRPr="00916A93">
        <w:rPr>
          <w:sz w:val="22"/>
          <w:szCs w:val="22"/>
          <w:u w:val="single"/>
        </w:rPr>
        <w:t>)</w:t>
      </w:r>
      <w:r w:rsidRPr="00916A93">
        <w:rPr>
          <w:sz w:val="22"/>
          <w:szCs w:val="22"/>
          <w:u w:val="single"/>
        </w:rPr>
        <w:br/>
      </w:r>
      <w:r w:rsidRPr="00916A93">
        <w:rPr>
          <w:sz w:val="22"/>
          <w:szCs w:val="22"/>
          <w:u w:val="single"/>
        </w:rPr>
        <w:br/>
      </w:r>
      <w:r w:rsidR="00D46752">
        <w:rPr>
          <w:i/>
          <w:color w:val="0070C0"/>
          <w:sz w:val="22"/>
          <w:szCs w:val="22"/>
        </w:rPr>
        <w:t>A</w:t>
      </w:r>
      <w:r w:rsidRPr="00916A93">
        <w:rPr>
          <w:i/>
          <w:color w:val="0070C0"/>
          <w:sz w:val="22"/>
          <w:szCs w:val="22"/>
        </w:rPr>
        <w:t xml:space="preserve">nswer the following question if </w:t>
      </w:r>
      <w:r w:rsidR="00897712">
        <w:rPr>
          <w:i/>
          <w:color w:val="0070C0"/>
          <w:sz w:val="22"/>
          <w:szCs w:val="22"/>
        </w:rPr>
        <w:t xml:space="preserve">(i) </w:t>
      </w:r>
      <w:r w:rsidRPr="00916A93">
        <w:rPr>
          <w:i/>
          <w:color w:val="0070C0"/>
          <w:sz w:val="22"/>
          <w:szCs w:val="22"/>
        </w:rPr>
        <w:t xml:space="preserve">Named Entity will transact </w:t>
      </w:r>
      <w:r w:rsidR="00897712">
        <w:rPr>
          <w:i/>
          <w:color w:val="0070C0"/>
          <w:sz w:val="22"/>
          <w:szCs w:val="22"/>
        </w:rPr>
        <w:t>S</w:t>
      </w:r>
      <w:r w:rsidRPr="00916A93">
        <w:rPr>
          <w:i/>
          <w:color w:val="0070C0"/>
          <w:sz w:val="22"/>
          <w:szCs w:val="22"/>
        </w:rPr>
        <w:t>waps with Information Recipient</w:t>
      </w:r>
      <w:r w:rsidR="00822842">
        <w:rPr>
          <w:i/>
          <w:color w:val="0070C0"/>
          <w:sz w:val="22"/>
          <w:szCs w:val="22"/>
        </w:rPr>
        <w:t>,</w:t>
      </w:r>
      <w:r w:rsidRPr="00916A93">
        <w:rPr>
          <w:i/>
          <w:color w:val="0070C0"/>
          <w:sz w:val="22"/>
          <w:szCs w:val="22"/>
        </w:rPr>
        <w:t xml:space="preserve"> </w:t>
      </w:r>
      <w:r w:rsidR="00897712">
        <w:rPr>
          <w:i/>
          <w:color w:val="0070C0"/>
          <w:sz w:val="22"/>
          <w:szCs w:val="22"/>
        </w:rPr>
        <w:t>(ii)</w:t>
      </w:r>
      <w:r w:rsidRPr="00916A93">
        <w:rPr>
          <w:i/>
          <w:color w:val="0070C0"/>
          <w:sz w:val="22"/>
          <w:szCs w:val="22"/>
        </w:rPr>
        <w:t xml:space="preserve"> Named Entity </w:t>
      </w:r>
      <w:r w:rsidR="00897712">
        <w:rPr>
          <w:i/>
          <w:color w:val="0070C0"/>
          <w:sz w:val="22"/>
          <w:szCs w:val="22"/>
        </w:rPr>
        <w:t xml:space="preserve">checked “No” to </w:t>
      </w:r>
      <w:r w:rsidRPr="00916A93">
        <w:rPr>
          <w:i/>
          <w:color w:val="0070C0"/>
          <w:sz w:val="22"/>
          <w:szCs w:val="22"/>
        </w:rPr>
        <w:t xml:space="preserve">both </w:t>
      </w:r>
      <w:r w:rsidR="00897712">
        <w:rPr>
          <w:i/>
          <w:color w:val="0070C0"/>
          <w:sz w:val="22"/>
          <w:szCs w:val="22"/>
        </w:rPr>
        <w:t>items</w:t>
      </w:r>
      <w:r w:rsidRPr="00916A93">
        <w:rPr>
          <w:i/>
          <w:color w:val="0070C0"/>
          <w:sz w:val="22"/>
          <w:szCs w:val="22"/>
        </w:rPr>
        <w:t xml:space="preserve"> in Part II.A and </w:t>
      </w:r>
      <w:r w:rsidR="00B146B2">
        <w:rPr>
          <w:i/>
          <w:color w:val="0070C0"/>
          <w:sz w:val="22"/>
          <w:szCs w:val="22"/>
        </w:rPr>
        <w:t xml:space="preserve">either item 1 in Part II.C or </w:t>
      </w:r>
      <w:r w:rsidR="00897712" w:rsidRPr="00DF17C0">
        <w:rPr>
          <w:i/>
          <w:color w:val="0070C0"/>
          <w:sz w:val="22"/>
          <w:szCs w:val="22"/>
        </w:rPr>
        <w:t>item 1 in Part II.D</w:t>
      </w:r>
      <w:r w:rsidR="00897712">
        <w:rPr>
          <w:i/>
          <w:color w:val="0070C0"/>
          <w:sz w:val="22"/>
          <w:szCs w:val="22"/>
        </w:rPr>
        <w:t xml:space="preserve">,  and (iii) </w:t>
      </w:r>
      <w:r w:rsidRPr="00916A93">
        <w:rPr>
          <w:i/>
          <w:color w:val="0070C0"/>
          <w:sz w:val="22"/>
          <w:szCs w:val="22"/>
        </w:rPr>
        <w:t xml:space="preserve">Information Recipient has identified itself as an SD </w:t>
      </w:r>
      <w:r w:rsidR="00A92F90">
        <w:rPr>
          <w:i/>
          <w:color w:val="0070C0"/>
          <w:sz w:val="22"/>
          <w:szCs w:val="22"/>
        </w:rPr>
        <w:t>subject to margin regulations of the CFTC</w:t>
      </w:r>
      <w:r w:rsidRPr="00916A93">
        <w:rPr>
          <w:i/>
          <w:color w:val="0070C0"/>
          <w:sz w:val="22"/>
          <w:szCs w:val="22"/>
        </w:rPr>
        <w:t>.</w:t>
      </w:r>
      <w:r w:rsidRPr="00916A93">
        <w:rPr>
          <w:sz w:val="22"/>
          <w:szCs w:val="22"/>
        </w:rPr>
        <w:br/>
      </w:r>
      <w:r w:rsidRPr="00916A93">
        <w:rPr>
          <w:sz w:val="22"/>
          <w:szCs w:val="22"/>
        </w:rPr>
        <w:br/>
        <w:t>Will Named Entity tran</w:t>
      </w:r>
      <w:r w:rsidR="00897712">
        <w:rPr>
          <w:sz w:val="22"/>
          <w:szCs w:val="22"/>
        </w:rPr>
        <w:t>sact S</w:t>
      </w:r>
      <w:r w:rsidRPr="00916A93">
        <w:rPr>
          <w:sz w:val="22"/>
          <w:szCs w:val="22"/>
        </w:rPr>
        <w:t>waps</w:t>
      </w:r>
      <w:r w:rsidR="006967C8">
        <w:rPr>
          <w:sz w:val="22"/>
          <w:szCs w:val="22"/>
        </w:rPr>
        <w:t xml:space="preserve"> with Recipient through a U.S. B</w:t>
      </w:r>
      <w:r w:rsidRPr="00916A93">
        <w:rPr>
          <w:sz w:val="22"/>
          <w:szCs w:val="22"/>
        </w:rPr>
        <w:t>ranch</w:t>
      </w:r>
      <w:r w:rsidR="006967C8">
        <w:rPr>
          <w:sz w:val="22"/>
          <w:szCs w:val="22"/>
        </w:rPr>
        <w:t xml:space="preserve"> (CFTC Margin Rule</w:t>
      </w:r>
      <w:r w:rsidR="00A006CF">
        <w:rPr>
          <w:sz w:val="22"/>
          <w:szCs w:val="22"/>
        </w:rPr>
        <w:t>s</w:t>
      </w:r>
      <w:r w:rsidR="006967C8">
        <w:rPr>
          <w:sz w:val="22"/>
          <w:szCs w:val="22"/>
        </w:rPr>
        <w:t>)</w:t>
      </w:r>
      <w:r w:rsidRPr="00916A93">
        <w:rPr>
          <w:sz w:val="22"/>
          <w:szCs w:val="22"/>
        </w:rPr>
        <w:t>?</w:t>
      </w:r>
      <w:r w:rsidR="006967C8">
        <w:rPr>
          <w:sz w:val="22"/>
          <w:szCs w:val="22"/>
        </w:rPr>
        <w:br/>
      </w:r>
      <w:r w:rsidR="006967C8">
        <w:rPr>
          <w:sz w:val="22"/>
          <w:szCs w:val="22"/>
        </w:rPr>
        <w:br/>
      </w:r>
      <w:r w:rsidR="002B2987" w:rsidRPr="00234454">
        <w:rPr>
          <w:i/>
          <w:sz w:val="22"/>
          <w:szCs w:val="22"/>
          <w:lang w:val="x-none"/>
        </w:rPr>
        <w:t>Checking the box next to “Some or All U</w:t>
      </w:r>
      <w:r w:rsidR="002B2987">
        <w:rPr>
          <w:i/>
          <w:sz w:val="22"/>
          <w:szCs w:val="22"/>
        </w:rPr>
        <w:t>.</w:t>
      </w:r>
      <w:r w:rsidR="002B2987" w:rsidRPr="00234454">
        <w:rPr>
          <w:i/>
          <w:sz w:val="22"/>
          <w:szCs w:val="22"/>
          <w:lang w:val="x-none"/>
        </w:rPr>
        <w:t>S</w:t>
      </w:r>
      <w:r w:rsidR="002B2987">
        <w:rPr>
          <w:i/>
          <w:sz w:val="22"/>
          <w:szCs w:val="22"/>
        </w:rPr>
        <w:t>.</w:t>
      </w:r>
      <w:r w:rsidR="002B2987" w:rsidRPr="00234454">
        <w:rPr>
          <w:i/>
          <w:sz w:val="22"/>
          <w:szCs w:val="22"/>
          <w:lang w:val="x-none"/>
        </w:rPr>
        <w:t xml:space="preserve"> Branch Transactions</w:t>
      </w:r>
      <w:r w:rsidR="00D46752">
        <w:rPr>
          <w:i/>
          <w:sz w:val="22"/>
          <w:szCs w:val="22"/>
        </w:rPr>
        <w:t xml:space="preserve"> (CFTC Margin Rules)</w:t>
      </w:r>
      <w:r w:rsidR="002B2987" w:rsidRPr="00234454">
        <w:rPr>
          <w:i/>
          <w:sz w:val="22"/>
          <w:szCs w:val="22"/>
          <w:lang w:val="x-none"/>
        </w:rPr>
        <w:t>” indicates</w:t>
      </w:r>
      <w:r w:rsidR="002B2987" w:rsidRPr="00234454">
        <w:rPr>
          <w:i/>
          <w:sz w:val="22"/>
          <w:szCs w:val="22"/>
        </w:rPr>
        <w:t xml:space="preserve"> </w:t>
      </w:r>
      <w:r w:rsidR="002B2987" w:rsidRPr="00234454">
        <w:rPr>
          <w:i/>
          <w:sz w:val="22"/>
          <w:szCs w:val="22"/>
          <w:lang w:val="x-none"/>
        </w:rPr>
        <w:t xml:space="preserve">that </w:t>
      </w:r>
      <w:r w:rsidR="002B2987">
        <w:rPr>
          <w:i/>
          <w:sz w:val="22"/>
          <w:szCs w:val="22"/>
        </w:rPr>
        <w:t>Named Entity</w:t>
      </w:r>
      <w:r w:rsidR="002B2987" w:rsidRPr="00234454">
        <w:rPr>
          <w:i/>
          <w:sz w:val="22"/>
          <w:szCs w:val="22"/>
          <w:lang w:val="x-none"/>
        </w:rPr>
        <w:t xml:space="preserve"> may </w:t>
      </w:r>
      <w:r w:rsidR="00621221">
        <w:rPr>
          <w:i/>
          <w:sz w:val="22"/>
          <w:szCs w:val="22"/>
        </w:rPr>
        <w:t>conduct</w:t>
      </w:r>
      <w:r w:rsidR="002B2987" w:rsidRPr="00234454">
        <w:rPr>
          <w:i/>
          <w:sz w:val="22"/>
          <w:szCs w:val="22"/>
          <w:lang w:val="x-none"/>
        </w:rPr>
        <w:t xml:space="preserve"> </w:t>
      </w:r>
      <w:r w:rsidR="002B2987">
        <w:rPr>
          <w:i/>
          <w:sz w:val="22"/>
          <w:szCs w:val="22"/>
        </w:rPr>
        <w:t xml:space="preserve">Uncleared </w:t>
      </w:r>
      <w:r w:rsidR="002B2987" w:rsidRPr="002156F8">
        <w:rPr>
          <w:i/>
          <w:sz w:val="22"/>
          <w:szCs w:val="22"/>
        </w:rPr>
        <w:t>Swap</w:t>
      </w:r>
      <w:r w:rsidR="00C031B8">
        <w:rPr>
          <w:i/>
          <w:sz w:val="22"/>
          <w:szCs w:val="22"/>
        </w:rPr>
        <w:t xml:space="preserve"> transactions</w:t>
      </w:r>
      <w:r w:rsidR="002B2987" w:rsidRPr="002156F8">
        <w:rPr>
          <w:i/>
          <w:sz w:val="22"/>
          <w:szCs w:val="22"/>
          <w:lang w:val="x-none"/>
        </w:rPr>
        <w:t xml:space="preserve"> </w:t>
      </w:r>
      <w:r w:rsidR="002B2987" w:rsidRPr="00234454">
        <w:rPr>
          <w:i/>
          <w:sz w:val="22"/>
          <w:szCs w:val="22"/>
          <w:lang w:val="x-none"/>
        </w:rPr>
        <w:t>with Recipient</w:t>
      </w:r>
      <w:r w:rsidR="002B2987" w:rsidRPr="00234454">
        <w:rPr>
          <w:i/>
          <w:sz w:val="22"/>
          <w:szCs w:val="22"/>
        </w:rPr>
        <w:t xml:space="preserve"> </w:t>
      </w:r>
      <w:r w:rsidR="002B2987" w:rsidRPr="00234454">
        <w:rPr>
          <w:i/>
          <w:sz w:val="22"/>
          <w:szCs w:val="22"/>
          <w:lang w:val="x-none"/>
        </w:rPr>
        <w:t xml:space="preserve">by or through </w:t>
      </w:r>
      <w:r w:rsidR="00D46752">
        <w:rPr>
          <w:i/>
          <w:sz w:val="22"/>
          <w:szCs w:val="22"/>
        </w:rPr>
        <w:t>a</w:t>
      </w:r>
      <w:r w:rsidR="002B2987" w:rsidRPr="00234454">
        <w:rPr>
          <w:i/>
          <w:sz w:val="22"/>
          <w:szCs w:val="22"/>
          <w:lang w:val="x-none"/>
        </w:rPr>
        <w:t xml:space="preserve"> </w:t>
      </w:r>
      <w:r w:rsidR="00D46752">
        <w:rPr>
          <w:i/>
          <w:sz w:val="22"/>
          <w:szCs w:val="22"/>
        </w:rPr>
        <w:t>U.S. Branch</w:t>
      </w:r>
      <w:r w:rsidR="002244AD">
        <w:rPr>
          <w:i/>
          <w:sz w:val="22"/>
          <w:szCs w:val="22"/>
        </w:rPr>
        <w:t xml:space="preserve"> (CFTC Margin Rule</w:t>
      </w:r>
      <w:r w:rsidR="00A006CF">
        <w:rPr>
          <w:i/>
          <w:sz w:val="22"/>
          <w:szCs w:val="22"/>
        </w:rPr>
        <w:t>s</w:t>
      </w:r>
      <w:r w:rsidR="002244AD">
        <w:rPr>
          <w:i/>
          <w:sz w:val="22"/>
          <w:szCs w:val="22"/>
        </w:rPr>
        <w:t>)</w:t>
      </w:r>
      <w:r w:rsidR="002B2987" w:rsidRPr="00234454">
        <w:rPr>
          <w:i/>
          <w:sz w:val="22"/>
          <w:szCs w:val="22"/>
          <w:lang w:val="x-none"/>
        </w:rPr>
        <w:t>.</w:t>
      </w:r>
      <w:r w:rsidR="002B2987" w:rsidRPr="00916A93">
        <w:rPr>
          <w:sz w:val="22"/>
          <w:szCs w:val="22"/>
        </w:rPr>
        <w:br/>
      </w:r>
      <w:r w:rsidR="002B2987">
        <w:rPr>
          <w:i/>
          <w:sz w:val="22"/>
          <w:szCs w:val="22"/>
        </w:rPr>
        <w:br/>
      </w:r>
      <w:r w:rsidR="006967C8" w:rsidRPr="00234454">
        <w:rPr>
          <w:i/>
          <w:sz w:val="22"/>
          <w:szCs w:val="22"/>
          <w:lang w:val="x-none"/>
        </w:rPr>
        <w:t>Checking the box next to “No U</w:t>
      </w:r>
      <w:r w:rsidR="006967C8">
        <w:rPr>
          <w:i/>
          <w:sz w:val="22"/>
          <w:szCs w:val="22"/>
        </w:rPr>
        <w:t>.</w:t>
      </w:r>
      <w:r w:rsidR="006967C8" w:rsidRPr="00234454">
        <w:rPr>
          <w:i/>
          <w:sz w:val="22"/>
          <w:szCs w:val="22"/>
          <w:lang w:val="x-none"/>
        </w:rPr>
        <w:t>S</w:t>
      </w:r>
      <w:r w:rsidR="006967C8">
        <w:rPr>
          <w:i/>
          <w:sz w:val="22"/>
          <w:szCs w:val="22"/>
        </w:rPr>
        <w:t>.</w:t>
      </w:r>
      <w:r w:rsidR="006967C8" w:rsidRPr="00234454">
        <w:rPr>
          <w:i/>
          <w:sz w:val="22"/>
          <w:szCs w:val="22"/>
          <w:lang w:val="x-none"/>
        </w:rPr>
        <w:t xml:space="preserve"> Branch Transactions</w:t>
      </w:r>
      <w:r w:rsidR="00D46752">
        <w:rPr>
          <w:i/>
          <w:sz w:val="22"/>
          <w:szCs w:val="22"/>
        </w:rPr>
        <w:t xml:space="preserve"> (CFTC Margin Rules)</w:t>
      </w:r>
      <w:r w:rsidR="006967C8" w:rsidRPr="00234454">
        <w:rPr>
          <w:i/>
          <w:sz w:val="22"/>
          <w:szCs w:val="22"/>
          <w:lang w:val="x-none"/>
        </w:rPr>
        <w:t>” indicates that</w:t>
      </w:r>
      <w:r w:rsidR="006967C8" w:rsidRPr="00234454">
        <w:rPr>
          <w:i/>
          <w:sz w:val="22"/>
          <w:szCs w:val="22"/>
        </w:rPr>
        <w:t xml:space="preserve"> </w:t>
      </w:r>
      <w:r w:rsidR="006967C8">
        <w:rPr>
          <w:i/>
          <w:sz w:val="22"/>
          <w:szCs w:val="22"/>
        </w:rPr>
        <w:t>Named Entity</w:t>
      </w:r>
      <w:r w:rsidR="006967C8" w:rsidRPr="00234454">
        <w:rPr>
          <w:i/>
          <w:sz w:val="22"/>
          <w:szCs w:val="22"/>
          <w:lang w:val="x-none"/>
        </w:rPr>
        <w:t xml:space="preserve"> will </w:t>
      </w:r>
      <w:r w:rsidR="00D46752" w:rsidRPr="00D46752">
        <w:rPr>
          <w:i/>
          <w:sz w:val="22"/>
          <w:szCs w:val="22"/>
          <w:u w:val="single"/>
        </w:rPr>
        <w:t>not</w:t>
      </w:r>
      <w:r w:rsidR="00D46752">
        <w:rPr>
          <w:i/>
          <w:sz w:val="22"/>
          <w:szCs w:val="22"/>
        </w:rPr>
        <w:t xml:space="preserve"> </w:t>
      </w:r>
      <w:r w:rsidR="00621221">
        <w:rPr>
          <w:i/>
          <w:sz w:val="22"/>
          <w:szCs w:val="22"/>
        </w:rPr>
        <w:t>conduct</w:t>
      </w:r>
      <w:r w:rsidR="006967C8" w:rsidRPr="00234454">
        <w:rPr>
          <w:i/>
          <w:sz w:val="22"/>
          <w:szCs w:val="22"/>
          <w:lang w:val="x-none"/>
        </w:rPr>
        <w:t xml:space="preserve"> </w:t>
      </w:r>
      <w:r w:rsidR="006967C8">
        <w:rPr>
          <w:i/>
          <w:sz w:val="22"/>
          <w:szCs w:val="22"/>
        </w:rPr>
        <w:t>Uncleared Swap</w:t>
      </w:r>
      <w:r w:rsidR="00C031B8">
        <w:rPr>
          <w:i/>
          <w:sz w:val="22"/>
          <w:szCs w:val="22"/>
        </w:rPr>
        <w:t xml:space="preserve"> transactions</w:t>
      </w:r>
      <w:r w:rsidR="006967C8" w:rsidRPr="00234454">
        <w:rPr>
          <w:i/>
          <w:sz w:val="22"/>
          <w:szCs w:val="22"/>
          <w:lang w:val="x-none"/>
        </w:rPr>
        <w:t xml:space="preserve"> with Recipient by</w:t>
      </w:r>
      <w:r w:rsidR="006967C8" w:rsidRPr="00234454">
        <w:rPr>
          <w:i/>
          <w:sz w:val="22"/>
          <w:szCs w:val="22"/>
        </w:rPr>
        <w:t xml:space="preserve"> </w:t>
      </w:r>
      <w:r w:rsidR="006967C8" w:rsidRPr="00234454">
        <w:rPr>
          <w:i/>
          <w:sz w:val="22"/>
          <w:szCs w:val="22"/>
          <w:lang w:val="x-none"/>
        </w:rPr>
        <w:t xml:space="preserve">or through </w:t>
      </w:r>
      <w:r w:rsidR="00D46752">
        <w:rPr>
          <w:i/>
          <w:sz w:val="22"/>
          <w:szCs w:val="22"/>
        </w:rPr>
        <w:t>a</w:t>
      </w:r>
      <w:r w:rsidR="006967C8" w:rsidRPr="00234454">
        <w:rPr>
          <w:i/>
          <w:sz w:val="22"/>
          <w:szCs w:val="22"/>
          <w:lang w:val="x-none"/>
        </w:rPr>
        <w:t xml:space="preserve"> </w:t>
      </w:r>
      <w:r w:rsidR="002244AD">
        <w:rPr>
          <w:i/>
          <w:sz w:val="22"/>
          <w:szCs w:val="22"/>
        </w:rPr>
        <w:t>U.S. Branch (CFTC Margin Rule</w:t>
      </w:r>
      <w:r w:rsidR="00A006CF">
        <w:rPr>
          <w:i/>
          <w:sz w:val="22"/>
          <w:szCs w:val="22"/>
        </w:rPr>
        <w:t>s</w:t>
      </w:r>
      <w:r w:rsidR="002244AD">
        <w:rPr>
          <w:i/>
          <w:sz w:val="22"/>
          <w:szCs w:val="22"/>
        </w:rPr>
        <w:t>)</w:t>
      </w:r>
      <w:r w:rsidR="006967C8" w:rsidRPr="00234454">
        <w:rPr>
          <w:i/>
          <w:sz w:val="22"/>
          <w:szCs w:val="22"/>
          <w:lang w:val="x-none"/>
        </w:rPr>
        <w:t>.</w:t>
      </w:r>
      <w:r w:rsidR="006967C8" w:rsidRPr="00234454">
        <w:rPr>
          <w:i/>
          <w:sz w:val="22"/>
          <w:szCs w:val="22"/>
        </w:rPr>
        <w:t xml:space="preserve"> </w:t>
      </w:r>
      <w:r w:rsidR="006967C8" w:rsidRPr="00234454">
        <w:rPr>
          <w:i/>
          <w:sz w:val="22"/>
          <w:szCs w:val="22"/>
        </w:rPr>
        <w:br/>
      </w:r>
      <w:r w:rsidRPr="00916A93">
        <w:rPr>
          <w:sz w:val="22"/>
          <w:szCs w:val="22"/>
        </w:rPr>
        <w:br/>
      </w:r>
      <w:r w:rsidR="006967C8" w:rsidRPr="00234454">
        <w:rPr>
          <w:sz w:val="22"/>
          <w:szCs w:val="22"/>
        </w:rPr>
        <w:fldChar w:fldCharType="begin">
          <w:ffData>
            <w:name w:val=""/>
            <w:enabled/>
            <w:calcOnExit w:val="0"/>
            <w:checkBox>
              <w:sizeAuto/>
              <w:default w:val="0"/>
            </w:checkBox>
          </w:ffData>
        </w:fldChar>
      </w:r>
      <w:r w:rsidR="006967C8" w:rsidRPr="00234454">
        <w:rPr>
          <w:sz w:val="22"/>
          <w:szCs w:val="22"/>
        </w:rPr>
        <w:instrText xml:space="preserve"> FORMCHECKBOX </w:instrText>
      </w:r>
      <w:r w:rsidR="00166DDA">
        <w:rPr>
          <w:sz w:val="22"/>
          <w:szCs w:val="22"/>
        </w:rPr>
      </w:r>
      <w:r w:rsidR="00166DDA">
        <w:rPr>
          <w:sz w:val="22"/>
          <w:szCs w:val="22"/>
        </w:rPr>
        <w:fldChar w:fldCharType="separate"/>
      </w:r>
      <w:r w:rsidR="006967C8" w:rsidRPr="00234454">
        <w:rPr>
          <w:sz w:val="22"/>
          <w:szCs w:val="22"/>
        </w:rPr>
        <w:fldChar w:fldCharType="end"/>
      </w:r>
      <w:r w:rsidR="006967C8" w:rsidRPr="00234454">
        <w:rPr>
          <w:sz w:val="22"/>
          <w:szCs w:val="22"/>
        </w:rPr>
        <w:t xml:space="preserve">  Some or all U.S. </w:t>
      </w:r>
      <w:r w:rsidR="006967C8">
        <w:rPr>
          <w:sz w:val="22"/>
          <w:szCs w:val="22"/>
        </w:rPr>
        <w:t>B</w:t>
      </w:r>
      <w:r w:rsidR="006967C8" w:rsidRPr="00234454">
        <w:rPr>
          <w:sz w:val="22"/>
          <w:szCs w:val="22"/>
        </w:rPr>
        <w:t xml:space="preserve">ranch </w:t>
      </w:r>
      <w:r w:rsidR="006967C8">
        <w:rPr>
          <w:sz w:val="22"/>
          <w:szCs w:val="22"/>
        </w:rPr>
        <w:t>T</w:t>
      </w:r>
      <w:r w:rsidR="006967C8" w:rsidRPr="00234454">
        <w:rPr>
          <w:sz w:val="22"/>
          <w:szCs w:val="22"/>
        </w:rPr>
        <w:t>ransactions</w:t>
      </w:r>
      <w:r w:rsidR="006967C8">
        <w:rPr>
          <w:sz w:val="22"/>
          <w:szCs w:val="22"/>
        </w:rPr>
        <w:t xml:space="preserve"> </w:t>
      </w:r>
      <w:r w:rsidR="006967C8" w:rsidRPr="00234454">
        <w:rPr>
          <w:sz w:val="22"/>
          <w:szCs w:val="22"/>
        </w:rPr>
        <w:t xml:space="preserve">(CFTC </w:t>
      </w:r>
      <w:r w:rsidR="006967C8">
        <w:rPr>
          <w:sz w:val="22"/>
          <w:szCs w:val="22"/>
        </w:rPr>
        <w:t>Margin</w:t>
      </w:r>
      <w:r w:rsidR="006967C8" w:rsidRPr="00234454">
        <w:rPr>
          <w:sz w:val="22"/>
          <w:szCs w:val="22"/>
        </w:rPr>
        <w:t xml:space="preserve"> Rule</w:t>
      </w:r>
      <w:r w:rsidR="00A006CF">
        <w:rPr>
          <w:sz w:val="22"/>
          <w:szCs w:val="22"/>
        </w:rPr>
        <w:t>s</w:t>
      </w:r>
      <w:r w:rsidR="006967C8" w:rsidRPr="00234454">
        <w:rPr>
          <w:sz w:val="22"/>
          <w:szCs w:val="22"/>
        </w:rPr>
        <w:t>)</w:t>
      </w:r>
      <w:r w:rsidR="006967C8" w:rsidRPr="00234454">
        <w:rPr>
          <w:sz w:val="22"/>
          <w:szCs w:val="22"/>
        </w:rPr>
        <w:br/>
      </w:r>
      <w:r w:rsidR="006967C8" w:rsidRPr="00234454">
        <w:rPr>
          <w:sz w:val="22"/>
          <w:szCs w:val="22"/>
        </w:rPr>
        <w:fldChar w:fldCharType="begin">
          <w:ffData>
            <w:name w:val=""/>
            <w:enabled/>
            <w:calcOnExit w:val="0"/>
            <w:checkBox>
              <w:sizeAuto/>
              <w:default w:val="0"/>
            </w:checkBox>
          </w:ffData>
        </w:fldChar>
      </w:r>
      <w:r w:rsidR="006967C8" w:rsidRPr="00234454">
        <w:rPr>
          <w:sz w:val="22"/>
          <w:szCs w:val="22"/>
        </w:rPr>
        <w:instrText xml:space="preserve"> FORMCHECKBOX </w:instrText>
      </w:r>
      <w:r w:rsidR="00166DDA">
        <w:rPr>
          <w:sz w:val="22"/>
          <w:szCs w:val="22"/>
        </w:rPr>
      </w:r>
      <w:r w:rsidR="00166DDA">
        <w:rPr>
          <w:sz w:val="22"/>
          <w:szCs w:val="22"/>
        </w:rPr>
        <w:fldChar w:fldCharType="separate"/>
      </w:r>
      <w:r w:rsidR="006967C8" w:rsidRPr="00234454">
        <w:rPr>
          <w:sz w:val="22"/>
          <w:szCs w:val="22"/>
        </w:rPr>
        <w:fldChar w:fldCharType="end"/>
      </w:r>
      <w:r w:rsidR="006967C8" w:rsidRPr="00234454">
        <w:rPr>
          <w:sz w:val="22"/>
          <w:szCs w:val="22"/>
        </w:rPr>
        <w:t xml:space="preserve">  No U.S. </w:t>
      </w:r>
      <w:r w:rsidR="006967C8">
        <w:rPr>
          <w:sz w:val="22"/>
          <w:szCs w:val="22"/>
        </w:rPr>
        <w:t>B</w:t>
      </w:r>
      <w:r w:rsidR="006967C8" w:rsidRPr="00234454">
        <w:rPr>
          <w:sz w:val="22"/>
          <w:szCs w:val="22"/>
        </w:rPr>
        <w:t xml:space="preserve">ranch </w:t>
      </w:r>
      <w:r w:rsidR="006967C8">
        <w:rPr>
          <w:sz w:val="22"/>
          <w:szCs w:val="22"/>
        </w:rPr>
        <w:t>T</w:t>
      </w:r>
      <w:r w:rsidR="006967C8" w:rsidRPr="00234454">
        <w:rPr>
          <w:sz w:val="22"/>
          <w:szCs w:val="22"/>
        </w:rPr>
        <w:t>ransactions</w:t>
      </w:r>
      <w:r w:rsidR="006967C8">
        <w:rPr>
          <w:sz w:val="22"/>
          <w:szCs w:val="22"/>
        </w:rPr>
        <w:t xml:space="preserve"> (CFTC Margin</w:t>
      </w:r>
      <w:r w:rsidR="006967C8" w:rsidRPr="00234454">
        <w:rPr>
          <w:sz w:val="22"/>
          <w:szCs w:val="22"/>
        </w:rPr>
        <w:t xml:space="preserve"> Rule</w:t>
      </w:r>
      <w:r w:rsidR="00A006CF">
        <w:rPr>
          <w:sz w:val="22"/>
          <w:szCs w:val="22"/>
        </w:rPr>
        <w:t>s</w:t>
      </w:r>
      <w:r w:rsidR="006967C8" w:rsidRPr="00234454">
        <w:rPr>
          <w:sz w:val="22"/>
          <w:szCs w:val="22"/>
        </w:rPr>
        <w:t>)</w:t>
      </w:r>
      <w:r w:rsidR="00897712">
        <w:rPr>
          <w:sz w:val="22"/>
          <w:szCs w:val="22"/>
        </w:rPr>
        <w:br/>
      </w:r>
      <w:r w:rsidR="00897712">
        <w:rPr>
          <w:sz w:val="22"/>
          <w:szCs w:val="22"/>
        </w:rPr>
        <w:br/>
      </w:r>
      <w:r w:rsidR="00897712" w:rsidRPr="00897712">
        <w:rPr>
          <w:i/>
          <w:color w:val="0070C0"/>
          <w:sz w:val="22"/>
          <w:szCs w:val="22"/>
        </w:rPr>
        <w:t>Go to the next item.</w:t>
      </w:r>
    </w:p>
    <w:p w14:paraId="149DE064" w14:textId="77777777" w:rsidR="00916A93" w:rsidRPr="00642E98" w:rsidRDefault="009E1997" w:rsidP="00642E98">
      <w:pPr>
        <w:pStyle w:val="Heading3"/>
        <w:rPr>
          <w:i/>
        </w:rPr>
      </w:pPr>
      <w:r w:rsidRPr="00B85DC4">
        <w:rPr>
          <w:sz w:val="22"/>
          <w:szCs w:val="22"/>
          <w:u w:val="single"/>
        </w:rPr>
        <w:t>Swaps</w:t>
      </w:r>
      <w:r w:rsidR="00822842">
        <w:rPr>
          <w:sz w:val="22"/>
          <w:szCs w:val="22"/>
          <w:u w:val="single"/>
        </w:rPr>
        <w:t xml:space="preserve"> or SBS</w:t>
      </w:r>
      <w:r w:rsidRPr="00B85DC4">
        <w:rPr>
          <w:sz w:val="22"/>
          <w:szCs w:val="22"/>
          <w:u w:val="single"/>
        </w:rPr>
        <w:t xml:space="preserve"> through U.S. Branch (PR Margin Rule</w:t>
      </w:r>
      <w:r w:rsidR="00A006CF">
        <w:rPr>
          <w:sz w:val="22"/>
          <w:szCs w:val="22"/>
          <w:u w:val="single"/>
        </w:rPr>
        <w:t>s</w:t>
      </w:r>
      <w:r w:rsidRPr="00B85DC4">
        <w:rPr>
          <w:sz w:val="22"/>
          <w:szCs w:val="22"/>
          <w:u w:val="single"/>
        </w:rPr>
        <w:t>)</w:t>
      </w:r>
      <w:r w:rsidRPr="00B85DC4">
        <w:rPr>
          <w:sz w:val="22"/>
          <w:szCs w:val="22"/>
          <w:u w:val="single"/>
        </w:rPr>
        <w:br/>
      </w:r>
      <w:r w:rsidRPr="00B85DC4">
        <w:rPr>
          <w:sz w:val="22"/>
          <w:szCs w:val="22"/>
          <w:u w:val="single"/>
        </w:rPr>
        <w:br/>
      </w:r>
      <w:r w:rsidR="00D46752">
        <w:rPr>
          <w:i/>
          <w:color w:val="0070C0"/>
          <w:sz w:val="22"/>
          <w:szCs w:val="22"/>
        </w:rPr>
        <w:t>A</w:t>
      </w:r>
      <w:r w:rsidRPr="00B85DC4">
        <w:rPr>
          <w:i/>
          <w:color w:val="0070C0"/>
          <w:sz w:val="22"/>
          <w:szCs w:val="22"/>
        </w:rPr>
        <w:t>nswer the following question if</w:t>
      </w:r>
      <w:r w:rsidR="007A7419" w:rsidRPr="00B85DC4">
        <w:rPr>
          <w:i/>
          <w:color w:val="0070C0"/>
          <w:sz w:val="22"/>
          <w:szCs w:val="22"/>
        </w:rPr>
        <w:t xml:space="preserve"> (i) Named Entity will transact S</w:t>
      </w:r>
      <w:r w:rsidRPr="00B85DC4">
        <w:rPr>
          <w:i/>
          <w:color w:val="0070C0"/>
          <w:sz w:val="22"/>
          <w:szCs w:val="22"/>
        </w:rPr>
        <w:t xml:space="preserve">waps </w:t>
      </w:r>
      <w:r w:rsidR="00822842">
        <w:rPr>
          <w:i/>
          <w:color w:val="0070C0"/>
          <w:sz w:val="22"/>
          <w:szCs w:val="22"/>
        </w:rPr>
        <w:t xml:space="preserve">or SBS </w:t>
      </w:r>
      <w:r w:rsidRPr="00B85DC4">
        <w:rPr>
          <w:i/>
          <w:color w:val="0070C0"/>
          <w:sz w:val="22"/>
          <w:szCs w:val="22"/>
        </w:rPr>
        <w:t>with Information Recipient</w:t>
      </w:r>
      <w:r w:rsidR="00A92F90">
        <w:rPr>
          <w:i/>
          <w:color w:val="0070C0"/>
          <w:sz w:val="22"/>
          <w:szCs w:val="22"/>
        </w:rPr>
        <w:t>,</w:t>
      </w:r>
      <w:r w:rsidRPr="00B85DC4">
        <w:rPr>
          <w:i/>
          <w:color w:val="0070C0"/>
          <w:sz w:val="22"/>
          <w:szCs w:val="22"/>
        </w:rPr>
        <w:t xml:space="preserve"> </w:t>
      </w:r>
      <w:r w:rsidR="007A7419" w:rsidRPr="00B85DC4">
        <w:rPr>
          <w:i/>
          <w:color w:val="0070C0"/>
          <w:sz w:val="22"/>
          <w:szCs w:val="22"/>
        </w:rPr>
        <w:t xml:space="preserve">(ii) </w:t>
      </w:r>
      <w:r w:rsidRPr="00B85DC4">
        <w:rPr>
          <w:i/>
          <w:color w:val="0070C0"/>
          <w:sz w:val="22"/>
          <w:szCs w:val="22"/>
        </w:rPr>
        <w:t xml:space="preserve">Named Entity </w:t>
      </w:r>
      <w:r w:rsidR="007A7419" w:rsidRPr="00B85DC4">
        <w:rPr>
          <w:i/>
          <w:color w:val="0070C0"/>
          <w:sz w:val="22"/>
          <w:szCs w:val="22"/>
        </w:rPr>
        <w:t>checked</w:t>
      </w:r>
      <w:r w:rsidRPr="00B85DC4">
        <w:rPr>
          <w:i/>
          <w:color w:val="0070C0"/>
          <w:sz w:val="22"/>
          <w:szCs w:val="22"/>
        </w:rPr>
        <w:t xml:space="preserve"> “No” to</w:t>
      </w:r>
      <w:r w:rsidR="00EC70BD" w:rsidRPr="00B85DC4">
        <w:rPr>
          <w:i/>
          <w:color w:val="0070C0"/>
          <w:sz w:val="22"/>
          <w:szCs w:val="22"/>
        </w:rPr>
        <w:t xml:space="preserve"> </w:t>
      </w:r>
      <w:r w:rsidRPr="00B85DC4">
        <w:rPr>
          <w:i/>
          <w:color w:val="0070C0"/>
          <w:sz w:val="22"/>
          <w:szCs w:val="22"/>
        </w:rPr>
        <w:t xml:space="preserve">both </w:t>
      </w:r>
      <w:r w:rsidR="007A7419" w:rsidRPr="00B85DC4">
        <w:rPr>
          <w:i/>
          <w:color w:val="0070C0"/>
          <w:sz w:val="22"/>
          <w:szCs w:val="22"/>
        </w:rPr>
        <w:t>items</w:t>
      </w:r>
      <w:r w:rsidRPr="00B85DC4">
        <w:rPr>
          <w:i/>
          <w:color w:val="0070C0"/>
          <w:sz w:val="22"/>
          <w:szCs w:val="22"/>
        </w:rPr>
        <w:t xml:space="preserve"> in Part II.A</w:t>
      </w:r>
      <w:r w:rsidR="00EC70BD" w:rsidRPr="00B85DC4">
        <w:rPr>
          <w:i/>
          <w:color w:val="0070C0"/>
          <w:sz w:val="22"/>
          <w:szCs w:val="22"/>
        </w:rPr>
        <w:t xml:space="preserve"> and </w:t>
      </w:r>
      <w:r w:rsidR="007A7419" w:rsidRPr="00B85DC4">
        <w:rPr>
          <w:i/>
          <w:color w:val="0070C0"/>
          <w:sz w:val="22"/>
          <w:szCs w:val="22"/>
        </w:rPr>
        <w:t>item</w:t>
      </w:r>
      <w:r w:rsidR="00EC70BD" w:rsidRPr="00B85DC4">
        <w:rPr>
          <w:i/>
          <w:color w:val="0070C0"/>
          <w:sz w:val="22"/>
          <w:szCs w:val="22"/>
        </w:rPr>
        <w:t xml:space="preserve"> 1 in Part II.E (if applicable) and</w:t>
      </w:r>
      <w:r w:rsidR="007A7419" w:rsidRPr="00B85DC4">
        <w:rPr>
          <w:i/>
          <w:color w:val="0070C0"/>
          <w:sz w:val="22"/>
          <w:szCs w:val="22"/>
        </w:rPr>
        <w:t xml:space="preserve"> item</w:t>
      </w:r>
      <w:r w:rsidR="00EC70BD" w:rsidRPr="00B85DC4">
        <w:rPr>
          <w:i/>
          <w:color w:val="0070C0"/>
          <w:sz w:val="22"/>
          <w:szCs w:val="22"/>
        </w:rPr>
        <w:t xml:space="preserve"> 2 in Part II.E</w:t>
      </w:r>
      <w:r w:rsidR="00A92F90">
        <w:rPr>
          <w:i/>
          <w:color w:val="0070C0"/>
          <w:sz w:val="22"/>
          <w:szCs w:val="22"/>
        </w:rPr>
        <w:t xml:space="preserve">, and </w:t>
      </w:r>
      <w:r w:rsidR="003E56EA">
        <w:rPr>
          <w:i/>
          <w:color w:val="0070C0"/>
          <w:sz w:val="22"/>
          <w:szCs w:val="22"/>
        </w:rPr>
        <w:br/>
      </w:r>
      <w:r w:rsidR="00A92F90">
        <w:rPr>
          <w:i/>
          <w:color w:val="0070C0"/>
          <w:sz w:val="22"/>
          <w:szCs w:val="22"/>
        </w:rPr>
        <w:t>(iii) Information Recipient has identified itself as an SD subject to margin regulations of the Prudential Regulators</w:t>
      </w:r>
      <w:r w:rsidR="00EC70BD" w:rsidRPr="00B85DC4">
        <w:rPr>
          <w:i/>
          <w:color w:val="0070C0"/>
          <w:sz w:val="22"/>
          <w:szCs w:val="22"/>
        </w:rPr>
        <w:t>.</w:t>
      </w:r>
      <w:r w:rsidR="00EC70BD" w:rsidRPr="00B85DC4">
        <w:rPr>
          <w:i/>
          <w:sz w:val="22"/>
          <w:szCs w:val="22"/>
        </w:rPr>
        <w:br/>
      </w:r>
      <w:r w:rsidR="00EC70BD" w:rsidRPr="00B85DC4">
        <w:rPr>
          <w:i/>
          <w:sz w:val="22"/>
          <w:szCs w:val="22"/>
        </w:rPr>
        <w:br/>
      </w:r>
      <w:r w:rsidR="00897712" w:rsidRPr="00B85DC4">
        <w:rPr>
          <w:sz w:val="22"/>
          <w:szCs w:val="22"/>
        </w:rPr>
        <w:t xml:space="preserve">Will Named Entity </w:t>
      </w:r>
      <w:r w:rsidR="00D46752">
        <w:rPr>
          <w:sz w:val="22"/>
          <w:szCs w:val="22"/>
        </w:rPr>
        <w:t>book</w:t>
      </w:r>
      <w:r w:rsidR="00897712" w:rsidRPr="00B85DC4">
        <w:rPr>
          <w:sz w:val="22"/>
          <w:szCs w:val="22"/>
        </w:rPr>
        <w:t xml:space="preserve"> S</w:t>
      </w:r>
      <w:r w:rsidR="00EC70BD" w:rsidRPr="00B85DC4">
        <w:rPr>
          <w:sz w:val="22"/>
          <w:szCs w:val="22"/>
        </w:rPr>
        <w:t>waps</w:t>
      </w:r>
      <w:r w:rsidR="00822842">
        <w:rPr>
          <w:sz w:val="22"/>
          <w:szCs w:val="22"/>
        </w:rPr>
        <w:t xml:space="preserve"> or SBS</w:t>
      </w:r>
      <w:r w:rsidR="00B85DC4" w:rsidRPr="00B85DC4">
        <w:rPr>
          <w:sz w:val="22"/>
          <w:szCs w:val="22"/>
        </w:rPr>
        <w:t xml:space="preserve"> with Recipient through a PR U.S. B</w:t>
      </w:r>
      <w:r w:rsidR="00EC70BD" w:rsidRPr="00B85DC4">
        <w:rPr>
          <w:sz w:val="22"/>
          <w:szCs w:val="22"/>
        </w:rPr>
        <w:t>ranch?</w:t>
      </w:r>
      <w:r w:rsidR="00686BC4">
        <w:rPr>
          <w:rStyle w:val="FootnoteReference"/>
          <w:sz w:val="22"/>
          <w:szCs w:val="22"/>
        </w:rPr>
        <w:footnoteReference w:id="11"/>
      </w:r>
      <w:r w:rsidR="00EC70BD" w:rsidRPr="00B85DC4">
        <w:rPr>
          <w:sz w:val="22"/>
          <w:szCs w:val="22"/>
        </w:rPr>
        <w:br/>
      </w:r>
      <w:r w:rsidR="00EC70BD" w:rsidRPr="00B85DC4">
        <w:rPr>
          <w:sz w:val="22"/>
          <w:szCs w:val="22"/>
        </w:rPr>
        <w:br/>
      </w:r>
      <w:r w:rsidR="00B85DC4" w:rsidRPr="00B85DC4">
        <w:rPr>
          <w:i/>
          <w:sz w:val="22"/>
          <w:szCs w:val="22"/>
          <w:lang w:val="x-none"/>
        </w:rPr>
        <w:t>Checking the box next to “Some or All U</w:t>
      </w:r>
      <w:r w:rsidR="00B85DC4" w:rsidRPr="00B85DC4">
        <w:rPr>
          <w:i/>
          <w:sz w:val="22"/>
          <w:szCs w:val="22"/>
        </w:rPr>
        <w:t>.</w:t>
      </w:r>
      <w:r w:rsidR="00B85DC4" w:rsidRPr="00B85DC4">
        <w:rPr>
          <w:i/>
          <w:sz w:val="22"/>
          <w:szCs w:val="22"/>
          <w:lang w:val="x-none"/>
        </w:rPr>
        <w:t>S</w:t>
      </w:r>
      <w:r w:rsidR="00B85DC4" w:rsidRPr="00B85DC4">
        <w:rPr>
          <w:i/>
          <w:sz w:val="22"/>
          <w:szCs w:val="22"/>
        </w:rPr>
        <w:t>.</w:t>
      </w:r>
      <w:r w:rsidR="00B85DC4" w:rsidRPr="00B85DC4">
        <w:rPr>
          <w:i/>
          <w:sz w:val="22"/>
          <w:szCs w:val="22"/>
          <w:lang w:val="x-none"/>
        </w:rPr>
        <w:t xml:space="preserve"> Branch Transactions” indicates</w:t>
      </w:r>
      <w:r w:rsidR="00B85DC4" w:rsidRPr="00B85DC4">
        <w:rPr>
          <w:i/>
          <w:sz w:val="22"/>
          <w:szCs w:val="22"/>
        </w:rPr>
        <w:t xml:space="preserve"> </w:t>
      </w:r>
      <w:r w:rsidR="00B85DC4" w:rsidRPr="00B85DC4">
        <w:rPr>
          <w:i/>
          <w:sz w:val="22"/>
          <w:szCs w:val="22"/>
          <w:lang w:val="x-none"/>
        </w:rPr>
        <w:t xml:space="preserve">that </w:t>
      </w:r>
      <w:r w:rsidR="00B85DC4" w:rsidRPr="00B85DC4">
        <w:rPr>
          <w:i/>
          <w:sz w:val="22"/>
          <w:szCs w:val="22"/>
        </w:rPr>
        <w:t>Named Entity</w:t>
      </w:r>
      <w:r w:rsidR="00B85DC4" w:rsidRPr="00B85DC4">
        <w:rPr>
          <w:i/>
          <w:sz w:val="22"/>
          <w:szCs w:val="22"/>
          <w:lang w:val="x-none"/>
        </w:rPr>
        <w:t xml:space="preserve"> may book some or all of its Uncleared Swaps or</w:t>
      </w:r>
      <w:r w:rsidR="00B85DC4" w:rsidRPr="00B85DC4">
        <w:rPr>
          <w:i/>
          <w:sz w:val="22"/>
          <w:szCs w:val="22"/>
        </w:rPr>
        <w:t xml:space="preserve"> </w:t>
      </w:r>
      <w:r w:rsidR="00B85DC4" w:rsidRPr="00B85DC4">
        <w:rPr>
          <w:i/>
          <w:sz w:val="22"/>
          <w:szCs w:val="22"/>
          <w:lang w:val="x-none"/>
        </w:rPr>
        <w:t xml:space="preserve">Uncleared </w:t>
      </w:r>
      <w:r w:rsidR="00B85DC4" w:rsidRPr="00B85DC4">
        <w:rPr>
          <w:i/>
          <w:sz w:val="22"/>
          <w:szCs w:val="22"/>
        </w:rPr>
        <w:t>SBS</w:t>
      </w:r>
      <w:r w:rsidR="00B85DC4" w:rsidRPr="00B85DC4">
        <w:rPr>
          <w:i/>
          <w:sz w:val="22"/>
          <w:szCs w:val="22"/>
          <w:lang w:val="x-none"/>
        </w:rPr>
        <w:t xml:space="preserve"> contracts with Recipient to one or more</w:t>
      </w:r>
      <w:r w:rsidR="00B85DC4" w:rsidRPr="00B85DC4">
        <w:rPr>
          <w:i/>
          <w:sz w:val="22"/>
          <w:szCs w:val="22"/>
        </w:rPr>
        <w:t xml:space="preserve"> </w:t>
      </w:r>
      <w:r w:rsidR="00B85DC4" w:rsidRPr="00B85DC4">
        <w:rPr>
          <w:i/>
          <w:sz w:val="22"/>
          <w:szCs w:val="22"/>
          <w:lang w:val="x-none"/>
        </w:rPr>
        <w:t>PR U</w:t>
      </w:r>
      <w:r w:rsidR="00B85DC4" w:rsidRPr="00B85DC4">
        <w:rPr>
          <w:i/>
          <w:sz w:val="22"/>
          <w:szCs w:val="22"/>
        </w:rPr>
        <w:t>.</w:t>
      </w:r>
      <w:r w:rsidR="00B85DC4" w:rsidRPr="00B85DC4">
        <w:rPr>
          <w:i/>
          <w:sz w:val="22"/>
          <w:szCs w:val="22"/>
          <w:lang w:val="x-none"/>
        </w:rPr>
        <w:t>S</w:t>
      </w:r>
      <w:r w:rsidR="00B85DC4" w:rsidRPr="00B85DC4">
        <w:rPr>
          <w:i/>
          <w:sz w:val="22"/>
          <w:szCs w:val="22"/>
        </w:rPr>
        <w:t>.</w:t>
      </w:r>
      <w:r w:rsidR="00B85DC4" w:rsidRPr="00B85DC4">
        <w:rPr>
          <w:i/>
          <w:sz w:val="22"/>
          <w:szCs w:val="22"/>
          <w:lang w:val="x-none"/>
        </w:rPr>
        <w:t xml:space="preserve"> Branches or otherwise establish a PR U</w:t>
      </w:r>
      <w:r w:rsidR="00822842">
        <w:rPr>
          <w:i/>
          <w:sz w:val="22"/>
          <w:szCs w:val="22"/>
        </w:rPr>
        <w:t>.</w:t>
      </w:r>
      <w:r w:rsidR="00B85DC4" w:rsidRPr="00B85DC4">
        <w:rPr>
          <w:i/>
          <w:sz w:val="22"/>
          <w:szCs w:val="22"/>
          <w:lang w:val="x-none"/>
        </w:rPr>
        <w:t>S</w:t>
      </w:r>
      <w:r w:rsidR="00822842">
        <w:rPr>
          <w:i/>
          <w:sz w:val="22"/>
          <w:szCs w:val="22"/>
        </w:rPr>
        <w:t>.</w:t>
      </w:r>
      <w:r w:rsidR="00B85DC4" w:rsidRPr="00B85DC4">
        <w:rPr>
          <w:i/>
          <w:sz w:val="22"/>
          <w:szCs w:val="22"/>
          <w:lang w:val="x-none"/>
        </w:rPr>
        <w:t xml:space="preserve"> Branch as counterparty</w:t>
      </w:r>
      <w:r w:rsidR="00B85DC4" w:rsidRPr="00B85DC4">
        <w:rPr>
          <w:i/>
          <w:sz w:val="22"/>
          <w:szCs w:val="22"/>
        </w:rPr>
        <w:t xml:space="preserve"> </w:t>
      </w:r>
      <w:r w:rsidR="00B85DC4" w:rsidRPr="00B85DC4">
        <w:rPr>
          <w:i/>
          <w:sz w:val="22"/>
          <w:szCs w:val="22"/>
          <w:lang w:val="x-none"/>
        </w:rPr>
        <w:t>to such transactions.</w:t>
      </w:r>
      <w:r w:rsidR="00B85DC4" w:rsidRPr="00B85DC4">
        <w:rPr>
          <w:i/>
          <w:sz w:val="22"/>
          <w:szCs w:val="22"/>
        </w:rPr>
        <w:t xml:space="preserve"> </w:t>
      </w:r>
      <w:r w:rsidR="00B85DC4" w:rsidRPr="00B85DC4">
        <w:rPr>
          <w:i/>
          <w:sz w:val="22"/>
          <w:szCs w:val="22"/>
        </w:rPr>
        <w:br/>
      </w:r>
      <w:r w:rsidR="00B85DC4" w:rsidRPr="00B85DC4">
        <w:rPr>
          <w:i/>
          <w:sz w:val="22"/>
          <w:szCs w:val="22"/>
        </w:rPr>
        <w:lastRenderedPageBreak/>
        <w:br/>
      </w:r>
      <w:r w:rsidR="006967C8" w:rsidRPr="00B85DC4">
        <w:rPr>
          <w:i/>
          <w:sz w:val="22"/>
          <w:szCs w:val="22"/>
          <w:lang w:val="x-none"/>
        </w:rPr>
        <w:t>Checking the box next to “No U</w:t>
      </w:r>
      <w:r w:rsidR="006967C8" w:rsidRPr="00B85DC4">
        <w:rPr>
          <w:i/>
          <w:sz w:val="22"/>
          <w:szCs w:val="22"/>
        </w:rPr>
        <w:t>.</w:t>
      </w:r>
      <w:r w:rsidR="006967C8" w:rsidRPr="00B85DC4">
        <w:rPr>
          <w:i/>
          <w:sz w:val="22"/>
          <w:szCs w:val="22"/>
          <w:lang w:val="x-none"/>
        </w:rPr>
        <w:t>S</w:t>
      </w:r>
      <w:r w:rsidR="006967C8" w:rsidRPr="00B85DC4">
        <w:rPr>
          <w:i/>
          <w:sz w:val="22"/>
          <w:szCs w:val="22"/>
        </w:rPr>
        <w:t>.</w:t>
      </w:r>
      <w:r w:rsidR="006967C8" w:rsidRPr="00B85DC4">
        <w:rPr>
          <w:i/>
          <w:sz w:val="22"/>
          <w:szCs w:val="22"/>
          <w:lang w:val="x-none"/>
        </w:rPr>
        <w:t xml:space="preserve"> Branch Transactions” indicates that</w:t>
      </w:r>
      <w:r w:rsidR="006967C8" w:rsidRPr="00B85DC4">
        <w:rPr>
          <w:i/>
          <w:sz w:val="22"/>
          <w:szCs w:val="22"/>
        </w:rPr>
        <w:t xml:space="preserve"> Named Entity</w:t>
      </w:r>
      <w:r w:rsidR="006967C8" w:rsidRPr="00B85DC4">
        <w:rPr>
          <w:i/>
          <w:sz w:val="22"/>
          <w:szCs w:val="22"/>
          <w:lang w:val="x-none"/>
        </w:rPr>
        <w:t xml:space="preserve"> </w:t>
      </w:r>
      <w:r w:rsidR="00B85DC4" w:rsidRPr="00B85DC4">
        <w:rPr>
          <w:i/>
          <w:sz w:val="22"/>
          <w:szCs w:val="22"/>
          <w:lang w:val="x-none"/>
        </w:rPr>
        <w:t xml:space="preserve">will </w:t>
      </w:r>
      <w:r w:rsidR="00B85DC4" w:rsidRPr="00D46752">
        <w:rPr>
          <w:i/>
          <w:sz w:val="22"/>
          <w:szCs w:val="22"/>
          <w:u w:val="single"/>
          <w:lang w:val="x-none"/>
        </w:rPr>
        <w:t>not</w:t>
      </w:r>
      <w:r w:rsidR="00B85DC4" w:rsidRPr="00B85DC4">
        <w:rPr>
          <w:i/>
          <w:sz w:val="22"/>
          <w:szCs w:val="22"/>
          <w:lang w:val="x-none"/>
        </w:rPr>
        <w:t xml:space="preserve"> book its Uncleared Swaps or Uncleared </w:t>
      </w:r>
      <w:r w:rsidR="00B85DC4">
        <w:rPr>
          <w:i/>
          <w:sz w:val="22"/>
          <w:szCs w:val="22"/>
        </w:rPr>
        <w:t>SBS</w:t>
      </w:r>
      <w:r w:rsidR="00B85DC4" w:rsidRPr="00B85DC4">
        <w:rPr>
          <w:i/>
          <w:sz w:val="22"/>
          <w:szCs w:val="22"/>
          <w:lang w:val="x-none"/>
        </w:rPr>
        <w:t xml:space="preserve"> contracts with Recipient to one or more PR U</w:t>
      </w:r>
      <w:r w:rsidR="00B85DC4">
        <w:rPr>
          <w:i/>
          <w:sz w:val="22"/>
          <w:szCs w:val="22"/>
        </w:rPr>
        <w:t>.</w:t>
      </w:r>
      <w:r w:rsidR="00B85DC4" w:rsidRPr="00B85DC4">
        <w:rPr>
          <w:i/>
          <w:sz w:val="22"/>
          <w:szCs w:val="22"/>
          <w:lang w:val="x-none"/>
        </w:rPr>
        <w:t>S</w:t>
      </w:r>
      <w:r w:rsidR="00B85DC4">
        <w:rPr>
          <w:i/>
          <w:sz w:val="22"/>
          <w:szCs w:val="22"/>
        </w:rPr>
        <w:t>.</w:t>
      </w:r>
      <w:r w:rsidR="00B85DC4" w:rsidRPr="00B85DC4">
        <w:rPr>
          <w:i/>
          <w:sz w:val="22"/>
          <w:szCs w:val="22"/>
          <w:lang w:val="x-none"/>
        </w:rPr>
        <w:t xml:space="preserve"> Branches or</w:t>
      </w:r>
      <w:r w:rsidR="00B85DC4" w:rsidRPr="00B85DC4">
        <w:rPr>
          <w:i/>
          <w:sz w:val="22"/>
          <w:szCs w:val="22"/>
        </w:rPr>
        <w:t xml:space="preserve"> </w:t>
      </w:r>
      <w:r w:rsidR="00B85DC4" w:rsidRPr="00B85DC4">
        <w:rPr>
          <w:i/>
          <w:sz w:val="22"/>
          <w:szCs w:val="22"/>
          <w:lang w:val="x-none"/>
        </w:rPr>
        <w:t>otherwise establish a PR U</w:t>
      </w:r>
      <w:r w:rsidR="00B85DC4">
        <w:rPr>
          <w:i/>
          <w:sz w:val="22"/>
          <w:szCs w:val="22"/>
        </w:rPr>
        <w:t>.</w:t>
      </w:r>
      <w:r w:rsidR="00B85DC4" w:rsidRPr="00B85DC4">
        <w:rPr>
          <w:i/>
          <w:sz w:val="22"/>
          <w:szCs w:val="22"/>
          <w:lang w:val="x-none"/>
        </w:rPr>
        <w:t>S</w:t>
      </w:r>
      <w:r w:rsidR="00B85DC4">
        <w:rPr>
          <w:i/>
          <w:sz w:val="22"/>
          <w:szCs w:val="22"/>
        </w:rPr>
        <w:t>.</w:t>
      </w:r>
      <w:r w:rsidR="00B85DC4" w:rsidRPr="00B85DC4">
        <w:rPr>
          <w:i/>
          <w:sz w:val="22"/>
          <w:szCs w:val="22"/>
          <w:lang w:val="x-none"/>
        </w:rPr>
        <w:t xml:space="preserve"> Branch as counterparty to such transactions.</w:t>
      </w:r>
      <w:r w:rsidR="00B85DC4" w:rsidRPr="00B85DC4">
        <w:rPr>
          <w:i/>
          <w:sz w:val="22"/>
          <w:szCs w:val="22"/>
        </w:rPr>
        <w:t xml:space="preserve"> </w:t>
      </w:r>
      <w:r w:rsidR="006967C8" w:rsidRPr="00B85DC4">
        <w:rPr>
          <w:i/>
          <w:sz w:val="22"/>
          <w:szCs w:val="22"/>
        </w:rPr>
        <w:br/>
      </w:r>
      <w:r w:rsidR="006967C8" w:rsidRPr="00B85DC4">
        <w:rPr>
          <w:sz w:val="22"/>
          <w:szCs w:val="22"/>
        </w:rPr>
        <w:br/>
      </w:r>
      <w:r w:rsidR="006967C8" w:rsidRPr="00B85DC4">
        <w:rPr>
          <w:sz w:val="22"/>
          <w:szCs w:val="22"/>
        </w:rPr>
        <w:fldChar w:fldCharType="begin">
          <w:ffData>
            <w:name w:val=""/>
            <w:enabled/>
            <w:calcOnExit w:val="0"/>
            <w:checkBox>
              <w:sizeAuto/>
              <w:default w:val="0"/>
            </w:checkBox>
          </w:ffData>
        </w:fldChar>
      </w:r>
      <w:r w:rsidR="006967C8" w:rsidRPr="00B85DC4">
        <w:rPr>
          <w:sz w:val="22"/>
          <w:szCs w:val="22"/>
        </w:rPr>
        <w:instrText xml:space="preserve"> FORMCHECKBOX </w:instrText>
      </w:r>
      <w:r w:rsidR="00166DDA">
        <w:rPr>
          <w:sz w:val="22"/>
          <w:szCs w:val="22"/>
        </w:rPr>
      </w:r>
      <w:r w:rsidR="00166DDA">
        <w:rPr>
          <w:sz w:val="22"/>
          <w:szCs w:val="22"/>
        </w:rPr>
        <w:fldChar w:fldCharType="separate"/>
      </w:r>
      <w:r w:rsidR="006967C8" w:rsidRPr="00B85DC4">
        <w:rPr>
          <w:sz w:val="22"/>
          <w:szCs w:val="22"/>
        </w:rPr>
        <w:fldChar w:fldCharType="end"/>
      </w:r>
      <w:r w:rsidR="006967C8" w:rsidRPr="00B85DC4">
        <w:rPr>
          <w:sz w:val="22"/>
          <w:szCs w:val="22"/>
        </w:rPr>
        <w:t xml:space="preserve">  Some or all </w:t>
      </w:r>
      <w:r w:rsidR="00B85DC4" w:rsidRPr="00B85DC4">
        <w:rPr>
          <w:sz w:val="22"/>
          <w:szCs w:val="22"/>
        </w:rPr>
        <w:t xml:space="preserve">PR </w:t>
      </w:r>
      <w:r w:rsidR="006967C8" w:rsidRPr="00B85DC4">
        <w:rPr>
          <w:sz w:val="22"/>
          <w:szCs w:val="22"/>
        </w:rPr>
        <w:t>U.S. Branch Transactions</w:t>
      </w:r>
      <w:r w:rsidR="006967C8" w:rsidRPr="00B85DC4">
        <w:rPr>
          <w:sz w:val="22"/>
          <w:szCs w:val="22"/>
        </w:rPr>
        <w:br/>
      </w:r>
      <w:r w:rsidR="006967C8" w:rsidRPr="00B85DC4">
        <w:rPr>
          <w:sz w:val="22"/>
          <w:szCs w:val="22"/>
        </w:rPr>
        <w:fldChar w:fldCharType="begin">
          <w:ffData>
            <w:name w:val=""/>
            <w:enabled/>
            <w:calcOnExit w:val="0"/>
            <w:checkBox>
              <w:sizeAuto/>
              <w:default w:val="0"/>
            </w:checkBox>
          </w:ffData>
        </w:fldChar>
      </w:r>
      <w:r w:rsidR="006967C8" w:rsidRPr="00B85DC4">
        <w:rPr>
          <w:sz w:val="22"/>
          <w:szCs w:val="22"/>
        </w:rPr>
        <w:instrText xml:space="preserve"> FORMCHECKBOX </w:instrText>
      </w:r>
      <w:r w:rsidR="00166DDA">
        <w:rPr>
          <w:sz w:val="22"/>
          <w:szCs w:val="22"/>
        </w:rPr>
      </w:r>
      <w:r w:rsidR="00166DDA">
        <w:rPr>
          <w:sz w:val="22"/>
          <w:szCs w:val="22"/>
        </w:rPr>
        <w:fldChar w:fldCharType="separate"/>
      </w:r>
      <w:r w:rsidR="006967C8" w:rsidRPr="00B85DC4">
        <w:rPr>
          <w:sz w:val="22"/>
          <w:szCs w:val="22"/>
        </w:rPr>
        <w:fldChar w:fldCharType="end"/>
      </w:r>
      <w:r w:rsidR="006967C8" w:rsidRPr="00B85DC4">
        <w:rPr>
          <w:sz w:val="22"/>
          <w:szCs w:val="22"/>
        </w:rPr>
        <w:t xml:space="preserve">  No </w:t>
      </w:r>
      <w:r w:rsidR="00B85DC4" w:rsidRPr="00053F21">
        <w:rPr>
          <w:sz w:val="22"/>
          <w:szCs w:val="22"/>
        </w:rPr>
        <w:t xml:space="preserve">PR </w:t>
      </w:r>
      <w:r w:rsidR="006967C8" w:rsidRPr="00053F21">
        <w:rPr>
          <w:sz w:val="22"/>
          <w:szCs w:val="22"/>
        </w:rPr>
        <w:t>U.S. Branch Transactions</w:t>
      </w:r>
      <w:r w:rsidR="006967C8" w:rsidRPr="00B85DC4">
        <w:rPr>
          <w:sz w:val="22"/>
          <w:szCs w:val="22"/>
        </w:rPr>
        <w:t xml:space="preserve"> </w:t>
      </w:r>
      <w:r w:rsidR="00EC70BD" w:rsidRPr="00B85DC4">
        <w:rPr>
          <w:sz w:val="22"/>
          <w:szCs w:val="22"/>
        </w:rPr>
        <w:br/>
      </w:r>
      <w:r w:rsidR="00EC70BD" w:rsidRPr="00B85DC4">
        <w:rPr>
          <w:sz w:val="22"/>
          <w:szCs w:val="22"/>
        </w:rPr>
        <w:br/>
      </w:r>
      <w:r w:rsidR="00EC70BD" w:rsidRPr="00B85DC4">
        <w:rPr>
          <w:i/>
          <w:color w:val="0070C0"/>
          <w:sz w:val="22"/>
          <w:szCs w:val="22"/>
        </w:rPr>
        <w:t xml:space="preserve">Go to </w:t>
      </w:r>
      <w:r w:rsidR="007B059F" w:rsidRPr="00B85DC4">
        <w:rPr>
          <w:i/>
          <w:color w:val="0070C0"/>
          <w:sz w:val="22"/>
          <w:szCs w:val="22"/>
        </w:rPr>
        <w:t>the next Part Information Recipient has requested, if any.</w:t>
      </w:r>
      <w:r w:rsidR="00EC70BD" w:rsidRPr="00B85DC4">
        <w:rPr>
          <w:i/>
          <w:color w:val="0070C0"/>
          <w:sz w:val="22"/>
          <w:szCs w:val="22"/>
        </w:rPr>
        <w:t xml:space="preserve">  </w:t>
      </w:r>
      <w:r w:rsidR="0076572B" w:rsidRPr="00B85DC4">
        <w:rPr>
          <w:i/>
        </w:rPr>
        <w:br/>
      </w:r>
      <w:r w:rsidR="0076572B" w:rsidRPr="00B85DC4">
        <w:rPr>
          <w:i/>
        </w:rPr>
        <w:br/>
      </w:r>
      <w:r w:rsidR="00916A93">
        <w:br w:type="page"/>
      </w:r>
    </w:p>
    <w:p w14:paraId="07B6234A" w14:textId="77777777" w:rsidR="00916A93" w:rsidRPr="00E15426" w:rsidRDefault="00916A93" w:rsidP="00E15426">
      <w:pPr>
        <w:pStyle w:val="BodyText"/>
        <w:ind w:firstLine="0"/>
        <w:rPr>
          <w:b/>
          <w:sz w:val="22"/>
          <w:szCs w:val="22"/>
          <w:u w:val="single"/>
        </w:rPr>
      </w:pPr>
      <w:r w:rsidRPr="00E15426">
        <w:rPr>
          <w:b/>
          <w:sz w:val="22"/>
          <w:szCs w:val="22"/>
          <w:u w:val="single"/>
        </w:rPr>
        <w:lastRenderedPageBreak/>
        <w:t>PART III:  EXEMPTION FROM MARGIN RULES</w:t>
      </w:r>
    </w:p>
    <w:p w14:paraId="717481E1" w14:textId="77777777" w:rsidR="007B5CFE" w:rsidRPr="003A3548" w:rsidRDefault="007B5CFE" w:rsidP="007B5CFE">
      <w:pPr>
        <w:pStyle w:val="Heading2"/>
        <w:numPr>
          <w:ilvl w:val="1"/>
          <w:numId w:val="39"/>
        </w:numPr>
        <w:rPr>
          <w:b/>
          <w:sz w:val="22"/>
          <w:szCs w:val="22"/>
        </w:rPr>
      </w:pPr>
      <w:r w:rsidRPr="003A3548">
        <w:rPr>
          <w:b/>
          <w:sz w:val="22"/>
          <w:szCs w:val="22"/>
        </w:rPr>
        <w:t>CFTC and PR Margin Rules</w:t>
      </w:r>
    </w:p>
    <w:p w14:paraId="1DA79731" w14:textId="77777777" w:rsidR="007026D2" w:rsidRPr="00F4063C" w:rsidRDefault="007B5CFE" w:rsidP="007026D2">
      <w:pPr>
        <w:pStyle w:val="BodyText"/>
        <w:ind w:firstLine="0"/>
        <w:rPr>
          <w:b/>
          <w:sz w:val="22"/>
          <w:szCs w:val="22"/>
        </w:rPr>
      </w:pPr>
      <w:r>
        <w:rPr>
          <w:sz w:val="22"/>
          <w:szCs w:val="22"/>
        </w:rPr>
        <w:tab/>
      </w:r>
      <w:r w:rsidR="00BF2E7E">
        <w:rPr>
          <w:b/>
          <w:i/>
          <w:sz w:val="22"/>
          <w:szCs w:val="22"/>
          <w:u w:val="single"/>
        </w:rPr>
        <w:t>Explanat</w:t>
      </w:r>
      <w:r w:rsidR="00E15426" w:rsidRPr="00E15426">
        <w:rPr>
          <w:b/>
          <w:i/>
          <w:sz w:val="22"/>
          <w:szCs w:val="22"/>
          <w:u w:val="single"/>
        </w:rPr>
        <w:t>o</w:t>
      </w:r>
      <w:r w:rsidR="00BF2E7E">
        <w:rPr>
          <w:b/>
          <w:i/>
          <w:sz w:val="22"/>
          <w:szCs w:val="22"/>
          <w:u w:val="single"/>
        </w:rPr>
        <w:t>ry Note</w:t>
      </w:r>
      <w:r w:rsidR="00E15426" w:rsidRPr="00E15426">
        <w:rPr>
          <w:b/>
          <w:i/>
          <w:sz w:val="22"/>
          <w:szCs w:val="22"/>
        </w:rPr>
        <w:t>:</w:t>
      </w:r>
      <w:r w:rsidR="00E15426" w:rsidRPr="00E15426">
        <w:rPr>
          <w:i/>
          <w:sz w:val="22"/>
          <w:szCs w:val="22"/>
        </w:rPr>
        <w:t xml:space="preserve">  </w:t>
      </w:r>
      <w:r w:rsidRPr="007B5CFE">
        <w:rPr>
          <w:i/>
          <w:sz w:val="22"/>
          <w:szCs w:val="22"/>
        </w:rPr>
        <w:t xml:space="preserve">These questions are designed to elicit information necessary to allow an Information Recipient that is </w:t>
      </w:r>
      <w:r w:rsidR="00016905">
        <w:rPr>
          <w:i/>
          <w:sz w:val="22"/>
          <w:szCs w:val="22"/>
        </w:rPr>
        <w:t xml:space="preserve">(i) </w:t>
      </w:r>
      <w:r w:rsidRPr="007B5CFE">
        <w:rPr>
          <w:i/>
          <w:sz w:val="22"/>
          <w:szCs w:val="22"/>
        </w:rPr>
        <w:t>an SD</w:t>
      </w:r>
      <w:r w:rsidR="00016905">
        <w:rPr>
          <w:i/>
          <w:sz w:val="22"/>
          <w:szCs w:val="22"/>
        </w:rPr>
        <w:t xml:space="preserve"> without a Prudential Regulator to ascertain</w:t>
      </w:r>
      <w:r w:rsidRPr="007B5CFE">
        <w:rPr>
          <w:i/>
          <w:sz w:val="22"/>
          <w:szCs w:val="22"/>
        </w:rPr>
        <w:t xml:space="preserve"> </w:t>
      </w:r>
      <w:r w:rsidR="00016905">
        <w:rPr>
          <w:i/>
          <w:sz w:val="22"/>
          <w:szCs w:val="22"/>
        </w:rPr>
        <w:t xml:space="preserve">whether </w:t>
      </w:r>
      <w:r w:rsidR="001C21CC">
        <w:rPr>
          <w:i/>
          <w:sz w:val="22"/>
          <w:szCs w:val="22"/>
        </w:rPr>
        <w:t>Named Entity</w:t>
      </w:r>
      <w:r w:rsidR="00016905">
        <w:rPr>
          <w:i/>
          <w:sz w:val="22"/>
          <w:szCs w:val="22"/>
        </w:rPr>
        <w:t xml:space="preserve"> is eligible for an exemption from the CFTC </w:t>
      </w:r>
      <w:r w:rsidR="00D41EB8">
        <w:rPr>
          <w:i/>
          <w:sz w:val="22"/>
          <w:szCs w:val="22"/>
        </w:rPr>
        <w:t>Margin R</w:t>
      </w:r>
      <w:r w:rsidR="002F3CE0">
        <w:rPr>
          <w:i/>
          <w:sz w:val="22"/>
          <w:szCs w:val="22"/>
        </w:rPr>
        <w:t>ule</w:t>
      </w:r>
      <w:r w:rsidR="00D41EB8">
        <w:rPr>
          <w:i/>
          <w:sz w:val="22"/>
          <w:szCs w:val="22"/>
        </w:rPr>
        <w:t>s</w:t>
      </w:r>
      <w:r w:rsidR="00016905">
        <w:rPr>
          <w:i/>
          <w:sz w:val="22"/>
          <w:szCs w:val="22"/>
        </w:rPr>
        <w:t xml:space="preserve"> with respect to Uncleared Swaps and (ii) an SD or</w:t>
      </w:r>
      <w:r w:rsidRPr="007B5CFE">
        <w:rPr>
          <w:i/>
          <w:sz w:val="22"/>
          <w:szCs w:val="22"/>
        </w:rPr>
        <w:t xml:space="preserve"> SBSD with a Prudential Regulator to ascertain whether </w:t>
      </w:r>
      <w:r w:rsidR="001C21CC">
        <w:rPr>
          <w:i/>
          <w:sz w:val="22"/>
          <w:szCs w:val="22"/>
        </w:rPr>
        <w:t>Named Entity</w:t>
      </w:r>
      <w:r w:rsidRPr="007B5CFE">
        <w:rPr>
          <w:i/>
          <w:sz w:val="22"/>
          <w:szCs w:val="22"/>
        </w:rPr>
        <w:t xml:space="preserve"> is eligible for an exemption from the </w:t>
      </w:r>
      <w:r w:rsidR="002F3CE0">
        <w:rPr>
          <w:i/>
          <w:sz w:val="22"/>
          <w:szCs w:val="22"/>
        </w:rPr>
        <w:t>PR Margin Rules</w:t>
      </w:r>
      <w:r w:rsidR="00E4746E">
        <w:rPr>
          <w:i/>
          <w:sz w:val="22"/>
          <w:szCs w:val="22"/>
        </w:rPr>
        <w:t xml:space="preserve"> with respect to</w:t>
      </w:r>
      <w:r w:rsidRPr="007B5CFE">
        <w:rPr>
          <w:i/>
          <w:sz w:val="22"/>
          <w:szCs w:val="22"/>
        </w:rPr>
        <w:t xml:space="preserve"> Uncleared Swaps and </w:t>
      </w:r>
      <w:r w:rsidR="006312D1">
        <w:rPr>
          <w:i/>
          <w:sz w:val="22"/>
          <w:szCs w:val="22"/>
        </w:rPr>
        <w:t xml:space="preserve">(as applicable) </w:t>
      </w:r>
      <w:r w:rsidRPr="0085630D">
        <w:rPr>
          <w:i/>
          <w:sz w:val="22"/>
          <w:szCs w:val="22"/>
        </w:rPr>
        <w:t>Uncleared SBS),</w:t>
      </w:r>
      <w:r w:rsidRPr="007B5CFE">
        <w:rPr>
          <w:i/>
          <w:sz w:val="22"/>
          <w:szCs w:val="22"/>
        </w:rPr>
        <w:t xml:space="preserve"> and</w:t>
      </w:r>
      <w:r w:rsidR="00073796">
        <w:rPr>
          <w:i/>
          <w:sz w:val="22"/>
          <w:szCs w:val="22"/>
        </w:rPr>
        <w:t>,</w:t>
      </w:r>
      <w:r w:rsidR="00E4746E">
        <w:rPr>
          <w:i/>
          <w:sz w:val="22"/>
          <w:szCs w:val="22"/>
        </w:rPr>
        <w:t xml:space="preserve"> in each case</w:t>
      </w:r>
      <w:r w:rsidR="00073796">
        <w:rPr>
          <w:i/>
          <w:sz w:val="22"/>
          <w:szCs w:val="22"/>
        </w:rPr>
        <w:t>,</w:t>
      </w:r>
      <w:r w:rsidRPr="007B5CFE">
        <w:rPr>
          <w:i/>
          <w:sz w:val="22"/>
          <w:szCs w:val="22"/>
        </w:rPr>
        <w:t xml:space="preserve"> whether </w:t>
      </w:r>
      <w:r w:rsidR="001C21CC">
        <w:rPr>
          <w:i/>
          <w:sz w:val="22"/>
          <w:szCs w:val="22"/>
        </w:rPr>
        <w:t>Named Entity</w:t>
      </w:r>
      <w:r w:rsidRPr="007B5CFE">
        <w:rPr>
          <w:i/>
          <w:sz w:val="22"/>
          <w:szCs w:val="22"/>
        </w:rPr>
        <w:t xml:space="preserve"> intends to use the relevant exemption</w:t>
      </w:r>
      <w:r w:rsidR="0085630D">
        <w:rPr>
          <w:i/>
          <w:sz w:val="22"/>
          <w:szCs w:val="22"/>
        </w:rPr>
        <w:t>.</w:t>
      </w:r>
    </w:p>
    <w:p w14:paraId="415FEF6B" w14:textId="77777777" w:rsidR="007026D2" w:rsidRPr="003A3548" w:rsidRDefault="007026D2" w:rsidP="00E15426">
      <w:pPr>
        <w:pStyle w:val="BodyText"/>
        <w:ind w:firstLine="0"/>
        <w:rPr>
          <w:i/>
          <w:sz w:val="22"/>
          <w:szCs w:val="22"/>
        </w:rPr>
      </w:pPr>
      <w:r>
        <w:rPr>
          <w:i/>
          <w:sz w:val="22"/>
          <w:szCs w:val="22"/>
        </w:rPr>
        <w:tab/>
      </w:r>
      <w:r w:rsidR="007B5CFE" w:rsidRPr="007B5CFE">
        <w:rPr>
          <w:i/>
          <w:color w:val="0070C0"/>
          <w:sz w:val="22"/>
          <w:szCs w:val="22"/>
        </w:rPr>
        <w:t>If Named Entity</w:t>
      </w:r>
      <w:r w:rsidR="007B5CFE" w:rsidRPr="007B5CFE">
        <w:rPr>
          <w:i/>
          <w:color w:val="0070C0"/>
          <w:sz w:val="22"/>
          <w:szCs w:val="22"/>
          <w:lang w:val="x-none"/>
        </w:rPr>
        <w:t xml:space="preserve"> is eligible for, and may want to take advantage of, </w:t>
      </w:r>
      <w:r w:rsidR="00D41EB8">
        <w:rPr>
          <w:i/>
          <w:color w:val="0070C0"/>
          <w:sz w:val="22"/>
          <w:szCs w:val="22"/>
        </w:rPr>
        <w:t>an exemption from CFTC M</w:t>
      </w:r>
      <w:r w:rsidR="007B5CFE" w:rsidRPr="007B5CFE">
        <w:rPr>
          <w:i/>
          <w:color w:val="0070C0"/>
          <w:sz w:val="22"/>
          <w:szCs w:val="22"/>
        </w:rPr>
        <w:t xml:space="preserve">argin </w:t>
      </w:r>
      <w:r w:rsidR="00D41EB8">
        <w:rPr>
          <w:i/>
          <w:color w:val="0070C0"/>
          <w:sz w:val="22"/>
          <w:szCs w:val="22"/>
        </w:rPr>
        <w:t>R</w:t>
      </w:r>
      <w:r w:rsidR="002F3CE0">
        <w:rPr>
          <w:i/>
          <w:color w:val="0070C0"/>
          <w:sz w:val="22"/>
          <w:szCs w:val="22"/>
        </w:rPr>
        <w:t>ule</w:t>
      </w:r>
      <w:r w:rsidR="007B5CFE" w:rsidRPr="007B5CFE">
        <w:rPr>
          <w:i/>
          <w:color w:val="0070C0"/>
          <w:sz w:val="22"/>
          <w:szCs w:val="22"/>
        </w:rPr>
        <w:t>s for Uncleared Swaps</w:t>
      </w:r>
      <w:r w:rsidR="00E4746E">
        <w:rPr>
          <w:i/>
          <w:color w:val="0070C0"/>
          <w:sz w:val="22"/>
          <w:szCs w:val="22"/>
        </w:rPr>
        <w:t xml:space="preserve"> or </w:t>
      </w:r>
      <w:r w:rsidR="002F3CE0">
        <w:rPr>
          <w:i/>
          <w:color w:val="0070C0"/>
          <w:sz w:val="22"/>
          <w:szCs w:val="22"/>
        </w:rPr>
        <w:t>PR Margin Rules</w:t>
      </w:r>
      <w:r w:rsidR="00E4746E">
        <w:rPr>
          <w:i/>
          <w:color w:val="0070C0"/>
          <w:sz w:val="22"/>
          <w:szCs w:val="22"/>
        </w:rPr>
        <w:t xml:space="preserve"> for Uncleared Swaps and</w:t>
      </w:r>
      <w:r w:rsidR="006312D1">
        <w:rPr>
          <w:i/>
          <w:color w:val="0070C0"/>
          <w:sz w:val="22"/>
          <w:szCs w:val="22"/>
        </w:rPr>
        <w:t xml:space="preserve"> (as applicable)</w:t>
      </w:r>
      <w:r w:rsidR="00E4746E">
        <w:rPr>
          <w:i/>
          <w:color w:val="0070C0"/>
          <w:sz w:val="22"/>
          <w:szCs w:val="22"/>
        </w:rPr>
        <w:t xml:space="preserve"> Uncleared SBS</w:t>
      </w:r>
      <w:r w:rsidR="007B5CFE" w:rsidRPr="007B5CFE">
        <w:rPr>
          <w:i/>
          <w:color w:val="0070C0"/>
          <w:sz w:val="22"/>
          <w:szCs w:val="22"/>
        </w:rPr>
        <w:t>,</w:t>
      </w:r>
      <w:r w:rsidR="00E4746E">
        <w:rPr>
          <w:i/>
          <w:color w:val="0070C0"/>
          <w:sz w:val="22"/>
          <w:szCs w:val="22"/>
        </w:rPr>
        <w:t xml:space="preserve"> please complete the following P</w:t>
      </w:r>
      <w:r w:rsidR="007B5CFE" w:rsidRPr="007B5CFE">
        <w:rPr>
          <w:i/>
          <w:color w:val="0070C0"/>
          <w:sz w:val="22"/>
          <w:szCs w:val="22"/>
        </w:rPr>
        <w:t>art.  If Named Entity is not eligible for, or does not intend to use</w:t>
      </w:r>
      <w:r w:rsidR="006312D1">
        <w:rPr>
          <w:i/>
          <w:color w:val="0070C0"/>
          <w:sz w:val="22"/>
          <w:szCs w:val="22"/>
        </w:rPr>
        <w:t xml:space="preserve"> such an exemption</w:t>
      </w:r>
      <w:r w:rsidR="007B5CFE" w:rsidRPr="007B5CFE">
        <w:rPr>
          <w:i/>
          <w:color w:val="0070C0"/>
          <w:sz w:val="22"/>
          <w:szCs w:val="22"/>
        </w:rPr>
        <w:t xml:space="preserve">, then Named Entity may skip this </w:t>
      </w:r>
      <w:r w:rsidR="007B5CFE">
        <w:rPr>
          <w:i/>
          <w:color w:val="0070C0"/>
          <w:sz w:val="22"/>
          <w:szCs w:val="22"/>
        </w:rPr>
        <w:t>P</w:t>
      </w:r>
      <w:r w:rsidR="007B5CFE" w:rsidRPr="007B5CFE">
        <w:rPr>
          <w:i/>
          <w:color w:val="0070C0"/>
          <w:sz w:val="22"/>
          <w:szCs w:val="22"/>
        </w:rPr>
        <w:t>art</w:t>
      </w:r>
      <w:r w:rsidR="00642E98">
        <w:rPr>
          <w:i/>
          <w:color w:val="0070C0"/>
          <w:sz w:val="22"/>
          <w:szCs w:val="22"/>
        </w:rPr>
        <w:t>.</w:t>
      </w:r>
    </w:p>
    <w:p w14:paraId="1870B3B1" w14:textId="77777777" w:rsidR="00B26879" w:rsidRPr="00B26879" w:rsidRDefault="00B26879" w:rsidP="0032197D">
      <w:pPr>
        <w:pStyle w:val="Heading3"/>
        <w:rPr>
          <w:sz w:val="22"/>
          <w:szCs w:val="22"/>
        </w:rPr>
      </w:pPr>
      <w:r>
        <w:rPr>
          <w:sz w:val="22"/>
          <w:szCs w:val="22"/>
          <w:u w:val="single"/>
        </w:rPr>
        <w:t>Non-Financial End User Status</w:t>
      </w:r>
      <w:r>
        <w:rPr>
          <w:sz w:val="22"/>
          <w:szCs w:val="22"/>
        </w:rPr>
        <w:br/>
      </w:r>
      <w:r>
        <w:rPr>
          <w:sz w:val="22"/>
          <w:szCs w:val="22"/>
        </w:rPr>
        <w:br/>
        <w:t xml:space="preserve">Please indicate whether Named Entity is a Non-Financial End User for purposes of CFTC and/or PR Margin Requirements by checking the appropriate box, if </w:t>
      </w:r>
      <w:r w:rsidR="000236BC">
        <w:rPr>
          <w:sz w:val="22"/>
          <w:szCs w:val="22"/>
        </w:rPr>
        <w:t>applicable</w:t>
      </w:r>
      <w:r>
        <w:rPr>
          <w:sz w:val="22"/>
          <w:szCs w:val="22"/>
        </w:rPr>
        <w:t>.</w:t>
      </w:r>
      <w:r w:rsidR="00E4746E">
        <w:rPr>
          <w:sz w:val="22"/>
          <w:szCs w:val="22"/>
        </w:rPr>
        <w:br/>
      </w:r>
      <w:r w:rsidR="00E4746E">
        <w:rPr>
          <w:sz w:val="22"/>
          <w:szCs w:val="22"/>
        </w:rPr>
        <w:br/>
      </w:r>
      <w:r w:rsidR="00E4746E">
        <w:rPr>
          <w:i/>
          <w:sz w:val="22"/>
          <w:szCs w:val="22"/>
        </w:rPr>
        <w:t>Checking the box next to “Not a Financial End User (CFTC Margin Rules)” indicates that Named Entity is not a Financial End User for purposes of the CFTC Margin R</w:t>
      </w:r>
      <w:r w:rsidR="002F3CE0">
        <w:rPr>
          <w:i/>
          <w:sz w:val="22"/>
          <w:szCs w:val="22"/>
        </w:rPr>
        <w:t>ule</w:t>
      </w:r>
      <w:r w:rsidR="00E4746E">
        <w:rPr>
          <w:i/>
          <w:sz w:val="22"/>
          <w:szCs w:val="22"/>
        </w:rPr>
        <w:t>s.</w:t>
      </w:r>
      <w:r w:rsidR="00E4746E">
        <w:rPr>
          <w:i/>
          <w:sz w:val="22"/>
          <w:szCs w:val="22"/>
        </w:rPr>
        <w:br/>
      </w:r>
      <w:r w:rsidR="00E4746E">
        <w:rPr>
          <w:i/>
          <w:sz w:val="22"/>
          <w:szCs w:val="22"/>
        </w:rPr>
        <w:br/>
        <w:t>Checking the box next to “Not a Financial End User (PR</w:t>
      </w:r>
      <w:r w:rsidR="00610330">
        <w:rPr>
          <w:i/>
          <w:sz w:val="22"/>
          <w:szCs w:val="22"/>
        </w:rPr>
        <w:t xml:space="preserve"> </w:t>
      </w:r>
      <w:r w:rsidR="00E4746E">
        <w:rPr>
          <w:i/>
          <w:sz w:val="22"/>
          <w:szCs w:val="22"/>
        </w:rPr>
        <w:t xml:space="preserve">Margin Rules)” indicates that Named Entity is not a Financial End User for purposes of the </w:t>
      </w:r>
      <w:r w:rsidR="002F3CE0">
        <w:rPr>
          <w:i/>
          <w:sz w:val="22"/>
          <w:szCs w:val="22"/>
        </w:rPr>
        <w:t>PR</w:t>
      </w:r>
      <w:r w:rsidR="00E4746E">
        <w:rPr>
          <w:i/>
          <w:sz w:val="22"/>
          <w:szCs w:val="22"/>
        </w:rPr>
        <w:t xml:space="preserve"> Margin R</w:t>
      </w:r>
      <w:r w:rsidR="002F3CE0">
        <w:rPr>
          <w:i/>
          <w:sz w:val="22"/>
          <w:szCs w:val="22"/>
        </w:rPr>
        <w:t>ules</w:t>
      </w:r>
      <w:r w:rsidR="00E4746E">
        <w:rPr>
          <w:i/>
          <w:sz w:val="22"/>
          <w:szCs w:val="22"/>
        </w:rPr>
        <w:t>.</w:t>
      </w:r>
      <w:r>
        <w:rPr>
          <w:sz w:val="22"/>
          <w:szCs w:val="22"/>
        </w:rPr>
        <w:br/>
      </w:r>
      <w:r>
        <w:rPr>
          <w:sz w:val="22"/>
          <w:szCs w:val="22"/>
        </w:rPr>
        <w:br/>
      </w:r>
      <w:r w:rsidRPr="00F4063C">
        <w:rPr>
          <w:sz w:val="22"/>
          <w:szCs w:val="22"/>
        </w:rPr>
        <w:fldChar w:fldCharType="begin">
          <w:ffData>
            <w:name w:val=""/>
            <w:enabled/>
            <w:calcOnExit w:val="0"/>
            <w:checkBox>
              <w:sizeAuto/>
              <w:default w:val="0"/>
            </w:checkBox>
          </w:ffData>
        </w:fldChar>
      </w:r>
      <w:r w:rsidRPr="00F4063C">
        <w:rPr>
          <w:sz w:val="22"/>
          <w:szCs w:val="22"/>
        </w:rPr>
        <w:instrText xml:space="preserve"> FORMCHECKBOX </w:instrText>
      </w:r>
      <w:r w:rsidR="00166DDA">
        <w:rPr>
          <w:sz w:val="22"/>
          <w:szCs w:val="22"/>
        </w:rPr>
      </w:r>
      <w:r w:rsidR="00166DDA">
        <w:rPr>
          <w:sz w:val="22"/>
          <w:szCs w:val="22"/>
        </w:rPr>
        <w:fldChar w:fldCharType="separate"/>
      </w:r>
      <w:r w:rsidRPr="00F4063C">
        <w:rPr>
          <w:sz w:val="22"/>
          <w:szCs w:val="22"/>
        </w:rPr>
        <w:fldChar w:fldCharType="end"/>
      </w:r>
      <w:r w:rsidRPr="00F4063C">
        <w:rPr>
          <w:sz w:val="22"/>
          <w:szCs w:val="22"/>
        </w:rPr>
        <w:t xml:space="preserve">  Not a Financial End User</w:t>
      </w:r>
      <w:r>
        <w:rPr>
          <w:sz w:val="22"/>
          <w:szCs w:val="22"/>
        </w:rPr>
        <w:t xml:space="preserve"> (CFTC Margin Rules)</w:t>
      </w:r>
      <w:r>
        <w:rPr>
          <w:sz w:val="22"/>
          <w:szCs w:val="22"/>
        </w:rPr>
        <w:br/>
      </w:r>
      <w:r w:rsidRPr="00F4063C">
        <w:rPr>
          <w:sz w:val="22"/>
          <w:szCs w:val="22"/>
        </w:rPr>
        <w:fldChar w:fldCharType="begin">
          <w:ffData>
            <w:name w:val=""/>
            <w:enabled/>
            <w:calcOnExit w:val="0"/>
            <w:checkBox>
              <w:sizeAuto/>
              <w:default w:val="0"/>
            </w:checkBox>
          </w:ffData>
        </w:fldChar>
      </w:r>
      <w:r w:rsidRPr="00F4063C">
        <w:rPr>
          <w:sz w:val="22"/>
          <w:szCs w:val="22"/>
        </w:rPr>
        <w:instrText xml:space="preserve"> FORMCHECKBOX </w:instrText>
      </w:r>
      <w:r w:rsidR="00166DDA">
        <w:rPr>
          <w:sz w:val="22"/>
          <w:szCs w:val="22"/>
        </w:rPr>
      </w:r>
      <w:r w:rsidR="00166DDA">
        <w:rPr>
          <w:sz w:val="22"/>
          <w:szCs w:val="22"/>
        </w:rPr>
        <w:fldChar w:fldCharType="separate"/>
      </w:r>
      <w:r w:rsidRPr="00F4063C">
        <w:rPr>
          <w:sz w:val="22"/>
          <w:szCs w:val="22"/>
        </w:rPr>
        <w:fldChar w:fldCharType="end"/>
      </w:r>
      <w:r w:rsidRPr="00F4063C">
        <w:rPr>
          <w:sz w:val="22"/>
          <w:szCs w:val="22"/>
        </w:rPr>
        <w:t xml:space="preserve">  Not a Financial End User</w:t>
      </w:r>
      <w:r>
        <w:rPr>
          <w:sz w:val="22"/>
          <w:szCs w:val="22"/>
        </w:rPr>
        <w:t xml:space="preserve"> (PR Margin Rules)</w:t>
      </w:r>
      <w:r w:rsidR="00E4746E">
        <w:rPr>
          <w:sz w:val="22"/>
          <w:szCs w:val="22"/>
        </w:rPr>
        <w:br/>
      </w:r>
      <w:r w:rsidR="00E4746E">
        <w:rPr>
          <w:sz w:val="22"/>
          <w:szCs w:val="22"/>
        </w:rPr>
        <w:br/>
      </w:r>
      <w:r w:rsidR="000236BC">
        <w:rPr>
          <w:i/>
          <w:color w:val="0070C0"/>
          <w:sz w:val="22"/>
          <w:szCs w:val="22"/>
        </w:rPr>
        <w:t xml:space="preserve">-If Named Entity checked </w:t>
      </w:r>
      <w:r w:rsidR="006312D1">
        <w:rPr>
          <w:i/>
          <w:color w:val="0070C0"/>
          <w:sz w:val="22"/>
          <w:szCs w:val="22"/>
        </w:rPr>
        <w:t xml:space="preserve">one or </w:t>
      </w:r>
      <w:r w:rsidR="000236BC">
        <w:rPr>
          <w:i/>
          <w:color w:val="0070C0"/>
          <w:sz w:val="22"/>
          <w:szCs w:val="22"/>
        </w:rPr>
        <w:t>both boxes above, skip the rest of this Part III.A (go to Part III.B if Information Recipient has requested</w:t>
      </w:r>
      <w:r w:rsidR="00606422">
        <w:rPr>
          <w:i/>
          <w:color w:val="0070C0"/>
          <w:sz w:val="22"/>
          <w:szCs w:val="22"/>
        </w:rPr>
        <w:t>)</w:t>
      </w:r>
      <w:r w:rsidR="000236BC">
        <w:rPr>
          <w:i/>
          <w:color w:val="0070C0"/>
          <w:sz w:val="22"/>
          <w:szCs w:val="22"/>
        </w:rPr>
        <w:t>.</w:t>
      </w:r>
      <w:r w:rsidR="002F5ECD">
        <w:rPr>
          <w:i/>
          <w:color w:val="0070C0"/>
          <w:sz w:val="22"/>
          <w:szCs w:val="22"/>
        </w:rPr>
        <w:t xml:space="preserve">  </w:t>
      </w:r>
      <w:r w:rsidR="000236BC">
        <w:rPr>
          <w:i/>
          <w:color w:val="0070C0"/>
          <w:sz w:val="22"/>
          <w:szCs w:val="22"/>
        </w:rPr>
        <w:br/>
      </w:r>
      <w:r w:rsidR="000236BC">
        <w:rPr>
          <w:i/>
          <w:color w:val="0070C0"/>
          <w:sz w:val="22"/>
          <w:szCs w:val="22"/>
        </w:rPr>
        <w:br/>
        <w:t>-</w:t>
      </w:r>
      <w:r w:rsidR="00606422">
        <w:rPr>
          <w:i/>
          <w:color w:val="0070C0"/>
          <w:sz w:val="22"/>
          <w:szCs w:val="22"/>
        </w:rPr>
        <w:t xml:space="preserve">If </w:t>
      </w:r>
      <w:r w:rsidR="006312D1">
        <w:rPr>
          <w:i/>
          <w:color w:val="0070C0"/>
          <w:sz w:val="22"/>
          <w:szCs w:val="22"/>
        </w:rPr>
        <w:t>Named Entity did not check a box</w:t>
      </w:r>
      <w:r w:rsidR="00610330">
        <w:rPr>
          <w:i/>
          <w:color w:val="0070C0"/>
          <w:sz w:val="22"/>
          <w:szCs w:val="22"/>
        </w:rPr>
        <w:t xml:space="preserve"> above, g</w:t>
      </w:r>
      <w:r w:rsidR="00E4746E">
        <w:rPr>
          <w:i/>
          <w:color w:val="0070C0"/>
          <w:sz w:val="22"/>
          <w:szCs w:val="22"/>
        </w:rPr>
        <w:t>o to the next item.</w:t>
      </w:r>
    </w:p>
    <w:p w14:paraId="36AA3C48" w14:textId="77777777" w:rsidR="0032197D" w:rsidRPr="003A3548" w:rsidRDefault="00B26879" w:rsidP="0032197D">
      <w:pPr>
        <w:pStyle w:val="Heading3"/>
        <w:rPr>
          <w:sz w:val="22"/>
          <w:szCs w:val="22"/>
        </w:rPr>
      </w:pPr>
      <w:r>
        <w:rPr>
          <w:sz w:val="22"/>
          <w:szCs w:val="22"/>
          <w:u w:val="single"/>
        </w:rPr>
        <w:t xml:space="preserve">Hedging </w:t>
      </w:r>
      <w:r w:rsidR="0032197D" w:rsidRPr="003A3548">
        <w:rPr>
          <w:sz w:val="22"/>
          <w:szCs w:val="22"/>
          <w:u w:val="single"/>
        </w:rPr>
        <w:t>Exemption Status</w:t>
      </w:r>
      <w:r w:rsidR="0032197D" w:rsidRPr="003A3548">
        <w:rPr>
          <w:sz w:val="22"/>
          <w:szCs w:val="22"/>
        </w:rPr>
        <w:br/>
      </w:r>
      <w:r w:rsidR="0032197D" w:rsidRPr="003A3548">
        <w:rPr>
          <w:sz w:val="22"/>
          <w:szCs w:val="22"/>
        </w:rPr>
        <w:br/>
        <w:t>Check each box that applies:</w:t>
      </w:r>
      <w:r w:rsidR="0032197D" w:rsidRPr="003A3548">
        <w:rPr>
          <w:sz w:val="22"/>
          <w:szCs w:val="22"/>
        </w:rPr>
        <w:br/>
      </w:r>
      <w:r w:rsidR="0032197D" w:rsidRPr="003A3548">
        <w:rPr>
          <w:sz w:val="22"/>
          <w:szCs w:val="22"/>
        </w:rPr>
        <w:br/>
      </w:r>
      <w:r w:rsidR="0032197D" w:rsidRPr="003A3548">
        <w:rPr>
          <w:i/>
          <w:sz w:val="22"/>
          <w:szCs w:val="22"/>
        </w:rPr>
        <w:t>Checking a box indicates that Named Entity is e</w:t>
      </w:r>
      <w:r w:rsidR="0032197D" w:rsidRPr="003A3548">
        <w:rPr>
          <w:i/>
          <w:sz w:val="22"/>
          <w:szCs w:val="22"/>
          <w:lang w:val="x-none"/>
        </w:rPr>
        <w:t>ligible, subject to satisfying any applicable</w:t>
      </w:r>
      <w:r w:rsidR="0032197D" w:rsidRPr="003A3548">
        <w:rPr>
          <w:i/>
          <w:sz w:val="22"/>
          <w:szCs w:val="22"/>
        </w:rPr>
        <w:t xml:space="preserve"> </w:t>
      </w:r>
      <w:r w:rsidR="0032197D" w:rsidRPr="003A3548">
        <w:rPr>
          <w:i/>
          <w:sz w:val="22"/>
          <w:szCs w:val="22"/>
          <w:lang w:val="x-none"/>
        </w:rPr>
        <w:t xml:space="preserve">transaction-specific requirements, to rely on the specified </w:t>
      </w:r>
      <w:r>
        <w:rPr>
          <w:i/>
          <w:sz w:val="22"/>
          <w:szCs w:val="22"/>
        </w:rPr>
        <w:t xml:space="preserve">hedging </w:t>
      </w:r>
      <w:r w:rsidR="00D60095" w:rsidRPr="003A3548">
        <w:rPr>
          <w:i/>
          <w:sz w:val="22"/>
          <w:szCs w:val="22"/>
        </w:rPr>
        <w:t>exemption</w:t>
      </w:r>
      <w:r w:rsidR="00D60095" w:rsidRPr="003A3548">
        <w:rPr>
          <w:i/>
          <w:sz w:val="22"/>
          <w:szCs w:val="22"/>
          <w:lang w:val="x-none"/>
        </w:rPr>
        <w:t xml:space="preserve"> from the </w:t>
      </w:r>
      <w:r>
        <w:rPr>
          <w:i/>
          <w:sz w:val="22"/>
          <w:szCs w:val="22"/>
        </w:rPr>
        <w:t xml:space="preserve">CFTC and/or </w:t>
      </w:r>
      <w:r w:rsidR="002F3CE0">
        <w:rPr>
          <w:i/>
          <w:sz w:val="22"/>
          <w:szCs w:val="22"/>
        </w:rPr>
        <w:t>PR Margin Rules</w:t>
      </w:r>
      <w:r>
        <w:rPr>
          <w:i/>
          <w:sz w:val="22"/>
          <w:szCs w:val="22"/>
        </w:rPr>
        <w:t xml:space="preserve"> for Uncleared Swaps</w:t>
      </w:r>
      <w:r w:rsidR="00642E98">
        <w:rPr>
          <w:i/>
          <w:sz w:val="22"/>
          <w:szCs w:val="22"/>
        </w:rPr>
        <w:t>.</w:t>
      </w:r>
      <w:r w:rsidR="0032197D" w:rsidRPr="003A3548">
        <w:rPr>
          <w:i/>
          <w:sz w:val="22"/>
          <w:szCs w:val="22"/>
          <w:lang w:val="x-none"/>
        </w:rPr>
        <w:t xml:space="preserve"> </w:t>
      </w:r>
      <w:r w:rsidR="00642E98">
        <w:rPr>
          <w:i/>
          <w:sz w:val="22"/>
          <w:szCs w:val="22"/>
        </w:rPr>
        <w:t xml:space="preserve"> </w:t>
      </w:r>
      <w:r w:rsidR="00D60095" w:rsidRPr="003A3548">
        <w:rPr>
          <w:i/>
          <w:sz w:val="22"/>
          <w:szCs w:val="22"/>
        </w:rPr>
        <w:t>A Named Entity</w:t>
      </w:r>
      <w:r w:rsidR="0032197D" w:rsidRPr="003A3548">
        <w:rPr>
          <w:i/>
          <w:sz w:val="22"/>
          <w:szCs w:val="22"/>
          <w:lang w:val="x-none"/>
        </w:rPr>
        <w:t xml:space="preserve"> checking these</w:t>
      </w:r>
      <w:r w:rsidR="0032197D" w:rsidRPr="003A3548">
        <w:rPr>
          <w:i/>
          <w:sz w:val="22"/>
          <w:szCs w:val="22"/>
        </w:rPr>
        <w:t xml:space="preserve"> </w:t>
      </w:r>
      <w:r w:rsidR="0032197D" w:rsidRPr="003A3548">
        <w:rPr>
          <w:i/>
          <w:sz w:val="22"/>
          <w:szCs w:val="22"/>
          <w:lang w:val="x-none"/>
        </w:rPr>
        <w:t xml:space="preserve">boxes should note that: (i) checking a box does not </w:t>
      </w:r>
      <w:r w:rsidR="0032197D" w:rsidRPr="003A3548">
        <w:rPr>
          <w:i/>
          <w:sz w:val="22"/>
          <w:szCs w:val="22"/>
          <w:lang w:val="x-none"/>
        </w:rPr>
        <w:lastRenderedPageBreak/>
        <w:t>constitute an election by</w:t>
      </w:r>
      <w:r w:rsidR="0032197D" w:rsidRPr="003A3548">
        <w:rPr>
          <w:i/>
          <w:sz w:val="22"/>
          <w:szCs w:val="22"/>
        </w:rPr>
        <w:t xml:space="preserve"> </w:t>
      </w:r>
      <w:r w:rsidR="00D60095" w:rsidRPr="003A3548">
        <w:rPr>
          <w:i/>
          <w:sz w:val="22"/>
          <w:szCs w:val="22"/>
        </w:rPr>
        <w:t>Named Entity</w:t>
      </w:r>
      <w:r w:rsidR="0032197D" w:rsidRPr="003A3548">
        <w:rPr>
          <w:i/>
          <w:sz w:val="22"/>
          <w:szCs w:val="22"/>
          <w:lang w:val="x-none"/>
        </w:rPr>
        <w:t xml:space="preserve"> to use such exemption in connection with any particular Uncleared</w:t>
      </w:r>
      <w:r w:rsidR="0032197D" w:rsidRPr="003A3548">
        <w:rPr>
          <w:i/>
          <w:sz w:val="22"/>
          <w:szCs w:val="22"/>
        </w:rPr>
        <w:t xml:space="preserve"> </w:t>
      </w:r>
      <w:r w:rsidR="0032197D" w:rsidRPr="003A3548">
        <w:rPr>
          <w:i/>
          <w:sz w:val="22"/>
          <w:szCs w:val="22"/>
          <w:lang w:val="x-none"/>
        </w:rPr>
        <w:t xml:space="preserve">Swap and (ii) Recipient may require additional information in order </w:t>
      </w:r>
      <w:r w:rsidR="0032197D" w:rsidRPr="00F4063C">
        <w:rPr>
          <w:i/>
          <w:sz w:val="22"/>
          <w:szCs w:val="22"/>
          <w:lang w:val="x-none"/>
        </w:rPr>
        <w:t>to rely upon</w:t>
      </w:r>
      <w:r w:rsidR="0032197D" w:rsidRPr="00F4063C">
        <w:rPr>
          <w:i/>
          <w:sz w:val="22"/>
          <w:szCs w:val="22"/>
        </w:rPr>
        <w:t xml:space="preserve"> </w:t>
      </w:r>
      <w:r w:rsidR="0032197D" w:rsidRPr="00F4063C">
        <w:rPr>
          <w:i/>
          <w:sz w:val="22"/>
          <w:szCs w:val="22"/>
          <w:lang w:val="x-none"/>
        </w:rPr>
        <w:t xml:space="preserve">the exemption for any particular Uncleared Swap. </w:t>
      </w:r>
      <w:r w:rsidR="00D60095" w:rsidRPr="00F4063C">
        <w:rPr>
          <w:i/>
          <w:sz w:val="22"/>
          <w:szCs w:val="22"/>
        </w:rPr>
        <w:t xml:space="preserve"> </w:t>
      </w:r>
      <w:r w:rsidR="0032197D" w:rsidRPr="00F4063C">
        <w:rPr>
          <w:i/>
          <w:sz w:val="22"/>
          <w:szCs w:val="22"/>
          <w:lang w:val="x-none"/>
        </w:rPr>
        <w:t>Skipping this section does not</w:t>
      </w:r>
      <w:r w:rsidR="0032197D" w:rsidRPr="00F4063C">
        <w:rPr>
          <w:i/>
          <w:sz w:val="22"/>
          <w:szCs w:val="22"/>
        </w:rPr>
        <w:t xml:space="preserve"> </w:t>
      </w:r>
      <w:r w:rsidR="0032197D" w:rsidRPr="00F4063C">
        <w:rPr>
          <w:i/>
          <w:sz w:val="22"/>
          <w:szCs w:val="22"/>
          <w:lang w:val="x-none"/>
        </w:rPr>
        <w:t xml:space="preserve">preclude a </w:t>
      </w:r>
      <w:r w:rsidR="00D60095" w:rsidRPr="00F4063C">
        <w:rPr>
          <w:i/>
          <w:sz w:val="22"/>
          <w:szCs w:val="22"/>
        </w:rPr>
        <w:t>Named Entity</w:t>
      </w:r>
      <w:r w:rsidR="0032197D" w:rsidRPr="00F4063C">
        <w:rPr>
          <w:i/>
          <w:sz w:val="22"/>
          <w:szCs w:val="22"/>
          <w:lang w:val="x-none"/>
        </w:rPr>
        <w:t xml:space="preserve"> that is eligible for a</w:t>
      </w:r>
      <w:r w:rsidR="00D60095" w:rsidRPr="00F4063C">
        <w:rPr>
          <w:i/>
          <w:sz w:val="22"/>
          <w:szCs w:val="22"/>
        </w:rPr>
        <w:t>n exemption</w:t>
      </w:r>
      <w:r w:rsidR="0032197D" w:rsidRPr="00F4063C">
        <w:rPr>
          <w:i/>
          <w:sz w:val="22"/>
          <w:szCs w:val="22"/>
          <w:lang w:val="x-none"/>
        </w:rPr>
        <w:t xml:space="preserve"> from electing</w:t>
      </w:r>
      <w:r w:rsidR="0032197D" w:rsidRPr="00F4063C">
        <w:rPr>
          <w:i/>
          <w:sz w:val="22"/>
          <w:szCs w:val="22"/>
        </w:rPr>
        <w:t xml:space="preserve"> </w:t>
      </w:r>
      <w:r w:rsidR="0032197D" w:rsidRPr="00F4063C">
        <w:rPr>
          <w:i/>
          <w:sz w:val="22"/>
          <w:szCs w:val="22"/>
          <w:lang w:val="x-none"/>
        </w:rPr>
        <w:t xml:space="preserve">such </w:t>
      </w:r>
      <w:r w:rsidR="00D60095" w:rsidRPr="00F4063C">
        <w:rPr>
          <w:i/>
          <w:sz w:val="22"/>
          <w:szCs w:val="22"/>
        </w:rPr>
        <w:t xml:space="preserve">exemption </w:t>
      </w:r>
      <w:r w:rsidR="0032197D" w:rsidRPr="00F4063C">
        <w:rPr>
          <w:i/>
          <w:sz w:val="22"/>
          <w:szCs w:val="22"/>
          <w:lang w:val="x-none"/>
        </w:rPr>
        <w:t xml:space="preserve">at </w:t>
      </w:r>
      <w:r w:rsidR="00D60095" w:rsidRPr="00F4063C">
        <w:rPr>
          <w:i/>
          <w:sz w:val="22"/>
          <w:szCs w:val="22"/>
          <w:lang w:val="x-none"/>
        </w:rPr>
        <w:t xml:space="preserve">a later date in respect of any </w:t>
      </w:r>
      <w:r w:rsidR="007B5CFE" w:rsidRPr="00F4063C">
        <w:rPr>
          <w:i/>
          <w:sz w:val="22"/>
          <w:szCs w:val="22"/>
        </w:rPr>
        <w:t>S</w:t>
      </w:r>
      <w:r w:rsidR="0032197D" w:rsidRPr="00F4063C">
        <w:rPr>
          <w:i/>
          <w:sz w:val="22"/>
          <w:szCs w:val="22"/>
          <w:lang w:val="x-none"/>
        </w:rPr>
        <w:t>wap.</w:t>
      </w:r>
      <w:r w:rsidR="0032197D" w:rsidRPr="00F4063C">
        <w:rPr>
          <w:i/>
          <w:sz w:val="22"/>
          <w:szCs w:val="22"/>
        </w:rPr>
        <w:t xml:space="preserve"> </w:t>
      </w:r>
      <w:r w:rsidR="0032197D" w:rsidRPr="00F4063C">
        <w:rPr>
          <w:sz w:val="22"/>
          <w:szCs w:val="22"/>
        </w:rPr>
        <w:br/>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sidR="0032197D" w:rsidRPr="00F4063C">
        <w:rPr>
          <w:sz w:val="22"/>
          <w:szCs w:val="22"/>
        </w:rPr>
        <w:t xml:space="preserve">  </w:t>
      </w:r>
      <w:r>
        <w:rPr>
          <w:sz w:val="22"/>
          <w:szCs w:val="22"/>
        </w:rPr>
        <w:t>CFTC</w:t>
      </w:r>
      <w:r w:rsidR="00CD11AA" w:rsidRPr="00F4063C">
        <w:rPr>
          <w:sz w:val="22"/>
          <w:szCs w:val="22"/>
        </w:rPr>
        <w:t xml:space="preserve"> Non-Financial Entity Exemption</w:t>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Pr>
          <w:sz w:val="22"/>
          <w:szCs w:val="22"/>
        </w:rPr>
        <w:t xml:space="preserve">  CFTC</w:t>
      </w:r>
      <w:r w:rsidR="00CD11AA" w:rsidRPr="00F4063C">
        <w:rPr>
          <w:sz w:val="22"/>
          <w:szCs w:val="22"/>
        </w:rPr>
        <w:t xml:space="preserve"> Small Bank Exemption</w:t>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Pr>
          <w:sz w:val="22"/>
          <w:szCs w:val="22"/>
        </w:rPr>
        <w:t xml:space="preserve">  CFTC</w:t>
      </w:r>
      <w:r w:rsidR="00CD11AA" w:rsidRPr="00F4063C">
        <w:rPr>
          <w:sz w:val="22"/>
          <w:szCs w:val="22"/>
        </w:rPr>
        <w:t xml:space="preserve"> Captive Finance Company Exemption </w:t>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Pr>
          <w:sz w:val="22"/>
          <w:szCs w:val="22"/>
        </w:rPr>
        <w:t xml:space="preserve">  CFTC</w:t>
      </w:r>
      <w:r w:rsidR="00CD11AA" w:rsidRPr="00F4063C">
        <w:rPr>
          <w:sz w:val="22"/>
          <w:szCs w:val="22"/>
        </w:rPr>
        <w:t xml:space="preserve"> Exempt Cooperative Exemption</w:t>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Pr>
          <w:sz w:val="22"/>
          <w:szCs w:val="22"/>
        </w:rPr>
        <w:t xml:space="preserve">  CFTC</w:t>
      </w:r>
      <w:r w:rsidR="00CD11AA" w:rsidRPr="00F4063C">
        <w:rPr>
          <w:sz w:val="22"/>
          <w:szCs w:val="22"/>
        </w:rPr>
        <w:t xml:space="preserve"> Treasury Affiliate Exemption</w:t>
      </w:r>
      <w:r w:rsidR="0032197D" w:rsidRPr="00F4063C">
        <w:rPr>
          <w:sz w:val="22"/>
          <w:szCs w:val="22"/>
        </w:rPr>
        <w:br/>
      </w:r>
      <w:r w:rsidR="0032197D" w:rsidRPr="00F4063C">
        <w:rPr>
          <w:sz w:val="22"/>
          <w:szCs w:val="22"/>
        </w:rPr>
        <w:fldChar w:fldCharType="begin">
          <w:ffData>
            <w:name w:val=""/>
            <w:enabled/>
            <w:calcOnExit w:val="0"/>
            <w:checkBox>
              <w:sizeAuto/>
              <w:default w:val="0"/>
            </w:checkBox>
          </w:ffData>
        </w:fldChar>
      </w:r>
      <w:r w:rsidR="0032197D" w:rsidRPr="00F4063C">
        <w:rPr>
          <w:sz w:val="22"/>
          <w:szCs w:val="22"/>
        </w:rPr>
        <w:instrText xml:space="preserve"> FORMCHECKBOX </w:instrText>
      </w:r>
      <w:r w:rsidR="00166DDA">
        <w:rPr>
          <w:sz w:val="22"/>
          <w:szCs w:val="22"/>
        </w:rPr>
      </w:r>
      <w:r w:rsidR="00166DDA">
        <w:rPr>
          <w:sz w:val="22"/>
          <w:szCs w:val="22"/>
        </w:rPr>
        <w:fldChar w:fldCharType="separate"/>
      </w:r>
      <w:r w:rsidR="0032197D" w:rsidRPr="00F4063C">
        <w:rPr>
          <w:sz w:val="22"/>
          <w:szCs w:val="22"/>
        </w:rPr>
        <w:fldChar w:fldCharType="end"/>
      </w:r>
      <w:r>
        <w:rPr>
          <w:sz w:val="22"/>
          <w:szCs w:val="22"/>
        </w:rPr>
        <w:t xml:space="preserve">  </w:t>
      </w:r>
      <w:r w:rsidR="007B5CFE" w:rsidRPr="00F4063C">
        <w:rPr>
          <w:sz w:val="22"/>
          <w:szCs w:val="22"/>
        </w:rPr>
        <w:t>CFTC</w:t>
      </w:r>
      <w:r w:rsidR="00CD11AA" w:rsidRPr="00F4063C">
        <w:rPr>
          <w:sz w:val="22"/>
          <w:szCs w:val="22"/>
        </w:rPr>
        <w:t xml:space="preserve"> No-Action Relief</w:t>
      </w:r>
      <w:r w:rsidR="00BC068A" w:rsidRPr="00F4063C">
        <w:rPr>
          <w:sz w:val="22"/>
          <w:szCs w:val="22"/>
        </w:rPr>
        <w:t xml:space="preserve">  </w:t>
      </w:r>
      <w:r w:rsidR="007B5CFE" w:rsidRPr="00F4063C">
        <w:rPr>
          <w:sz w:val="22"/>
          <w:szCs w:val="22"/>
        </w:rPr>
        <w:br/>
      </w:r>
      <w:r w:rsidR="007B5CFE" w:rsidRPr="00F4063C">
        <w:rPr>
          <w:sz w:val="22"/>
          <w:szCs w:val="22"/>
        </w:rPr>
        <w:br/>
        <w:t xml:space="preserve">If Named Entity checked “Exempt under CFTC No-Action Relief,” provide the number of the CFTC no-action letter that applies </w:t>
      </w:r>
      <w:r w:rsidR="00BC068A" w:rsidRPr="00F4063C">
        <w:rPr>
          <w:sz w:val="22"/>
          <w:szCs w:val="22"/>
        </w:rPr>
        <w:t>here</w:t>
      </w:r>
      <w:r w:rsidR="007B5CFE" w:rsidRPr="00F4063C">
        <w:rPr>
          <w:sz w:val="22"/>
          <w:szCs w:val="22"/>
        </w:rPr>
        <w:t>:</w:t>
      </w:r>
      <w:r w:rsidR="00BC068A" w:rsidRPr="00F4063C">
        <w:rPr>
          <w:rStyle w:val="FootnoteReference"/>
          <w:sz w:val="22"/>
          <w:szCs w:val="22"/>
        </w:rPr>
        <w:footnoteReference w:id="12"/>
      </w:r>
      <w:r w:rsidR="007B5CFE">
        <w:rPr>
          <w:i/>
          <w:sz w:val="22"/>
          <w:szCs w:val="22"/>
        </w:rPr>
        <w:t xml:space="preserve"> </w:t>
      </w:r>
      <w:r w:rsidR="00BC068A">
        <w:rPr>
          <w:sz w:val="22"/>
          <w:szCs w:val="22"/>
        </w:rPr>
        <w:br/>
      </w:r>
      <w:r w:rsidR="00BC068A">
        <w:rPr>
          <w:sz w:val="22"/>
          <w:szCs w:val="22"/>
        </w:rPr>
        <w:br/>
        <w:t>__________________________</w:t>
      </w:r>
      <w:r w:rsidR="002F5ECD">
        <w:rPr>
          <w:sz w:val="22"/>
          <w:szCs w:val="22"/>
        </w:rPr>
        <w:t>.</w:t>
      </w:r>
      <w:r w:rsidR="006069E7" w:rsidRPr="003A3548">
        <w:rPr>
          <w:sz w:val="22"/>
          <w:szCs w:val="22"/>
        </w:rPr>
        <w:br/>
      </w:r>
      <w:r w:rsidR="006069E7" w:rsidRPr="003A3548">
        <w:rPr>
          <w:sz w:val="22"/>
          <w:szCs w:val="22"/>
        </w:rPr>
        <w:br/>
      </w:r>
      <w:r w:rsidR="006069E7" w:rsidRPr="003A3548">
        <w:rPr>
          <w:i/>
          <w:color w:val="0070C0"/>
          <w:sz w:val="22"/>
          <w:szCs w:val="22"/>
        </w:rPr>
        <w:t>If Named Entity checked an exemption</w:t>
      </w:r>
      <w:r w:rsidR="00BC068A">
        <w:rPr>
          <w:i/>
          <w:color w:val="0070C0"/>
          <w:sz w:val="22"/>
          <w:szCs w:val="22"/>
        </w:rPr>
        <w:t xml:space="preserve">, go to the next item.  </w:t>
      </w:r>
      <w:r w:rsidR="00171DF3" w:rsidRPr="003A3548">
        <w:rPr>
          <w:i/>
          <w:color w:val="0070C0"/>
          <w:sz w:val="22"/>
          <w:szCs w:val="22"/>
        </w:rPr>
        <w:t xml:space="preserve">Otherwise, you may skip the </w:t>
      </w:r>
      <w:r w:rsidR="00610330">
        <w:rPr>
          <w:i/>
          <w:color w:val="0070C0"/>
          <w:sz w:val="22"/>
          <w:szCs w:val="22"/>
        </w:rPr>
        <w:t>rest of</w:t>
      </w:r>
      <w:r w:rsidR="000719FC">
        <w:rPr>
          <w:i/>
          <w:color w:val="0070C0"/>
          <w:sz w:val="22"/>
          <w:szCs w:val="22"/>
        </w:rPr>
        <w:t xml:space="preserve"> this Part III.A</w:t>
      </w:r>
      <w:r w:rsidR="00BC068A">
        <w:rPr>
          <w:i/>
          <w:color w:val="0070C0"/>
          <w:sz w:val="22"/>
          <w:szCs w:val="22"/>
        </w:rPr>
        <w:t xml:space="preserve"> (go to Part III.B if Information Recipient has requested)</w:t>
      </w:r>
      <w:r w:rsidR="00171DF3" w:rsidRPr="003A3548">
        <w:rPr>
          <w:i/>
          <w:color w:val="0070C0"/>
          <w:sz w:val="22"/>
          <w:szCs w:val="22"/>
        </w:rPr>
        <w:t>.</w:t>
      </w:r>
    </w:p>
    <w:p w14:paraId="3BD76BBA" w14:textId="77777777" w:rsidR="00CD11AA" w:rsidRPr="003A3548" w:rsidRDefault="00CD11AA" w:rsidP="00CD11AA">
      <w:pPr>
        <w:pStyle w:val="Heading3"/>
        <w:rPr>
          <w:sz w:val="22"/>
          <w:szCs w:val="22"/>
        </w:rPr>
      </w:pPr>
      <w:r w:rsidRPr="003A3548">
        <w:rPr>
          <w:sz w:val="22"/>
          <w:szCs w:val="22"/>
          <w:u w:val="single"/>
        </w:rPr>
        <w:t>Exemption Elections</w:t>
      </w:r>
      <w:r w:rsidRPr="003A3548">
        <w:rPr>
          <w:sz w:val="22"/>
          <w:szCs w:val="22"/>
        </w:rPr>
        <w:br/>
      </w:r>
      <w:r w:rsidRPr="003A3548">
        <w:rPr>
          <w:sz w:val="22"/>
          <w:szCs w:val="22"/>
        </w:rPr>
        <w:br/>
      </w:r>
      <w:r w:rsidR="006069E7" w:rsidRPr="003A3548">
        <w:rPr>
          <w:sz w:val="22"/>
          <w:szCs w:val="22"/>
        </w:rPr>
        <w:t>P</w:t>
      </w:r>
      <w:r w:rsidRPr="003A3548">
        <w:rPr>
          <w:sz w:val="22"/>
          <w:szCs w:val="22"/>
        </w:rPr>
        <w:t xml:space="preserve">lease </w:t>
      </w:r>
      <w:r w:rsidR="006069E7" w:rsidRPr="003A3548">
        <w:rPr>
          <w:sz w:val="22"/>
          <w:szCs w:val="22"/>
        </w:rPr>
        <w:t>check</w:t>
      </w:r>
      <w:r w:rsidRPr="003A3548">
        <w:rPr>
          <w:sz w:val="22"/>
          <w:szCs w:val="22"/>
        </w:rPr>
        <w:t xml:space="preserve"> the appropriate box below.</w:t>
      </w:r>
      <w:r w:rsidRPr="003A3548">
        <w:rPr>
          <w:i/>
          <w:sz w:val="22"/>
          <w:szCs w:val="22"/>
        </w:rPr>
        <w:br/>
      </w:r>
      <w:r w:rsidRPr="003A3548">
        <w:rPr>
          <w:i/>
          <w:sz w:val="22"/>
          <w:szCs w:val="22"/>
        </w:rPr>
        <w:br/>
        <w:t>Checking the box next to “All Transactions” indicates that, unless it otherwise notifies Recipient in writing prior to the execution of the relevant Swaps that will not be entered into in reliance on a</w:t>
      </w:r>
      <w:r w:rsidR="004848A0" w:rsidRPr="003A3548">
        <w:rPr>
          <w:i/>
          <w:sz w:val="22"/>
          <w:szCs w:val="22"/>
        </w:rPr>
        <w:t>n exemption</w:t>
      </w:r>
      <w:r w:rsidRPr="003A3548">
        <w:rPr>
          <w:i/>
          <w:sz w:val="22"/>
          <w:szCs w:val="22"/>
        </w:rPr>
        <w:t xml:space="preserve"> indicated in </w:t>
      </w:r>
      <w:r w:rsidR="004848A0" w:rsidRPr="003A3548">
        <w:rPr>
          <w:i/>
          <w:sz w:val="22"/>
          <w:szCs w:val="22"/>
        </w:rPr>
        <w:t>the immediately preceding section</w:t>
      </w:r>
      <w:r w:rsidRPr="003A3548">
        <w:rPr>
          <w:i/>
          <w:sz w:val="22"/>
          <w:szCs w:val="22"/>
        </w:rPr>
        <w:t xml:space="preserve">, </w:t>
      </w:r>
      <w:r w:rsidR="004848A0" w:rsidRPr="003A3548">
        <w:rPr>
          <w:i/>
          <w:sz w:val="22"/>
          <w:szCs w:val="22"/>
        </w:rPr>
        <w:t>Named Entity</w:t>
      </w:r>
      <w:r w:rsidRPr="003A3548">
        <w:rPr>
          <w:i/>
          <w:sz w:val="22"/>
          <w:szCs w:val="22"/>
        </w:rPr>
        <w:t xml:space="preserve"> will enter into all of its Uncleared Swaps with Recipient in reliance on a</w:t>
      </w:r>
      <w:r w:rsidR="004848A0" w:rsidRPr="003A3548">
        <w:rPr>
          <w:i/>
          <w:sz w:val="22"/>
          <w:szCs w:val="22"/>
        </w:rPr>
        <w:t>n exemption</w:t>
      </w:r>
      <w:r w:rsidRPr="003A3548">
        <w:rPr>
          <w:i/>
          <w:sz w:val="22"/>
          <w:szCs w:val="22"/>
        </w:rPr>
        <w:t xml:space="preserve"> </w:t>
      </w:r>
      <w:r w:rsidR="004848A0" w:rsidRPr="003A3548">
        <w:rPr>
          <w:i/>
          <w:sz w:val="22"/>
          <w:szCs w:val="22"/>
        </w:rPr>
        <w:t>indicated</w:t>
      </w:r>
      <w:r w:rsidRPr="003A3548">
        <w:rPr>
          <w:i/>
          <w:sz w:val="22"/>
          <w:szCs w:val="22"/>
        </w:rPr>
        <w:t xml:space="preserve"> above and that it will comply with the terms of the relevant exemption, including</w:t>
      </w:r>
      <w:r w:rsidR="00AD6A4F">
        <w:rPr>
          <w:i/>
          <w:sz w:val="22"/>
          <w:szCs w:val="22"/>
        </w:rPr>
        <w:t>,</w:t>
      </w:r>
      <w:r w:rsidRPr="003A3548">
        <w:rPr>
          <w:i/>
          <w:sz w:val="22"/>
          <w:szCs w:val="22"/>
        </w:rPr>
        <w:t xml:space="preserve"> but not limited to, any applicable requirement that such transaction is entered into in order to “hedge or mitigate commercial risk.”</w:t>
      </w:r>
      <w:r w:rsidRPr="003A3548">
        <w:rPr>
          <w:i/>
          <w:sz w:val="22"/>
          <w:szCs w:val="22"/>
        </w:rPr>
        <w:br/>
      </w:r>
      <w:r w:rsidRPr="003A3548">
        <w:rPr>
          <w:i/>
          <w:sz w:val="22"/>
          <w:szCs w:val="22"/>
        </w:rPr>
        <w:br/>
        <w:t xml:space="preserve">Checking the box next to “Not All Transactions” indicates that </w:t>
      </w:r>
      <w:r w:rsidR="004848A0" w:rsidRPr="003A3548">
        <w:rPr>
          <w:i/>
          <w:sz w:val="22"/>
          <w:szCs w:val="22"/>
        </w:rPr>
        <w:t xml:space="preserve">Named Entity </w:t>
      </w:r>
      <w:r w:rsidRPr="003A3548">
        <w:rPr>
          <w:i/>
          <w:sz w:val="22"/>
          <w:szCs w:val="22"/>
        </w:rPr>
        <w:t>may not enter into all Uncleared Swaps</w:t>
      </w:r>
      <w:r w:rsidR="00F4063C">
        <w:rPr>
          <w:i/>
          <w:sz w:val="22"/>
          <w:szCs w:val="22"/>
        </w:rPr>
        <w:t xml:space="preserve"> </w:t>
      </w:r>
      <w:r w:rsidRPr="003A3548">
        <w:rPr>
          <w:i/>
          <w:sz w:val="22"/>
          <w:szCs w:val="22"/>
        </w:rPr>
        <w:t>with Recipient in reliance on a</w:t>
      </w:r>
      <w:r w:rsidR="004848A0" w:rsidRPr="003A3548">
        <w:rPr>
          <w:i/>
          <w:sz w:val="22"/>
          <w:szCs w:val="22"/>
        </w:rPr>
        <w:t>n</w:t>
      </w:r>
      <w:r w:rsidRPr="003A3548">
        <w:rPr>
          <w:i/>
          <w:sz w:val="22"/>
          <w:szCs w:val="22"/>
        </w:rPr>
        <w:t xml:space="preserve"> </w:t>
      </w:r>
      <w:r w:rsidR="004848A0" w:rsidRPr="003A3548">
        <w:rPr>
          <w:i/>
          <w:sz w:val="22"/>
          <w:szCs w:val="22"/>
        </w:rPr>
        <w:t>exemption from margin requirements</w:t>
      </w:r>
      <w:r w:rsidRPr="003A3548">
        <w:rPr>
          <w:i/>
          <w:sz w:val="22"/>
          <w:szCs w:val="22"/>
        </w:rPr>
        <w:t xml:space="preserve"> and that</w:t>
      </w:r>
      <w:r w:rsidR="00073796">
        <w:rPr>
          <w:i/>
          <w:sz w:val="22"/>
          <w:szCs w:val="22"/>
        </w:rPr>
        <w:t>,</w:t>
      </w:r>
      <w:r w:rsidRPr="003A3548">
        <w:rPr>
          <w:i/>
          <w:sz w:val="22"/>
          <w:szCs w:val="22"/>
        </w:rPr>
        <w:t xml:space="preserve"> if it does rely on a</w:t>
      </w:r>
      <w:r w:rsidR="004848A0" w:rsidRPr="003A3548">
        <w:rPr>
          <w:i/>
          <w:sz w:val="22"/>
          <w:szCs w:val="22"/>
        </w:rPr>
        <w:t>n</w:t>
      </w:r>
      <w:r w:rsidRPr="003A3548">
        <w:rPr>
          <w:i/>
          <w:sz w:val="22"/>
          <w:szCs w:val="22"/>
        </w:rPr>
        <w:t xml:space="preserve"> </w:t>
      </w:r>
      <w:r w:rsidR="004848A0" w:rsidRPr="003A3548">
        <w:rPr>
          <w:i/>
          <w:sz w:val="22"/>
          <w:szCs w:val="22"/>
        </w:rPr>
        <w:t>exemption</w:t>
      </w:r>
      <w:r w:rsidRPr="003A3548">
        <w:rPr>
          <w:i/>
          <w:sz w:val="22"/>
          <w:szCs w:val="22"/>
        </w:rPr>
        <w:t xml:space="preserve"> for a particular transaction, it will comply with the terms of the relevant exemption, including</w:t>
      </w:r>
      <w:r w:rsidR="00073796">
        <w:rPr>
          <w:i/>
          <w:sz w:val="22"/>
          <w:szCs w:val="22"/>
        </w:rPr>
        <w:t>,</w:t>
      </w:r>
      <w:r w:rsidRPr="003A3548">
        <w:rPr>
          <w:i/>
          <w:sz w:val="22"/>
          <w:szCs w:val="22"/>
        </w:rPr>
        <w:t xml:space="preserve"> but not limited</w:t>
      </w:r>
      <w:r w:rsidR="00073796">
        <w:rPr>
          <w:i/>
          <w:sz w:val="22"/>
          <w:szCs w:val="22"/>
        </w:rPr>
        <w:t>,</w:t>
      </w:r>
      <w:r w:rsidRPr="003A3548">
        <w:rPr>
          <w:i/>
          <w:sz w:val="22"/>
          <w:szCs w:val="22"/>
        </w:rPr>
        <w:t xml:space="preserve"> to any requirement that such transaction is entered into in order to “hedge or mitigate commercial risk.”</w:t>
      </w:r>
      <w:r w:rsidRPr="003A3548">
        <w:rPr>
          <w:sz w:val="22"/>
          <w:szCs w:val="22"/>
        </w:rPr>
        <w:br/>
      </w:r>
      <w:r w:rsidRPr="003A3548">
        <w:rPr>
          <w:sz w:val="22"/>
          <w:szCs w:val="22"/>
        </w:rPr>
        <w:br/>
      </w:r>
      <w:r w:rsidRPr="003A3548">
        <w:rPr>
          <w:sz w:val="22"/>
          <w:szCs w:val="22"/>
        </w:rPr>
        <w:lastRenderedPageBreak/>
        <w:fldChar w:fldCharType="begin">
          <w:ffData>
            <w:name w:val=""/>
            <w:enabled/>
            <w:calcOnExit w:val="0"/>
            <w:checkBox>
              <w:sizeAuto/>
              <w:default w:val="0"/>
            </w:checkBox>
          </w:ffData>
        </w:fldChar>
      </w:r>
      <w:r w:rsidRPr="003A3548">
        <w:rPr>
          <w:sz w:val="22"/>
          <w:szCs w:val="22"/>
        </w:rPr>
        <w:instrText xml:space="preserve"> FORMCHECKBOX </w:instrText>
      </w:r>
      <w:r w:rsidR="00166DDA">
        <w:rPr>
          <w:sz w:val="22"/>
          <w:szCs w:val="22"/>
        </w:rPr>
      </w:r>
      <w:r w:rsidR="00166DDA">
        <w:rPr>
          <w:sz w:val="22"/>
          <w:szCs w:val="22"/>
        </w:rPr>
        <w:fldChar w:fldCharType="separate"/>
      </w:r>
      <w:r w:rsidRPr="003A3548">
        <w:rPr>
          <w:sz w:val="22"/>
          <w:szCs w:val="22"/>
        </w:rPr>
        <w:fldChar w:fldCharType="end"/>
      </w:r>
      <w:r w:rsidRPr="003A3548">
        <w:rPr>
          <w:sz w:val="22"/>
          <w:szCs w:val="22"/>
        </w:rPr>
        <w:t xml:space="preserve">  All Transactions</w:t>
      </w:r>
      <w:r w:rsidRPr="003A3548">
        <w:rPr>
          <w:sz w:val="22"/>
          <w:szCs w:val="22"/>
        </w:rPr>
        <w:br/>
      </w:r>
      <w:r w:rsidRPr="003A3548">
        <w:rPr>
          <w:sz w:val="22"/>
          <w:szCs w:val="22"/>
        </w:rPr>
        <w:fldChar w:fldCharType="begin">
          <w:ffData>
            <w:name w:val=""/>
            <w:enabled/>
            <w:calcOnExit w:val="0"/>
            <w:checkBox>
              <w:sizeAuto/>
              <w:default w:val="0"/>
            </w:checkBox>
          </w:ffData>
        </w:fldChar>
      </w:r>
      <w:r w:rsidRPr="003A3548">
        <w:rPr>
          <w:sz w:val="22"/>
          <w:szCs w:val="22"/>
        </w:rPr>
        <w:instrText xml:space="preserve"> FORMCHECKBOX </w:instrText>
      </w:r>
      <w:r w:rsidR="00166DDA">
        <w:rPr>
          <w:sz w:val="22"/>
          <w:szCs w:val="22"/>
        </w:rPr>
      </w:r>
      <w:r w:rsidR="00166DDA">
        <w:rPr>
          <w:sz w:val="22"/>
          <w:szCs w:val="22"/>
        </w:rPr>
        <w:fldChar w:fldCharType="separate"/>
      </w:r>
      <w:r w:rsidRPr="003A3548">
        <w:rPr>
          <w:sz w:val="22"/>
          <w:szCs w:val="22"/>
        </w:rPr>
        <w:fldChar w:fldCharType="end"/>
      </w:r>
      <w:r w:rsidRPr="003A3548">
        <w:rPr>
          <w:sz w:val="22"/>
          <w:szCs w:val="22"/>
        </w:rPr>
        <w:t xml:space="preserve">  Not All Transactions</w:t>
      </w:r>
      <w:r w:rsidR="00171DF3" w:rsidRPr="003A3548">
        <w:rPr>
          <w:sz w:val="22"/>
          <w:szCs w:val="22"/>
        </w:rPr>
        <w:br/>
      </w:r>
      <w:r w:rsidR="00171DF3" w:rsidRPr="003A3548">
        <w:rPr>
          <w:sz w:val="22"/>
          <w:szCs w:val="22"/>
        </w:rPr>
        <w:br/>
      </w:r>
      <w:r w:rsidR="00171DF3" w:rsidRPr="003A3548">
        <w:rPr>
          <w:i/>
          <w:color w:val="0070C0"/>
          <w:sz w:val="22"/>
          <w:szCs w:val="22"/>
        </w:rPr>
        <w:t xml:space="preserve">Go </w:t>
      </w:r>
      <w:r w:rsidR="000D0656">
        <w:rPr>
          <w:i/>
          <w:color w:val="0070C0"/>
          <w:sz w:val="22"/>
          <w:szCs w:val="22"/>
        </w:rPr>
        <w:t>to the next</w:t>
      </w:r>
      <w:r w:rsidR="00171DF3" w:rsidRPr="003A3548">
        <w:rPr>
          <w:i/>
          <w:color w:val="0070C0"/>
          <w:sz w:val="22"/>
          <w:szCs w:val="22"/>
        </w:rPr>
        <w:t xml:space="preserve"> item.</w:t>
      </w:r>
    </w:p>
    <w:p w14:paraId="524C82AE" w14:textId="77777777" w:rsidR="00171DF3" w:rsidRPr="00AF52E2" w:rsidRDefault="00E516C0" w:rsidP="00E516C0">
      <w:pPr>
        <w:pStyle w:val="Heading3"/>
        <w:rPr>
          <w:sz w:val="22"/>
          <w:szCs w:val="22"/>
        </w:rPr>
      </w:pPr>
      <w:r w:rsidRPr="003A3548">
        <w:rPr>
          <w:sz w:val="22"/>
          <w:szCs w:val="22"/>
          <w:u w:val="single"/>
        </w:rPr>
        <w:t>Exemption Reporting</w:t>
      </w:r>
      <w:r w:rsidRPr="003A3548">
        <w:rPr>
          <w:sz w:val="22"/>
          <w:szCs w:val="22"/>
        </w:rPr>
        <w:br/>
      </w:r>
      <w:r w:rsidRPr="003A3548">
        <w:rPr>
          <w:sz w:val="22"/>
          <w:szCs w:val="22"/>
        </w:rPr>
        <w:br/>
      </w:r>
      <w:r w:rsidR="00171DF3" w:rsidRPr="003A3548">
        <w:rPr>
          <w:sz w:val="22"/>
          <w:szCs w:val="22"/>
        </w:rPr>
        <w:t>Please check the appropriate box below.</w:t>
      </w:r>
      <w:r w:rsidR="006069E7" w:rsidRPr="003A3548">
        <w:rPr>
          <w:sz w:val="22"/>
          <w:szCs w:val="22"/>
        </w:rPr>
        <w:br/>
      </w:r>
      <w:r w:rsidR="006069E7" w:rsidRPr="003A3548">
        <w:rPr>
          <w:sz w:val="22"/>
          <w:szCs w:val="22"/>
        </w:rPr>
        <w:br/>
      </w:r>
      <w:r w:rsidR="006069E7" w:rsidRPr="003A3548">
        <w:rPr>
          <w:i/>
          <w:sz w:val="22"/>
          <w:szCs w:val="22"/>
          <w:lang w:val="x-none"/>
        </w:rPr>
        <w:t xml:space="preserve">Checking the box next to “Annual Filing by </w:t>
      </w:r>
      <w:r w:rsidR="00171DF3" w:rsidRPr="003A3548">
        <w:rPr>
          <w:i/>
          <w:sz w:val="22"/>
          <w:szCs w:val="22"/>
        </w:rPr>
        <w:t>Named Entity</w:t>
      </w:r>
      <w:r w:rsidR="006069E7" w:rsidRPr="003A3548">
        <w:rPr>
          <w:i/>
          <w:sz w:val="22"/>
          <w:szCs w:val="22"/>
          <w:lang w:val="x-none"/>
        </w:rPr>
        <w:t xml:space="preserve">” indicates that: </w:t>
      </w:r>
      <w:r w:rsidR="00073796">
        <w:rPr>
          <w:i/>
          <w:sz w:val="22"/>
          <w:szCs w:val="22"/>
        </w:rPr>
        <w:br/>
      </w:r>
      <w:r w:rsidR="006069E7" w:rsidRPr="003A3548">
        <w:rPr>
          <w:i/>
          <w:sz w:val="22"/>
          <w:szCs w:val="22"/>
          <w:lang w:val="x-none"/>
        </w:rPr>
        <w:t>(i) unless</w:t>
      </w:r>
      <w:r w:rsidR="006069E7" w:rsidRPr="003A3548">
        <w:rPr>
          <w:i/>
          <w:sz w:val="22"/>
          <w:szCs w:val="22"/>
        </w:rPr>
        <w:t xml:space="preserve"> </w:t>
      </w:r>
      <w:r w:rsidR="00171DF3" w:rsidRPr="003A3548">
        <w:rPr>
          <w:i/>
          <w:sz w:val="22"/>
          <w:szCs w:val="22"/>
        </w:rPr>
        <w:t>Named Entity</w:t>
      </w:r>
      <w:r w:rsidR="006069E7" w:rsidRPr="003A3548">
        <w:rPr>
          <w:i/>
          <w:sz w:val="22"/>
          <w:szCs w:val="22"/>
          <w:lang w:val="x-none"/>
        </w:rPr>
        <w:t xml:space="preserve"> otherwise notifies Recipient in writing prior to the execution of the</w:t>
      </w:r>
      <w:r w:rsidR="006069E7" w:rsidRPr="003A3548">
        <w:rPr>
          <w:i/>
          <w:sz w:val="22"/>
          <w:szCs w:val="22"/>
        </w:rPr>
        <w:t xml:space="preserve"> </w:t>
      </w:r>
      <w:r w:rsidR="006069E7" w:rsidRPr="003A3548">
        <w:rPr>
          <w:i/>
          <w:sz w:val="22"/>
          <w:szCs w:val="22"/>
          <w:lang w:val="x-none"/>
        </w:rPr>
        <w:t xml:space="preserve">relevant Uncleared Swap, as applicable, </w:t>
      </w:r>
      <w:r w:rsidR="00171DF3" w:rsidRPr="003A3548">
        <w:rPr>
          <w:i/>
          <w:sz w:val="22"/>
          <w:szCs w:val="22"/>
        </w:rPr>
        <w:t>Named Entity</w:t>
      </w:r>
      <w:r w:rsidR="006069E7" w:rsidRPr="003A3548">
        <w:rPr>
          <w:i/>
          <w:sz w:val="22"/>
          <w:szCs w:val="22"/>
          <w:lang w:val="x-none"/>
        </w:rPr>
        <w:t xml:space="preserve"> will satisfy the </w:t>
      </w:r>
      <w:r w:rsidR="006069E7" w:rsidRPr="009C38F2">
        <w:rPr>
          <w:i/>
          <w:sz w:val="22"/>
          <w:szCs w:val="22"/>
          <w:lang w:val="x-none"/>
        </w:rPr>
        <w:t>Swaps Hedging</w:t>
      </w:r>
      <w:r w:rsidR="006069E7" w:rsidRPr="009C38F2">
        <w:rPr>
          <w:i/>
          <w:sz w:val="22"/>
          <w:szCs w:val="22"/>
        </w:rPr>
        <w:t xml:space="preserve"> </w:t>
      </w:r>
      <w:r w:rsidR="006069E7" w:rsidRPr="009C38F2">
        <w:rPr>
          <w:i/>
          <w:sz w:val="22"/>
          <w:szCs w:val="22"/>
          <w:lang w:val="x-none"/>
        </w:rPr>
        <w:t>Exemption Reporting Requirement</w:t>
      </w:r>
      <w:r w:rsidR="006069E7" w:rsidRPr="003A3548">
        <w:rPr>
          <w:i/>
          <w:sz w:val="22"/>
          <w:szCs w:val="22"/>
          <w:lang w:val="x-none"/>
        </w:rPr>
        <w:t xml:space="preserve"> by making an annual filing and (ii) all</w:t>
      </w:r>
      <w:r w:rsidR="006069E7" w:rsidRPr="003A3548">
        <w:rPr>
          <w:i/>
          <w:sz w:val="22"/>
          <w:szCs w:val="22"/>
        </w:rPr>
        <w:t xml:space="preserve"> </w:t>
      </w:r>
      <w:r w:rsidR="006069E7" w:rsidRPr="003A3548">
        <w:rPr>
          <w:i/>
          <w:sz w:val="22"/>
          <w:szCs w:val="22"/>
          <w:lang w:val="x-none"/>
        </w:rPr>
        <w:t xml:space="preserve">information reported in connection with </w:t>
      </w:r>
      <w:r w:rsidR="00171DF3" w:rsidRPr="003A3548">
        <w:rPr>
          <w:i/>
          <w:sz w:val="22"/>
          <w:szCs w:val="22"/>
        </w:rPr>
        <w:t>Named Entity</w:t>
      </w:r>
      <w:r w:rsidR="006069E7" w:rsidRPr="003A3548">
        <w:rPr>
          <w:i/>
          <w:sz w:val="22"/>
          <w:szCs w:val="22"/>
          <w:lang w:val="x-none"/>
        </w:rPr>
        <w:t>’s satisfaction of the Swaps</w:t>
      </w:r>
      <w:r w:rsidR="006069E7" w:rsidRPr="003A3548">
        <w:rPr>
          <w:i/>
          <w:sz w:val="22"/>
          <w:szCs w:val="22"/>
        </w:rPr>
        <w:t xml:space="preserve"> </w:t>
      </w:r>
      <w:r w:rsidR="006069E7" w:rsidRPr="003A3548">
        <w:rPr>
          <w:i/>
          <w:sz w:val="22"/>
          <w:szCs w:val="22"/>
          <w:lang w:val="x-none"/>
        </w:rPr>
        <w:t>Hedging Exemption Reporting Requirement is true, accurate and complete in</w:t>
      </w:r>
      <w:r w:rsidR="006069E7" w:rsidRPr="003A3548">
        <w:rPr>
          <w:i/>
          <w:sz w:val="22"/>
          <w:szCs w:val="22"/>
        </w:rPr>
        <w:t xml:space="preserve"> </w:t>
      </w:r>
      <w:r w:rsidR="006069E7" w:rsidRPr="003A3548">
        <w:rPr>
          <w:i/>
          <w:sz w:val="22"/>
          <w:szCs w:val="22"/>
          <w:lang w:val="x-none"/>
        </w:rPr>
        <w:t>every material respect.</w:t>
      </w:r>
      <w:r w:rsidR="006069E7" w:rsidRPr="003A3548">
        <w:rPr>
          <w:i/>
          <w:sz w:val="22"/>
          <w:szCs w:val="22"/>
        </w:rPr>
        <w:t xml:space="preserve"> </w:t>
      </w:r>
      <w:r w:rsidR="006069E7" w:rsidRPr="003A3548">
        <w:rPr>
          <w:i/>
          <w:sz w:val="22"/>
          <w:szCs w:val="22"/>
        </w:rPr>
        <w:br/>
      </w:r>
      <w:r w:rsidR="006069E7" w:rsidRPr="003A3548">
        <w:rPr>
          <w:i/>
          <w:sz w:val="22"/>
          <w:szCs w:val="22"/>
        </w:rPr>
        <w:br/>
      </w:r>
      <w:r w:rsidR="006069E7" w:rsidRPr="00AF52E2">
        <w:rPr>
          <w:i/>
          <w:sz w:val="22"/>
          <w:szCs w:val="22"/>
          <w:lang w:val="x-none"/>
        </w:rPr>
        <w:t xml:space="preserve">Checking the box next to “Trade Filing by Recipient” indicates that </w:t>
      </w:r>
      <w:r w:rsidR="00171DF3" w:rsidRPr="00AF52E2">
        <w:rPr>
          <w:i/>
          <w:sz w:val="22"/>
          <w:szCs w:val="22"/>
        </w:rPr>
        <w:t>Named Entity</w:t>
      </w:r>
      <w:r w:rsidR="006069E7" w:rsidRPr="00AF52E2">
        <w:rPr>
          <w:i/>
          <w:sz w:val="22"/>
          <w:szCs w:val="22"/>
        </w:rPr>
        <w:t xml:space="preserve"> </w:t>
      </w:r>
      <w:r w:rsidR="006069E7" w:rsidRPr="00AF52E2">
        <w:rPr>
          <w:i/>
          <w:sz w:val="22"/>
          <w:szCs w:val="22"/>
          <w:lang w:val="x-none"/>
        </w:rPr>
        <w:t>intends to cause Recipient to satisfy the Swaps Hedging Exemption Reporting</w:t>
      </w:r>
      <w:r w:rsidR="006069E7" w:rsidRPr="00AF52E2">
        <w:rPr>
          <w:i/>
          <w:sz w:val="22"/>
          <w:szCs w:val="22"/>
        </w:rPr>
        <w:t xml:space="preserve"> </w:t>
      </w:r>
      <w:r w:rsidR="006069E7" w:rsidRPr="00AF52E2">
        <w:rPr>
          <w:i/>
          <w:sz w:val="22"/>
          <w:szCs w:val="22"/>
          <w:lang w:val="x-none"/>
        </w:rPr>
        <w:t>Requirement.</w:t>
      </w:r>
      <w:r w:rsidR="006069E7" w:rsidRPr="00AF52E2">
        <w:rPr>
          <w:sz w:val="22"/>
          <w:szCs w:val="22"/>
        </w:rPr>
        <w:t xml:space="preserve"> </w:t>
      </w:r>
      <w:r w:rsidR="00171DF3" w:rsidRPr="00AF52E2">
        <w:rPr>
          <w:sz w:val="22"/>
          <w:szCs w:val="22"/>
        </w:rPr>
        <w:br/>
      </w:r>
      <w:r w:rsidR="00171DF3" w:rsidRPr="00AF52E2">
        <w:rPr>
          <w:sz w:val="22"/>
          <w:szCs w:val="22"/>
        </w:rPr>
        <w:br/>
      </w:r>
      <w:r w:rsidR="00171DF3" w:rsidRPr="00AF52E2">
        <w:rPr>
          <w:sz w:val="22"/>
          <w:szCs w:val="22"/>
        </w:rPr>
        <w:fldChar w:fldCharType="begin">
          <w:ffData>
            <w:name w:val=""/>
            <w:enabled/>
            <w:calcOnExit w:val="0"/>
            <w:checkBox>
              <w:sizeAuto/>
              <w:default w:val="0"/>
            </w:checkBox>
          </w:ffData>
        </w:fldChar>
      </w:r>
      <w:r w:rsidR="00171DF3" w:rsidRPr="00AF52E2">
        <w:rPr>
          <w:sz w:val="22"/>
          <w:szCs w:val="22"/>
        </w:rPr>
        <w:instrText xml:space="preserve"> FORMCHECKBOX </w:instrText>
      </w:r>
      <w:r w:rsidR="00166DDA">
        <w:rPr>
          <w:sz w:val="22"/>
          <w:szCs w:val="22"/>
        </w:rPr>
      </w:r>
      <w:r w:rsidR="00166DDA">
        <w:rPr>
          <w:sz w:val="22"/>
          <w:szCs w:val="22"/>
        </w:rPr>
        <w:fldChar w:fldCharType="separate"/>
      </w:r>
      <w:r w:rsidR="00171DF3" w:rsidRPr="00AF52E2">
        <w:rPr>
          <w:sz w:val="22"/>
          <w:szCs w:val="22"/>
        </w:rPr>
        <w:fldChar w:fldCharType="end"/>
      </w:r>
      <w:r w:rsidR="00171DF3" w:rsidRPr="00AF52E2">
        <w:rPr>
          <w:sz w:val="22"/>
          <w:szCs w:val="22"/>
        </w:rPr>
        <w:t xml:space="preserve">  Annual Filing by Named Entity</w:t>
      </w:r>
      <w:r w:rsidR="00171DF3" w:rsidRPr="00AF52E2">
        <w:rPr>
          <w:sz w:val="22"/>
          <w:szCs w:val="22"/>
        </w:rPr>
        <w:br/>
      </w:r>
      <w:r w:rsidR="00171DF3" w:rsidRPr="00AF52E2">
        <w:rPr>
          <w:sz w:val="22"/>
          <w:szCs w:val="22"/>
        </w:rPr>
        <w:fldChar w:fldCharType="begin">
          <w:ffData>
            <w:name w:val=""/>
            <w:enabled/>
            <w:calcOnExit w:val="0"/>
            <w:checkBox>
              <w:sizeAuto/>
              <w:default w:val="0"/>
            </w:checkBox>
          </w:ffData>
        </w:fldChar>
      </w:r>
      <w:r w:rsidR="00171DF3" w:rsidRPr="00AF52E2">
        <w:rPr>
          <w:sz w:val="22"/>
          <w:szCs w:val="22"/>
        </w:rPr>
        <w:instrText xml:space="preserve"> FORMCHECKBOX </w:instrText>
      </w:r>
      <w:r w:rsidR="00166DDA">
        <w:rPr>
          <w:sz w:val="22"/>
          <w:szCs w:val="22"/>
        </w:rPr>
      </w:r>
      <w:r w:rsidR="00166DDA">
        <w:rPr>
          <w:sz w:val="22"/>
          <w:szCs w:val="22"/>
        </w:rPr>
        <w:fldChar w:fldCharType="separate"/>
      </w:r>
      <w:r w:rsidR="00171DF3" w:rsidRPr="00AF52E2">
        <w:rPr>
          <w:sz w:val="22"/>
          <w:szCs w:val="22"/>
        </w:rPr>
        <w:fldChar w:fldCharType="end"/>
      </w:r>
      <w:r w:rsidR="00171DF3" w:rsidRPr="00AF52E2">
        <w:rPr>
          <w:sz w:val="22"/>
          <w:szCs w:val="22"/>
        </w:rPr>
        <w:t xml:space="preserve">  Trade Filing by Recipient</w:t>
      </w:r>
      <w:r w:rsidR="00171DF3" w:rsidRPr="00AF52E2">
        <w:rPr>
          <w:sz w:val="22"/>
          <w:szCs w:val="22"/>
        </w:rPr>
        <w:br/>
      </w:r>
      <w:r w:rsidR="00171DF3" w:rsidRPr="00AF52E2">
        <w:rPr>
          <w:sz w:val="22"/>
          <w:szCs w:val="22"/>
        </w:rPr>
        <w:br/>
      </w:r>
      <w:r w:rsidR="00171DF3" w:rsidRPr="00AF52E2">
        <w:rPr>
          <w:i/>
          <w:color w:val="0070C0"/>
          <w:sz w:val="22"/>
          <w:szCs w:val="22"/>
        </w:rPr>
        <w:t>-If Named Entity checked “Trade Filing by Recipient,</w:t>
      </w:r>
      <w:r w:rsidR="009C38F2">
        <w:rPr>
          <w:i/>
          <w:color w:val="0070C0"/>
          <w:sz w:val="22"/>
          <w:szCs w:val="22"/>
        </w:rPr>
        <w:t>”</w:t>
      </w:r>
      <w:r w:rsidR="00F4063C">
        <w:rPr>
          <w:i/>
          <w:color w:val="0070C0"/>
          <w:sz w:val="22"/>
          <w:szCs w:val="22"/>
        </w:rPr>
        <w:t xml:space="preserve"> </w:t>
      </w:r>
      <w:r w:rsidR="00171DF3" w:rsidRPr="00AF52E2">
        <w:rPr>
          <w:i/>
          <w:color w:val="0070C0"/>
          <w:sz w:val="22"/>
          <w:szCs w:val="22"/>
        </w:rPr>
        <w:t>go to</w:t>
      </w:r>
      <w:r w:rsidR="000D0656">
        <w:rPr>
          <w:i/>
          <w:color w:val="0070C0"/>
          <w:sz w:val="22"/>
          <w:szCs w:val="22"/>
        </w:rPr>
        <w:t xml:space="preserve"> the next</w:t>
      </w:r>
      <w:r w:rsidR="00171DF3" w:rsidRPr="00AF52E2">
        <w:rPr>
          <w:i/>
          <w:color w:val="0070C0"/>
          <w:sz w:val="22"/>
          <w:szCs w:val="22"/>
        </w:rPr>
        <w:t xml:space="preserve"> item.</w:t>
      </w:r>
      <w:r w:rsidR="00EA7F9D" w:rsidRPr="00AF52E2">
        <w:rPr>
          <w:i/>
          <w:color w:val="0070C0"/>
          <w:sz w:val="22"/>
          <w:szCs w:val="22"/>
        </w:rPr>
        <w:br/>
      </w:r>
      <w:r w:rsidR="00EA7F9D" w:rsidRPr="00AF52E2">
        <w:rPr>
          <w:i/>
          <w:color w:val="0070C0"/>
          <w:sz w:val="22"/>
          <w:szCs w:val="22"/>
        </w:rPr>
        <w:br/>
        <w:t>-</w:t>
      </w:r>
      <w:r w:rsidR="00EA7F9D" w:rsidRPr="00A62565">
        <w:rPr>
          <w:i/>
          <w:color w:val="0070C0"/>
          <w:sz w:val="22"/>
          <w:szCs w:val="22"/>
        </w:rPr>
        <w:t>If Named Entity checked “Annual Filing by Named Enti</w:t>
      </w:r>
      <w:r w:rsidR="00B160EB" w:rsidRPr="00A62565">
        <w:rPr>
          <w:i/>
          <w:color w:val="0070C0"/>
          <w:sz w:val="22"/>
          <w:szCs w:val="22"/>
        </w:rPr>
        <w:t>t</w:t>
      </w:r>
      <w:r w:rsidR="00EA7F9D" w:rsidRPr="00A62565">
        <w:rPr>
          <w:i/>
          <w:color w:val="0070C0"/>
          <w:sz w:val="22"/>
          <w:szCs w:val="22"/>
        </w:rPr>
        <w:t xml:space="preserve">y,” </w:t>
      </w:r>
      <w:r w:rsidR="00B160EB" w:rsidRPr="00AF52E2">
        <w:rPr>
          <w:i/>
          <w:color w:val="0070C0"/>
          <w:sz w:val="22"/>
          <w:szCs w:val="22"/>
        </w:rPr>
        <w:t xml:space="preserve">skip the rest of this </w:t>
      </w:r>
      <w:r w:rsidR="00A62565" w:rsidRPr="00A62565">
        <w:rPr>
          <w:i/>
          <w:color w:val="0070C0"/>
          <w:sz w:val="22"/>
          <w:szCs w:val="22"/>
        </w:rPr>
        <w:t xml:space="preserve">Part III.A </w:t>
      </w:r>
      <w:r w:rsidR="00BC068A">
        <w:rPr>
          <w:i/>
          <w:color w:val="0070C0"/>
          <w:sz w:val="22"/>
          <w:szCs w:val="22"/>
        </w:rPr>
        <w:t>(</w:t>
      </w:r>
      <w:r w:rsidR="00A62565" w:rsidRPr="00A62565">
        <w:rPr>
          <w:i/>
          <w:color w:val="0070C0"/>
          <w:sz w:val="22"/>
          <w:szCs w:val="22"/>
        </w:rPr>
        <w:t>go to Part III.B if Information Recipient has requested</w:t>
      </w:r>
      <w:r w:rsidR="00BC068A">
        <w:rPr>
          <w:i/>
          <w:color w:val="0070C0"/>
          <w:sz w:val="22"/>
          <w:szCs w:val="22"/>
        </w:rPr>
        <w:t>)</w:t>
      </w:r>
      <w:r w:rsidR="00B160EB" w:rsidRPr="00AF52E2">
        <w:rPr>
          <w:i/>
          <w:color w:val="0070C0"/>
          <w:sz w:val="22"/>
          <w:szCs w:val="22"/>
        </w:rPr>
        <w:t>.</w:t>
      </w:r>
    </w:p>
    <w:p w14:paraId="5C3E2B52" w14:textId="77777777" w:rsidR="00EA7F9D" w:rsidRPr="00AF52E2" w:rsidRDefault="00EA7F9D" w:rsidP="006636EC">
      <w:pPr>
        <w:pStyle w:val="Heading3"/>
        <w:tabs>
          <w:tab w:val="left" w:pos="1800"/>
        </w:tabs>
        <w:rPr>
          <w:sz w:val="22"/>
          <w:szCs w:val="22"/>
        </w:rPr>
      </w:pPr>
      <w:r w:rsidRPr="00AF52E2">
        <w:rPr>
          <w:sz w:val="22"/>
          <w:szCs w:val="22"/>
          <w:u w:val="single"/>
        </w:rPr>
        <w:t>Financial Obligations</w:t>
      </w:r>
      <w:r w:rsidRPr="00AF52E2">
        <w:rPr>
          <w:sz w:val="22"/>
          <w:szCs w:val="22"/>
        </w:rPr>
        <w:br/>
      </w:r>
      <w:r w:rsidRPr="00AF52E2">
        <w:rPr>
          <w:sz w:val="22"/>
          <w:szCs w:val="22"/>
        </w:rPr>
        <w:br/>
        <w:t xml:space="preserve">Please indicate how </w:t>
      </w:r>
      <w:r w:rsidR="000719FC">
        <w:rPr>
          <w:sz w:val="22"/>
          <w:szCs w:val="22"/>
        </w:rPr>
        <w:t>Named Enti</w:t>
      </w:r>
      <w:r w:rsidR="00F4063C">
        <w:rPr>
          <w:sz w:val="22"/>
          <w:szCs w:val="22"/>
        </w:rPr>
        <w:t>t</w:t>
      </w:r>
      <w:r w:rsidR="000719FC">
        <w:rPr>
          <w:sz w:val="22"/>
          <w:szCs w:val="22"/>
        </w:rPr>
        <w:t>y</w:t>
      </w:r>
      <w:r w:rsidRPr="00AF52E2">
        <w:rPr>
          <w:sz w:val="22"/>
          <w:szCs w:val="22"/>
        </w:rPr>
        <w:t xml:space="preserve"> generally meets its financial obligations associated with entering into Uncleared Swaps by checking one or more boxes below, as appropriate.</w:t>
      </w:r>
      <w:r w:rsidRPr="00AF52E2">
        <w:rPr>
          <w:sz w:val="22"/>
          <w:szCs w:val="22"/>
        </w:rPr>
        <w:br/>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w:t>
      </w:r>
      <w:r w:rsidR="00B160EB" w:rsidRPr="00AF52E2">
        <w:rPr>
          <w:sz w:val="22"/>
          <w:szCs w:val="22"/>
        </w:rPr>
        <w:t>A w</w:t>
      </w:r>
      <w:r w:rsidRPr="00AF52E2">
        <w:rPr>
          <w:sz w:val="22"/>
          <w:szCs w:val="22"/>
        </w:rPr>
        <w:t>ritten credit support agreement</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Pledged or secured assets (including posting </w:t>
      </w:r>
      <w:r w:rsidR="00B26879">
        <w:rPr>
          <w:sz w:val="22"/>
          <w:szCs w:val="22"/>
        </w:rPr>
        <w:t xml:space="preserve">or receiving margin pursuant to </w:t>
      </w:r>
      <w:r w:rsidR="00B26879">
        <w:rPr>
          <w:sz w:val="22"/>
          <w:szCs w:val="22"/>
        </w:rPr>
        <w:tab/>
      </w:r>
      <w:r w:rsidRPr="00AF52E2">
        <w:rPr>
          <w:sz w:val="22"/>
          <w:szCs w:val="22"/>
        </w:rPr>
        <w:t>a credit support arrangement or otherwise)</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w:t>
      </w:r>
      <w:r w:rsidR="00B160EB" w:rsidRPr="00AF52E2">
        <w:rPr>
          <w:sz w:val="22"/>
          <w:szCs w:val="22"/>
        </w:rPr>
        <w:t>A written third</w:t>
      </w:r>
      <w:r w:rsidR="00073796">
        <w:rPr>
          <w:sz w:val="22"/>
          <w:szCs w:val="22"/>
        </w:rPr>
        <w:t>-</w:t>
      </w:r>
      <w:r w:rsidR="00B160EB" w:rsidRPr="00AF52E2">
        <w:rPr>
          <w:sz w:val="22"/>
          <w:szCs w:val="22"/>
        </w:rPr>
        <w:t>party guarantee</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w:t>
      </w:r>
      <w:r w:rsidR="00B160EB" w:rsidRPr="00AF52E2">
        <w:rPr>
          <w:sz w:val="22"/>
          <w:szCs w:val="22"/>
        </w:rPr>
        <w:t>Named Entity’s available financial resources</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w:t>
      </w:r>
      <w:r w:rsidR="00B160EB" w:rsidRPr="00AF52E2">
        <w:rPr>
          <w:sz w:val="22"/>
          <w:szCs w:val="22"/>
        </w:rPr>
        <w:t>Means other than those described in any of the foregoing options</w:t>
      </w:r>
      <w:r w:rsidR="00B160EB" w:rsidRPr="00AF52E2">
        <w:rPr>
          <w:sz w:val="22"/>
          <w:szCs w:val="22"/>
        </w:rPr>
        <w:br/>
      </w:r>
      <w:r w:rsidR="00B160EB" w:rsidRPr="00AF52E2">
        <w:rPr>
          <w:sz w:val="22"/>
          <w:szCs w:val="22"/>
        </w:rPr>
        <w:br/>
      </w:r>
      <w:r w:rsidR="00B160EB" w:rsidRPr="00AF52E2">
        <w:rPr>
          <w:i/>
          <w:color w:val="0070C0"/>
          <w:sz w:val="22"/>
          <w:szCs w:val="22"/>
        </w:rPr>
        <w:t>Go to</w:t>
      </w:r>
      <w:r w:rsidR="00BC068A">
        <w:rPr>
          <w:i/>
          <w:color w:val="0070C0"/>
          <w:sz w:val="22"/>
          <w:szCs w:val="22"/>
        </w:rPr>
        <w:t xml:space="preserve"> the next</w:t>
      </w:r>
      <w:r w:rsidR="00B160EB" w:rsidRPr="00AF52E2">
        <w:rPr>
          <w:i/>
          <w:color w:val="0070C0"/>
          <w:sz w:val="22"/>
          <w:szCs w:val="22"/>
        </w:rPr>
        <w:t xml:space="preserve"> item.</w:t>
      </w:r>
    </w:p>
    <w:p w14:paraId="5810C806" w14:textId="77777777" w:rsidR="00B160EB" w:rsidRPr="00AF52E2" w:rsidRDefault="00B160EB" w:rsidP="00B160EB">
      <w:pPr>
        <w:pStyle w:val="Heading3"/>
        <w:rPr>
          <w:color w:val="0070C0"/>
          <w:sz w:val="22"/>
          <w:szCs w:val="22"/>
          <w:lang w:val="x-none"/>
        </w:rPr>
      </w:pPr>
      <w:r w:rsidRPr="00AF52E2">
        <w:rPr>
          <w:sz w:val="22"/>
          <w:szCs w:val="22"/>
          <w:u w:val="single"/>
        </w:rPr>
        <w:t>SEC Issuer/Filer</w:t>
      </w:r>
      <w:r w:rsidRPr="00AF52E2">
        <w:rPr>
          <w:sz w:val="22"/>
          <w:szCs w:val="22"/>
        </w:rPr>
        <w:br/>
      </w:r>
      <w:r w:rsidRPr="00AF52E2">
        <w:rPr>
          <w:sz w:val="22"/>
          <w:szCs w:val="22"/>
        </w:rPr>
        <w:br/>
        <w:t>Please check one of the boxes below.</w:t>
      </w:r>
      <w:r w:rsidRPr="00AF52E2">
        <w:rPr>
          <w:sz w:val="22"/>
          <w:szCs w:val="22"/>
        </w:rPr>
        <w:br/>
      </w:r>
      <w:r w:rsidRPr="00AF52E2">
        <w:rPr>
          <w:sz w:val="22"/>
          <w:szCs w:val="22"/>
        </w:rPr>
        <w:lastRenderedPageBreak/>
        <w:br/>
      </w:r>
      <w:r w:rsidRPr="00AF52E2">
        <w:rPr>
          <w:i/>
          <w:sz w:val="22"/>
          <w:szCs w:val="22"/>
        </w:rPr>
        <w:t>C</w:t>
      </w:r>
      <w:r w:rsidRPr="00AF52E2">
        <w:rPr>
          <w:i/>
          <w:sz w:val="22"/>
          <w:szCs w:val="22"/>
          <w:lang w:val="x-none"/>
        </w:rPr>
        <w:t>hecking the box next to “SEC</w:t>
      </w:r>
      <w:r w:rsidRPr="00AF52E2">
        <w:rPr>
          <w:i/>
          <w:sz w:val="22"/>
          <w:szCs w:val="22"/>
        </w:rPr>
        <w:t xml:space="preserve"> </w:t>
      </w:r>
      <w:r w:rsidRPr="00AF52E2">
        <w:rPr>
          <w:i/>
          <w:sz w:val="22"/>
          <w:szCs w:val="22"/>
          <w:lang w:val="x-none"/>
        </w:rPr>
        <w:t xml:space="preserve">Issuer/Filer” indicates that </w:t>
      </w:r>
      <w:r w:rsidRPr="00AF52E2">
        <w:rPr>
          <w:i/>
          <w:sz w:val="22"/>
          <w:szCs w:val="22"/>
        </w:rPr>
        <w:t>Named Entity</w:t>
      </w:r>
      <w:r w:rsidRPr="00AF52E2">
        <w:rPr>
          <w:i/>
          <w:sz w:val="22"/>
          <w:szCs w:val="22"/>
          <w:lang w:val="x-none"/>
        </w:rPr>
        <w:t xml:space="preserve"> is an issuer of securities</w:t>
      </w:r>
      <w:r w:rsidR="003A3548" w:rsidRPr="00AF52E2">
        <w:rPr>
          <w:rStyle w:val="FootnoteReference"/>
          <w:i/>
          <w:sz w:val="22"/>
          <w:szCs w:val="22"/>
          <w:lang w:val="x-none"/>
        </w:rPr>
        <w:footnoteReference w:id="13"/>
      </w:r>
      <w:r w:rsidRPr="00AF52E2">
        <w:rPr>
          <w:i/>
          <w:sz w:val="22"/>
          <w:szCs w:val="22"/>
          <w:lang w:val="x-none"/>
        </w:rPr>
        <w:t xml:space="preserve"> registered</w:t>
      </w:r>
      <w:r w:rsidRPr="00AF52E2">
        <w:rPr>
          <w:i/>
          <w:sz w:val="22"/>
          <w:szCs w:val="22"/>
        </w:rPr>
        <w:t xml:space="preserve"> </w:t>
      </w:r>
      <w:r w:rsidRPr="00AF52E2">
        <w:rPr>
          <w:i/>
          <w:sz w:val="22"/>
          <w:szCs w:val="22"/>
          <w:lang w:val="x-none"/>
        </w:rPr>
        <w:t>under Section 12 of the Exchange Act or is required to file reports under</w:t>
      </w:r>
      <w:r w:rsidRPr="00AF52E2">
        <w:rPr>
          <w:i/>
          <w:sz w:val="22"/>
          <w:szCs w:val="22"/>
        </w:rPr>
        <w:t xml:space="preserve"> </w:t>
      </w:r>
      <w:r w:rsidRPr="00AF52E2">
        <w:rPr>
          <w:i/>
          <w:sz w:val="22"/>
          <w:szCs w:val="22"/>
          <w:lang w:val="x-none"/>
        </w:rPr>
        <w:t>Section 15(d) of the Exchange Act.</w:t>
      </w:r>
      <w:r w:rsidRPr="00AF52E2">
        <w:rPr>
          <w:i/>
          <w:sz w:val="22"/>
          <w:szCs w:val="22"/>
        </w:rPr>
        <w:t xml:space="preserve"> </w:t>
      </w:r>
      <w:r w:rsidRPr="00AF52E2">
        <w:rPr>
          <w:i/>
          <w:sz w:val="22"/>
          <w:szCs w:val="22"/>
        </w:rPr>
        <w:br/>
      </w:r>
      <w:r w:rsidRPr="00AF52E2">
        <w:rPr>
          <w:i/>
          <w:sz w:val="22"/>
          <w:szCs w:val="22"/>
        </w:rPr>
        <w:br/>
      </w:r>
      <w:r w:rsidRPr="00AF52E2">
        <w:rPr>
          <w:i/>
          <w:sz w:val="22"/>
          <w:szCs w:val="22"/>
          <w:lang w:val="x-none"/>
        </w:rPr>
        <w:t>Checking the box next to “Not an</w:t>
      </w:r>
      <w:r w:rsidRPr="00AF52E2">
        <w:rPr>
          <w:i/>
          <w:sz w:val="22"/>
          <w:szCs w:val="22"/>
        </w:rPr>
        <w:t xml:space="preserve"> </w:t>
      </w:r>
      <w:r w:rsidRPr="00AF52E2">
        <w:rPr>
          <w:i/>
          <w:sz w:val="22"/>
          <w:szCs w:val="22"/>
          <w:lang w:val="x-none"/>
        </w:rPr>
        <w:t xml:space="preserve">SEC Issuer/Filer” indicates that </w:t>
      </w:r>
      <w:r w:rsidR="003A3548" w:rsidRPr="00AF52E2">
        <w:rPr>
          <w:i/>
          <w:sz w:val="22"/>
          <w:szCs w:val="22"/>
        </w:rPr>
        <w:t>Named Entity</w:t>
      </w:r>
      <w:r w:rsidRPr="00AF52E2">
        <w:rPr>
          <w:i/>
          <w:sz w:val="22"/>
          <w:szCs w:val="22"/>
          <w:lang w:val="x-none"/>
        </w:rPr>
        <w:t xml:space="preserve"> is not an issuer of securities</w:t>
      </w:r>
      <w:r w:rsidRPr="00AF52E2">
        <w:rPr>
          <w:i/>
          <w:sz w:val="22"/>
          <w:szCs w:val="22"/>
        </w:rPr>
        <w:t xml:space="preserve"> </w:t>
      </w:r>
      <w:r w:rsidRPr="00AF52E2">
        <w:rPr>
          <w:i/>
          <w:sz w:val="22"/>
          <w:szCs w:val="22"/>
          <w:lang w:val="x-none"/>
        </w:rPr>
        <w:t>registered under Section 12 of the Exchange Act and is not required to file</w:t>
      </w:r>
      <w:r w:rsidRPr="00AF52E2">
        <w:rPr>
          <w:i/>
          <w:sz w:val="22"/>
          <w:szCs w:val="22"/>
        </w:rPr>
        <w:t xml:space="preserve"> </w:t>
      </w:r>
      <w:r w:rsidRPr="00AF52E2">
        <w:rPr>
          <w:i/>
          <w:sz w:val="22"/>
          <w:szCs w:val="22"/>
          <w:lang w:val="x-none"/>
        </w:rPr>
        <w:t>reports under Section 15(d) of the Exchange Act.</w:t>
      </w:r>
      <w:r w:rsidR="003A3548" w:rsidRPr="00AF52E2">
        <w:rPr>
          <w:sz w:val="22"/>
          <w:szCs w:val="22"/>
        </w:rPr>
        <w:br/>
      </w:r>
      <w:r w:rsidR="003A3548" w:rsidRPr="00AF52E2">
        <w:rPr>
          <w:sz w:val="22"/>
          <w:szCs w:val="22"/>
        </w:rPr>
        <w:br/>
      </w:r>
      <w:r w:rsidR="003A3548" w:rsidRPr="00AF52E2">
        <w:rPr>
          <w:sz w:val="22"/>
          <w:szCs w:val="22"/>
        </w:rPr>
        <w:fldChar w:fldCharType="begin">
          <w:ffData>
            <w:name w:val=""/>
            <w:enabled/>
            <w:calcOnExit w:val="0"/>
            <w:checkBox>
              <w:sizeAuto/>
              <w:default w:val="0"/>
            </w:checkBox>
          </w:ffData>
        </w:fldChar>
      </w:r>
      <w:r w:rsidR="003A3548" w:rsidRPr="00AF52E2">
        <w:rPr>
          <w:sz w:val="22"/>
          <w:szCs w:val="22"/>
        </w:rPr>
        <w:instrText xml:space="preserve"> FORMCHECKBOX </w:instrText>
      </w:r>
      <w:r w:rsidR="00166DDA">
        <w:rPr>
          <w:sz w:val="22"/>
          <w:szCs w:val="22"/>
        </w:rPr>
      </w:r>
      <w:r w:rsidR="00166DDA">
        <w:rPr>
          <w:sz w:val="22"/>
          <w:szCs w:val="22"/>
        </w:rPr>
        <w:fldChar w:fldCharType="separate"/>
      </w:r>
      <w:r w:rsidR="003A3548" w:rsidRPr="00AF52E2">
        <w:rPr>
          <w:sz w:val="22"/>
          <w:szCs w:val="22"/>
        </w:rPr>
        <w:fldChar w:fldCharType="end"/>
      </w:r>
      <w:r w:rsidR="003A3548" w:rsidRPr="00AF52E2">
        <w:rPr>
          <w:sz w:val="22"/>
          <w:szCs w:val="22"/>
        </w:rPr>
        <w:t xml:space="preserve">  SEC Issuer/Filer</w:t>
      </w:r>
      <w:r w:rsidR="003A3548" w:rsidRPr="00AF52E2">
        <w:rPr>
          <w:sz w:val="22"/>
          <w:szCs w:val="22"/>
        </w:rPr>
        <w:br/>
      </w:r>
      <w:r w:rsidR="003A3548" w:rsidRPr="00AF52E2">
        <w:rPr>
          <w:sz w:val="22"/>
          <w:szCs w:val="22"/>
        </w:rPr>
        <w:fldChar w:fldCharType="begin">
          <w:ffData>
            <w:name w:val=""/>
            <w:enabled/>
            <w:calcOnExit w:val="0"/>
            <w:checkBox>
              <w:sizeAuto/>
              <w:default w:val="0"/>
            </w:checkBox>
          </w:ffData>
        </w:fldChar>
      </w:r>
      <w:r w:rsidR="003A3548" w:rsidRPr="00AF52E2">
        <w:rPr>
          <w:sz w:val="22"/>
          <w:szCs w:val="22"/>
        </w:rPr>
        <w:instrText xml:space="preserve"> FORMCHECKBOX </w:instrText>
      </w:r>
      <w:r w:rsidR="00166DDA">
        <w:rPr>
          <w:sz w:val="22"/>
          <w:szCs w:val="22"/>
        </w:rPr>
      </w:r>
      <w:r w:rsidR="00166DDA">
        <w:rPr>
          <w:sz w:val="22"/>
          <w:szCs w:val="22"/>
        </w:rPr>
        <w:fldChar w:fldCharType="separate"/>
      </w:r>
      <w:r w:rsidR="003A3548" w:rsidRPr="00AF52E2">
        <w:rPr>
          <w:sz w:val="22"/>
          <w:szCs w:val="22"/>
        </w:rPr>
        <w:fldChar w:fldCharType="end"/>
      </w:r>
      <w:r w:rsidR="003A3548" w:rsidRPr="00AF52E2">
        <w:rPr>
          <w:sz w:val="22"/>
          <w:szCs w:val="22"/>
        </w:rPr>
        <w:t xml:space="preserve">  Not an SEC Issuer/Filer</w:t>
      </w:r>
      <w:r w:rsidR="003A3548" w:rsidRPr="00AF52E2">
        <w:rPr>
          <w:sz w:val="22"/>
          <w:szCs w:val="22"/>
        </w:rPr>
        <w:br/>
      </w:r>
      <w:r w:rsidR="003A3548" w:rsidRPr="00AF52E2">
        <w:rPr>
          <w:sz w:val="22"/>
          <w:szCs w:val="22"/>
        </w:rPr>
        <w:br/>
      </w:r>
      <w:r w:rsidR="003A3548" w:rsidRPr="00AF52E2">
        <w:rPr>
          <w:i/>
          <w:color w:val="0070C0"/>
          <w:sz w:val="22"/>
          <w:szCs w:val="22"/>
        </w:rPr>
        <w:t xml:space="preserve">-If Named Entity checked “SEC Issuer/Filer,” go to </w:t>
      </w:r>
      <w:r w:rsidR="00DD20EA">
        <w:rPr>
          <w:i/>
          <w:color w:val="0070C0"/>
          <w:sz w:val="22"/>
          <w:szCs w:val="22"/>
        </w:rPr>
        <w:t xml:space="preserve">the next </w:t>
      </w:r>
      <w:r w:rsidR="003A3548" w:rsidRPr="00AF52E2">
        <w:rPr>
          <w:i/>
          <w:color w:val="0070C0"/>
          <w:sz w:val="22"/>
          <w:szCs w:val="22"/>
        </w:rPr>
        <w:t>item</w:t>
      </w:r>
      <w:r w:rsidR="003A3548" w:rsidRPr="00AF52E2">
        <w:rPr>
          <w:color w:val="0070C0"/>
          <w:sz w:val="22"/>
          <w:szCs w:val="22"/>
        </w:rPr>
        <w:t>.</w:t>
      </w:r>
      <w:r w:rsidR="003A3548" w:rsidRPr="00AF52E2">
        <w:rPr>
          <w:color w:val="0070C0"/>
          <w:sz w:val="22"/>
          <w:szCs w:val="22"/>
        </w:rPr>
        <w:br/>
      </w:r>
      <w:r w:rsidR="003A3548" w:rsidRPr="00AF52E2">
        <w:rPr>
          <w:color w:val="0070C0"/>
          <w:sz w:val="22"/>
          <w:szCs w:val="22"/>
        </w:rPr>
        <w:br/>
      </w:r>
      <w:r w:rsidR="006636EC">
        <w:rPr>
          <w:i/>
          <w:color w:val="0070C0"/>
          <w:sz w:val="22"/>
          <w:szCs w:val="22"/>
        </w:rPr>
        <w:t>-</w:t>
      </w:r>
      <w:r w:rsidR="003A3548" w:rsidRPr="00AF52E2">
        <w:rPr>
          <w:i/>
          <w:color w:val="0070C0"/>
          <w:sz w:val="22"/>
          <w:szCs w:val="22"/>
        </w:rPr>
        <w:t>If Named Entity checked “Not an SEC Issuer/File</w:t>
      </w:r>
      <w:r w:rsidR="009C38F2">
        <w:rPr>
          <w:i/>
          <w:color w:val="0070C0"/>
          <w:sz w:val="22"/>
          <w:szCs w:val="22"/>
        </w:rPr>
        <w:t xml:space="preserve">r,” </w:t>
      </w:r>
      <w:r w:rsidR="00BC068A">
        <w:rPr>
          <w:i/>
          <w:color w:val="0070C0"/>
          <w:sz w:val="22"/>
          <w:szCs w:val="22"/>
        </w:rPr>
        <w:t>skip the rest of this P</w:t>
      </w:r>
      <w:r w:rsidR="003A3548" w:rsidRPr="00AF52E2">
        <w:rPr>
          <w:i/>
          <w:color w:val="0070C0"/>
          <w:sz w:val="22"/>
          <w:szCs w:val="22"/>
        </w:rPr>
        <w:t>art</w:t>
      </w:r>
      <w:r w:rsidR="00BC068A">
        <w:rPr>
          <w:i/>
          <w:color w:val="0070C0"/>
          <w:sz w:val="22"/>
          <w:szCs w:val="22"/>
        </w:rPr>
        <w:t xml:space="preserve"> III.A (</w:t>
      </w:r>
      <w:r w:rsidR="00BC068A" w:rsidRPr="00A62565">
        <w:rPr>
          <w:i/>
          <w:color w:val="0070C0"/>
          <w:sz w:val="22"/>
          <w:szCs w:val="22"/>
        </w:rPr>
        <w:t>go to Part III.B if Information Recipient has requested</w:t>
      </w:r>
      <w:r w:rsidR="00BC068A">
        <w:rPr>
          <w:i/>
          <w:color w:val="0070C0"/>
          <w:sz w:val="22"/>
          <w:szCs w:val="22"/>
        </w:rPr>
        <w:t>)</w:t>
      </w:r>
      <w:r w:rsidR="003A3548" w:rsidRPr="00AF52E2">
        <w:rPr>
          <w:i/>
          <w:color w:val="0070C0"/>
          <w:sz w:val="22"/>
          <w:szCs w:val="22"/>
        </w:rPr>
        <w:t>.</w:t>
      </w:r>
    </w:p>
    <w:p w14:paraId="16D662DA" w14:textId="77777777" w:rsidR="003A3548" w:rsidRPr="00AF52E2" w:rsidRDefault="003A3548" w:rsidP="003A3548">
      <w:pPr>
        <w:pStyle w:val="Heading3"/>
        <w:rPr>
          <w:sz w:val="22"/>
          <w:szCs w:val="22"/>
        </w:rPr>
      </w:pPr>
      <w:r w:rsidRPr="00AF52E2">
        <w:rPr>
          <w:sz w:val="22"/>
          <w:szCs w:val="22"/>
          <w:u w:val="single"/>
        </w:rPr>
        <w:t>SEC Central Index Key Number</w:t>
      </w:r>
      <w:r w:rsidRPr="00AF52E2">
        <w:rPr>
          <w:sz w:val="22"/>
          <w:szCs w:val="22"/>
          <w:u w:val="single"/>
        </w:rPr>
        <w:br/>
      </w:r>
      <w:r w:rsidRPr="00AF52E2">
        <w:rPr>
          <w:sz w:val="22"/>
          <w:szCs w:val="22"/>
          <w:u w:val="single"/>
        </w:rPr>
        <w:br/>
      </w:r>
      <w:r w:rsidR="001654C5" w:rsidRPr="00AF52E2">
        <w:rPr>
          <w:sz w:val="22"/>
          <w:szCs w:val="22"/>
        </w:rPr>
        <w:t>P</w:t>
      </w:r>
      <w:r w:rsidRPr="00AF52E2">
        <w:rPr>
          <w:sz w:val="22"/>
          <w:szCs w:val="22"/>
        </w:rPr>
        <w:t>lease</w:t>
      </w:r>
      <w:r w:rsidRPr="00AF52E2">
        <w:rPr>
          <w:sz w:val="22"/>
          <w:szCs w:val="22"/>
          <w:lang w:val="x-none"/>
        </w:rPr>
        <w:t xml:space="preserve"> provide </w:t>
      </w:r>
      <w:r w:rsidRPr="00AF52E2">
        <w:rPr>
          <w:sz w:val="22"/>
          <w:szCs w:val="22"/>
        </w:rPr>
        <w:t>Named Entity</w:t>
      </w:r>
      <w:r w:rsidRPr="00AF52E2">
        <w:rPr>
          <w:sz w:val="22"/>
          <w:szCs w:val="22"/>
          <w:lang w:val="x-none"/>
        </w:rPr>
        <w:t>’s SEC Central Index Key number here:</w:t>
      </w:r>
      <w:r w:rsidRPr="00AF52E2">
        <w:rPr>
          <w:sz w:val="22"/>
          <w:szCs w:val="22"/>
          <w:u w:val="single"/>
        </w:rPr>
        <w:br/>
      </w:r>
      <w:r w:rsidRPr="00AF52E2">
        <w:rPr>
          <w:sz w:val="22"/>
          <w:szCs w:val="22"/>
          <w:u w:val="single"/>
        </w:rPr>
        <w:br/>
      </w:r>
      <w:r w:rsidRPr="00B35A94">
        <w:rPr>
          <w:sz w:val="22"/>
          <w:szCs w:val="22"/>
        </w:rPr>
        <w:t>___________________________________________________________</w:t>
      </w:r>
      <w:r w:rsidRPr="00AF52E2">
        <w:rPr>
          <w:sz w:val="22"/>
          <w:szCs w:val="22"/>
        </w:rPr>
        <w:t>.</w:t>
      </w:r>
      <w:r w:rsidRPr="00AF52E2">
        <w:rPr>
          <w:sz w:val="22"/>
          <w:szCs w:val="22"/>
        </w:rPr>
        <w:br/>
      </w:r>
      <w:r w:rsidRPr="00AF52E2">
        <w:rPr>
          <w:sz w:val="22"/>
          <w:szCs w:val="22"/>
        </w:rPr>
        <w:br/>
      </w:r>
      <w:r w:rsidRPr="00AF52E2">
        <w:rPr>
          <w:i/>
          <w:color w:val="0070C0"/>
          <w:sz w:val="22"/>
          <w:szCs w:val="22"/>
        </w:rPr>
        <w:t xml:space="preserve">Go to </w:t>
      </w:r>
      <w:r w:rsidR="00BC068A">
        <w:rPr>
          <w:i/>
          <w:color w:val="0070C0"/>
          <w:sz w:val="22"/>
          <w:szCs w:val="22"/>
        </w:rPr>
        <w:t>the next item.</w:t>
      </w:r>
    </w:p>
    <w:p w14:paraId="399B026A" w14:textId="77777777" w:rsidR="00E516C0" w:rsidRPr="00AF52E2" w:rsidRDefault="003A3548" w:rsidP="003A3548">
      <w:pPr>
        <w:pStyle w:val="Heading3"/>
        <w:rPr>
          <w:color w:val="0070C0"/>
          <w:sz w:val="22"/>
          <w:szCs w:val="22"/>
        </w:rPr>
      </w:pPr>
      <w:r w:rsidRPr="00AF52E2">
        <w:rPr>
          <w:sz w:val="22"/>
          <w:szCs w:val="22"/>
          <w:u w:val="single"/>
        </w:rPr>
        <w:t>Board Approval</w:t>
      </w:r>
      <w:r w:rsidR="006069E7" w:rsidRPr="00AF52E2">
        <w:rPr>
          <w:sz w:val="22"/>
          <w:szCs w:val="22"/>
          <w:u w:val="single"/>
        </w:rPr>
        <w:br/>
      </w:r>
      <w:r w:rsidR="006069E7" w:rsidRPr="00AF52E2">
        <w:rPr>
          <w:sz w:val="22"/>
          <w:szCs w:val="22"/>
          <w:u w:val="single"/>
        </w:rPr>
        <w:br/>
      </w:r>
      <w:r w:rsidR="001654C5" w:rsidRPr="00AF52E2">
        <w:rPr>
          <w:sz w:val="22"/>
          <w:szCs w:val="22"/>
        </w:rPr>
        <w:t xml:space="preserve">Please check the appropriate box to indicate whether an appropriate committee of Named Entity’s board of directors (or equivalent body) reviewed and approved the decision to enter into Uncleared Swaps that are exempt from the </w:t>
      </w:r>
      <w:r w:rsidR="001654C5" w:rsidRPr="0061746F">
        <w:rPr>
          <w:sz w:val="22"/>
          <w:szCs w:val="22"/>
        </w:rPr>
        <w:t>Clearing Requirements</w:t>
      </w:r>
      <w:r w:rsidR="001654C5" w:rsidRPr="00AF52E2">
        <w:rPr>
          <w:sz w:val="22"/>
          <w:szCs w:val="22"/>
        </w:rPr>
        <w:t>.</w:t>
      </w:r>
      <w:r w:rsidR="001654C5" w:rsidRPr="00AF52E2">
        <w:rPr>
          <w:sz w:val="22"/>
          <w:szCs w:val="22"/>
        </w:rPr>
        <w:br/>
      </w:r>
      <w:r w:rsidR="001654C5" w:rsidRPr="00AF52E2">
        <w:rPr>
          <w:sz w:val="22"/>
          <w:szCs w:val="22"/>
        </w:rPr>
        <w:br/>
      </w:r>
      <w:r w:rsidR="001654C5" w:rsidRPr="00AF52E2">
        <w:rPr>
          <w:i/>
          <w:sz w:val="22"/>
          <w:szCs w:val="22"/>
        </w:rPr>
        <w:t xml:space="preserve">Checking the box next to “Board Approved” confirms that an appropriate committee of Named Entity’s board of directors (or equivalent body) has reviewed and approved the decision to enter into Uncleared Swaps that are </w:t>
      </w:r>
      <w:r w:rsidR="001654C5" w:rsidRPr="00AF52E2">
        <w:rPr>
          <w:i/>
          <w:sz w:val="22"/>
          <w:szCs w:val="22"/>
        </w:rPr>
        <w:lastRenderedPageBreak/>
        <w:t xml:space="preserve">exempt from the Clearing Requirements.  </w:t>
      </w:r>
      <w:r w:rsidR="001654C5" w:rsidRPr="00AF52E2">
        <w:rPr>
          <w:i/>
          <w:sz w:val="22"/>
          <w:szCs w:val="22"/>
        </w:rPr>
        <w:br/>
      </w:r>
      <w:r w:rsidR="001654C5" w:rsidRPr="00AF52E2">
        <w:rPr>
          <w:i/>
          <w:sz w:val="22"/>
          <w:szCs w:val="22"/>
        </w:rPr>
        <w:br/>
        <w:t>Checking the box next to “No Board Approval Confirmation” indicates that Named Entity does not confirm at this time that an appropriate committee of Named Entity’s board of directors (or equivalent body) has reviewed and approved the decision to enter into Uncleared Swaps that are exempt from the Clearing Requirements.</w:t>
      </w:r>
      <w:r w:rsidR="001654C5" w:rsidRPr="00AF52E2">
        <w:rPr>
          <w:sz w:val="22"/>
          <w:szCs w:val="22"/>
        </w:rPr>
        <w:br/>
      </w:r>
      <w:r w:rsidR="001654C5" w:rsidRPr="00AF52E2">
        <w:rPr>
          <w:sz w:val="22"/>
          <w:szCs w:val="22"/>
        </w:rPr>
        <w:br/>
      </w:r>
      <w:r w:rsidR="001654C5" w:rsidRPr="00AF52E2">
        <w:rPr>
          <w:sz w:val="22"/>
          <w:szCs w:val="22"/>
        </w:rPr>
        <w:fldChar w:fldCharType="begin">
          <w:ffData>
            <w:name w:val=""/>
            <w:enabled/>
            <w:calcOnExit w:val="0"/>
            <w:checkBox>
              <w:sizeAuto/>
              <w:default w:val="0"/>
            </w:checkBox>
          </w:ffData>
        </w:fldChar>
      </w:r>
      <w:r w:rsidR="001654C5" w:rsidRPr="00AF52E2">
        <w:rPr>
          <w:sz w:val="22"/>
          <w:szCs w:val="22"/>
        </w:rPr>
        <w:instrText xml:space="preserve"> FORMCHECKBOX </w:instrText>
      </w:r>
      <w:r w:rsidR="00166DDA">
        <w:rPr>
          <w:sz w:val="22"/>
          <w:szCs w:val="22"/>
        </w:rPr>
      </w:r>
      <w:r w:rsidR="00166DDA">
        <w:rPr>
          <w:sz w:val="22"/>
          <w:szCs w:val="22"/>
        </w:rPr>
        <w:fldChar w:fldCharType="separate"/>
      </w:r>
      <w:r w:rsidR="001654C5" w:rsidRPr="00AF52E2">
        <w:rPr>
          <w:sz w:val="22"/>
          <w:szCs w:val="22"/>
        </w:rPr>
        <w:fldChar w:fldCharType="end"/>
      </w:r>
      <w:r w:rsidR="001654C5" w:rsidRPr="00AF52E2">
        <w:rPr>
          <w:sz w:val="22"/>
          <w:szCs w:val="22"/>
        </w:rPr>
        <w:t xml:space="preserve">  Board Approved</w:t>
      </w:r>
      <w:r w:rsidR="001654C5" w:rsidRPr="00AF52E2">
        <w:rPr>
          <w:sz w:val="22"/>
          <w:szCs w:val="22"/>
        </w:rPr>
        <w:br/>
      </w:r>
      <w:r w:rsidR="001654C5" w:rsidRPr="00AF52E2">
        <w:rPr>
          <w:sz w:val="22"/>
          <w:szCs w:val="22"/>
        </w:rPr>
        <w:fldChar w:fldCharType="begin">
          <w:ffData>
            <w:name w:val=""/>
            <w:enabled/>
            <w:calcOnExit w:val="0"/>
            <w:checkBox>
              <w:sizeAuto/>
              <w:default w:val="0"/>
            </w:checkBox>
          </w:ffData>
        </w:fldChar>
      </w:r>
      <w:r w:rsidR="001654C5" w:rsidRPr="00AF52E2">
        <w:rPr>
          <w:sz w:val="22"/>
          <w:szCs w:val="22"/>
        </w:rPr>
        <w:instrText xml:space="preserve"> FORMCHECKBOX </w:instrText>
      </w:r>
      <w:r w:rsidR="00166DDA">
        <w:rPr>
          <w:sz w:val="22"/>
          <w:szCs w:val="22"/>
        </w:rPr>
      </w:r>
      <w:r w:rsidR="00166DDA">
        <w:rPr>
          <w:sz w:val="22"/>
          <w:szCs w:val="22"/>
        </w:rPr>
        <w:fldChar w:fldCharType="separate"/>
      </w:r>
      <w:r w:rsidR="001654C5" w:rsidRPr="00AF52E2">
        <w:rPr>
          <w:sz w:val="22"/>
          <w:szCs w:val="22"/>
        </w:rPr>
        <w:fldChar w:fldCharType="end"/>
      </w:r>
      <w:r w:rsidR="001654C5" w:rsidRPr="00AF52E2">
        <w:rPr>
          <w:sz w:val="22"/>
          <w:szCs w:val="22"/>
        </w:rPr>
        <w:t xml:space="preserve">  No Board Approval Confirmation</w:t>
      </w:r>
      <w:r w:rsidR="001654C5" w:rsidRPr="00AF52E2">
        <w:rPr>
          <w:sz w:val="22"/>
          <w:szCs w:val="22"/>
        </w:rPr>
        <w:br/>
      </w:r>
      <w:r w:rsidR="001654C5" w:rsidRPr="00AF52E2">
        <w:rPr>
          <w:sz w:val="22"/>
          <w:szCs w:val="22"/>
        </w:rPr>
        <w:br/>
      </w:r>
      <w:r w:rsidR="001654C5" w:rsidRPr="00AF52E2">
        <w:rPr>
          <w:i/>
          <w:color w:val="0070C0"/>
          <w:sz w:val="22"/>
          <w:szCs w:val="22"/>
        </w:rPr>
        <w:t xml:space="preserve">Go to </w:t>
      </w:r>
      <w:r w:rsidR="00AF52E2">
        <w:rPr>
          <w:i/>
          <w:color w:val="0070C0"/>
          <w:sz w:val="22"/>
          <w:szCs w:val="22"/>
        </w:rPr>
        <w:t>the next Part Info</w:t>
      </w:r>
      <w:r w:rsidR="00BC068A">
        <w:rPr>
          <w:i/>
          <w:color w:val="0070C0"/>
          <w:sz w:val="22"/>
          <w:szCs w:val="22"/>
        </w:rPr>
        <w:t>rmation Recipient has requested</w:t>
      </w:r>
      <w:r w:rsidR="007412FB">
        <w:rPr>
          <w:i/>
          <w:color w:val="0070C0"/>
          <w:sz w:val="22"/>
          <w:szCs w:val="22"/>
        </w:rPr>
        <w:t>, if any</w:t>
      </w:r>
      <w:r w:rsidR="001654C5" w:rsidRPr="00AF52E2">
        <w:rPr>
          <w:color w:val="0070C0"/>
          <w:sz w:val="22"/>
          <w:szCs w:val="22"/>
        </w:rPr>
        <w:t>.</w:t>
      </w:r>
    </w:p>
    <w:p w14:paraId="0AB85F59" w14:textId="77777777" w:rsidR="00885DCA" w:rsidRPr="007D17BC" w:rsidRDefault="005302DF" w:rsidP="00885DCA">
      <w:pPr>
        <w:pStyle w:val="Heading2"/>
        <w:rPr>
          <w:b/>
          <w:sz w:val="22"/>
          <w:szCs w:val="22"/>
        </w:rPr>
      </w:pPr>
      <w:r>
        <w:rPr>
          <w:b/>
          <w:sz w:val="22"/>
          <w:szCs w:val="22"/>
        </w:rPr>
        <w:t>SEC Margin Rule</w:t>
      </w:r>
      <w:r w:rsidR="00CB7978">
        <w:rPr>
          <w:b/>
          <w:sz w:val="22"/>
          <w:szCs w:val="22"/>
        </w:rPr>
        <w:t>s</w:t>
      </w:r>
    </w:p>
    <w:p w14:paraId="5E2E8DB5" w14:textId="77777777" w:rsidR="00BC068A" w:rsidRPr="007D17BC" w:rsidRDefault="00BC068A" w:rsidP="00BC068A">
      <w:pPr>
        <w:pStyle w:val="BodyText"/>
        <w:rPr>
          <w:i/>
          <w:sz w:val="22"/>
          <w:szCs w:val="22"/>
        </w:rPr>
      </w:pPr>
      <w:r w:rsidRPr="007D17BC">
        <w:rPr>
          <w:b/>
          <w:i/>
          <w:sz w:val="22"/>
          <w:szCs w:val="22"/>
          <w:u w:val="single"/>
        </w:rPr>
        <w:t>Explanatory Note</w:t>
      </w:r>
      <w:r w:rsidRPr="007D17BC">
        <w:rPr>
          <w:b/>
          <w:i/>
          <w:sz w:val="22"/>
          <w:szCs w:val="22"/>
        </w:rPr>
        <w:t>:</w:t>
      </w:r>
      <w:r w:rsidRPr="007D17BC">
        <w:rPr>
          <w:i/>
          <w:sz w:val="22"/>
          <w:szCs w:val="22"/>
        </w:rPr>
        <w:t xml:space="preserve">  These questions are designed to elicit information necessary to allow an Information Recipient that is an SBSD that does not have a Prudential Regulator to ascertain  whether </w:t>
      </w:r>
      <w:r w:rsidR="001C21CC">
        <w:rPr>
          <w:i/>
          <w:sz w:val="22"/>
          <w:szCs w:val="22"/>
        </w:rPr>
        <w:t>Named Entity</w:t>
      </w:r>
      <w:r w:rsidRPr="007D17BC">
        <w:rPr>
          <w:i/>
          <w:sz w:val="22"/>
          <w:szCs w:val="22"/>
        </w:rPr>
        <w:t xml:space="preserve"> is eligible for an exemption from the SEC  margin rules with respect to Uncleared </w:t>
      </w:r>
      <w:r w:rsidR="007D17BC">
        <w:rPr>
          <w:i/>
          <w:sz w:val="22"/>
          <w:szCs w:val="22"/>
        </w:rPr>
        <w:t>SBS</w:t>
      </w:r>
      <w:r w:rsidRPr="007D17BC">
        <w:rPr>
          <w:i/>
          <w:sz w:val="22"/>
          <w:szCs w:val="22"/>
        </w:rPr>
        <w:t xml:space="preserve">, and whether </w:t>
      </w:r>
      <w:r w:rsidR="001C21CC">
        <w:rPr>
          <w:i/>
          <w:sz w:val="22"/>
          <w:szCs w:val="22"/>
        </w:rPr>
        <w:t>Named Entity</w:t>
      </w:r>
      <w:r w:rsidRPr="007D17BC">
        <w:rPr>
          <w:i/>
          <w:sz w:val="22"/>
          <w:szCs w:val="22"/>
        </w:rPr>
        <w:t xml:space="preserve"> intends t</w:t>
      </w:r>
      <w:r w:rsidR="0049308D">
        <w:rPr>
          <w:i/>
          <w:sz w:val="22"/>
          <w:szCs w:val="22"/>
        </w:rPr>
        <w:t xml:space="preserve">o use the relevant exemption.  </w:t>
      </w:r>
    </w:p>
    <w:p w14:paraId="3AFF3152" w14:textId="77777777" w:rsidR="00BC068A" w:rsidRPr="007D17BC" w:rsidRDefault="00BC068A" w:rsidP="00BC068A">
      <w:pPr>
        <w:pStyle w:val="BodyText"/>
        <w:rPr>
          <w:i/>
          <w:color w:val="0070C0"/>
          <w:sz w:val="22"/>
          <w:szCs w:val="22"/>
        </w:rPr>
      </w:pPr>
      <w:r w:rsidRPr="007D17BC">
        <w:rPr>
          <w:i/>
          <w:color w:val="0070C0"/>
          <w:sz w:val="22"/>
          <w:szCs w:val="22"/>
        </w:rPr>
        <w:t xml:space="preserve">If Named Entity is eligible for, and may want to take advantage of, an exemption from margin requirements for Uncleared </w:t>
      </w:r>
      <w:r w:rsidR="007D17BC" w:rsidRPr="007D17BC">
        <w:rPr>
          <w:i/>
          <w:color w:val="0070C0"/>
          <w:sz w:val="22"/>
          <w:szCs w:val="22"/>
        </w:rPr>
        <w:t>SBS</w:t>
      </w:r>
      <w:r w:rsidRPr="007D17BC">
        <w:rPr>
          <w:i/>
          <w:color w:val="0070C0"/>
          <w:sz w:val="22"/>
          <w:szCs w:val="22"/>
        </w:rPr>
        <w:t>,</w:t>
      </w:r>
      <w:r w:rsidR="007D17BC" w:rsidRPr="007D17BC">
        <w:rPr>
          <w:i/>
          <w:color w:val="0070C0"/>
          <w:sz w:val="22"/>
          <w:szCs w:val="22"/>
        </w:rPr>
        <w:t xml:space="preserve"> please complete the following P</w:t>
      </w:r>
      <w:r w:rsidRPr="007D17BC">
        <w:rPr>
          <w:i/>
          <w:color w:val="0070C0"/>
          <w:sz w:val="22"/>
          <w:szCs w:val="22"/>
        </w:rPr>
        <w:t xml:space="preserve">art.  If Named Entity is not eligible for, or does not intend to use, an exemption from margin requirements for Uncleared </w:t>
      </w:r>
      <w:r w:rsidR="00331B9C">
        <w:rPr>
          <w:i/>
          <w:color w:val="0070C0"/>
          <w:sz w:val="22"/>
          <w:szCs w:val="22"/>
        </w:rPr>
        <w:t>SBS</w:t>
      </w:r>
      <w:r w:rsidRPr="007D17BC">
        <w:rPr>
          <w:i/>
          <w:color w:val="0070C0"/>
          <w:sz w:val="22"/>
          <w:szCs w:val="22"/>
        </w:rPr>
        <w:t>, t</w:t>
      </w:r>
      <w:r w:rsidR="007D17BC" w:rsidRPr="007D17BC">
        <w:rPr>
          <w:i/>
          <w:color w:val="0070C0"/>
          <w:sz w:val="22"/>
          <w:szCs w:val="22"/>
        </w:rPr>
        <w:t>hen Named Entity may skip this P</w:t>
      </w:r>
      <w:r w:rsidRPr="007D17BC">
        <w:rPr>
          <w:i/>
          <w:color w:val="0070C0"/>
          <w:sz w:val="22"/>
          <w:szCs w:val="22"/>
        </w:rPr>
        <w:t>art.</w:t>
      </w:r>
    </w:p>
    <w:p w14:paraId="6B13E516" w14:textId="77777777" w:rsidR="00885DCA" w:rsidRPr="00AF52E2" w:rsidRDefault="00885DCA" w:rsidP="00885DCA">
      <w:pPr>
        <w:pStyle w:val="Heading3"/>
        <w:rPr>
          <w:i/>
          <w:color w:val="0070C0"/>
          <w:sz w:val="22"/>
          <w:szCs w:val="22"/>
        </w:rPr>
      </w:pPr>
      <w:r w:rsidRPr="007D17BC">
        <w:rPr>
          <w:sz w:val="22"/>
          <w:szCs w:val="22"/>
          <w:u w:val="single"/>
        </w:rPr>
        <w:t>Exemption Status</w:t>
      </w:r>
      <w:r w:rsidRPr="007D17BC">
        <w:rPr>
          <w:sz w:val="22"/>
          <w:szCs w:val="22"/>
          <w:u w:val="single"/>
        </w:rPr>
        <w:br/>
      </w:r>
      <w:r w:rsidRPr="00AF52E2">
        <w:rPr>
          <w:sz w:val="22"/>
          <w:szCs w:val="22"/>
          <w:u w:val="single"/>
        </w:rPr>
        <w:br/>
      </w:r>
      <w:r w:rsidRPr="00AF52E2">
        <w:rPr>
          <w:sz w:val="22"/>
          <w:szCs w:val="22"/>
        </w:rPr>
        <w:t>Please check the appropriate box.</w:t>
      </w:r>
      <w:r w:rsidRPr="00AF52E2">
        <w:rPr>
          <w:sz w:val="22"/>
          <w:szCs w:val="22"/>
        </w:rPr>
        <w:br/>
      </w:r>
      <w:r w:rsidRPr="00AF52E2">
        <w:rPr>
          <w:sz w:val="22"/>
          <w:szCs w:val="22"/>
        </w:rPr>
        <w:br/>
      </w:r>
      <w:r w:rsidRPr="00AF52E2">
        <w:rPr>
          <w:i/>
          <w:sz w:val="22"/>
          <w:szCs w:val="22"/>
        </w:rPr>
        <w:t>Checking a box indicates that Named Entity is e</w:t>
      </w:r>
      <w:r w:rsidRPr="00AF52E2">
        <w:rPr>
          <w:i/>
          <w:sz w:val="22"/>
          <w:szCs w:val="22"/>
          <w:lang w:val="x-none"/>
        </w:rPr>
        <w:t>ligible, subject to satisfying any applicable</w:t>
      </w:r>
      <w:r w:rsidRPr="00AF52E2">
        <w:rPr>
          <w:i/>
          <w:sz w:val="22"/>
          <w:szCs w:val="22"/>
        </w:rPr>
        <w:t xml:space="preserve"> </w:t>
      </w:r>
      <w:r w:rsidRPr="00AF52E2">
        <w:rPr>
          <w:i/>
          <w:sz w:val="22"/>
          <w:szCs w:val="22"/>
          <w:lang w:val="x-none"/>
        </w:rPr>
        <w:t xml:space="preserve">transaction-specific requirements, to rely on the specified </w:t>
      </w:r>
      <w:r w:rsidRPr="00AF52E2">
        <w:rPr>
          <w:i/>
          <w:sz w:val="22"/>
          <w:szCs w:val="22"/>
        </w:rPr>
        <w:t>exemption</w:t>
      </w:r>
      <w:r w:rsidRPr="00AF52E2">
        <w:rPr>
          <w:i/>
          <w:sz w:val="22"/>
          <w:szCs w:val="22"/>
          <w:lang w:val="x-none"/>
        </w:rPr>
        <w:t xml:space="preserve"> from the applicable </w:t>
      </w:r>
      <w:r w:rsidR="007D17BC">
        <w:rPr>
          <w:i/>
          <w:sz w:val="22"/>
          <w:szCs w:val="22"/>
        </w:rPr>
        <w:t xml:space="preserve">SEC </w:t>
      </w:r>
      <w:r w:rsidRPr="00AF52E2">
        <w:rPr>
          <w:i/>
          <w:sz w:val="22"/>
          <w:szCs w:val="22"/>
        </w:rPr>
        <w:t>m</w:t>
      </w:r>
      <w:r w:rsidRPr="00AF52E2">
        <w:rPr>
          <w:i/>
          <w:sz w:val="22"/>
          <w:szCs w:val="22"/>
          <w:lang w:val="x-none"/>
        </w:rPr>
        <w:t xml:space="preserve">argin </w:t>
      </w:r>
      <w:r w:rsidRPr="00AF52E2">
        <w:rPr>
          <w:i/>
          <w:sz w:val="22"/>
          <w:szCs w:val="22"/>
        </w:rPr>
        <w:t>r</w:t>
      </w:r>
      <w:r w:rsidRPr="00AF52E2">
        <w:rPr>
          <w:i/>
          <w:sz w:val="22"/>
          <w:szCs w:val="22"/>
          <w:lang w:val="x-none"/>
        </w:rPr>
        <w:t xml:space="preserve">equirements. </w:t>
      </w:r>
      <w:r w:rsidR="00331B9C">
        <w:rPr>
          <w:i/>
          <w:sz w:val="22"/>
          <w:szCs w:val="22"/>
        </w:rPr>
        <w:t xml:space="preserve"> </w:t>
      </w:r>
      <w:r w:rsidRPr="00AF52E2">
        <w:rPr>
          <w:i/>
          <w:sz w:val="22"/>
          <w:szCs w:val="22"/>
        </w:rPr>
        <w:t>A Named Entity</w:t>
      </w:r>
      <w:r w:rsidRPr="00AF52E2">
        <w:rPr>
          <w:i/>
          <w:sz w:val="22"/>
          <w:szCs w:val="22"/>
          <w:lang w:val="x-none"/>
        </w:rPr>
        <w:t xml:space="preserve"> checking these</w:t>
      </w:r>
      <w:r w:rsidRPr="00AF52E2">
        <w:rPr>
          <w:i/>
          <w:sz w:val="22"/>
          <w:szCs w:val="22"/>
        </w:rPr>
        <w:t xml:space="preserve"> </w:t>
      </w:r>
      <w:r w:rsidRPr="00AF52E2">
        <w:rPr>
          <w:i/>
          <w:sz w:val="22"/>
          <w:szCs w:val="22"/>
          <w:lang w:val="x-none"/>
        </w:rPr>
        <w:t>boxes should note that: (i) checking a box does not constitute an election by</w:t>
      </w:r>
      <w:r w:rsidRPr="00AF52E2">
        <w:rPr>
          <w:i/>
          <w:sz w:val="22"/>
          <w:szCs w:val="22"/>
        </w:rPr>
        <w:t xml:space="preserve"> Named Entity</w:t>
      </w:r>
      <w:r w:rsidRPr="00AF52E2">
        <w:rPr>
          <w:i/>
          <w:sz w:val="22"/>
          <w:szCs w:val="22"/>
          <w:lang w:val="x-none"/>
        </w:rPr>
        <w:t xml:space="preserve"> to use such exemption in c</w:t>
      </w:r>
      <w:r w:rsidR="007D17BC">
        <w:rPr>
          <w:i/>
          <w:sz w:val="22"/>
          <w:szCs w:val="22"/>
          <w:lang w:val="x-none"/>
        </w:rPr>
        <w:t xml:space="preserve">onnection with any particular </w:t>
      </w:r>
      <w:r w:rsidR="00667A82">
        <w:rPr>
          <w:i/>
          <w:sz w:val="22"/>
          <w:szCs w:val="22"/>
        </w:rPr>
        <w:t>Uncleared</w:t>
      </w:r>
      <w:r w:rsidRPr="00AF52E2">
        <w:rPr>
          <w:i/>
          <w:sz w:val="22"/>
          <w:szCs w:val="22"/>
        </w:rPr>
        <w:t xml:space="preserve"> </w:t>
      </w:r>
      <w:r w:rsidR="007D17BC">
        <w:rPr>
          <w:i/>
          <w:sz w:val="22"/>
          <w:szCs w:val="22"/>
        </w:rPr>
        <w:t>SBS</w:t>
      </w:r>
      <w:r w:rsidRPr="00AF52E2">
        <w:rPr>
          <w:i/>
          <w:sz w:val="22"/>
          <w:szCs w:val="22"/>
          <w:lang w:val="x-none"/>
        </w:rPr>
        <w:t xml:space="preserve"> and (ii) Recipient may require additional information in order to rely upon</w:t>
      </w:r>
      <w:r w:rsidRPr="00AF52E2">
        <w:rPr>
          <w:i/>
          <w:sz w:val="22"/>
          <w:szCs w:val="22"/>
        </w:rPr>
        <w:t xml:space="preserve"> </w:t>
      </w:r>
      <w:r w:rsidRPr="00AF52E2">
        <w:rPr>
          <w:i/>
          <w:sz w:val="22"/>
          <w:szCs w:val="22"/>
          <w:lang w:val="x-none"/>
        </w:rPr>
        <w:t xml:space="preserve">the exemption for any particular </w:t>
      </w:r>
      <w:r w:rsidR="00667A82">
        <w:rPr>
          <w:i/>
          <w:sz w:val="22"/>
          <w:szCs w:val="22"/>
        </w:rPr>
        <w:t>Uncleared</w:t>
      </w:r>
      <w:r w:rsidRPr="00AF52E2">
        <w:rPr>
          <w:i/>
          <w:sz w:val="22"/>
          <w:szCs w:val="22"/>
          <w:lang w:val="x-none"/>
        </w:rPr>
        <w:t xml:space="preserve"> </w:t>
      </w:r>
      <w:r w:rsidR="007D17BC">
        <w:rPr>
          <w:i/>
          <w:sz w:val="22"/>
          <w:szCs w:val="22"/>
        </w:rPr>
        <w:t>SBS</w:t>
      </w:r>
      <w:r w:rsidRPr="00AF52E2">
        <w:rPr>
          <w:i/>
          <w:sz w:val="22"/>
          <w:szCs w:val="22"/>
          <w:lang w:val="x-none"/>
        </w:rPr>
        <w:t xml:space="preserve">. </w:t>
      </w:r>
      <w:r w:rsidRPr="00AF52E2">
        <w:rPr>
          <w:i/>
          <w:sz w:val="22"/>
          <w:szCs w:val="22"/>
        </w:rPr>
        <w:t xml:space="preserve"> </w:t>
      </w:r>
      <w:r w:rsidRPr="00AF52E2">
        <w:rPr>
          <w:i/>
          <w:sz w:val="22"/>
          <w:szCs w:val="22"/>
          <w:lang w:val="x-none"/>
        </w:rPr>
        <w:t>Skipping this section does not</w:t>
      </w:r>
      <w:r w:rsidRPr="00AF52E2">
        <w:rPr>
          <w:i/>
          <w:sz w:val="22"/>
          <w:szCs w:val="22"/>
        </w:rPr>
        <w:t xml:space="preserve"> </w:t>
      </w:r>
      <w:r w:rsidRPr="00AF52E2">
        <w:rPr>
          <w:i/>
          <w:sz w:val="22"/>
          <w:szCs w:val="22"/>
          <w:lang w:val="x-none"/>
        </w:rPr>
        <w:t xml:space="preserve">preclude a </w:t>
      </w:r>
      <w:r w:rsidRPr="00AF52E2">
        <w:rPr>
          <w:i/>
          <w:sz w:val="22"/>
          <w:szCs w:val="22"/>
        </w:rPr>
        <w:t>Named Entity</w:t>
      </w:r>
      <w:r w:rsidRPr="00AF52E2">
        <w:rPr>
          <w:i/>
          <w:sz w:val="22"/>
          <w:szCs w:val="22"/>
          <w:lang w:val="x-none"/>
        </w:rPr>
        <w:t xml:space="preserve"> that is eligible for a</w:t>
      </w:r>
      <w:r w:rsidRPr="00AF52E2">
        <w:rPr>
          <w:i/>
          <w:sz w:val="22"/>
          <w:szCs w:val="22"/>
        </w:rPr>
        <w:t>n exemption</w:t>
      </w:r>
      <w:r w:rsidRPr="00AF52E2">
        <w:rPr>
          <w:i/>
          <w:sz w:val="22"/>
          <w:szCs w:val="22"/>
          <w:lang w:val="x-none"/>
        </w:rPr>
        <w:t xml:space="preserve"> from electing</w:t>
      </w:r>
      <w:r w:rsidRPr="00AF52E2">
        <w:rPr>
          <w:i/>
          <w:sz w:val="22"/>
          <w:szCs w:val="22"/>
        </w:rPr>
        <w:t xml:space="preserve"> </w:t>
      </w:r>
      <w:r w:rsidRPr="00AF52E2">
        <w:rPr>
          <w:i/>
          <w:sz w:val="22"/>
          <w:szCs w:val="22"/>
          <w:lang w:val="x-none"/>
        </w:rPr>
        <w:t xml:space="preserve">such </w:t>
      </w:r>
      <w:r w:rsidRPr="00AF52E2">
        <w:rPr>
          <w:i/>
          <w:sz w:val="22"/>
          <w:szCs w:val="22"/>
        </w:rPr>
        <w:t xml:space="preserve">exemption </w:t>
      </w:r>
      <w:r w:rsidRPr="00AF52E2">
        <w:rPr>
          <w:i/>
          <w:sz w:val="22"/>
          <w:szCs w:val="22"/>
          <w:lang w:val="x-none"/>
        </w:rPr>
        <w:t xml:space="preserve">at a later date in respect of any </w:t>
      </w:r>
      <w:r w:rsidR="007D17BC">
        <w:rPr>
          <w:i/>
          <w:sz w:val="22"/>
          <w:szCs w:val="22"/>
        </w:rPr>
        <w:t>SBS</w:t>
      </w:r>
      <w:r w:rsidRPr="00AF52E2">
        <w:rPr>
          <w:i/>
          <w:sz w:val="22"/>
          <w:szCs w:val="22"/>
          <w:lang w:val="x-none"/>
        </w:rPr>
        <w:t>.</w:t>
      </w:r>
      <w:r w:rsidRPr="00AF52E2">
        <w:rPr>
          <w:sz w:val="22"/>
          <w:szCs w:val="22"/>
        </w:rPr>
        <w:br/>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Commercial End User</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Financial Market Intermediary</w:t>
      </w:r>
      <w:r w:rsidR="007D17BC">
        <w:rPr>
          <w:sz w:val="22"/>
          <w:szCs w:val="22"/>
        </w:rPr>
        <w:br/>
      </w:r>
      <w:r w:rsidR="007D17BC" w:rsidRPr="00AF52E2">
        <w:rPr>
          <w:sz w:val="22"/>
          <w:szCs w:val="22"/>
        </w:rPr>
        <w:fldChar w:fldCharType="begin">
          <w:ffData>
            <w:name w:val=""/>
            <w:enabled/>
            <w:calcOnExit w:val="0"/>
            <w:checkBox>
              <w:sizeAuto/>
              <w:default w:val="0"/>
            </w:checkBox>
          </w:ffData>
        </w:fldChar>
      </w:r>
      <w:r w:rsidR="007D17BC" w:rsidRPr="00AF52E2">
        <w:rPr>
          <w:sz w:val="22"/>
          <w:szCs w:val="22"/>
        </w:rPr>
        <w:instrText xml:space="preserve"> FORMCHECKBOX </w:instrText>
      </w:r>
      <w:r w:rsidR="00166DDA">
        <w:rPr>
          <w:sz w:val="22"/>
          <w:szCs w:val="22"/>
        </w:rPr>
      </w:r>
      <w:r w:rsidR="00166DDA">
        <w:rPr>
          <w:sz w:val="22"/>
          <w:szCs w:val="22"/>
        </w:rPr>
        <w:fldChar w:fldCharType="separate"/>
      </w:r>
      <w:r w:rsidR="007D17BC" w:rsidRPr="00AF52E2">
        <w:rPr>
          <w:sz w:val="22"/>
          <w:szCs w:val="22"/>
        </w:rPr>
        <w:fldChar w:fldCharType="end"/>
      </w:r>
      <w:r w:rsidR="007D17BC" w:rsidRPr="00AF52E2">
        <w:rPr>
          <w:sz w:val="22"/>
          <w:szCs w:val="22"/>
        </w:rPr>
        <w:t xml:space="preserve">  </w:t>
      </w:r>
      <w:r w:rsidR="007D17BC">
        <w:rPr>
          <w:sz w:val="22"/>
          <w:szCs w:val="22"/>
        </w:rPr>
        <w:t>Multilateral Development Bank</w:t>
      </w:r>
      <w:r w:rsidR="007D17BC" w:rsidRPr="00AF52E2">
        <w:rPr>
          <w:sz w:val="22"/>
          <w:szCs w:val="22"/>
        </w:rPr>
        <w:br/>
      </w:r>
      <w:r w:rsidR="007D17BC" w:rsidRPr="00AF52E2">
        <w:rPr>
          <w:sz w:val="22"/>
          <w:szCs w:val="22"/>
        </w:rPr>
        <w:fldChar w:fldCharType="begin">
          <w:ffData>
            <w:name w:val=""/>
            <w:enabled/>
            <w:calcOnExit w:val="0"/>
            <w:checkBox>
              <w:sizeAuto/>
              <w:default w:val="0"/>
            </w:checkBox>
          </w:ffData>
        </w:fldChar>
      </w:r>
      <w:r w:rsidR="007D17BC" w:rsidRPr="00AF52E2">
        <w:rPr>
          <w:sz w:val="22"/>
          <w:szCs w:val="22"/>
        </w:rPr>
        <w:instrText xml:space="preserve"> FORMCHECKBOX </w:instrText>
      </w:r>
      <w:r w:rsidR="00166DDA">
        <w:rPr>
          <w:sz w:val="22"/>
          <w:szCs w:val="22"/>
        </w:rPr>
      </w:r>
      <w:r w:rsidR="00166DDA">
        <w:rPr>
          <w:sz w:val="22"/>
          <w:szCs w:val="22"/>
        </w:rPr>
        <w:fldChar w:fldCharType="separate"/>
      </w:r>
      <w:r w:rsidR="007D17BC" w:rsidRPr="00AF52E2">
        <w:rPr>
          <w:sz w:val="22"/>
          <w:szCs w:val="22"/>
        </w:rPr>
        <w:fldChar w:fldCharType="end"/>
      </w:r>
      <w:r w:rsidR="007D17BC" w:rsidRPr="00AF52E2">
        <w:rPr>
          <w:sz w:val="22"/>
          <w:szCs w:val="22"/>
        </w:rPr>
        <w:t xml:space="preserve">  </w:t>
      </w:r>
      <w:r w:rsidR="007D17BC">
        <w:rPr>
          <w:sz w:val="22"/>
          <w:szCs w:val="22"/>
        </w:rPr>
        <w:t>Sovereign Entity</w:t>
      </w:r>
      <w:r w:rsidR="00DF4004" w:rsidRPr="00AF52E2">
        <w:rPr>
          <w:sz w:val="22"/>
          <w:szCs w:val="22"/>
        </w:rPr>
        <w:br/>
      </w:r>
      <w:r w:rsidR="00DF4004" w:rsidRPr="00AF52E2">
        <w:rPr>
          <w:color w:val="0070C0"/>
          <w:sz w:val="22"/>
          <w:szCs w:val="22"/>
        </w:rPr>
        <w:br/>
      </w:r>
      <w:r w:rsidR="00DF4004" w:rsidRPr="00AF52E2">
        <w:rPr>
          <w:i/>
          <w:color w:val="0070C0"/>
          <w:sz w:val="22"/>
          <w:szCs w:val="22"/>
        </w:rPr>
        <w:t xml:space="preserve">If Named Entity </w:t>
      </w:r>
      <w:r w:rsidR="007D17BC">
        <w:rPr>
          <w:i/>
          <w:color w:val="0070C0"/>
          <w:sz w:val="22"/>
          <w:szCs w:val="22"/>
        </w:rPr>
        <w:t xml:space="preserve">checked “Commercial End User,” </w:t>
      </w:r>
      <w:r w:rsidR="005D63FB">
        <w:rPr>
          <w:i/>
          <w:color w:val="0070C0"/>
          <w:sz w:val="22"/>
          <w:szCs w:val="22"/>
        </w:rPr>
        <w:t xml:space="preserve">and no other box above, </w:t>
      </w:r>
      <w:r w:rsidR="00DF4004" w:rsidRPr="00AF52E2">
        <w:rPr>
          <w:i/>
          <w:color w:val="0070C0"/>
          <w:sz w:val="22"/>
          <w:szCs w:val="22"/>
        </w:rPr>
        <w:t>go to</w:t>
      </w:r>
      <w:r w:rsidR="00DD20EA">
        <w:rPr>
          <w:i/>
          <w:color w:val="0070C0"/>
          <w:sz w:val="22"/>
          <w:szCs w:val="22"/>
        </w:rPr>
        <w:t xml:space="preserve"> the next</w:t>
      </w:r>
      <w:r w:rsidR="00DF4004" w:rsidRPr="00AF52E2">
        <w:rPr>
          <w:i/>
          <w:color w:val="0070C0"/>
          <w:sz w:val="22"/>
          <w:szCs w:val="22"/>
        </w:rPr>
        <w:t xml:space="preserve"> ite</w:t>
      </w:r>
      <w:r w:rsidR="007D17BC">
        <w:rPr>
          <w:i/>
          <w:color w:val="0070C0"/>
          <w:sz w:val="22"/>
          <w:szCs w:val="22"/>
        </w:rPr>
        <w:t>m</w:t>
      </w:r>
      <w:r w:rsidR="00DF4004" w:rsidRPr="00AF52E2">
        <w:rPr>
          <w:i/>
          <w:color w:val="0070C0"/>
          <w:sz w:val="22"/>
          <w:szCs w:val="22"/>
        </w:rPr>
        <w:t>.</w:t>
      </w:r>
      <w:r w:rsidR="00DF4004" w:rsidRPr="00AF52E2">
        <w:rPr>
          <w:color w:val="0070C0"/>
          <w:sz w:val="22"/>
          <w:szCs w:val="22"/>
        </w:rPr>
        <w:t xml:space="preserve">  </w:t>
      </w:r>
      <w:r w:rsidR="00DF4004" w:rsidRPr="00AF52E2">
        <w:rPr>
          <w:i/>
          <w:color w:val="0070C0"/>
          <w:sz w:val="22"/>
          <w:szCs w:val="22"/>
        </w:rPr>
        <w:t xml:space="preserve">Otherwise, </w:t>
      </w:r>
      <w:r w:rsidR="00DF17C0" w:rsidRPr="00DF17C0">
        <w:rPr>
          <w:i/>
          <w:color w:val="0070C0"/>
          <w:sz w:val="22"/>
          <w:szCs w:val="22"/>
        </w:rPr>
        <w:t>skip the rest of this Part III.B and go to the next Part Information Recipient has requested, if any</w:t>
      </w:r>
      <w:r w:rsidR="00DF4004" w:rsidRPr="00AF52E2">
        <w:rPr>
          <w:i/>
          <w:color w:val="0070C0"/>
          <w:sz w:val="22"/>
          <w:szCs w:val="22"/>
        </w:rPr>
        <w:t>.</w:t>
      </w:r>
    </w:p>
    <w:p w14:paraId="75487613" w14:textId="77777777" w:rsidR="00DF4004" w:rsidRPr="00AF52E2" w:rsidRDefault="00DF4004" w:rsidP="00DF4004">
      <w:pPr>
        <w:pStyle w:val="Heading3"/>
        <w:rPr>
          <w:color w:val="0070C0"/>
          <w:sz w:val="22"/>
          <w:szCs w:val="22"/>
        </w:rPr>
      </w:pPr>
      <w:r w:rsidRPr="00AF52E2">
        <w:rPr>
          <w:sz w:val="22"/>
          <w:szCs w:val="22"/>
          <w:u w:val="single"/>
        </w:rPr>
        <w:lastRenderedPageBreak/>
        <w:t>Exemption Election</w:t>
      </w:r>
      <w:r w:rsidRPr="00AF52E2">
        <w:rPr>
          <w:sz w:val="22"/>
          <w:szCs w:val="22"/>
        </w:rPr>
        <w:br/>
      </w:r>
      <w:r w:rsidRPr="00AF52E2">
        <w:rPr>
          <w:sz w:val="22"/>
          <w:szCs w:val="22"/>
        </w:rPr>
        <w:br/>
        <w:t>Please check the appropriate box below.</w:t>
      </w:r>
      <w:r w:rsidRPr="00AF52E2">
        <w:rPr>
          <w:i/>
          <w:sz w:val="22"/>
          <w:szCs w:val="22"/>
        </w:rPr>
        <w:br/>
      </w:r>
      <w:r w:rsidRPr="00AF52E2">
        <w:rPr>
          <w:i/>
          <w:sz w:val="22"/>
          <w:szCs w:val="22"/>
        </w:rPr>
        <w:br/>
        <w:t>Checking the box next to “All Transactions” indicates that, unless it otherwise notifies Recipient in writing prior to the execution of the relevant SBS that will not be entered into in reliance on an exemption indicated in the immediately preceding section, Named Entity will enter into all of its Uncleared SBS with Recipient in reliance on an exemption indicated above and that it will comply with the terms of the relevant exemption, including</w:t>
      </w:r>
      <w:r w:rsidR="00073796">
        <w:rPr>
          <w:i/>
          <w:sz w:val="22"/>
          <w:szCs w:val="22"/>
        </w:rPr>
        <w:t>,</w:t>
      </w:r>
      <w:r w:rsidRPr="00AF52E2">
        <w:rPr>
          <w:i/>
          <w:sz w:val="22"/>
          <w:szCs w:val="22"/>
        </w:rPr>
        <w:t xml:space="preserve"> but not limited to, any applicable requirement that such transaction is entered into in order to “hedge or mitigate commercial risk.”</w:t>
      </w:r>
      <w:r w:rsidRPr="00AF52E2">
        <w:rPr>
          <w:i/>
          <w:sz w:val="22"/>
          <w:szCs w:val="22"/>
        </w:rPr>
        <w:br/>
      </w:r>
      <w:r w:rsidRPr="00AF52E2">
        <w:rPr>
          <w:i/>
          <w:sz w:val="22"/>
          <w:szCs w:val="22"/>
        </w:rPr>
        <w:br/>
        <w:t>Checking the box next to “Not All Transactions” indicates that Named Entity may not enter into all Uncleared SBS with Recipient in reliance on an exemption from margin requirements and that</w:t>
      </w:r>
      <w:r w:rsidR="00073796">
        <w:rPr>
          <w:i/>
          <w:sz w:val="22"/>
          <w:szCs w:val="22"/>
        </w:rPr>
        <w:t>,</w:t>
      </w:r>
      <w:r w:rsidRPr="00AF52E2">
        <w:rPr>
          <w:i/>
          <w:sz w:val="22"/>
          <w:szCs w:val="22"/>
        </w:rPr>
        <w:t xml:space="preserve"> if it does rely on an exemption for a particular transaction, it will comply with the terms of the relevant exemption, including</w:t>
      </w:r>
      <w:r w:rsidR="000C1094">
        <w:rPr>
          <w:i/>
          <w:sz w:val="22"/>
          <w:szCs w:val="22"/>
        </w:rPr>
        <w:t>,</w:t>
      </w:r>
      <w:r w:rsidRPr="00AF52E2">
        <w:rPr>
          <w:i/>
          <w:sz w:val="22"/>
          <w:szCs w:val="22"/>
        </w:rPr>
        <w:t xml:space="preserve"> but not limited to</w:t>
      </w:r>
      <w:r w:rsidR="000C1094">
        <w:rPr>
          <w:i/>
          <w:sz w:val="22"/>
          <w:szCs w:val="22"/>
        </w:rPr>
        <w:t>,</w:t>
      </w:r>
      <w:r w:rsidRPr="00AF52E2">
        <w:rPr>
          <w:i/>
          <w:sz w:val="22"/>
          <w:szCs w:val="22"/>
        </w:rPr>
        <w:t xml:space="preserve"> any requirement that such transaction is entered into in order to “hedge or mitigate commercial risk.”</w:t>
      </w:r>
      <w:r w:rsidRPr="00AF52E2">
        <w:rPr>
          <w:sz w:val="22"/>
          <w:szCs w:val="22"/>
        </w:rPr>
        <w:br/>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All Transactions</w:t>
      </w:r>
      <w:r w:rsidRPr="00AF52E2">
        <w:rPr>
          <w:sz w:val="22"/>
          <w:szCs w:val="22"/>
        </w:rPr>
        <w:br/>
      </w:r>
      <w:r w:rsidRPr="00AF52E2">
        <w:rPr>
          <w:sz w:val="22"/>
          <w:szCs w:val="22"/>
        </w:rPr>
        <w:fldChar w:fldCharType="begin">
          <w:ffData>
            <w:name w:val=""/>
            <w:enabled/>
            <w:calcOnExit w:val="0"/>
            <w:checkBox>
              <w:sizeAuto/>
              <w:default w:val="0"/>
            </w:checkBox>
          </w:ffData>
        </w:fldChar>
      </w:r>
      <w:r w:rsidRPr="00AF52E2">
        <w:rPr>
          <w:sz w:val="22"/>
          <w:szCs w:val="22"/>
        </w:rPr>
        <w:instrText xml:space="preserve"> FORMCHECKBOX </w:instrText>
      </w:r>
      <w:r w:rsidR="00166DDA">
        <w:rPr>
          <w:sz w:val="22"/>
          <w:szCs w:val="22"/>
        </w:rPr>
      </w:r>
      <w:r w:rsidR="00166DDA">
        <w:rPr>
          <w:sz w:val="22"/>
          <w:szCs w:val="22"/>
        </w:rPr>
        <w:fldChar w:fldCharType="separate"/>
      </w:r>
      <w:r w:rsidRPr="00AF52E2">
        <w:rPr>
          <w:sz w:val="22"/>
          <w:szCs w:val="22"/>
        </w:rPr>
        <w:fldChar w:fldCharType="end"/>
      </w:r>
      <w:r w:rsidRPr="00AF52E2">
        <w:rPr>
          <w:sz w:val="22"/>
          <w:szCs w:val="22"/>
        </w:rPr>
        <w:t xml:space="preserve">  Not All Transactions</w:t>
      </w:r>
      <w:r w:rsidR="001B3974" w:rsidRPr="00AF52E2">
        <w:rPr>
          <w:sz w:val="22"/>
          <w:szCs w:val="22"/>
        </w:rPr>
        <w:br/>
      </w:r>
      <w:r w:rsidR="001B3974" w:rsidRPr="00AF52E2">
        <w:rPr>
          <w:sz w:val="22"/>
          <w:szCs w:val="22"/>
        </w:rPr>
        <w:br/>
      </w:r>
      <w:r w:rsidR="001B3974" w:rsidRPr="00AF52E2">
        <w:rPr>
          <w:i/>
          <w:color w:val="0070C0"/>
          <w:sz w:val="22"/>
          <w:szCs w:val="22"/>
        </w:rPr>
        <w:t xml:space="preserve">Go to </w:t>
      </w:r>
      <w:r w:rsidR="00AF52E2">
        <w:rPr>
          <w:i/>
          <w:color w:val="0070C0"/>
          <w:sz w:val="22"/>
          <w:szCs w:val="22"/>
        </w:rPr>
        <w:t xml:space="preserve">the next </w:t>
      </w:r>
      <w:r w:rsidR="001B3974" w:rsidRPr="00AF52E2">
        <w:rPr>
          <w:i/>
          <w:color w:val="0070C0"/>
          <w:sz w:val="22"/>
          <w:szCs w:val="22"/>
        </w:rPr>
        <w:t>item</w:t>
      </w:r>
      <w:r w:rsidR="001B3974" w:rsidRPr="00AF52E2">
        <w:rPr>
          <w:color w:val="0070C0"/>
          <w:sz w:val="22"/>
          <w:szCs w:val="22"/>
        </w:rPr>
        <w:t>.</w:t>
      </w:r>
    </w:p>
    <w:p w14:paraId="77E6A51E" w14:textId="77777777" w:rsidR="001B3974" w:rsidRPr="008542A2" w:rsidRDefault="001B3974" w:rsidP="007412FB">
      <w:pPr>
        <w:pStyle w:val="Heading3"/>
        <w:rPr>
          <w:color w:val="0070C0"/>
          <w:sz w:val="22"/>
          <w:szCs w:val="22"/>
        </w:rPr>
      </w:pPr>
      <w:r w:rsidRPr="008542A2">
        <w:rPr>
          <w:sz w:val="22"/>
          <w:szCs w:val="22"/>
          <w:u w:val="single"/>
        </w:rPr>
        <w:t>Commercial End</w:t>
      </w:r>
      <w:r w:rsidR="002F7035">
        <w:rPr>
          <w:sz w:val="22"/>
          <w:szCs w:val="22"/>
          <w:u w:val="single"/>
        </w:rPr>
        <w:t xml:space="preserve"> </w:t>
      </w:r>
      <w:r w:rsidRPr="008542A2">
        <w:rPr>
          <w:sz w:val="22"/>
          <w:szCs w:val="22"/>
          <w:u w:val="single"/>
        </w:rPr>
        <w:t>User Reporting</w:t>
      </w:r>
      <w:r w:rsidRPr="008542A2">
        <w:rPr>
          <w:sz w:val="22"/>
          <w:szCs w:val="22"/>
        </w:rPr>
        <w:br/>
      </w:r>
      <w:r w:rsidRPr="008542A2">
        <w:rPr>
          <w:sz w:val="22"/>
          <w:szCs w:val="22"/>
        </w:rPr>
        <w:br/>
        <w:t>Please explain how Named Entity will satisfy the SBS Commercial End</w:t>
      </w:r>
      <w:r w:rsidR="002F7035">
        <w:rPr>
          <w:sz w:val="22"/>
          <w:szCs w:val="22"/>
        </w:rPr>
        <w:t xml:space="preserve"> </w:t>
      </w:r>
      <w:r w:rsidRPr="008542A2">
        <w:rPr>
          <w:sz w:val="22"/>
          <w:szCs w:val="22"/>
        </w:rPr>
        <w:t>User Reporting Requirement here:</w:t>
      </w:r>
      <w:r w:rsidR="007C1CE8" w:rsidRPr="008542A2">
        <w:rPr>
          <w:sz w:val="22"/>
          <w:szCs w:val="22"/>
        </w:rPr>
        <w:t xml:space="preserve"> </w:t>
      </w:r>
      <w:r w:rsidRPr="008542A2">
        <w:rPr>
          <w:sz w:val="22"/>
          <w:szCs w:val="22"/>
        </w:rPr>
        <w:br/>
      </w:r>
      <w:r w:rsidRPr="008542A2">
        <w:rPr>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2E2" w:rsidRPr="008542A2">
        <w:rPr>
          <w:sz w:val="22"/>
          <w:szCs w:val="22"/>
        </w:rPr>
        <w:t>_________________________</w:t>
      </w:r>
      <w:r w:rsidRPr="008542A2">
        <w:rPr>
          <w:sz w:val="22"/>
          <w:szCs w:val="22"/>
        </w:rPr>
        <w:t>.</w:t>
      </w:r>
      <w:r w:rsidR="007412FB" w:rsidRPr="008542A2">
        <w:rPr>
          <w:sz w:val="22"/>
          <w:szCs w:val="22"/>
        </w:rPr>
        <w:br/>
      </w:r>
      <w:r w:rsidR="007412FB" w:rsidRPr="008542A2">
        <w:rPr>
          <w:sz w:val="22"/>
          <w:szCs w:val="22"/>
        </w:rPr>
        <w:br/>
      </w:r>
      <w:r w:rsidR="007412FB" w:rsidRPr="008542A2">
        <w:rPr>
          <w:i/>
          <w:color w:val="0070C0"/>
          <w:sz w:val="22"/>
          <w:szCs w:val="22"/>
        </w:rPr>
        <w:t>Go to the next Part if Information Recipient has requested</w:t>
      </w:r>
      <w:r w:rsidR="007412FB" w:rsidRPr="008542A2">
        <w:rPr>
          <w:color w:val="0070C0"/>
          <w:sz w:val="22"/>
          <w:szCs w:val="22"/>
        </w:rPr>
        <w:t>.</w:t>
      </w:r>
    </w:p>
    <w:p w14:paraId="66597797" w14:textId="77777777" w:rsidR="007412FB" w:rsidRPr="008542A2" w:rsidRDefault="007412FB" w:rsidP="007412FB">
      <w:pPr>
        <w:pStyle w:val="BodyText"/>
        <w:rPr>
          <w:sz w:val="22"/>
          <w:szCs w:val="22"/>
        </w:rPr>
      </w:pPr>
    </w:p>
    <w:p w14:paraId="114DDA43" w14:textId="77777777" w:rsidR="00B31DA5" w:rsidRDefault="00B31DA5" w:rsidP="007412FB">
      <w:pPr>
        <w:pStyle w:val="BodyText"/>
        <w:ind w:firstLine="0"/>
        <w:rPr>
          <w:b/>
          <w:sz w:val="22"/>
          <w:szCs w:val="22"/>
          <w:u w:val="single"/>
          <w:lang w:val="en-GB"/>
        </w:rPr>
      </w:pPr>
    </w:p>
    <w:p w14:paraId="72BB0039" w14:textId="77777777" w:rsidR="00B31DA5" w:rsidRDefault="00B31DA5" w:rsidP="007412FB">
      <w:pPr>
        <w:pStyle w:val="BodyText"/>
        <w:ind w:firstLine="0"/>
        <w:rPr>
          <w:b/>
          <w:sz w:val="22"/>
          <w:szCs w:val="22"/>
          <w:u w:val="single"/>
          <w:lang w:val="en-GB"/>
        </w:rPr>
      </w:pPr>
    </w:p>
    <w:p w14:paraId="0B047A47" w14:textId="77777777" w:rsidR="00B31DA5" w:rsidRDefault="00B31DA5" w:rsidP="007412FB">
      <w:pPr>
        <w:pStyle w:val="BodyText"/>
        <w:ind w:firstLine="0"/>
        <w:rPr>
          <w:b/>
          <w:sz w:val="22"/>
          <w:szCs w:val="22"/>
          <w:u w:val="single"/>
          <w:lang w:val="en-GB"/>
        </w:rPr>
      </w:pPr>
    </w:p>
    <w:p w14:paraId="45D3BB1A" w14:textId="77777777" w:rsidR="00B31DA5" w:rsidRDefault="00B31DA5" w:rsidP="007412FB">
      <w:pPr>
        <w:pStyle w:val="BodyText"/>
        <w:ind w:firstLine="0"/>
        <w:rPr>
          <w:b/>
          <w:sz w:val="22"/>
          <w:szCs w:val="22"/>
          <w:u w:val="single"/>
          <w:lang w:val="en-GB"/>
        </w:rPr>
      </w:pPr>
    </w:p>
    <w:p w14:paraId="66BDAEF5" w14:textId="77777777" w:rsidR="007412FB" w:rsidRPr="008542A2" w:rsidRDefault="007412FB" w:rsidP="007412FB">
      <w:pPr>
        <w:pStyle w:val="BodyText"/>
        <w:ind w:firstLine="0"/>
        <w:rPr>
          <w:b/>
          <w:sz w:val="22"/>
          <w:szCs w:val="22"/>
          <w:u w:val="single"/>
          <w:lang w:val="en-GB"/>
        </w:rPr>
      </w:pPr>
      <w:r w:rsidRPr="008542A2">
        <w:rPr>
          <w:b/>
          <w:sz w:val="22"/>
          <w:szCs w:val="22"/>
          <w:u w:val="single"/>
          <w:lang w:val="en-GB"/>
        </w:rPr>
        <w:lastRenderedPageBreak/>
        <w:t>PART IV:  FINANCIAL ENTITY STATUS</w:t>
      </w:r>
    </w:p>
    <w:p w14:paraId="15EDD708" w14:textId="77777777" w:rsidR="007412FB" w:rsidRPr="008542A2" w:rsidRDefault="007412FB" w:rsidP="007412FB">
      <w:pPr>
        <w:pStyle w:val="BodyText"/>
        <w:rPr>
          <w:i/>
          <w:sz w:val="22"/>
          <w:szCs w:val="22"/>
        </w:rPr>
      </w:pPr>
      <w:r w:rsidRPr="008542A2">
        <w:rPr>
          <w:b/>
          <w:i/>
          <w:sz w:val="22"/>
          <w:szCs w:val="22"/>
          <w:u w:val="single"/>
        </w:rPr>
        <w:t>Explanatory Note</w:t>
      </w:r>
      <w:r w:rsidRPr="008542A2">
        <w:rPr>
          <w:b/>
          <w:i/>
          <w:sz w:val="22"/>
          <w:szCs w:val="22"/>
        </w:rPr>
        <w:t>:</w:t>
      </w:r>
      <w:r w:rsidRPr="008542A2">
        <w:rPr>
          <w:i/>
          <w:sz w:val="22"/>
          <w:szCs w:val="22"/>
        </w:rPr>
        <w:t xml:space="preserve">  This question </w:t>
      </w:r>
      <w:r w:rsidR="008542A2" w:rsidRPr="008542A2">
        <w:rPr>
          <w:i/>
          <w:sz w:val="22"/>
          <w:szCs w:val="22"/>
        </w:rPr>
        <w:t xml:space="preserve">regarding Financial Entity status is relevant to Information Recipient’s Swap (and potentially SBS) </w:t>
      </w:r>
      <w:r w:rsidR="00052C21">
        <w:rPr>
          <w:i/>
          <w:sz w:val="22"/>
          <w:szCs w:val="22"/>
        </w:rPr>
        <w:t xml:space="preserve">trade </w:t>
      </w:r>
      <w:r w:rsidR="008542A2" w:rsidRPr="008542A2">
        <w:rPr>
          <w:i/>
          <w:sz w:val="22"/>
          <w:szCs w:val="22"/>
        </w:rPr>
        <w:t>reporting requirements</w:t>
      </w:r>
      <w:r w:rsidR="00052C21">
        <w:rPr>
          <w:i/>
          <w:sz w:val="22"/>
          <w:szCs w:val="22"/>
        </w:rPr>
        <w:t xml:space="preserve"> and may be applicable to other regulatory requirements</w:t>
      </w:r>
      <w:r w:rsidRPr="008542A2">
        <w:rPr>
          <w:i/>
          <w:sz w:val="22"/>
          <w:szCs w:val="22"/>
        </w:rPr>
        <w:t xml:space="preserve">.  </w:t>
      </w:r>
    </w:p>
    <w:p w14:paraId="605F0234" w14:textId="77777777" w:rsidR="008542A2" w:rsidRPr="008542A2" w:rsidRDefault="008542A2" w:rsidP="008542A2">
      <w:pPr>
        <w:pStyle w:val="BodyText"/>
        <w:ind w:firstLine="0"/>
        <w:rPr>
          <w:i/>
          <w:color w:val="0070C0"/>
          <w:sz w:val="22"/>
          <w:szCs w:val="22"/>
          <w:lang w:val="en-GB"/>
        </w:rPr>
      </w:pPr>
      <w:r w:rsidRPr="008542A2">
        <w:rPr>
          <w:i/>
          <w:color w:val="0070C0"/>
          <w:sz w:val="22"/>
          <w:szCs w:val="22"/>
          <w:lang w:val="en-GB"/>
        </w:rPr>
        <w:t>Answer the question in item 1</w:t>
      </w:r>
      <w:r w:rsidR="00DF17C0">
        <w:rPr>
          <w:i/>
          <w:color w:val="0070C0"/>
          <w:sz w:val="22"/>
          <w:szCs w:val="22"/>
          <w:lang w:val="en-GB"/>
        </w:rPr>
        <w:t>, unless Named Entity checked “</w:t>
      </w:r>
      <w:r w:rsidR="00DF17C0" w:rsidRPr="00DF17C0">
        <w:rPr>
          <w:i/>
          <w:color w:val="0070C0"/>
          <w:sz w:val="22"/>
          <w:szCs w:val="22"/>
        </w:rPr>
        <w:t>CFTC Non-Financial Entity Exemption</w:t>
      </w:r>
      <w:r w:rsidR="00DF17C0">
        <w:rPr>
          <w:i/>
          <w:color w:val="0070C0"/>
          <w:sz w:val="22"/>
          <w:szCs w:val="22"/>
        </w:rPr>
        <w:t>” in item 2 of Part III.A, in which case no further questions required</w:t>
      </w:r>
      <w:r w:rsidRPr="008542A2">
        <w:rPr>
          <w:i/>
          <w:color w:val="0070C0"/>
          <w:sz w:val="22"/>
          <w:szCs w:val="22"/>
          <w:lang w:val="en-GB"/>
        </w:rPr>
        <w:t>.</w:t>
      </w:r>
    </w:p>
    <w:p w14:paraId="37E47CDA" w14:textId="77777777" w:rsidR="008542A2" w:rsidRDefault="008542A2" w:rsidP="008542A2">
      <w:pPr>
        <w:pStyle w:val="Heading3"/>
        <w:numPr>
          <w:ilvl w:val="2"/>
          <w:numId w:val="42"/>
        </w:numPr>
        <w:rPr>
          <w:sz w:val="22"/>
          <w:szCs w:val="22"/>
        </w:rPr>
      </w:pPr>
      <w:r w:rsidRPr="008542A2">
        <w:rPr>
          <w:sz w:val="22"/>
          <w:szCs w:val="22"/>
          <w:lang w:val="en-GB"/>
        </w:rPr>
        <w:t>Is Named Entity a Financial Entity?</w:t>
      </w:r>
      <w:r w:rsidRPr="008542A2">
        <w:rPr>
          <w:sz w:val="22"/>
          <w:szCs w:val="22"/>
          <w:lang w:val="en-GB"/>
        </w:rPr>
        <w:br/>
      </w:r>
      <w:r w:rsidRPr="008542A2">
        <w:rPr>
          <w:sz w:val="22"/>
          <w:szCs w:val="22"/>
          <w:lang w:val="en-GB"/>
        </w:rPr>
        <w:br/>
      </w:r>
      <w:r w:rsidRPr="008542A2">
        <w:rPr>
          <w:sz w:val="22"/>
          <w:szCs w:val="22"/>
        </w:rPr>
        <w:fldChar w:fldCharType="begin">
          <w:ffData>
            <w:name w:val=""/>
            <w:enabled/>
            <w:calcOnExit w:val="0"/>
            <w:checkBox>
              <w:sizeAuto/>
              <w:default w:val="0"/>
            </w:checkBox>
          </w:ffData>
        </w:fldChar>
      </w:r>
      <w:r w:rsidRPr="008542A2">
        <w:rPr>
          <w:sz w:val="22"/>
          <w:szCs w:val="22"/>
        </w:rPr>
        <w:instrText xml:space="preserve"> FORMCHECKBOX </w:instrText>
      </w:r>
      <w:r w:rsidR="00166DDA">
        <w:rPr>
          <w:sz w:val="22"/>
          <w:szCs w:val="22"/>
        </w:rPr>
      </w:r>
      <w:r w:rsidR="00166DDA">
        <w:rPr>
          <w:sz w:val="22"/>
          <w:szCs w:val="22"/>
        </w:rPr>
        <w:fldChar w:fldCharType="separate"/>
      </w:r>
      <w:r w:rsidRPr="008542A2">
        <w:rPr>
          <w:sz w:val="22"/>
          <w:szCs w:val="22"/>
        </w:rPr>
        <w:fldChar w:fldCharType="end"/>
      </w:r>
      <w:r w:rsidRPr="008542A2">
        <w:rPr>
          <w:sz w:val="22"/>
          <w:szCs w:val="22"/>
        </w:rPr>
        <w:t xml:space="preserve">  Yes</w:t>
      </w:r>
      <w:r w:rsidRPr="008542A2">
        <w:rPr>
          <w:sz w:val="22"/>
          <w:szCs w:val="22"/>
        </w:rPr>
        <w:br/>
      </w:r>
      <w:r w:rsidRPr="008542A2">
        <w:rPr>
          <w:sz w:val="22"/>
          <w:szCs w:val="22"/>
        </w:rPr>
        <w:fldChar w:fldCharType="begin">
          <w:ffData>
            <w:name w:val=""/>
            <w:enabled/>
            <w:calcOnExit w:val="0"/>
            <w:checkBox>
              <w:sizeAuto/>
              <w:default w:val="0"/>
            </w:checkBox>
          </w:ffData>
        </w:fldChar>
      </w:r>
      <w:r w:rsidRPr="008542A2">
        <w:rPr>
          <w:sz w:val="22"/>
          <w:szCs w:val="22"/>
        </w:rPr>
        <w:instrText xml:space="preserve"> FORMCHECKBOX </w:instrText>
      </w:r>
      <w:r w:rsidR="00166DDA">
        <w:rPr>
          <w:sz w:val="22"/>
          <w:szCs w:val="22"/>
        </w:rPr>
      </w:r>
      <w:r w:rsidR="00166DDA">
        <w:rPr>
          <w:sz w:val="22"/>
          <w:szCs w:val="22"/>
        </w:rPr>
        <w:fldChar w:fldCharType="separate"/>
      </w:r>
      <w:r w:rsidRPr="008542A2">
        <w:rPr>
          <w:sz w:val="22"/>
          <w:szCs w:val="22"/>
        </w:rPr>
        <w:fldChar w:fldCharType="end"/>
      </w:r>
      <w:r w:rsidRPr="008542A2">
        <w:rPr>
          <w:sz w:val="22"/>
          <w:szCs w:val="22"/>
        </w:rPr>
        <w:t xml:space="preserve">  No</w:t>
      </w:r>
    </w:p>
    <w:p w14:paraId="5396899E" w14:textId="77777777" w:rsidR="008542A2" w:rsidRDefault="008542A2" w:rsidP="008542A2">
      <w:pPr>
        <w:pStyle w:val="BodyText"/>
        <w:ind w:firstLine="0"/>
        <w:jc w:val="center"/>
        <w:rPr>
          <w:lang w:val="en-GB"/>
        </w:rPr>
      </w:pPr>
      <w:r>
        <w:rPr>
          <w:lang w:val="en-GB"/>
        </w:rPr>
        <w:t>*</w:t>
      </w:r>
      <w:r>
        <w:rPr>
          <w:lang w:val="en-GB"/>
        </w:rPr>
        <w:tab/>
        <w:t>*</w:t>
      </w:r>
      <w:r>
        <w:rPr>
          <w:lang w:val="en-GB"/>
        </w:rPr>
        <w:tab/>
        <w:t>*</w:t>
      </w:r>
    </w:p>
    <w:p w14:paraId="512A44BE" w14:textId="77777777" w:rsidR="00AE4FDF" w:rsidRDefault="00AE4FDF">
      <w:pPr>
        <w:spacing w:after="0"/>
        <w:rPr>
          <w:rFonts w:eastAsia="Times New Roman" w:cs="Times New Roman"/>
          <w:szCs w:val="20"/>
          <w:lang w:val="en-GB"/>
        </w:rPr>
      </w:pPr>
      <w:r>
        <w:rPr>
          <w:lang w:val="en-GB"/>
        </w:rPr>
        <w:br w:type="page"/>
      </w:r>
    </w:p>
    <w:p w14:paraId="5D9C1EC3" w14:textId="77777777" w:rsidR="00AE4FDF" w:rsidRPr="0078138A" w:rsidRDefault="006650BF" w:rsidP="00AE4FDF">
      <w:pPr>
        <w:spacing w:after="0"/>
        <w:jc w:val="center"/>
        <w:rPr>
          <w:rFonts w:cs="Times New Roman"/>
          <w:b/>
          <w:sz w:val="22"/>
          <w:szCs w:val="22"/>
          <w:u w:val="single"/>
        </w:rPr>
      </w:pPr>
      <w:r>
        <w:rPr>
          <w:rFonts w:cs="Times New Roman"/>
          <w:b/>
          <w:sz w:val="22"/>
          <w:szCs w:val="22"/>
        </w:rPr>
        <w:lastRenderedPageBreak/>
        <w:t>Appendix</w:t>
      </w:r>
      <w:r>
        <w:rPr>
          <w:rFonts w:cs="Times New Roman"/>
          <w:b/>
          <w:sz w:val="22"/>
          <w:szCs w:val="22"/>
        </w:rPr>
        <w:br/>
      </w:r>
      <w:r>
        <w:rPr>
          <w:rFonts w:cs="Times New Roman"/>
          <w:b/>
          <w:sz w:val="22"/>
          <w:szCs w:val="22"/>
          <w:u w:val="single"/>
        </w:rPr>
        <w:br/>
      </w:r>
      <w:r w:rsidR="00AE4FDF" w:rsidRPr="0078138A">
        <w:rPr>
          <w:rFonts w:cs="Times New Roman"/>
          <w:b/>
          <w:sz w:val="22"/>
          <w:szCs w:val="22"/>
          <w:u w:val="single"/>
        </w:rPr>
        <w:t>Definitions</w:t>
      </w:r>
    </w:p>
    <w:p w14:paraId="495514B4" w14:textId="77777777" w:rsidR="00AE4FDF" w:rsidRPr="0078138A" w:rsidRDefault="00AE4FDF" w:rsidP="00AE4FDF">
      <w:pPr>
        <w:spacing w:after="0"/>
        <w:rPr>
          <w:rFonts w:cs="Times New Roman"/>
          <w:b/>
          <w:sz w:val="22"/>
          <w:szCs w:val="22"/>
        </w:rPr>
      </w:pPr>
    </w:p>
    <w:p w14:paraId="60080C83" w14:textId="77777777" w:rsidR="00AE4FDF" w:rsidRPr="0078138A" w:rsidRDefault="00AE4FDF" w:rsidP="00AE4FDF">
      <w:pPr>
        <w:pStyle w:val="ListParagraph"/>
        <w:spacing w:after="0"/>
        <w:contextualSpacing w:val="0"/>
        <w:rPr>
          <w:rFonts w:cs="Times New Roman"/>
          <w:sz w:val="22"/>
          <w:szCs w:val="22"/>
        </w:rPr>
      </w:pPr>
    </w:p>
    <w:p w14:paraId="2FD4F69A"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Affiliate Conduit</w:t>
      </w:r>
      <w:r w:rsidRPr="0078138A">
        <w:rPr>
          <w:rFonts w:cs="Times New Roman"/>
          <w:sz w:val="22"/>
          <w:szCs w:val="22"/>
        </w:rPr>
        <w:t xml:space="preserve">” means an “affiliate conduit,” under the CFTC 2013 Interpretive Guidance.  </w:t>
      </w:r>
    </w:p>
    <w:p w14:paraId="180532D6"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Affiliate Conduit Factors</w:t>
      </w:r>
      <w:r w:rsidRPr="0078138A">
        <w:rPr>
          <w:rFonts w:cs="Times New Roman"/>
          <w:sz w:val="22"/>
          <w:szCs w:val="22"/>
        </w:rPr>
        <w:t>” means the four factors identified in the CFTC 2013 Interpretive Guidance as relevant to considering whether a non-U.S. person is an “affiliate conduit.”</w:t>
      </w:r>
      <w:r w:rsidRPr="0078138A">
        <w:rPr>
          <w:rFonts w:eastAsia="Times New Roman" w:cs="Times New Roman"/>
          <w:sz w:val="22"/>
          <w:szCs w:val="22"/>
          <w:vertAlign w:val="superscript"/>
        </w:rPr>
        <w:t xml:space="preserve"> </w:t>
      </w:r>
      <w:r w:rsidRPr="0078138A">
        <w:rPr>
          <w:rFonts w:eastAsia="Times New Roman" w:cs="Times New Roman"/>
          <w:sz w:val="22"/>
          <w:szCs w:val="22"/>
          <w:vertAlign w:val="superscript"/>
        </w:rPr>
        <w:footnoteReference w:id="14"/>
      </w:r>
      <w:r w:rsidRPr="0078138A">
        <w:rPr>
          <w:rFonts w:cs="Times New Roman"/>
          <w:sz w:val="22"/>
          <w:szCs w:val="22"/>
        </w:rPr>
        <w:t xml:space="preserve">  For informational purposes only, the text of the categories (but not the related interpretive materials) is reproduced below:  </w:t>
      </w:r>
    </w:p>
    <w:p w14:paraId="1A7BFAC2" w14:textId="77777777" w:rsidR="00AE4FDF" w:rsidRPr="0078138A" w:rsidRDefault="00AE4FDF" w:rsidP="00AE4FDF">
      <w:pPr>
        <w:ind w:left="360"/>
        <w:rPr>
          <w:rFonts w:cs="Times New Roman"/>
          <w:sz w:val="22"/>
          <w:szCs w:val="22"/>
        </w:rPr>
      </w:pPr>
      <w:r w:rsidRPr="0078138A">
        <w:rPr>
          <w:rFonts w:cs="Times New Roman"/>
          <w:sz w:val="22"/>
          <w:szCs w:val="22"/>
        </w:rPr>
        <w:t>(i) the non-U.S. person is a majority-owned affiliate of a U.S. person;</w:t>
      </w:r>
      <w:r w:rsidRPr="0078138A">
        <w:rPr>
          <w:rStyle w:val="FootnoteReference"/>
          <w:rFonts w:cs="Times New Roman"/>
          <w:sz w:val="22"/>
          <w:szCs w:val="22"/>
        </w:rPr>
        <w:footnoteReference w:id="15"/>
      </w:r>
    </w:p>
    <w:p w14:paraId="214FB51A" w14:textId="77777777" w:rsidR="00AE4FDF" w:rsidRPr="0078138A" w:rsidRDefault="00AE4FDF" w:rsidP="00AE4FDF">
      <w:pPr>
        <w:ind w:left="360"/>
        <w:rPr>
          <w:rFonts w:cs="Times New Roman"/>
          <w:sz w:val="22"/>
          <w:szCs w:val="22"/>
        </w:rPr>
      </w:pPr>
      <w:r w:rsidRPr="0078138A">
        <w:rPr>
          <w:rFonts w:cs="Times New Roman"/>
          <w:sz w:val="22"/>
          <w:szCs w:val="22"/>
        </w:rPr>
        <w:t xml:space="preserve">(ii) the non-U.S. person is controlling, controlled by or under common control with the U.S. person; </w:t>
      </w:r>
      <w:r w:rsidRPr="0078138A">
        <w:rPr>
          <w:rStyle w:val="FootnoteReference"/>
          <w:rFonts w:cs="Times New Roman"/>
          <w:sz w:val="22"/>
          <w:szCs w:val="22"/>
        </w:rPr>
        <w:footnoteReference w:id="16"/>
      </w:r>
    </w:p>
    <w:p w14:paraId="09E36B02" w14:textId="77777777" w:rsidR="00AE4FDF" w:rsidRPr="0078138A" w:rsidRDefault="00AE4FDF" w:rsidP="00AE4FDF">
      <w:pPr>
        <w:ind w:left="360"/>
        <w:rPr>
          <w:rFonts w:cs="Times New Roman"/>
          <w:sz w:val="22"/>
          <w:szCs w:val="22"/>
        </w:rPr>
      </w:pPr>
      <w:r w:rsidRPr="0078138A">
        <w:rPr>
          <w:rFonts w:cs="Times New Roman"/>
          <w:sz w:val="22"/>
          <w:szCs w:val="22"/>
        </w:rPr>
        <w:t xml:space="preserve">(iii) the financial results of the non-U.S. person are included in the consolidated financial statements of the U.S. person; and </w:t>
      </w:r>
    </w:p>
    <w:p w14:paraId="748CE6EB" w14:textId="77777777" w:rsidR="00AE4FDF" w:rsidRPr="0078138A" w:rsidRDefault="00AE4FDF" w:rsidP="00AE4FDF">
      <w:pPr>
        <w:ind w:left="360"/>
        <w:rPr>
          <w:rFonts w:cs="Times New Roman"/>
          <w:sz w:val="22"/>
          <w:szCs w:val="22"/>
        </w:rPr>
      </w:pPr>
      <w:r w:rsidRPr="0078138A">
        <w:rPr>
          <w:rFonts w:cs="Times New Roman"/>
          <w:sz w:val="22"/>
          <w:szCs w:val="22"/>
        </w:rPr>
        <w:t>(iv) the non-U.S. person, in the regular course of business, engages in swaps with a non-U.S. third party(ies) for the purpose of hedging or mitigating risks faced by, or to take positions on behalf of, its U.S. affiliate(s), and enters into offsetting swaps or other arrangements with its U.S. affiliate(s) in order to transfer the risks and benefits of such swaps with a third</w:t>
      </w:r>
      <w:r>
        <w:rPr>
          <w:rFonts w:cs="Times New Roman"/>
          <w:sz w:val="22"/>
          <w:szCs w:val="22"/>
        </w:rPr>
        <w:t xml:space="preserve"> </w:t>
      </w:r>
      <w:r w:rsidRPr="0078138A">
        <w:rPr>
          <w:rFonts w:cs="Times New Roman"/>
          <w:sz w:val="22"/>
          <w:szCs w:val="22"/>
        </w:rPr>
        <w:t>party(ies) to its U.S. affiliates.</w:t>
      </w:r>
    </w:p>
    <w:p w14:paraId="5C83B23E"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CEA</w:t>
      </w:r>
      <w:r w:rsidRPr="0078138A">
        <w:rPr>
          <w:rFonts w:cs="Times New Roman"/>
          <w:sz w:val="22"/>
          <w:szCs w:val="22"/>
        </w:rPr>
        <w:t>” means the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Commodity Exchange Act, as amended. </w:t>
      </w:r>
    </w:p>
    <w:p w14:paraId="4359CB84"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CFTC</w:t>
      </w:r>
      <w:r w:rsidRPr="0078138A">
        <w:rPr>
          <w:rFonts w:cs="Times New Roman"/>
          <w:sz w:val="22"/>
          <w:szCs w:val="22"/>
        </w:rPr>
        <w:t>” means the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Commodity Futures Exchange Commission. </w:t>
      </w:r>
    </w:p>
    <w:p w14:paraId="66E15C5F" w14:textId="77777777" w:rsidR="00AE4FDF" w:rsidRPr="002B1008" w:rsidRDefault="00AE4FDF" w:rsidP="00AE4FDF">
      <w:pPr>
        <w:rPr>
          <w:rFonts w:cs="Times New Roman"/>
          <w:sz w:val="22"/>
          <w:szCs w:val="22"/>
          <w:lang w:val="x-none"/>
        </w:rPr>
      </w:pPr>
      <w:r w:rsidRPr="0078138A">
        <w:rPr>
          <w:rFonts w:cs="Times New Roman"/>
          <w:sz w:val="22"/>
          <w:szCs w:val="22"/>
          <w:lang w:val="x-none"/>
        </w:rPr>
        <w:t>“</w:t>
      </w:r>
      <w:r w:rsidRPr="009B2889">
        <w:rPr>
          <w:rFonts w:cs="Times New Roman"/>
          <w:b/>
          <w:i/>
          <w:sz w:val="22"/>
          <w:szCs w:val="22"/>
        </w:rPr>
        <w:t>CFTC</w:t>
      </w:r>
      <w:r>
        <w:rPr>
          <w:rFonts w:cs="Times New Roman"/>
          <w:sz w:val="22"/>
          <w:szCs w:val="22"/>
        </w:rPr>
        <w:t xml:space="preserve"> </w:t>
      </w:r>
      <w:r w:rsidRPr="0078138A">
        <w:rPr>
          <w:rFonts w:cs="Times New Roman"/>
          <w:b/>
          <w:i/>
          <w:sz w:val="22"/>
          <w:szCs w:val="22"/>
          <w:lang w:val="x-none"/>
        </w:rPr>
        <w:t>Captive Finance Company Exemption</w:t>
      </w:r>
      <w:r w:rsidRPr="0078138A">
        <w:rPr>
          <w:rFonts w:cs="Times New Roman"/>
          <w:sz w:val="22"/>
          <w:szCs w:val="22"/>
          <w:lang w:val="x-none"/>
        </w:rPr>
        <w:t>” means the exemption from margin</w:t>
      </w:r>
      <w:r w:rsidRPr="0078138A">
        <w:rPr>
          <w:rFonts w:cs="Times New Roman"/>
          <w:sz w:val="22"/>
          <w:szCs w:val="22"/>
        </w:rPr>
        <w:t xml:space="preserve"> </w:t>
      </w:r>
      <w:r w:rsidRPr="0078138A">
        <w:rPr>
          <w:rFonts w:cs="Times New Roman"/>
          <w:sz w:val="22"/>
          <w:szCs w:val="22"/>
          <w:lang w:val="x-none"/>
        </w:rPr>
        <w:t>requirements</w:t>
      </w:r>
      <w:r w:rsidRPr="0078138A">
        <w:rPr>
          <w:rFonts w:cs="Times New Roman"/>
          <w:sz w:val="22"/>
          <w:szCs w:val="22"/>
        </w:rPr>
        <w:t xml:space="preserve"> </w:t>
      </w:r>
      <w:r w:rsidRPr="0078138A">
        <w:rPr>
          <w:rFonts w:cs="Times New Roman"/>
          <w:sz w:val="22"/>
          <w:szCs w:val="22"/>
          <w:lang w:val="x-none"/>
        </w:rPr>
        <w:t>for an entity that qualifies for an exclusion from the definition of “financial entity” in</w:t>
      </w:r>
      <w:r w:rsidRPr="0078138A">
        <w:rPr>
          <w:rFonts w:cs="Times New Roman"/>
          <w:sz w:val="22"/>
          <w:szCs w:val="22"/>
        </w:rPr>
        <w:t xml:space="preserve"> </w:t>
      </w:r>
      <w:r w:rsidRPr="0078138A">
        <w:rPr>
          <w:rFonts w:cs="Times New Roman"/>
          <w:sz w:val="22"/>
          <w:szCs w:val="22"/>
          <w:lang w:val="x-none"/>
        </w:rPr>
        <w:t xml:space="preserve">CEA </w:t>
      </w:r>
      <w:r>
        <w:rPr>
          <w:rFonts w:cs="Times New Roman"/>
          <w:sz w:val="22"/>
          <w:szCs w:val="22"/>
        </w:rPr>
        <w:br/>
      </w:r>
      <w:r w:rsidRPr="0078138A">
        <w:rPr>
          <w:rFonts w:cs="Times New Roman"/>
          <w:sz w:val="22"/>
          <w:szCs w:val="22"/>
          <w:lang w:val="x-none"/>
        </w:rPr>
        <w:t>§ 2(h)(7)(C)(iii).</w:t>
      </w:r>
    </w:p>
    <w:p w14:paraId="6EA1850C" w14:textId="77777777" w:rsidR="00AE4FDF" w:rsidRPr="0078138A" w:rsidRDefault="00AE4FDF" w:rsidP="00AE4FDF">
      <w:pPr>
        <w:rPr>
          <w:rFonts w:cs="Times New Roman"/>
          <w:sz w:val="22"/>
          <w:szCs w:val="22"/>
        </w:rPr>
      </w:pPr>
      <w:r w:rsidRPr="0078138A">
        <w:rPr>
          <w:rFonts w:cs="Times New Roman"/>
          <w:sz w:val="22"/>
          <w:szCs w:val="22"/>
          <w:lang w:val="x-none"/>
        </w:rPr>
        <w:t>“</w:t>
      </w:r>
      <w:r w:rsidRPr="00F340B8">
        <w:rPr>
          <w:rFonts w:cs="Times New Roman"/>
          <w:b/>
          <w:i/>
          <w:sz w:val="22"/>
          <w:szCs w:val="22"/>
        </w:rPr>
        <w:t xml:space="preserve">CFTC </w:t>
      </w:r>
      <w:r w:rsidRPr="0078138A">
        <w:rPr>
          <w:rFonts w:cs="Times New Roman"/>
          <w:b/>
          <w:i/>
          <w:sz w:val="22"/>
          <w:szCs w:val="22"/>
          <w:lang w:val="x-none"/>
        </w:rPr>
        <w:t>Exempt Cooperative Exemption</w:t>
      </w:r>
      <w:r w:rsidRPr="0078138A">
        <w:rPr>
          <w:rFonts w:cs="Times New Roman"/>
          <w:sz w:val="22"/>
          <w:szCs w:val="22"/>
          <w:lang w:val="x-none"/>
        </w:rPr>
        <w:t>” means the exemption from margin requirements for an</w:t>
      </w:r>
      <w:r w:rsidRPr="0078138A">
        <w:rPr>
          <w:rFonts w:cs="Times New Roman"/>
          <w:sz w:val="22"/>
          <w:szCs w:val="22"/>
        </w:rPr>
        <w:t xml:space="preserve"> </w:t>
      </w:r>
      <w:r w:rsidRPr="0078138A">
        <w:rPr>
          <w:rFonts w:cs="Times New Roman"/>
          <w:sz w:val="22"/>
          <w:szCs w:val="22"/>
          <w:lang w:val="x-none"/>
        </w:rPr>
        <w:t>entity that qualifies for an exception from clearing under a rule, regulation, or order that the</w:t>
      </w:r>
      <w:r w:rsidRPr="0078138A">
        <w:rPr>
          <w:rFonts w:cs="Times New Roman"/>
          <w:sz w:val="22"/>
          <w:szCs w:val="22"/>
        </w:rPr>
        <w:t xml:space="preserve"> </w:t>
      </w:r>
      <w:r w:rsidRPr="0078138A">
        <w:rPr>
          <w:rFonts w:cs="Times New Roman"/>
          <w:sz w:val="22"/>
          <w:szCs w:val="22"/>
          <w:lang w:val="x-none"/>
        </w:rPr>
        <w:lastRenderedPageBreak/>
        <w:t xml:space="preserve">CFTC issued pursuant to its authority under </w:t>
      </w:r>
      <w:r w:rsidRPr="0078138A">
        <w:rPr>
          <w:rFonts w:cs="Times New Roman"/>
          <w:sz w:val="22"/>
          <w:szCs w:val="22"/>
        </w:rPr>
        <w:t>§</w:t>
      </w:r>
      <w:r w:rsidRPr="0078138A">
        <w:rPr>
          <w:rFonts w:cs="Times New Roman"/>
          <w:sz w:val="22"/>
          <w:szCs w:val="22"/>
          <w:lang w:val="x-none"/>
        </w:rPr>
        <w:t xml:space="preserve"> 4(c)(1) of the CEA concerning cooperative</w:t>
      </w:r>
      <w:r w:rsidRPr="0078138A">
        <w:rPr>
          <w:rFonts w:cs="Times New Roman"/>
          <w:sz w:val="22"/>
          <w:szCs w:val="22"/>
        </w:rPr>
        <w:t xml:space="preserve"> </w:t>
      </w:r>
      <w:r w:rsidRPr="0078138A">
        <w:rPr>
          <w:rFonts w:cs="Times New Roman"/>
          <w:sz w:val="22"/>
          <w:szCs w:val="22"/>
          <w:lang w:val="x-none"/>
        </w:rPr>
        <w:t>entities that would otherwise be subject to the requirements of CEA § 2(h)(1)(A).</w:t>
      </w:r>
    </w:p>
    <w:p w14:paraId="457A03B6"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CFTC Margin R</w:t>
      </w:r>
      <w:r>
        <w:rPr>
          <w:rFonts w:cs="Times New Roman"/>
          <w:b/>
          <w:i/>
          <w:sz w:val="22"/>
          <w:szCs w:val="22"/>
        </w:rPr>
        <w:t>ule</w:t>
      </w:r>
      <w:r w:rsidRPr="0078138A">
        <w:rPr>
          <w:rFonts w:cs="Times New Roman"/>
          <w:b/>
          <w:i/>
          <w:sz w:val="22"/>
          <w:szCs w:val="22"/>
        </w:rPr>
        <w:t>s</w:t>
      </w:r>
      <w:r w:rsidRPr="0078138A">
        <w:rPr>
          <w:rFonts w:cs="Times New Roman"/>
          <w:sz w:val="22"/>
          <w:szCs w:val="22"/>
        </w:rPr>
        <w:t xml:space="preserve">” means the margin requirements adopted by the CFTC pursuant to CEA </w:t>
      </w:r>
      <w:r>
        <w:rPr>
          <w:rFonts w:cs="Times New Roman"/>
          <w:sz w:val="22"/>
          <w:szCs w:val="22"/>
        </w:rPr>
        <w:br/>
      </w:r>
      <w:r w:rsidRPr="0078138A">
        <w:rPr>
          <w:rFonts w:cs="Times New Roman"/>
          <w:sz w:val="22"/>
          <w:szCs w:val="22"/>
        </w:rPr>
        <w:t xml:space="preserve">§ 4s(e). </w:t>
      </w:r>
    </w:p>
    <w:p w14:paraId="74ED3BC0" w14:textId="77777777" w:rsidR="00AE4FDF" w:rsidRPr="0078138A" w:rsidRDefault="00AE4FDF" w:rsidP="00AE4FDF">
      <w:pPr>
        <w:rPr>
          <w:rFonts w:cs="Times New Roman"/>
          <w:sz w:val="22"/>
          <w:szCs w:val="22"/>
        </w:rPr>
      </w:pPr>
      <w:r w:rsidRPr="0078138A">
        <w:rPr>
          <w:rFonts w:cs="Times New Roman"/>
          <w:sz w:val="22"/>
          <w:szCs w:val="22"/>
        </w:rPr>
        <w:t>“</w:t>
      </w:r>
      <w:r w:rsidRPr="00832441">
        <w:rPr>
          <w:rFonts w:cs="Times New Roman"/>
          <w:b/>
          <w:i/>
          <w:sz w:val="22"/>
          <w:szCs w:val="22"/>
        </w:rPr>
        <w:t>CFTC</w:t>
      </w:r>
      <w:r>
        <w:rPr>
          <w:rFonts w:cs="Times New Roman"/>
          <w:sz w:val="22"/>
          <w:szCs w:val="22"/>
        </w:rPr>
        <w:t xml:space="preserve"> </w:t>
      </w:r>
      <w:r w:rsidRPr="0078138A">
        <w:rPr>
          <w:rFonts w:cs="Times New Roman"/>
          <w:b/>
          <w:i/>
          <w:sz w:val="22"/>
          <w:szCs w:val="22"/>
        </w:rPr>
        <w:t>Non-Financial Entity Exemption</w:t>
      </w:r>
      <w:r w:rsidRPr="0078138A">
        <w:rPr>
          <w:rFonts w:cs="Times New Roman"/>
          <w:sz w:val="22"/>
          <w:szCs w:val="22"/>
        </w:rPr>
        <w:t>” means the exemption from margin requirements for an entity that does not meet the general definition of “financial entity” in CEA § 2(h)(7)(C)(i).</w:t>
      </w:r>
    </w:p>
    <w:p w14:paraId="4C1A1E66" w14:textId="77777777" w:rsidR="00AE4FDF" w:rsidRPr="00AA068C" w:rsidRDefault="00AE4FDF" w:rsidP="00AE4FDF">
      <w:pPr>
        <w:rPr>
          <w:rFonts w:cs="Times New Roman"/>
          <w:sz w:val="22"/>
          <w:szCs w:val="22"/>
        </w:rPr>
      </w:pPr>
      <w:r w:rsidRPr="00AA068C">
        <w:rPr>
          <w:rFonts w:cs="Times New Roman"/>
          <w:sz w:val="22"/>
          <w:szCs w:val="22"/>
        </w:rPr>
        <w:t>“</w:t>
      </w:r>
      <w:r w:rsidRPr="00BA38A2">
        <w:rPr>
          <w:rFonts w:cs="Times New Roman"/>
          <w:b/>
          <w:i/>
          <w:sz w:val="22"/>
          <w:szCs w:val="22"/>
        </w:rPr>
        <w:t>CFTC</w:t>
      </w:r>
      <w:r>
        <w:rPr>
          <w:rFonts w:cs="Times New Roman"/>
          <w:sz w:val="22"/>
          <w:szCs w:val="22"/>
        </w:rPr>
        <w:t xml:space="preserve"> </w:t>
      </w:r>
      <w:r w:rsidRPr="00AA068C">
        <w:rPr>
          <w:rFonts w:cs="Times New Roman"/>
          <w:b/>
          <w:i/>
          <w:sz w:val="22"/>
          <w:szCs w:val="22"/>
        </w:rPr>
        <w:t>Small Bank Exemption</w:t>
      </w:r>
      <w:r w:rsidRPr="00AA068C">
        <w:rPr>
          <w:rFonts w:cs="Times New Roman"/>
          <w:sz w:val="22"/>
          <w:szCs w:val="22"/>
        </w:rPr>
        <w:t>” means the exemption from margin requirements for an entity that qualifies for an exclusion from the definition of “financial entity” in CEA § 2(h)(7)(C)(ii) and CFTC Regulation 50.50(d).</w:t>
      </w:r>
    </w:p>
    <w:p w14:paraId="210D0D64" w14:textId="77777777" w:rsidR="00AE4FDF" w:rsidRPr="00445F5D" w:rsidRDefault="00AE4FDF" w:rsidP="00AE4FDF">
      <w:pPr>
        <w:rPr>
          <w:rFonts w:cs="Times New Roman"/>
          <w:sz w:val="22"/>
          <w:szCs w:val="22"/>
          <w:lang w:val="x-none"/>
        </w:rPr>
      </w:pPr>
      <w:r w:rsidRPr="0078138A">
        <w:rPr>
          <w:rFonts w:cs="Times New Roman"/>
          <w:sz w:val="22"/>
          <w:szCs w:val="22"/>
          <w:lang w:val="x-none"/>
        </w:rPr>
        <w:t>“</w:t>
      </w:r>
      <w:r w:rsidRPr="00A635D5">
        <w:rPr>
          <w:rFonts w:cs="Times New Roman"/>
          <w:b/>
          <w:i/>
          <w:sz w:val="22"/>
          <w:szCs w:val="22"/>
        </w:rPr>
        <w:t>CFTC</w:t>
      </w:r>
      <w:r>
        <w:rPr>
          <w:rFonts w:cs="Times New Roman"/>
          <w:sz w:val="22"/>
          <w:szCs w:val="22"/>
        </w:rPr>
        <w:t xml:space="preserve"> </w:t>
      </w:r>
      <w:r w:rsidRPr="0078138A">
        <w:rPr>
          <w:rFonts w:cs="Times New Roman"/>
          <w:b/>
          <w:i/>
          <w:sz w:val="22"/>
          <w:szCs w:val="22"/>
          <w:lang w:val="x-none"/>
        </w:rPr>
        <w:t>Treasury Affiliate Exemption</w:t>
      </w:r>
      <w:r w:rsidRPr="0078138A">
        <w:rPr>
          <w:rFonts w:cs="Times New Roman"/>
          <w:sz w:val="22"/>
          <w:szCs w:val="22"/>
          <w:lang w:val="x-none"/>
        </w:rPr>
        <w:t>”</w:t>
      </w:r>
      <w:r w:rsidRPr="0078138A">
        <w:rPr>
          <w:rStyle w:val="FootnoteReference"/>
          <w:rFonts w:cs="Times New Roman"/>
          <w:sz w:val="22"/>
          <w:szCs w:val="22"/>
          <w:lang w:val="x-none"/>
        </w:rPr>
        <w:footnoteReference w:id="17"/>
      </w:r>
      <w:r w:rsidRPr="0078138A">
        <w:rPr>
          <w:rFonts w:cs="Times New Roman"/>
          <w:sz w:val="22"/>
          <w:szCs w:val="22"/>
          <w:lang w:val="x-none"/>
        </w:rPr>
        <w:t xml:space="preserve"> means the exemption from margin requirements for an</w:t>
      </w:r>
      <w:r w:rsidRPr="0078138A">
        <w:rPr>
          <w:rFonts w:cs="Times New Roman"/>
          <w:sz w:val="22"/>
          <w:szCs w:val="22"/>
        </w:rPr>
        <w:t xml:space="preserve"> </w:t>
      </w:r>
      <w:r w:rsidRPr="0078138A">
        <w:rPr>
          <w:rFonts w:cs="Times New Roman"/>
          <w:sz w:val="22"/>
          <w:szCs w:val="22"/>
          <w:lang w:val="x-none"/>
        </w:rPr>
        <w:t>entity that satisfies the criteria in CEA § 2(h)(7)(D) and implementing regulations.</w:t>
      </w:r>
      <w:r>
        <w:rPr>
          <w:rFonts w:cs="Times New Roman"/>
          <w:sz w:val="22"/>
          <w:szCs w:val="22"/>
        </w:rPr>
        <w:t xml:space="preserve">  </w:t>
      </w:r>
    </w:p>
    <w:p w14:paraId="0CC7831B"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CFTC 2013 Interpretive Guidance</w:t>
      </w:r>
      <w:r w:rsidRPr="0078138A">
        <w:rPr>
          <w:rFonts w:cs="Times New Roman"/>
          <w:sz w:val="22"/>
          <w:szCs w:val="22"/>
        </w:rPr>
        <w:t xml:space="preserve">” means the CFTC’s </w:t>
      </w:r>
      <w:r w:rsidRPr="0078138A">
        <w:rPr>
          <w:rFonts w:cs="Times New Roman"/>
          <w:i/>
          <w:sz w:val="22"/>
          <w:szCs w:val="22"/>
        </w:rPr>
        <w:t>Interpretive Guidance and Policy Statement Regarding Compliance With Certain Swap Regulations</w:t>
      </w:r>
      <w:r w:rsidRPr="0078138A">
        <w:rPr>
          <w:rFonts w:cs="Times New Roman"/>
          <w:sz w:val="22"/>
          <w:szCs w:val="22"/>
        </w:rPr>
        <w:t>, 78 F</w:t>
      </w:r>
      <w:r>
        <w:rPr>
          <w:rFonts w:cs="Times New Roman"/>
          <w:sz w:val="22"/>
          <w:szCs w:val="22"/>
        </w:rPr>
        <w:t xml:space="preserve">ed. </w:t>
      </w:r>
      <w:r w:rsidRPr="0078138A">
        <w:rPr>
          <w:rFonts w:cs="Times New Roman"/>
          <w:sz w:val="22"/>
          <w:szCs w:val="22"/>
        </w:rPr>
        <w:t>R</w:t>
      </w:r>
      <w:r>
        <w:rPr>
          <w:rFonts w:cs="Times New Roman"/>
          <w:sz w:val="22"/>
          <w:szCs w:val="22"/>
        </w:rPr>
        <w:t>eg.</w:t>
      </w:r>
      <w:r w:rsidRPr="0078138A">
        <w:rPr>
          <w:rFonts w:cs="Times New Roman"/>
          <w:sz w:val="22"/>
          <w:szCs w:val="22"/>
        </w:rPr>
        <w:t xml:space="preserve"> 45292 (Jul. 26, 2013). </w:t>
      </w:r>
    </w:p>
    <w:p w14:paraId="5CFD6B1D" w14:textId="77777777" w:rsidR="00AE4FDF" w:rsidRPr="0078138A" w:rsidRDefault="00AE4FDF" w:rsidP="00AE4FDF">
      <w:pPr>
        <w:rPr>
          <w:rFonts w:cs="Times New Roman"/>
          <w:sz w:val="22"/>
          <w:szCs w:val="22"/>
        </w:rPr>
      </w:pPr>
      <w:r w:rsidRPr="0078138A">
        <w:rPr>
          <w:rFonts w:cs="Times New Roman"/>
          <w:sz w:val="22"/>
          <w:szCs w:val="22"/>
        </w:rPr>
        <w:t>“</w:t>
      </w:r>
      <w:r>
        <w:rPr>
          <w:rFonts w:cs="Times New Roman"/>
          <w:b/>
          <w:i/>
          <w:sz w:val="22"/>
          <w:szCs w:val="22"/>
        </w:rPr>
        <w:t>CFTC 2020 Rules</w:t>
      </w:r>
      <w:r w:rsidRPr="0078138A">
        <w:rPr>
          <w:rFonts w:cs="Times New Roman"/>
          <w:sz w:val="22"/>
          <w:szCs w:val="22"/>
        </w:rPr>
        <w:t xml:space="preserve">” means the CFTC rule adopted in the following Federal Register citations, as amended and supplemented from time to time: </w:t>
      </w:r>
      <w:r w:rsidRPr="0078138A">
        <w:rPr>
          <w:rFonts w:cs="Times New Roman"/>
          <w:i/>
          <w:sz w:val="22"/>
          <w:szCs w:val="22"/>
        </w:rPr>
        <w:t>Cross-Border Application of the Registration Thresholds and Certain Requirements Applicable to Swap Dealers and Major Swap Participants</w:t>
      </w:r>
      <w:r w:rsidRPr="0078138A">
        <w:rPr>
          <w:rFonts w:cs="Times New Roman"/>
          <w:sz w:val="22"/>
          <w:szCs w:val="22"/>
        </w:rPr>
        <w:t xml:space="preserve">, 85 Fed. Reg. 56924 (Sept. 14, 2020). </w:t>
      </w:r>
    </w:p>
    <w:p w14:paraId="01031C3E"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Commercial End User</w:t>
      </w:r>
      <w:r w:rsidRPr="0078138A">
        <w:rPr>
          <w:rFonts w:cs="Times New Roman"/>
          <w:sz w:val="22"/>
          <w:szCs w:val="22"/>
        </w:rPr>
        <w:t>” means a counterparty that qualifies for an exception from clearing under § 3C(g)(1) of the SEA (15 U.S.C. 78c-3(g)(1)) and implementing regulations or satisfies the criteria in § 3C(g)(4) of the SEA (15 U.S.C. 78c-3(g)(4)) and implementing regulations.  SEC Rule 18a-3(b)(2).</w:t>
      </w:r>
    </w:p>
    <w:p w14:paraId="6F5F2ECB"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Financial End</w:t>
      </w:r>
      <w:r>
        <w:rPr>
          <w:rFonts w:cs="Times New Roman"/>
          <w:b/>
          <w:i/>
          <w:sz w:val="22"/>
          <w:szCs w:val="22"/>
        </w:rPr>
        <w:t xml:space="preserve"> </w:t>
      </w:r>
      <w:r w:rsidRPr="0078138A">
        <w:rPr>
          <w:rFonts w:cs="Times New Roman"/>
          <w:b/>
          <w:i/>
          <w:sz w:val="22"/>
          <w:szCs w:val="22"/>
        </w:rPr>
        <w:t>User</w:t>
      </w:r>
      <w:r>
        <w:rPr>
          <w:rFonts w:cs="Times New Roman"/>
          <w:b/>
          <w:i/>
          <w:sz w:val="22"/>
          <w:szCs w:val="22"/>
        </w:rPr>
        <w:t xml:space="preserve"> (CFTC Margin Rules)</w:t>
      </w:r>
      <w:r w:rsidRPr="0078138A">
        <w:rPr>
          <w:rFonts w:cs="Times New Roman"/>
          <w:sz w:val="22"/>
          <w:szCs w:val="22"/>
        </w:rPr>
        <w:t>” means a “financial end user” as defined in CFTC Reg. 23.151.</w:t>
      </w:r>
    </w:p>
    <w:p w14:paraId="31930B66" w14:textId="77777777" w:rsidR="00AE4FDF" w:rsidRDefault="00AE4FDF" w:rsidP="00AE4FDF">
      <w:pPr>
        <w:spacing w:before="240"/>
        <w:outlineLvl w:val="2"/>
        <w:rPr>
          <w:rFonts w:cs="Times New Roman"/>
          <w:sz w:val="22"/>
          <w:szCs w:val="22"/>
        </w:rPr>
      </w:pPr>
      <w:r w:rsidRPr="0078138A">
        <w:rPr>
          <w:rFonts w:cs="Times New Roman"/>
          <w:sz w:val="22"/>
          <w:szCs w:val="22"/>
        </w:rPr>
        <w:t>“</w:t>
      </w:r>
      <w:r w:rsidRPr="0078138A">
        <w:rPr>
          <w:rFonts w:cs="Times New Roman"/>
          <w:b/>
          <w:i/>
          <w:sz w:val="22"/>
          <w:szCs w:val="22"/>
        </w:rPr>
        <w:t>Financial End</w:t>
      </w:r>
      <w:r>
        <w:rPr>
          <w:rFonts w:cs="Times New Roman"/>
          <w:b/>
          <w:i/>
          <w:sz w:val="22"/>
          <w:szCs w:val="22"/>
        </w:rPr>
        <w:t xml:space="preserve"> </w:t>
      </w:r>
      <w:r w:rsidRPr="0078138A">
        <w:rPr>
          <w:rFonts w:cs="Times New Roman"/>
          <w:b/>
          <w:i/>
          <w:sz w:val="22"/>
          <w:szCs w:val="22"/>
        </w:rPr>
        <w:t>User</w:t>
      </w:r>
      <w:r>
        <w:rPr>
          <w:rFonts w:cs="Times New Roman"/>
          <w:b/>
          <w:i/>
          <w:sz w:val="22"/>
          <w:szCs w:val="22"/>
        </w:rPr>
        <w:t xml:space="preserve"> (PR Margin Rules)</w:t>
      </w:r>
      <w:r w:rsidRPr="0078138A">
        <w:rPr>
          <w:rFonts w:cs="Times New Roman"/>
          <w:sz w:val="22"/>
          <w:szCs w:val="22"/>
        </w:rPr>
        <w:t>” means a “financial end user” as defined in</w:t>
      </w:r>
      <w:r>
        <w:rPr>
          <w:rFonts w:cs="Times New Roman"/>
          <w:sz w:val="22"/>
          <w:szCs w:val="22"/>
        </w:rPr>
        <w:t xml:space="preserve"> </w:t>
      </w:r>
      <w:r>
        <w:rPr>
          <w:rFonts w:cs="Times New Roman"/>
          <w:sz w:val="22"/>
          <w:szCs w:val="22"/>
        </w:rPr>
        <w:br/>
      </w:r>
      <w:r w:rsidRPr="0078138A">
        <w:rPr>
          <w:rFonts w:cs="Times New Roman"/>
          <w:sz w:val="22"/>
          <w:szCs w:val="22"/>
        </w:rPr>
        <w:t>PR Reg. _.</w:t>
      </w:r>
      <w:r>
        <w:rPr>
          <w:rFonts w:cs="Times New Roman"/>
          <w:sz w:val="22"/>
          <w:szCs w:val="22"/>
        </w:rPr>
        <w:t>2.</w:t>
      </w:r>
    </w:p>
    <w:p w14:paraId="71290B6A" w14:textId="77777777" w:rsidR="00AE4FDF" w:rsidRPr="0078138A" w:rsidRDefault="00AE4FDF" w:rsidP="00AE4FDF">
      <w:pPr>
        <w:spacing w:before="240"/>
        <w:jc w:val="both"/>
        <w:outlineLvl w:val="2"/>
        <w:rPr>
          <w:rFonts w:eastAsia="Times New Roman" w:cs="Times New Roman"/>
          <w:sz w:val="22"/>
          <w:szCs w:val="22"/>
        </w:rPr>
      </w:pPr>
      <w:r w:rsidRPr="0078138A">
        <w:rPr>
          <w:rFonts w:cs="Times New Roman"/>
          <w:sz w:val="22"/>
          <w:szCs w:val="22"/>
        </w:rPr>
        <w:t>“</w:t>
      </w:r>
      <w:r w:rsidRPr="0078138A">
        <w:rPr>
          <w:rFonts w:cs="Times New Roman"/>
          <w:b/>
          <w:i/>
          <w:sz w:val="22"/>
          <w:szCs w:val="22"/>
        </w:rPr>
        <w:t>Financial Entity</w:t>
      </w:r>
      <w:r w:rsidRPr="0078138A">
        <w:rPr>
          <w:rFonts w:cs="Times New Roman"/>
          <w:sz w:val="22"/>
          <w:szCs w:val="22"/>
        </w:rPr>
        <w:t xml:space="preserve">” means </w:t>
      </w:r>
      <w:r w:rsidRPr="0078138A">
        <w:rPr>
          <w:rFonts w:eastAsia="Times New Roman" w:cs="Times New Roman"/>
          <w:sz w:val="22"/>
          <w:szCs w:val="22"/>
        </w:rPr>
        <w:t xml:space="preserve">a “financial entity,” as defined in Section 2(h)(7)(C) of the </w:t>
      </w:r>
      <w:r>
        <w:rPr>
          <w:rFonts w:eastAsia="Times New Roman" w:cs="Times New Roman"/>
          <w:sz w:val="22"/>
          <w:szCs w:val="22"/>
        </w:rPr>
        <w:t>CEA</w:t>
      </w:r>
      <w:r w:rsidRPr="0078138A">
        <w:rPr>
          <w:rFonts w:eastAsia="Times New Roman" w:cs="Times New Roman"/>
          <w:sz w:val="22"/>
          <w:szCs w:val="22"/>
        </w:rPr>
        <w:t>.</w:t>
      </w:r>
      <w:r w:rsidRPr="0078138A" w:rsidDel="00351FD8">
        <w:rPr>
          <w:rFonts w:eastAsia="Times New Roman" w:cs="Times New Roman"/>
          <w:sz w:val="22"/>
          <w:szCs w:val="22"/>
        </w:rPr>
        <w:t xml:space="preserve"> </w:t>
      </w:r>
    </w:p>
    <w:p w14:paraId="4EA7C6A9"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Financial Market Intermediary</w:t>
      </w:r>
      <w:r w:rsidRPr="0078138A">
        <w:rPr>
          <w:rFonts w:cs="Times New Roman"/>
          <w:sz w:val="22"/>
          <w:szCs w:val="22"/>
        </w:rPr>
        <w:t>” means a counterparty that is a Security-Based Swap Dealer, Swap Dealer, broker or dealer, futures commission merchant, bank, foreign bank, or foreign broker or dealer.  SEC Rule 18a-3(c)(1)(iii)(B).</w:t>
      </w:r>
    </w:p>
    <w:p w14:paraId="157D23A1" w14:textId="77777777" w:rsidR="00AE4FDF" w:rsidRPr="0078138A" w:rsidRDefault="00AE4FDF" w:rsidP="00AE4FDF">
      <w:pPr>
        <w:rPr>
          <w:rFonts w:cs="Times New Roman"/>
          <w:sz w:val="22"/>
          <w:szCs w:val="22"/>
        </w:rPr>
      </w:pPr>
      <w:r w:rsidRPr="0078138A">
        <w:rPr>
          <w:rFonts w:cs="Times New Roman"/>
          <w:sz w:val="22"/>
          <w:szCs w:val="22"/>
        </w:rPr>
        <w:lastRenderedPageBreak/>
        <w:t>“</w:t>
      </w:r>
      <w:r>
        <w:rPr>
          <w:rFonts w:cs="Times New Roman"/>
          <w:b/>
          <w:i/>
          <w:sz w:val="22"/>
          <w:szCs w:val="22"/>
        </w:rPr>
        <w:t>Foreign Branch (SEC Rules)</w:t>
      </w:r>
      <w:r w:rsidRPr="0078138A">
        <w:rPr>
          <w:rFonts w:cs="Times New Roman"/>
          <w:sz w:val="22"/>
          <w:szCs w:val="22"/>
        </w:rPr>
        <w:t xml:space="preserve">” means </w:t>
      </w:r>
      <w:r>
        <w:rPr>
          <w:rFonts w:cs="Times New Roman"/>
          <w:sz w:val="22"/>
          <w:szCs w:val="22"/>
        </w:rPr>
        <w:t>any branch of a U.S. bank if</w:t>
      </w:r>
      <w:r w:rsidRPr="0078138A">
        <w:rPr>
          <w:rFonts w:cs="Times New Roman"/>
          <w:sz w:val="22"/>
          <w:szCs w:val="22"/>
        </w:rPr>
        <w:t>: (i)</w:t>
      </w:r>
      <w:r>
        <w:rPr>
          <w:rFonts w:cs="Times New Roman"/>
          <w:sz w:val="22"/>
          <w:szCs w:val="22"/>
        </w:rPr>
        <w:t xml:space="preserve"> the branch</w:t>
      </w:r>
      <w:r w:rsidRPr="0078138A">
        <w:rPr>
          <w:rFonts w:cs="Times New Roman"/>
          <w:sz w:val="22"/>
          <w:szCs w:val="22"/>
        </w:rPr>
        <w:t xml:space="preserve"> is located outside the United States; (ii) </w:t>
      </w:r>
      <w:r>
        <w:rPr>
          <w:rFonts w:cs="Times New Roman"/>
          <w:sz w:val="22"/>
          <w:szCs w:val="22"/>
        </w:rPr>
        <w:t xml:space="preserve">the branch </w:t>
      </w:r>
      <w:r w:rsidRPr="0078138A">
        <w:rPr>
          <w:rFonts w:cs="Times New Roman"/>
          <w:sz w:val="22"/>
          <w:szCs w:val="22"/>
        </w:rPr>
        <w:t xml:space="preserve">operates for valid business reasons; and (iii) </w:t>
      </w:r>
      <w:r>
        <w:rPr>
          <w:rFonts w:cs="Times New Roman"/>
          <w:sz w:val="22"/>
          <w:szCs w:val="22"/>
        </w:rPr>
        <w:t xml:space="preserve">the branch </w:t>
      </w:r>
      <w:r w:rsidRPr="0078138A">
        <w:rPr>
          <w:rFonts w:cs="Times New Roman"/>
          <w:sz w:val="22"/>
          <w:szCs w:val="22"/>
        </w:rPr>
        <w:t>is engaged in the business of banking and is subject to substantive banking regulation in the jurisdiction where located.  SEC Rule 3a71-3(a)(2).</w:t>
      </w:r>
    </w:p>
    <w:p w14:paraId="7CCC8FFB" w14:textId="77777777" w:rsidR="00AE4FDF" w:rsidRPr="00311B2A" w:rsidRDefault="00AE4FDF" w:rsidP="00AE4FDF">
      <w:pPr>
        <w:rPr>
          <w:rFonts w:cs="Times New Roman"/>
          <w:sz w:val="22"/>
          <w:szCs w:val="22"/>
        </w:rPr>
      </w:pPr>
      <w:r>
        <w:rPr>
          <w:rFonts w:cs="Times New Roman"/>
          <w:sz w:val="22"/>
          <w:szCs w:val="22"/>
        </w:rPr>
        <w:t>“</w:t>
      </w:r>
      <w:r>
        <w:rPr>
          <w:rFonts w:cs="Times New Roman"/>
          <w:b/>
          <w:i/>
          <w:sz w:val="22"/>
          <w:szCs w:val="22"/>
        </w:rPr>
        <w:t>Foreign Branch (CFTC 2020 Rules)</w:t>
      </w:r>
      <w:r>
        <w:rPr>
          <w:rFonts w:cs="Times New Roman"/>
          <w:sz w:val="22"/>
          <w:szCs w:val="22"/>
        </w:rPr>
        <w:t xml:space="preserve">” means </w:t>
      </w:r>
      <w:r w:rsidRPr="00311B2A">
        <w:rPr>
          <w:rFonts w:cs="Times New Roman"/>
          <w:sz w:val="22"/>
          <w:szCs w:val="22"/>
        </w:rPr>
        <w:t xml:space="preserve">any office of a U.S. bank that: (i) </w:t>
      </w:r>
      <w:r>
        <w:rPr>
          <w:rFonts w:cs="Times New Roman"/>
          <w:sz w:val="22"/>
          <w:szCs w:val="22"/>
        </w:rPr>
        <w:t>i</w:t>
      </w:r>
      <w:r w:rsidRPr="00311B2A">
        <w:rPr>
          <w:rFonts w:cs="Times New Roman"/>
          <w:sz w:val="22"/>
          <w:szCs w:val="22"/>
        </w:rPr>
        <w:t>s located outside the United States;</w:t>
      </w:r>
      <w:r>
        <w:rPr>
          <w:rFonts w:cs="Times New Roman"/>
          <w:sz w:val="22"/>
          <w:szCs w:val="22"/>
        </w:rPr>
        <w:t xml:space="preserve"> (ii) o</w:t>
      </w:r>
      <w:r w:rsidRPr="00311B2A">
        <w:rPr>
          <w:rFonts w:cs="Times New Roman"/>
          <w:sz w:val="22"/>
          <w:szCs w:val="22"/>
        </w:rPr>
        <w:t>perates for</w:t>
      </w:r>
      <w:r>
        <w:rPr>
          <w:rFonts w:cs="Times New Roman"/>
          <w:sz w:val="22"/>
          <w:szCs w:val="22"/>
        </w:rPr>
        <w:t xml:space="preserve"> valid business reasons; (iii) m</w:t>
      </w:r>
      <w:r w:rsidRPr="00311B2A">
        <w:rPr>
          <w:rFonts w:cs="Times New Roman"/>
          <w:sz w:val="22"/>
          <w:szCs w:val="22"/>
        </w:rPr>
        <w:t>aintains accounts independently of the home office and of the accounts of other foreign branches, with the profit or loss accrued at each branch determined as a separate item for</w:t>
      </w:r>
      <w:r>
        <w:rPr>
          <w:rFonts w:cs="Times New Roman"/>
          <w:sz w:val="22"/>
          <w:szCs w:val="22"/>
        </w:rPr>
        <w:t xml:space="preserve"> each foreign branch; and (iv) i</w:t>
      </w:r>
      <w:r w:rsidRPr="00311B2A">
        <w:rPr>
          <w:rFonts w:cs="Times New Roman"/>
          <w:sz w:val="22"/>
          <w:szCs w:val="22"/>
        </w:rPr>
        <w:t>s engaged in the business of banking and is subject to substantive regulation in banking or financing in the jurisdiction where it is located.</w:t>
      </w:r>
      <w:r>
        <w:rPr>
          <w:rFonts w:cs="Times New Roman"/>
          <w:sz w:val="22"/>
          <w:szCs w:val="22"/>
        </w:rPr>
        <w:t xml:space="preserve">  CFTC Reg. 23.23(a)(3).</w:t>
      </w:r>
    </w:p>
    <w:p w14:paraId="4EBC8EBD"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Foreign Consolidated Subsidiary (</w:t>
      </w:r>
      <w:r>
        <w:rPr>
          <w:rFonts w:cs="Times New Roman"/>
          <w:b/>
          <w:i/>
          <w:sz w:val="22"/>
          <w:szCs w:val="22"/>
        </w:rPr>
        <w:t>CFTC Margin Rules</w:t>
      </w:r>
      <w:r w:rsidRPr="0078138A">
        <w:rPr>
          <w:rFonts w:cs="Times New Roman"/>
          <w:b/>
          <w:i/>
          <w:sz w:val="22"/>
          <w:szCs w:val="22"/>
        </w:rPr>
        <w:t>)</w:t>
      </w:r>
      <w:r w:rsidRPr="0078138A">
        <w:rPr>
          <w:rFonts w:cs="Times New Roman"/>
          <w:sz w:val="22"/>
          <w:szCs w:val="22"/>
        </w:rPr>
        <w:t xml:space="preserve">” </w:t>
      </w:r>
      <w:r w:rsidRPr="00832441">
        <w:rPr>
          <w:rFonts w:cs="Times New Roman"/>
          <w:sz w:val="22"/>
          <w:szCs w:val="22"/>
        </w:rPr>
        <w:t>means a “forei</w:t>
      </w:r>
      <w:r>
        <w:rPr>
          <w:rFonts w:cs="Times New Roman"/>
          <w:sz w:val="22"/>
          <w:szCs w:val="22"/>
        </w:rPr>
        <w:t xml:space="preserve">gn consolidated subsidiary,” as </w:t>
      </w:r>
      <w:r w:rsidRPr="00832441">
        <w:rPr>
          <w:rFonts w:cs="Times New Roman"/>
          <w:sz w:val="22"/>
          <w:szCs w:val="22"/>
        </w:rPr>
        <w:t>defined in CFTC Reg. 23.160(a)(1).</w:t>
      </w:r>
    </w:p>
    <w:p w14:paraId="32BCBA8F"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Guarantee (</w:t>
      </w:r>
      <w:r>
        <w:rPr>
          <w:rFonts w:cs="Times New Roman"/>
          <w:b/>
          <w:i/>
          <w:sz w:val="22"/>
          <w:szCs w:val="22"/>
        </w:rPr>
        <w:t>CFTC Margin Rules</w:t>
      </w:r>
      <w:r w:rsidRPr="0078138A">
        <w:rPr>
          <w:rFonts w:cs="Times New Roman"/>
          <w:b/>
          <w:i/>
          <w:sz w:val="22"/>
          <w:szCs w:val="22"/>
        </w:rPr>
        <w:t>)</w:t>
      </w:r>
      <w:r w:rsidRPr="0078138A">
        <w:rPr>
          <w:rFonts w:cs="Times New Roman"/>
          <w:sz w:val="22"/>
          <w:szCs w:val="22"/>
        </w:rPr>
        <w:t>” means an arrangement pursuant to which one party to a Uncleared Swap</w:t>
      </w:r>
      <w:r>
        <w:rPr>
          <w:rFonts w:cs="Times New Roman"/>
          <w:sz w:val="22"/>
          <w:szCs w:val="22"/>
        </w:rPr>
        <w:t xml:space="preserve"> (CFTC Margin Rules)</w:t>
      </w:r>
      <w:r w:rsidRPr="0078138A">
        <w:rPr>
          <w:rFonts w:cs="Times New Roman"/>
          <w:sz w:val="22"/>
          <w:szCs w:val="22"/>
        </w:rPr>
        <w:t xml:space="preserve"> has rights of recourse against a guarantor, w</w:t>
      </w:r>
      <w:r>
        <w:rPr>
          <w:rFonts w:cs="Times New Roman"/>
          <w:sz w:val="22"/>
          <w:szCs w:val="22"/>
        </w:rPr>
        <w:t>ith respect to its counterparty’</w:t>
      </w:r>
      <w:r w:rsidRPr="0078138A">
        <w:rPr>
          <w:rFonts w:cs="Times New Roman"/>
          <w:sz w:val="22"/>
          <w:szCs w:val="22"/>
        </w:rPr>
        <w:t>s obligations under the Uncleared Swap</w:t>
      </w:r>
      <w:r>
        <w:rPr>
          <w:rFonts w:cs="Times New Roman"/>
          <w:sz w:val="22"/>
          <w:szCs w:val="22"/>
        </w:rPr>
        <w:t xml:space="preserve"> (CFTC Margin Rules)</w:t>
      </w:r>
      <w:r w:rsidRPr="0078138A">
        <w:rPr>
          <w:rFonts w:cs="Times New Roman"/>
          <w:sz w:val="22"/>
          <w:szCs w:val="22"/>
        </w:rPr>
        <w:t>.  For these purposes, a party to a Swap has rights of recourse against a guarantor if the party has a conditional or unconditional legally enforceable right to receive or otherwise collect, in whole or in part, payments from the guarantor with respect to its counterparty</w:t>
      </w:r>
      <w:r>
        <w:rPr>
          <w:rFonts w:cs="Times New Roman"/>
          <w:sz w:val="22"/>
          <w:szCs w:val="22"/>
        </w:rPr>
        <w:t>’</w:t>
      </w:r>
      <w:r w:rsidRPr="0078138A">
        <w:rPr>
          <w:rFonts w:cs="Times New Roman"/>
          <w:sz w:val="22"/>
          <w:szCs w:val="22"/>
        </w:rPr>
        <w:t>s obligations under the Uncleared Swap</w:t>
      </w:r>
      <w:r>
        <w:rPr>
          <w:rFonts w:cs="Times New Roman"/>
          <w:sz w:val="22"/>
          <w:szCs w:val="22"/>
        </w:rPr>
        <w:t xml:space="preserve"> (CFTC Margin Rules)</w:t>
      </w:r>
      <w:r w:rsidRPr="0078138A">
        <w:rPr>
          <w:rFonts w:cs="Times New Roman"/>
          <w:sz w:val="22"/>
          <w:szCs w:val="22"/>
        </w:rPr>
        <w:t>.  In addition, in the case of any arrangement pursuant to which the guarantor has a conditional or unconditional legally enforceable right to receive or otherwise collect, in whole or in part, payments from any other guarantor with respect to the counterparty</w:t>
      </w:r>
      <w:r>
        <w:rPr>
          <w:rFonts w:cs="Times New Roman"/>
          <w:sz w:val="22"/>
          <w:szCs w:val="22"/>
        </w:rPr>
        <w:t>’</w:t>
      </w:r>
      <w:r w:rsidRPr="0078138A">
        <w:rPr>
          <w:rFonts w:cs="Times New Roman"/>
          <w:sz w:val="22"/>
          <w:szCs w:val="22"/>
        </w:rPr>
        <w:t>s obligations under the Uncleared Swap</w:t>
      </w:r>
      <w:r>
        <w:rPr>
          <w:rFonts w:cs="Times New Roman"/>
          <w:sz w:val="22"/>
          <w:szCs w:val="22"/>
        </w:rPr>
        <w:t xml:space="preserve"> (CFTC Margin Rules)</w:t>
      </w:r>
      <w:r w:rsidRPr="0078138A">
        <w:rPr>
          <w:rFonts w:cs="Times New Roman"/>
          <w:sz w:val="22"/>
          <w:szCs w:val="22"/>
        </w:rPr>
        <w:t xml:space="preserve">, such arrangement will be deemed </w:t>
      </w:r>
      <w:r>
        <w:rPr>
          <w:rFonts w:cs="Times New Roman"/>
          <w:sz w:val="22"/>
          <w:szCs w:val="22"/>
        </w:rPr>
        <w:t>a guarantee of the counterparty’</w:t>
      </w:r>
      <w:r w:rsidRPr="0078138A">
        <w:rPr>
          <w:rFonts w:cs="Times New Roman"/>
          <w:sz w:val="22"/>
          <w:szCs w:val="22"/>
        </w:rPr>
        <w:t>s obligations under the Uncleared Swap</w:t>
      </w:r>
      <w:r>
        <w:rPr>
          <w:rFonts w:cs="Times New Roman"/>
          <w:sz w:val="22"/>
          <w:szCs w:val="22"/>
        </w:rPr>
        <w:t xml:space="preserve"> (CFTC Margin Rules) </w:t>
      </w:r>
      <w:r w:rsidRPr="0078138A">
        <w:rPr>
          <w:rFonts w:cs="Times New Roman"/>
          <w:sz w:val="22"/>
          <w:szCs w:val="22"/>
        </w:rPr>
        <w:t>by the other guarantor.  CFTC Reg. 23.160(a)(2).</w:t>
      </w:r>
    </w:p>
    <w:p w14:paraId="0D4DC7E2"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Guarantee (</w:t>
      </w:r>
      <w:r>
        <w:rPr>
          <w:rFonts w:cs="Times New Roman"/>
          <w:b/>
          <w:i/>
          <w:sz w:val="22"/>
          <w:szCs w:val="22"/>
        </w:rPr>
        <w:t>CFTC 2013 Interpretive Guidance</w:t>
      </w:r>
      <w:r w:rsidRPr="0078138A">
        <w:rPr>
          <w:rFonts w:cs="Times New Roman"/>
          <w:b/>
          <w:i/>
          <w:sz w:val="22"/>
          <w:szCs w:val="22"/>
        </w:rPr>
        <w:t>)</w:t>
      </w:r>
      <w:r w:rsidRPr="0078138A">
        <w:rPr>
          <w:rFonts w:cs="Times New Roman"/>
          <w:sz w:val="22"/>
          <w:szCs w:val="22"/>
        </w:rPr>
        <w:t xml:space="preserve">” means </w:t>
      </w:r>
      <w:r w:rsidRPr="0078138A">
        <w:rPr>
          <w:rFonts w:eastAsia="Times New Roman" w:cs="Times New Roman"/>
          <w:sz w:val="22"/>
          <w:szCs w:val="22"/>
        </w:rPr>
        <w:t>an agreement or arrangement under which a person commits to provide a financial backstop or funding against potential losses that may be incurred by another person in connection with a Swap.</w:t>
      </w:r>
      <w:r w:rsidRPr="0078138A">
        <w:rPr>
          <w:rStyle w:val="FootnoteReference"/>
          <w:rFonts w:eastAsia="Times New Roman" w:cs="Times New Roman"/>
          <w:sz w:val="22"/>
          <w:szCs w:val="22"/>
        </w:rPr>
        <w:footnoteReference w:id="18"/>
      </w:r>
    </w:p>
    <w:p w14:paraId="7BF9EAF6"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Guarantee (</w:t>
      </w:r>
      <w:r>
        <w:rPr>
          <w:rFonts w:cs="Times New Roman"/>
          <w:b/>
          <w:i/>
          <w:sz w:val="22"/>
          <w:szCs w:val="22"/>
        </w:rPr>
        <w:t>CFTC 2020 Rules</w:t>
      </w:r>
      <w:r w:rsidRPr="0078138A">
        <w:rPr>
          <w:rFonts w:cs="Times New Roman"/>
          <w:b/>
          <w:i/>
          <w:sz w:val="22"/>
          <w:szCs w:val="22"/>
        </w:rPr>
        <w:t>)</w:t>
      </w:r>
      <w:r w:rsidRPr="0078138A">
        <w:rPr>
          <w:rFonts w:cs="Times New Roman"/>
          <w:sz w:val="22"/>
          <w:szCs w:val="22"/>
        </w:rPr>
        <w:t>” means an arrangement pursuant to which one party to a Swap has rights of recourse against a guarantor, with respect to its counte</w:t>
      </w:r>
      <w:r>
        <w:rPr>
          <w:rFonts w:cs="Times New Roman"/>
          <w:sz w:val="22"/>
          <w:szCs w:val="22"/>
        </w:rPr>
        <w:t>rparty’</w:t>
      </w:r>
      <w:r w:rsidRPr="0078138A">
        <w:rPr>
          <w:rFonts w:cs="Times New Roman"/>
          <w:sz w:val="22"/>
          <w:szCs w:val="22"/>
        </w:rPr>
        <w:t>s obligations under the Swap.  For these purposes, a party to a Swap has rights of recourse against a guarantor if the party has a conditional or unconditional legally enforceable right to receive or otherwise collect, in whole or in part, payments from the guarantor w</w:t>
      </w:r>
      <w:r>
        <w:rPr>
          <w:rFonts w:cs="Times New Roman"/>
          <w:sz w:val="22"/>
          <w:szCs w:val="22"/>
        </w:rPr>
        <w:t>ith respect to its counterparty’</w:t>
      </w:r>
      <w:r w:rsidRPr="0078138A">
        <w:rPr>
          <w:rFonts w:cs="Times New Roman"/>
          <w:sz w:val="22"/>
          <w:szCs w:val="22"/>
        </w:rPr>
        <w:t>s obligations under the Swap.  In addition, in the case of any arrangement pursuant to which the guarantor has a conditional or unconditional legally enforceable right to receive or otherwise collect, in whole or in part, payments from any other guarantor with respect to the counterpart</w:t>
      </w:r>
      <w:r>
        <w:rPr>
          <w:rFonts w:cs="Times New Roman"/>
          <w:sz w:val="22"/>
          <w:szCs w:val="22"/>
        </w:rPr>
        <w:t>y’</w:t>
      </w:r>
      <w:r w:rsidRPr="0078138A">
        <w:rPr>
          <w:rFonts w:cs="Times New Roman"/>
          <w:sz w:val="22"/>
          <w:szCs w:val="22"/>
        </w:rPr>
        <w:t xml:space="preserve">s obligations under the Swap, such arrangement will be deemed </w:t>
      </w:r>
      <w:r>
        <w:rPr>
          <w:rFonts w:cs="Times New Roman"/>
          <w:sz w:val="22"/>
          <w:szCs w:val="22"/>
        </w:rPr>
        <w:t>a guarantee of the counterparty’</w:t>
      </w:r>
      <w:r w:rsidRPr="0078138A">
        <w:rPr>
          <w:rFonts w:cs="Times New Roman"/>
          <w:sz w:val="22"/>
          <w:szCs w:val="22"/>
        </w:rPr>
        <w:t>s obligations under the Swap by the other guarantor.  CFTC Reg. 23.23(a)(9).</w:t>
      </w:r>
    </w:p>
    <w:p w14:paraId="3DB7D29B" w14:textId="77777777" w:rsidR="00AE4FDF" w:rsidRPr="0078138A" w:rsidRDefault="00AE4FDF" w:rsidP="00AE4FDF">
      <w:pPr>
        <w:rPr>
          <w:rFonts w:cs="Times New Roman"/>
          <w:sz w:val="22"/>
          <w:szCs w:val="22"/>
        </w:rPr>
      </w:pPr>
      <w:r w:rsidRPr="0078138A">
        <w:rPr>
          <w:rFonts w:cs="Times New Roman"/>
          <w:sz w:val="22"/>
          <w:szCs w:val="22"/>
        </w:rPr>
        <w:lastRenderedPageBreak/>
        <w:t>“</w:t>
      </w:r>
      <w:r w:rsidRPr="0078138A">
        <w:rPr>
          <w:rFonts w:cs="Times New Roman"/>
          <w:b/>
          <w:i/>
          <w:sz w:val="22"/>
          <w:szCs w:val="22"/>
        </w:rPr>
        <w:t>Guarantee (</w:t>
      </w:r>
      <w:r>
        <w:rPr>
          <w:rFonts w:cs="Times New Roman"/>
          <w:b/>
          <w:i/>
          <w:sz w:val="22"/>
          <w:szCs w:val="22"/>
        </w:rPr>
        <w:t>PR Margin Rules</w:t>
      </w:r>
      <w:r w:rsidRPr="0078138A">
        <w:rPr>
          <w:rFonts w:cs="Times New Roman"/>
          <w:b/>
          <w:i/>
          <w:sz w:val="22"/>
          <w:szCs w:val="22"/>
        </w:rPr>
        <w:t>)</w:t>
      </w:r>
      <w:r w:rsidRPr="0078138A">
        <w:rPr>
          <w:rFonts w:cs="Times New Roman"/>
          <w:sz w:val="22"/>
          <w:szCs w:val="22"/>
        </w:rPr>
        <w:t>”</w:t>
      </w:r>
      <w:r w:rsidRPr="0078138A">
        <w:rPr>
          <w:rFonts w:cs="Times New Roman"/>
          <w:b/>
          <w:i/>
          <w:sz w:val="22"/>
          <w:szCs w:val="22"/>
        </w:rPr>
        <w:t xml:space="preserve"> </w:t>
      </w:r>
      <w:r w:rsidRPr="0078138A">
        <w:rPr>
          <w:rFonts w:cs="Times New Roman"/>
          <w:sz w:val="22"/>
          <w:szCs w:val="22"/>
        </w:rPr>
        <w:t xml:space="preserve">means an arrangement pursuant to which one party to a </w:t>
      </w:r>
      <w:r>
        <w:rPr>
          <w:rFonts w:cs="Times New Roman"/>
          <w:sz w:val="22"/>
          <w:szCs w:val="22"/>
        </w:rPr>
        <w:t>Uncleared Swap (PR Margin Rules)</w:t>
      </w:r>
      <w:r w:rsidRPr="0078138A">
        <w:rPr>
          <w:rFonts w:cs="Times New Roman"/>
          <w:sz w:val="22"/>
          <w:szCs w:val="22"/>
        </w:rPr>
        <w:t xml:space="preserve"> or </w:t>
      </w:r>
      <w:r>
        <w:rPr>
          <w:rFonts w:cs="Times New Roman"/>
          <w:sz w:val="22"/>
          <w:szCs w:val="22"/>
        </w:rPr>
        <w:t xml:space="preserve">Uncleared SBS (PR Margin Rules) </w:t>
      </w:r>
      <w:r w:rsidRPr="0078138A">
        <w:rPr>
          <w:rFonts w:cs="Times New Roman"/>
          <w:sz w:val="22"/>
          <w:szCs w:val="22"/>
        </w:rPr>
        <w:t xml:space="preserve"> has rights of recourse against a third-party guarantor, w</w:t>
      </w:r>
      <w:r>
        <w:rPr>
          <w:rFonts w:cs="Times New Roman"/>
          <w:sz w:val="22"/>
          <w:szCs w:val="22"/>
        </w:rPr>
        <w:t>ith respect to its counterparty’</w:t>
      </w:r>
      <w:r w:rsidRPr="0078138A">
        <w:rPr>
          <w:rFonts w:cs="Times New Roman"/>
          <w:sz w:val="22"/>
          <w:szCs w:val="22"/>
        </w:rPr>
        <w:t xml:space="preserve">s obligations under the </w:t>
      </w:r>
      <w:r>
        <w:rPr>
          <w:rFonts w:cs="Times New Roman"/>
          <w:sz w:val="22"/>
          <w:szCs w:val="22"/>
        </w:rPr>
        <w:t>Uncleared Swap (PR Margin Rules)</w:t>
      </w:r>
      <w:r w:rsidRPr="0078138A">
        <w:rPr>
          <w:rFonts w:cs="Times New Roman"/>
          <w:sz w:val="22"/>
          <w:szCs w:val="22"/>
        </w:rPr>
        <w:t xml:space="preserve"> or </w:t>
      </w:r>
      <w:r>
        <w:rPr>
          <w:rFonts w:cs="Times New Roman"/>
          <w:sz w:val="22"/>
          <w:szCs w:val="22"/>
        </w:rPr>
        <w:t>Uncleared SBS (PR Margin Rules)</w:t>
      </w:r>
      <w:r w:rsidRPr="0078138A">
        <w:rPr>
          <w:rFonts w:cs="Times New Roman"/>
          <w:sz w:val="22"/>
          <w:szCs w:val="22"/>
        </w:rPr>
        <w:t xml:space="preserve">. For these purposes, a party to a </w:t>
      </w:r>
      <w:r>
        <w:rPr>
          <w:rFonts w:cs="Times New Roman"/>
          <w:sz w:val="22"/>
          <w:szCs w:val="22"/>
        </w:rPr>
        <w:t xml:space="preserve">Uncleared Swap (PR Margin Rules) </w:t>
      </w:r>
      <w:r w:rsidRPr="0078138A">
        <w:rPr>
          <w:rFonts w:cs="Times New Roman"/>
          <w:sz w:val="22"/>
          <w:szCs w:val="22"/>
        </w:rPr>
        <w:t xml:space="preserve">or </w:t>
      </w:r>
      <w:r>
        <w:rPr>
          <w:rFonts w:cs="Times New Roman"/>
          <w:sz w:val="22"/>
          <w:szCs w:val="22"/>
        </w:rPr>
        <w:t xml:space="preserve">Uncleared SBS (PR Margin Rules) </w:t>
      </w:r>
      <w:r w:rsidRPr="0078138A">
        <w:rPr>
          <w:rFonts w:cs="Times New Roman"/>
          <w:sz w:val="22"/>
          <w:szCs w:val="22"/>
        </w:rPr>
        <w:t>has rights of recourse against a guarantor if the party has a conditional or unconditional legally enforceable right to receive or otherwise collect, in whole or in part, payments from the guarantor w</w:t>
      </w:r>
      <w:r>
        <w:rPr>
          <w:rFonts w:cs="Times New Roman"/>
          <w:sz w:val="22"/>
          <w:szCs w:val="22"/>
        </w:rPr>
        <w:t>ith respect to its counterparty’</w:t>
      </w:r>
      <w:r w:rsidRPr="0078138A">
        <w:rPr>
          <w:rFonts w:cs="Times New Roman"/>
          <w:sz w:val="22"/>
          <w:szCs w:val="22"/>
        </w:rPr>
        <w:t xml:space="preserve">s obligations under </w:t>
      </w:r>
      <w:r>
        <w:rPr>
          <w:rFonts w:cs="Times New Roman"/>
          <w:sz w:val="22"/>
          <w:szCs w:val="22"/>
        </w:rPr>
        <w:t xml:space="preserve">Uncleared Swap (PR Margin Rules) </w:t>
      </w:r>
      <w:r w:rsidRPr="0078138A">
        <w:rPr>
          <w:rFonts w:cs="Times New Roman"/>
          <w:sz w:val="22"/>
          <w:szCs w:val="22"/>
        </w:rPr>
        <w:t xml:space="preserve">or </w:t>
      </w:r>
      <w:r>
        <w:rPr>
          <w:rFonts w:cs="Times New Roman"/>
          <w:sz w:val="22"/>
          <w:szCs w:val="22"/>
        </w:rPr>
        <w:t>Uncleared SBS (PR Margin Rules)</w:t>
      </w:r>
      <w:r w:rsidRPr="0078138A">
        <w:rPr>
          <w:rFonts w:cs="Times New Roman"/>
          <w:sz w:val="22"/>
          <w:szCs w:val="22"/>
        </w:rPr>
        <w:t>.  In addition, any arrangement pursuant to which the guarantor has a conditional or unconditional legally enforceable right to receive or otherwise collect, in whole or in part, payments from any other third</w:t>
      </w:r>
      <w:r>
        <w:rPr>
          <w:rFonts w:cs="Times New Roman"/>
          <w:sz w:val="22"/>
          <w:szCs w:val="22"/>
        </w:rPr>
        <w:t>-</w:t>
      </w:r>
      <w:r w:rsidRPr="0078138A">
        <w:rPr>
          <w:rFonts w:cs="Times New Roman"/>
          <w:sz w:val="22"/>
          <w:szCs w:val="22"/>
        </w:rPr>
        <w:t>party guarantor w</w:t>
      </w:r>
      <w:r>
        <w:rPr>
          <w:rFonts w:cs="Times New Roman"/>
          <w:sz w:val="22"/>
          <w:szCs w:val="22"/>
        </w:rPr>
        <w:t>ith respect to the counterparty’</w:t>
      </w:r>
      <w:r w:rsidRPr="0078138A">
        <w:rPr>
          <w:rFonts w:cs="Times New Roman"/>
          <w:sz w:val="22"/>
          <w:szCs w:val="22"/>
        </w:rPr>
        <w:t xml:space="preserve">s obligations under the </w:t>
      </w:r>
      <w:r>
        <w:rPr>
          <w:rFonts w:cs="Times New Roman"/>
          <w:sz w:val="22"/>
          <w:szCs w:val="22"/>
        </w:rPr>
        <w:t xml:space="preserve">Uncleared Swap (PR Margin Rules) </w:t>
      </w:r>
      <w:r w:rsidRPr="0078138A">
        <w:rPr>
          <w:rFonts w:cs="Times New Roman"/>
          <w:sz w:val="22"/>
          <w:szCs w:val="22"/>
        </w:rPr>
        <w:t xml:space="preserve">or </w:t>
      </w:r>
      <w:r>
        <w:rPr>
          <w:rFonts w:cs="Times New Roman"/>
          <w:sz w:val="22"/>
          <w:szCs w:val="22"/>
        </w:rPr>
        <w:t>Uncleared SBS (PR Margin Rules)</w:t>
      </w:r>
      <w:r w:rsidRPr="0078138A">
        <w:rPr>
          <w:rFonts w:cs="Times New Roman"/>
          <w:sz w:val="22"/>
          <w:szCs w:val="22"/>
        </w:rPr>
        <w:t xml:space="preserve">, such arrangement will be deemed </w:t>
      </w:r>
      <w:r>
        <w:rPr>
          <w:rFonts w:cs="Times New Roman"/>
          <w:sz w:val="22"/>
          <w:szCs w:val="22"/>
        </w:rPr>
        <w:t>a guarantee of the counterparty’</w:t>
      </w:r>
      <w:r w:rsidRPr="0078138A">
        <w:rPr>
          <w:rFonts w:cs="Times New Roman"/>
          <w:sz w:val="22"/>
          <w:szCs w:val="22"/>
        </w:rPr>
        <w:t xml:space="preserve">s obligations under the </w:t>
      </w:r>
      <w:r>
        <w:rPr>
          <w:rFonts w:cs="Times New Roman"/>
          <w:sz w:val="22"/>
          <w:szCs w:val="22"/>
        </w:rPr>
        <w:t xml:space="preserve">Uncleared Swap (PR Margin Rules) </w:t>
      </w:r>
      <w:r w:rsidRPr="0078138A">
        <w:rPr>
          <w:rFonts w:cs="Times New Roman"/>
          <w:sz w:val="22"/>
          <w:szCs w:val="22"/>
        </w:rPr>
        <w:t xml:space="preserve">or </w:t>
      </w:r>
      <w:r>
        <w:rPr>
          <w:rFonts w:cs="Times New Roman"/>
          <w:sz w:val="22"/>
          <w:szCs w:val="22"/>
        </w:rPr>
        <w:t xml:space="preserve">Uncleared SBS (PR Margin Rules) </w:t>
      </w:r>
      <w:r w:rsidRPr="0078138A">
        <w:rPr>
          <w:rFonts w:cs="Times New Roman"/>
          <w:sz w:val="22"/>
          <w:szCs w:val="22"/>
        </w:rPr>
        <w:t xml:space="preserve">by the other guarantor.  </w:t>
      </w:r>
      <w:r>
        <w:rPr>
          <w:rFonts w:cs="Times New Roman"/>
          <w:sz w:val="22"/>
          <w:szCs w:val="22"/>
        </w:rPr>
        <w:br/>
      </w:r>
      <w:r w:rsidRPr="0078138A">
        <w:rPr>
          <w:rFonts w:cs="Times New Roman"/>
          <w:sz w:val="22"/>
          <w:szCs w:val="22"/>
        </w:rPr>
        <w:t xml:space="preserve">PR Reg. _.9(g). </w:t>
      </w:r>
    </w:p>
    <w:p w14:paraId="50176C3C"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Major Security-Based Swap Participant</w:t>
      </w:r>
      <w:r w:rsidRPr="0078138A">
        <w:rPr>
          <w:rFonts w:cs="Times New Roman"/>
          <w:sz w:val="22"/>
          <w:szCs w:val="22"/>
        </w:rPr>
        <w:t>”</w:t>
      </w:r>
      <w:r>
        <w:rPr>
          <w:rFonts w:cs="Times New Roman"/>
          <w:sz w:val="22"/>
          <w:szCs w:val="22"/>
        </w:rPr>
        <w:t xml:space="preserve"> </w:t>
      </w:r>
      <w:r>
        <w:rPr>
          <w:rFonts w:cs="Times New Roman"/>
          <w:b/>
          <w:i/>
          <w:sz w:val="22"/>
          <w:szCs w:val="22"/>
        </w:rPr>
        <w:t xml:space="preserve">or </w:t>
      </w:r>
      <w:r>
        <w:rPr>
          <w:rFonts w:cs="Times New Roman"/>
          <w:sz w:val="22"/>
          <w:szCs w:val="22"/>
        </w:rPr>
        <w:t>“</w:t>
      </w:r>
      <w:r w:rsidRPr="00CE135D">
        <w:rPr>
          <w:rFonts w:cs="Times New Roman"/>
          <w:b/>
          <w:i/>
          <w:sz w:val="22"/>
          <w:szCs w:val="22"/>
        </w:rPr>
        <w:t>MSBSP</w:t>
      </w:r>
      <w:r>
        <w:rPr>
          <w:rFonts w:cs="Times New Roman"/>
          <w:sz w:val="22"/>
          <w:szCs w:val="22"/>
        </w:rPr>
        <w:t>”</w:t>
      </w:r>
      <w:r w:rsidRPr="0078138A">
        <w:rPr>
          <w:rFonts w:cs="Times New Roman"/>
          <w:sz w:val="22"/>
          <w:szCs w:val="22"/>
        </w:rPr>
        <w:t xml:space="preserve"> means a “major security-based swap participant,” as defined in SEA § 3(a)(67) and the rules adopted thereunder.</w:t>
      </w:r>
    </w:p>
    <w:p w14:paraId="2DA0112A"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Major Swap Participant</w:t>
      </w:r>
      <w:r w:rsidRPr="0078138A">
        <w:rPr>
          <w:rFonts w:cs="Times New Roman"/>
          <w:sz w:val="22"/>
          <w:szCs w:val="22"/>
        </w:rPr>
        <w:t>”</w:t>
      </w:r>
      <w:r>
        <w:rPr>
          <w:rFonts w:cs="Times New Roman"/>
          <w:sz w:val="22"/>
          <w:szCs w:val="22"/>
        </w:rPr>
        <w:t xml:space="preserve"> </w:t>
      </w:r>
      <w:r>
        <w:rPr>
          <w:rFonts w:cs="Times New Roman"/>
          <w:b/>
          <w:i/>
          <w:sz w:val="22"/>
          <w:szCs w:val="22"/>
        </w:rPr>
        <w:t xml:space="preserve">or </w:t>
      </w:r>
      <w:r>
        <w:rPr>
          <w:rFonts w:cs="Times New Roman"/>
          <w:sz w:val="22"/>
          <w:szCs w:val="22"/>
        </w:rPr>
        <w:t>“</w:t>
      </w:r>
      <w:r>
        <w:rPr>
          <w:rFonts w:cs="Times New Roman"/>
          <w:b/>
          <w:i/>
          <w:sz w:val="22"/>
          <w:szCs w:val="22"/>
        </w:rPr>
        <w:t>MSP</w:t>
      </w:r>
      <w:r>
        <w:rPr>
          <w:rFonts w:cs="Times New Roman"/>
          <w:sz w:val="22"/>
          <w:szCs w:val="22"/>
        </w:rPr>
        <w:t>”</w:t>
      </w:r>
      <w:r w:rsidRPr="0078138A">
        <w:rPr>
          <w:rFonts w:cs="Times New Roman"/>
          <w:sz w:val="22"/>
          <w:szCs w:val="22"/>
        </w:rPr>
        <w:t xml:space="preserve"> means a “major swap participant,” as defined in CEA </w:t>
      </w:r>
      <w:r>
        <w:rPr>
          <w:rFonts w:cs="Times New Roman"/>
          <w:sz w:val="22"/>
          <w:szCs w:val="22"/>
        </w:rPr>
        <w:br/>
      </w:r>
      <w:r w:rsidRPr="0078138A">
        <w:rPr>
          <w:rFonts w:cs="Times New Roman"/>
          <w:sz w:val="22"/>
          <w:szCs w:val="22"/>
        </w:rPr>
        <w:t>§ 1a(33)</w:t>
      </w:r>
      <w:r>
        <w:rPr>
          <w:rFonts w:cs="Times New Roman"/>
          <w:sz w:val="22"/>
          <w:szCs w:val="22"/>
        </w:rPr>
        <w:t xml:space="preserve"> and the rules adopted thereunder</w:t>
      </w:r>
      <w:r w:rsidRPr="0078138A">
        <w:rPr>
          <w:rFonts w:cs="Times New Roman"/>
          <w:sz w:val="22"/>
          <w:szCs w:val="22"/>
        </w:rPr>
        <w:t>.</w:t>
      </w:r>
    </w:p>
    <w:p w14:paraId="70BF4A27" w14:textId="77777777" w:rsidR="00AE4FDF" w:rsidRDefault="00AE4FDF" w:rsidP="00AE4FDF">
      <w:pPr>
        <w:rPr>
          <w:rFonts w:cs="Times New Roman"/>
          <w:sz w:val="22"/>
          <w:szCs w:val="22"/>
        </w:rPr>
      </w:pPr>
      <w:r>
        <w:rPr>
          <w:rFonts w:cs="Times New Roman"/>
          <w:sz w:val="22"/>
          <w:szCs w:val="22"/>
        </w:rPr>
        <w:t>“</w:t>
      </w:r>
      <w:r w:rsidRPr="00BD0DCE">
        <w:rPr>
          <w:rFonts w:cs="Times New Roman"/>
          <w:b/>
          <w:i/>
          <w:sz w:val="22"/>
          <w:szCs w:val="22"/>
        </w:rPr>
        <w:t>MSBSP Threshold Monitoring Entity</w:t>
      </w:r>
      <w:r>
        <w:rPr>
          <w:rFonts w:cs="Times New Roman"/>
          <w:sz w:val="22"/>
          <w:szCs w:val="22"/>
        </w:rPr>
        <w:t xml:space="preserve">” means an entity that requests information from Named Entity for purposes of determining the necessity of counting SBS with Named Entity against “substantial position” and/or other applicable thresholds for registration as an MSBSP. </w:t>
      </w:r>
    </w:p>
    <w:p w14:paraId="758CA876" w14:textId="77777777" w:rsidR="00AE4FDF" w:rsidRPr="0078138A" w:rsidRDefault="00AE4FDF" w:rsidP="00AE4FDF">
      <w:pPr>
        <w:rPr>
          <w:rFonts w:cs="Times New Roman"/>
          <w:sz w:val="22"/>
          <w:szCs w:val="22"/>
          <w:lang w:val="x-none"/>
        </w:rPr>
      </w:pPr>
      <w:r>
        <w:rPr>
          <w:rFonts w:cs="Times New Roman"/>
          <w:sz w:val="22"/>
          <w:szCs w:val="22"/>
        </w:rPr>
        <w:t>“</w:t>
      </w:r>
      <w:r w:rsidRPr="00BD0DCE">
        <w:rPr>
          <w:rFonts w:cs="Times New Roman"/>
          <w:b/>
          <w:i/>
          <w:sz w:val="22"/>
          <w:szCs w:val="22"/>
        </w:rPr>
        <w:t>MSP Threshold Monitoring Entity</w:t>
      </w:r>
      <w:r>
        <w:rPr>
          <w:rFonts w:cs="Times New Roman"/>
          <w:sz w:val="22"/>
          <w:szCs w:val="22"/>
        </w:rPr>
        <w:t xml:space="preserve">” means an entity </w:t>
      </w:r>
      <w:r w:rsidRPr="005B6B88">
        <w:rPr>
          <w:rFonts w:cs="Times New Roman"/>
          <w:sz w:val="22"/>
          <w:szCs w:val="22"/>
        </w:rPr>
        <w:t>that requests information from Named Entity for purposes of determining the necessity of counting S</w:t>
      </w:r>
      <w:r>
        <w:rPr>
          <w:rFonts w:cs="Times New Roman"/>
          <w:sz w:val="22"/>
          <w:szCs w:val="22"/>
        </w:rPr>
        <w:t>waps</w:t>
      </w:r>
      <w:r w:rsidRPr="005B6B88">
        <w:rPr>
          <w:rFonts w:cs="Times New Roman"/>
          <w:sz w:val="22"/>
          <w:szCs w:val="22"/>
        </w:rPr>
        <w:t xml:space="preserve"> with Named Entity against </w:t>
      </w:r>
      <w:r>
        <w:rPr>
          <w:rFonts w:cs="Times New Roman"/>
          <w:sz w:val="22"/>
          <w:szCs w:val="22"/>
        </w:rPr>
        <w:t>“substantial position” and/or other applicable</w:t>
      </w:r>
      <w:r w:rsidRPr="005B6B88">
        <w:rPr>
          <w:rFonts w:cs="Times New Roman"/>
          <w:sz w:val="22"/>
          <w:szCs w:val="22"/>
        </w:rPr>
        <w:t xml:space="preserve"> threshold</w:t>
      </w:r>
      <w:r>
        <w:rPr>
          <w:rFonts w:cs="Times New Roman"/>
          <w:sz w:val="22"/>
          <w:szCs w:val="22"/>
        </w:rPr>
        <w:t>s</w:t>
      </w:r>
      <w:r w:rsidRPr="005B6B88">
        <w:rPr>
          <w:rFonts w:cs="Times New Roman"/>
          <w:sz w:val="22"/>
          <w:szCs w:val="22"/>
        </w:rPr>
        <w:t xml:space="preserve"> for registration </w:t>
      </w:r>
      <w:r>
        <w:rPr>
          <w:rFonts w:cs="Times New Roman"/>
          <w:sz w:val="22"/>
          <w:szCs w:val="22"/>
        </w:rPr>
        <w:t xml:space="preserve">with the CFTC </w:t>
      </w:r>
      <w:r w:rsidRPr="005B6B88">
        <w:rPr>
          <w:rFonts w:cs="Times New Roman"/>
          <w:sz w:val="22"/>
          <w:szCs w:val="22"/>
        </w:rPr>
        <w:t xml:space="preserve">as an </w:t>
      </w:r>
      <w:r>
        <w:rPr>
          <w:rFonts w:cs="Times New Roman"/>
          <w:sz w:val="22"/>
          <w:szCs w:val="22"/>
        </w:rPr>
        <w:t>MSP</w:t>
      </w:r>
      <w:r w:rsidRPr="006C32DE">
        <w:rPr>
          <w:rFonts w:cs="Times New Roman"/>
          <w:sz w:val="22"/>
          <w:szCs w:val="22"/>
        </w:rPr>
        <w:t>.</w:t>
      </w:r>
    </w:p>
    <w:p w14:paraId="30279F18"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Multi-Branch Entity</w:t>
      </w:r>
      <w:r w:rsidRPr="0078138A">
        <w:rPr>
          <w:rFonts w:cs="Times New Roman"/>
          <w:sz w:val="22"/>
          <w:szCs w:val="22"/>
        </w:rPr>
        <w:t xml:space="preserve">” </w:t>
      </w:r>
      <w:r w:rsidRPr="0078138A">
        <w:rPr>
          <w:rFonts w:cs="Times New Roman"/>
          <w:sz w:val="22"/>
          <w:szCs w:val="22"/>
          <w:lang w:val="x-none"/>
        </w:rPr>
        <w:t xml:space="preserve">means </w:t>
      </w:r>
      <w:r>
        <w:rPr>
          <w:rFonts w:cs="Times New Roman"/>
          <w:sz w:val="22"/>
          <w:szCs w:val="22"/>
        </w:rPr>
        <w:t>a banking organization or other</w:t>
      </w:r>
      <w:r w:rsidRPr="0078138A">
        <w:rPr>
          <w:rFonts w:cs="Times New Roman"/>
          <w:sz w:val="22"/>
          <w:szCs w:val="22"/>
          <w:lang w:val="x-none"/>
        </w:rPr>
        <w:t xml:space="preserve"> entity that has local branch</w:t>
      </w:r>
      <w:r w:rsidRPr="0078138A">
        <w:rPr>
          <w:rFonts w:cs="Times New Roman"/>
          <w:sz w:val="22"/>
          <w:szCs w:val="22"/>
        </w:rPr>
        <w:t>es</w:t>
      </w:r>
      <w:r w:rsidRPr="0078138A">
        <w:rPr>
          <w:rFonts w:cs="Times New Roman"/>
          <w:sz w:val="22"/>
          <w:szCs w:val="22"/>
          <w:lang w:val="x-none"/>
        </w:rPr>
        <w:t>, office</w:t>
      </w:r>
      <w:r w:rsidRPr="0078138A">
        <w:rPr>
          <w:rFonts w:cs="Times New Roman"/>
          <w:sz w:val="22"/>
          <w:szCs w:val="22"/>
        </w:rPr>
        <w:t>s</w:t>
      </w:r>
      <w:r w:rsidRPr="0078138A">
        <w:rPr>
          <w:rFonts w:cs="Times New Roman"/>
          <w:sz w:val="22"/>
          <w:szCs w:val="22"/>
          <w:lang w:val="x-none"/>
        </w:rPr>
        <w:t xml:space="preserve"> or agenc</w:t>
      </w:r>
      <w:r w:rsidRPr="0078138A">
        <w:rPr>
          <w:rFonts w:cs="Times New Roman"/>
          <w:sz w:val="22"/>
          <w:szCs w:val="22"/>
        </w:rPr>
        <w:t>ies</w:t>
      </w:r>
      <w:r w:rsidRPr="0078138A">
        <w:rPr>
          <w:rFonts w:cs="Times New Roman"/>
          <w:sz w:val="22"/>
          <w:szCs w:val="22"/>
          <w:lang w:val="x-none"/>
        </w:rPr>
        <w:t xml:space="preserve"> </w:t>
      </w:r>
      <w:r w:rsidRPr="0078138A">
        <w:rPr>
          <w:rFonts w:cs="Times New Roman"/>
          <w:sz w:val="22"/>
          <w:szCs w:val="22"/>
        </w:rPr>
        <w:t>located both inside and outside the United States</w:t>
      </w:r>
      <w:r w:rsidRPr="0078138A">
        <w:rPr>
          <w:rFonts w:cs="Times New Roman"/>
          <w:sz w:val="22"/>
          <w:szCs w:val="22"/>
          <w:lang w:val="x-none"/>
        </w:rPr>
        <w:t>.</w:t>
      </w:r>
    </w:p>
    <w:p w14:paraId="7B0F28AB"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Multilateral Development Bank</w:t>
      </w:r>
      <w:r w:rsidRPr="0078138A">
        <w:rPr>
          <w:rFonts w:cs="Times New Roman"/>
          <w:sz w:val="22"/>
          <w:szCs w:val="22"/>
        </w:rPr>
        <w:t>” means the Bank for International Settlements or the European Stability Mechanism, or is the International Bank for Reconstruction and Development, the Multilateral Investment Guarantee Agency, the International Finance Corporation, the Inter-American Development Bank, the Asian Development Bank, the African Development Bank, the European Bank for Reconstruction and Development, the European Investment Bank, the European Investment Fund, the Nordic Investment Bank, the Caribbean Development Bank, the Islamic Development Bank, the Council of Europe Development Bank, or any other multilateral development bank that provides financing for national or regional development in which the U.S. government is a shareholder or contributing member.  SEC Rule 18a-3(c)(1)(iii)(E) and (c)(2)(iii)(C).</w:t>
      </w:r>
    </w:p>
    <w:p w14:paraId="0F9816DE" w14:textId="77777777" w:rsidR="00AE4FDF" w:rsidRPr="0078138A" w:rsidRDefault="00AE4FDF" w:rsidP="00AE4FDF">
      <w:pPr>
        <w:rPr>
          <w:rFonts w:cs="Times New Roman"/>
          <w:sz w:val="22"/>
          <w:szCs w:val="22"/>
        </w:rPr>
      </w:pPr>
      <w:r w:rsidRPr="0078138A">
        <w:rPr>
          <w:rFonts w:cs="Times New Roman"/>
          <w:sz w:val="22"/>
          <w:szCs w:val="22"/>
        </w:rPr>
        <w:lastRenderedPageBreak/>
        <w:t>“</w:t>
      </w:r>
      <w:r w:rsidRPr="0078138A">
        <w:rPr>
          <w:rFonts w:cs="Times New Roman"/>
          <w:b/>
          <w:i/>
          <w:sz w:val="22"/>
          <w:szCs w:val="22"/>
        </w:rPr>
        <w:t>Parent Entity</w:t>
      </w:r>
      <w:r w:rsidRPr="0078138A">
        <w:rPr>
          <w:rFonts w:cs="Times New Roman"/>
          <w:sz w:val="22"/>
          <w:szCs w:val="22"/>
        </w:rPr>
        <w:t>” means any entity in a consolida</w:t>
      </w:r>
      <w:r>
        <w:rPr>
          <w:rFonts w:cs="Times New Roman"/>
          <w:sz w:val="22"/>
          <w:szCs w:val="22"/>
        </w:rPr>
        <w:t>ted group that has one or more S</w:t>
      </w:r>
      <w:r w:rsidRPr="0078138A">
        <w:rPr>
          <w:rFonts w:cs="Times New Roman"/>
          <w:sz w:val="22"/>
          <w:szCs w:val="22"/>
        </w:rPr>
        <w:t xml:space="preserve">ubsidiaries in which the entity has a controlling interest, as determined in accordance with U.S. GAAP. </w:t>
      </w:r>
      <w:r>
        <w:rPr>
          <w:rFonts w:cs="Times New Roman"/>
          <w:sz w:val="22"/>
          <w:szCs w:val="22"/>
        </w:rPr>
        <w:t xml:space="preserve"> CFTC Reg. 23.23(a)(12).</w:t>
      </w:r>
    </w:p>
    <w:p w14:paraId="58B2081B"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PR Foreign Consolidated Subsidiary</w:t>
      </w:r>
      <w:r w:rsidRPr="0078138A">
        <w:rPr>
          <w:rFonts w:cs="Times New Roman"/>
          <w:sz w:val="22"/>
          <w:szCs w:val="22"/>
        </w:rPr>
        <w:t>” means a Swap Entity</w:t>
      </w:r>
      <w:r>
        <w:rPr>
          <w:rFonts w:cs="Times New Roman"/>
          <w:sz w:val="22"/>
          <w:szCs w:val="22"/>
        </w:rPr>
        <w:t xml:space="preserve"> (PR Margin Rules)</w:t>
      </w:r>
      <w:r w:rsidRPr="0078138A">
        <w:rPr>
          <w:rFonts w:cs="Times New Roman"/>
          <w:sz w:val="22"/>
          <w:szCs w:val="22"/>
        </w:rPr>
        <w:t xml:space="preserve"> that is a Subsidiary </w:t>
      </w:r>
      <w:r>
        <w:rPr>
          <w:rFonts w:cs="Times New Roman"/>
          <w:sz w:val="22"/>
          <w:szCs w:val="22"/>
        </w:rPr>
        <w:t xml:space="preserve">(PR Margin Rules) </w:t>
      </w:r>
      <w:r w:rsidRPr="0078138A">
        <w:rPr>
          <w:rFonts w:cs="Times New Roman"/>
          <w:sz w:val="22"/>
          <w:szCs w:val="22"/>
        </w:rPr>
        <w:t>of an entity that is organized under the laws of the United States or any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w:t>
      </w:r>
      <w:r>
        <w:rPr>
          <w:rFonts w:cs="Times New Roman"/>
          <w:sz w:val="22"/>
          <w:szCs w:val="22"/>
        </w:rPr>
        <w:t>s</w:t>
      </w:r>
      <w:r w:rsidRPr="0078138A">
        <w:rPr>
          <w:rFonts w:cs="Times New Roman"/>
          <w:sz w:val="22"/>
          <w:szCs w:val="22"/>
        </w:rPr>
        <w:t xml:space="preserve">tate. </w:t>
      </w:r>
    </w:p>
    <w:p w14:paraId="40EDDC42" w14:textId="77777777" w:rsidR="00AE4FDF" w:rsidRPr="0078138A" w:rsidRDefault="00AE4FDF" w:rsidP="00AE4FDF">
      <w:pPr>
        <w:rPr>
          <w:rFonts w:cs="Times New Roman"/>
          <w:sz w:val="22"/>
          <w:szCs w:val="22"/>
        </w:rPr>
      </w:pPr>
      <w:r w:rsidRPr="0078138A">
        <w:rPr>
          <w:rFonts w:cs="Times New Roman"/>
          <w:sz w:val="22"/>
          <w:szCs w:val="22"/>
        </w:rPr>
        <w:t>“</w:t>
      </w:r>
      <w:r>
        <w:rPr>
          <w:rFonts w:cs="Times New Roman"/>
          <w:b/>
          <w:i/>
          <w:sz w:val="22"/>
          <w:szCs w:val="22"/>
        </w:rPr>
        <w:t>PR Margin Rules</w:t>
      </w:r>
      <w:r w:rsidRPr="0078138A">
        <w:rPr>
          <w:rFonts w:cs="Times New Roman"/>
          <w:sz w:val="22"/>
          <w:szCs w:val="22"/>
        </w:rPr>
        <w:t>” means the margin requirements adopted by a Prudential Regulator pursuant to CEA § 4s(e) and SEA § 15F(e).</w:t>
      </w:r>
    </w:p>
    <w:p w14:paraId="0027B1C3"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Prudential Regulator</w:t>
      </w:r>
      <w:r w:rsidRPr="0078138A">
        <w:rPr>
          <w:rFonts w:cs="Times New Roman"/>
          <w:sz w:val="22"/>
          <w:szCs w:val="22"/>
        </w:rPr>
        <w:t xml:space="preserve">” means a “prudential regulator,” as defined in CEA § 1a(39). </w:t>
      </w:r>
    </w:p>
    <w:p w14:paraId="0DDB3AE4"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PR U.S. Branch</w:t>
      </w:r>
      <w:r w:rsidRPr="0078138A">
        <w:rPr>
          <w:rFonts w:cs="Times New Roman"/>
          <w:sz w:val="22"/>
          <w:szCs w:val="22"/>
        </w:rPr>
        <w:t xml:space="preserve">” means a branch or agency organized or licensed under the laws of the United States or any U.S. </w:t>
      </w:r>
      <w:r>
        <w:rPr>
          <w:rFonts w:cs="Times New Roman"/>
          <w:sz w:val="22"/>
          <w:szCs w:val="22"/>
        </w:rPr>
        <w:t>s</w:t>
      </w:r>
      <w:r w:rsidRPr="0078138A">
        <w:rPr>
          <w:rFonts w:cs="Times New Roman"/>
          <w:sz w:val="22"/>
          <w:szCs w:val="22"/>
        </w:rPr>
        <w:t>tate.</w:t>
      </w:r>
    </w:p>
    <w:p w14:paraId="2E6F0762"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PR U.S. Guarantee</w:t>
      </w:r>
      <w:r w:rsidRPr="0078138A">
        <w:rPr>
          <w:rFonts w:cs="Times New Roman"/>
          <w:sz w:val="22"/>
          <w:szCs w:val="22"/>
        </w:rPr>
        <w:t>” means a Guarantee (</w:t>
      </w:r>
      <w:r>
        <w:rPr>
          <w:rFonts w:cs="Times New Roman"/>
          <w:sz w:val="22"/>
          <w:szCs w:val="22"/>
        </w:rPr>
        <w:t>PR Margin Rules</w:t>
      </w:r>
      <w:r w:rsidRPr="0078138A">
        <w:rPr>
          <w:rFonts w:cs="Times New Roman"/>
          <w:sz w:val="22"/>
          <w:szCs w:val="22"/>
        </w:rPr>
        <w:t>) received from a PR U.S. Person, PR U.S. Branch, or PR Foreign Consolidated Subsidiary.</w:t>
      </w:r>
    </w:p>
    <w:p w14:paraId="747B188A"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PR U.S. Person</w:t>
      </w:r>
      <w:r w:rsidRPr="0078138A">
        <w:rPr>
          <w:rFonts w:cs="Times New Roman"/>
          <w:sz w:val="22"/>
          <w:szCs w:val="22"/>
        </w:rPr>
        <w:t xml:space="preserve">” means (i) an entity organized under the laws of the United States or any </w:t>
      </w:r>
      <w:r>
        <w:rPr>
          <w:rFonts w:cs="Times New Roman"/>
          <w:sz w:val="22"/>
          <w:szCs w:val="22"/>
        </w:rPr>
        <w:t>s</w:t>
      </w:r>
      <w:r w:rsidRPr="0078138A">
        <w:rPr>
          <w:rFonts w:cs="Times New Roman"/>
          <w:sz w:val="22"/>
          <w:szCs w:val="22"/>
        </w:rPr>
        <w:t>tate other than a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branch, office or agency of a non-US bank or (ii) a natural person who is a resident of the United States.</w:t>
      </w:r>
      <w:r>
        <w:rPr>
          <w:rFonts w:cs="Times New Roman"/>
          <w:sz w:val="22"/>
          <w:szCs w:val="22"/>
        </w:rPr>
        <w:t xml:space="preserve"> </w:t>
      </w:r>
      <w:r w:rsidRPr="00042DCB">
        <w:rPr>
          <w:i/>
          <w:sz w:val="22"/>
          <w:szCs w:val="22"/>
        </w:rPr>
        <w:t>See</w:t>
      </w:r>
      <w:r w:rsidRPr="00042DCB">
        <w:rPr>
          <w:sz w:val="22"/>
          <w:szCs w:val="22"/>
        </w:rPr>
        <w:t xml:space="preserve"> PR Reg. _.9(b)(1).</w:t>
      </w:r>
    </w:p>
    <w:p w14:paraId="316965A9" w14:textId="77777777" w:rsidR="00AE4FDF" w:rsidRPr="0078138A" w:rsidRDefault="00AE4FDF" w:rsidP="00AE4FDF">
      <w:pPr>
        <w:rPr>
          <w:rFonts w:cs="Times New Roman"/>
          <w:sz w:val="22"/>
          <w:szCs w:val="22"/>
        </w:rPr>
      </w:pPr>
      <w:r>
        <w:rPr>
          <w:rFonts w:cs="Times New Roman"/>
          <w:sz w:val="22"/>
          <w:szCs w:val="22"/>
        </w:rPr>
        <w:t>“</w:t>
      </w:r>
      <w:r>
        <w:rPr>
          <w:rFonts w:cs="Times New Roman"/>
          <w:b/>
          <w:i/>
          <w:sz w:val="22"/>
          <w:szCs w:val="22"/>
        </w:rPr>
        <w:t xml:space="preserve">SBS </w:t>
      </w:r>
      <w:r w:rsidRPr="0078138A">
        <w:rPr>
          <w:rFonts w:cs="Times New Roman"/>
          <w:b/>
          <w:i/>
          <w:sz w:val="22"/>
          <w:szCs w:val="22"/>
        </w:rPr>
        <w:t>Clearing Requirement</w:t>
      </w:r>
      <w:r w:rsidRPr="0078138A">
        <w:rPr>
          <w:rFonts w:cs="Times New Roman"/>
          <w:sz w:val="22"/>
          <w:szCs w:val="22"/>
        </w:rPr>
        <w:t xml:space="preserve">” means </w:t>
      </w:r>
      <w:r>
        <w:rPr>
          <w:rFonts w:cs="Times New Roman"/>
          <w:sz w:val="22"/>
          <w:szCs w:val="22"/>
        </w:rPr>
        <w:t xml:space="preserve">the requirements under </w:t>
      </w:r>
      <w:r w:rsidRPr="0078138A">
        <w:rPr>
          <w:rFonts w:cs="Times New Roman"/>
          <w:sz w:val="22"/>
          <w:szCs w:val="22"/>
        </w:rPr>
        <w:t xml:space="preserve">SEA § 3C(a)(1). </w:t>
      </w:r>
    </w:p>
    <w:p w14:paraId="336DE43B" w14:textId="77777777" w:rsidR="00AE4FDF" w:rsidRDefault="00AE4FDF" w:rsidP="00AE4FDF">
      <w:pPr>
        <w:rPr>
          <w:rFonts w:cs="Times New Roman"/>
          <w:sz w:val="22"/>
          <w:szCs w:val="22"/>
        </w:rPr>
      </w:pPr>
      <w:r w:rsidRPr="006C32DE">
        <w:rPr>
          <w:rFonts w:cs="Times New Roman"/>
          <w:sz w:val="22"/>
          <w:szCs w:val="22"/>
        </w:rPr>
        <w:t>“</w:t>
      </w:r>
      <w:r w:rsidRPr="006C32DE">
        <w:rPr>
          <w:rFonts w:cs="Times New Roman"/>
          <w:b/>
          <w:i/>
          <w:sz w:val="22"/>
          <w:szCs w:val="22"/>
        </w:rPr>
        <w:t>SBS De</w:t>
      </w:r>
      <w:r>
        <w:rPr>
          <w:rFonts w:cs="Times New Roman"/>
          <w:b/>
          <w:i/>
          <w:sz w:val="22"/>
          <w:szCs w:val="22"/>
        </w:rPr>
        <w:t>aler De</w:t>
      </w:r>
      <w:r w:rsidRPr="006C32DE">
        <w:rPr>
          <w:rFonts w:cs="Times New Roman"/>
          <w:b/>
          <w:i/>
          <w:sz w:val="22"/>
          <w:szCs w:val="22"/>
        </w:rPr>
        <w:t xml:space="preserve"> Minimis Counting Entity</w:t>
      </w:r>
      <w:r w:rsidRPr="006C32DE">
        <w:rPr>
          <w:rFonts w:cs="Times New Roman"/>
          <w:sz w:val="22"/>
          <w:szCs w:val="22"/>
        </w:rPr>
        <w:t xml:space="preserve">” </w:t>
      </w:r>
      <w:r w:rsidRPr="005B6B88">
        <w:rPr>
          <w:rFonts w:cs="Times New Roman"/>
          <w:sz w:val="22"/>
          <w:szCs w:val="22"/>
        </w:rPr>
        <w:t>means an entity that may engage in</w:t>
      </w:r>
      <w:r>
        <w:rPr>
          <w:rFonts w:cs="Times New Roman"/>
          <w:sz w:val="22"/>
          <w:szCs w:val="22"/>
        </w:rPr>
        <w:t xml:space="preserve"> </w:t>
      </w:r>
      <w:r w:rsidRPr="005B6B88">
        <w:rPr>
          <w:rFonts w:cs="Times New Roman"/>
          <w:sz w:val="22"/>
          <w:szCs w:val="22"/>
        </w:rPr>
        <w:t>SBS dealing activity and that requests information from Named Entity for purposes of determining the necessity of counting SBS with Named Entity against the de minimis counting threshold for registration as an SBSD</w:t>
      </w:r>
      <w:r w:rsidRPr="006C32DE">
        <w:rPr>
          <w:rFonts w:cs="Times New Roman"/>
          <w:sz w:val="22"/>
          <w:szCs w:val="22"/>
        </w:rPr>
        <w:t>.</w:t>
      </w:r>
    </w:p>
    <w:p w14:paraId="19D96B20" w14:textId="77777777" w:rsidR="00AE4FDF" w:rsidRDefault="00AE4FDF" w:rsidP="00AE4FDF">
      <w:pPr>
        <w:rPr>
          <w:rFonts w:cs="Times New Roman"/>
          <w:sz w:val="22"/>
          <w:szCs w:val="22"/>
        </w:rPr>
      </w:pPr>
      <w:r w:rsidRPr="005B6B88">
        <w:rPr>
          <w:rFonts w:cs="Times New Roman"/>
          <w:sz w:val="22"/>
          <w:szCs w:val="22"/>
        </w:rPr>
        <w:t>“</w:t>
      </w:r>
      <w:r w:rsidRPr="005B6B88">
        <w:rPr>
          <w:rFonts w:cs="Times New Roman"/>
          <w:b/>
          <w:i/>
          <w:sz w:val="22"/>
          <w:szCs w:val="22"/>
        </w:rPr>
        <w:t>SD De Minimis Threshold</w:t>
      </w:r>
      <w:r w:rsidRPr="005B6B88">
        <w:rPr>
          <w:rFonts w:cs="Times New Roman"/>
          <w:sz w:val="22"/>
          <w:szCs w:val="22"/>
        </w:rPr>
        <w:t>” means the aggregate gross notional amount of Swaps conducted in connection with Swap dealing activity below which a person not currently registered as a Swap Dealer with the CFTC will not be considered a Swap Dealer in accordance with CFTC rules.</w:t>
      </w:r>
    </w:p>
    <w:p w14:paraId="44EF6D3C"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SEA</w:t>
      </w:r>
      <w:r w:rsidRPr="0078138A">
        <w:rPr>
          <w:rFonts w:cs="Times New Roman"/>
          <w:sz w:val="22"/>
          <w:szCs w:val="22"/>
        </w:rPr>
        <w:t>” means the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Securities Exchange Act of 1934, as amended. </w:t>
      </w:r>
    </w:p>
    <w:p w14:paraId="303E82FF"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SEC</w:t>
      </w:r>
      <w:r w:rsidRPr="0078138A">
        <w:rPr>
          <w:rFonts w:cs="Times New Roman"/>
          <w:sz w:val="22"/>
          <w:szCs w:val="22"/>
        </w:rPr>
        <w:t>” means the U</w:t>
      </w:r>
      <w:r>
        <w:rPr>
          <w:rFonts w:cs="Times New Roman"/>
          <w:sz w:val="22"/>
          <w:szCs w:val="22"/>
        </w:rPr>
        <w:t>.</w:t>
      </w:r>
      <w:r w:rsidRPr="0078138A">
        <w:rPr>
          <w:rFonts w:cs="Times New Roman"/>
          <w:sz w:val="22"/>
          <w:szCs w:val="22"/>
        </w:rPr>
        <w:t>S</w:t>
      </w:r>
      <w:r>
        <w:rPr>
          <w:rFonts w:cs="Times New Roman"/>
          <w:sz w:val="22"/>
          <w:szCs w:val="22"/>
        </w:rPr>
        <w:t>.</w:t>
      </w:r>
      <w:r w:rsidRPr="0078138A">
        <w:rPr>
          <w:rFonts w:cs="Times New Roman"/>
          <w:sz w:val="22"/>
          <w:szCs w:val="22"/>
        </w:rPr>
        <w:t xml:space="preserve"> Securities and Exchange Commission. </w:t>
      </w:r>
    </w:p>
    <w:p w14:paraId="69342F33"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SEC Margin Requirements</w:t>
      </w:r>
      <w:r w:rsidRPr="0078138A">
        <w:rPr>
          <w:rFonts w:cs="Times New Roman"/>
          <w:sz w:val="22"/>
          <w:szCs w:val="22"/>
        </w:rPr>
        <w:t>” means the margin requirements adopted by the SEC pursuant to SEA § 15F(e).</w:t>
      </w:r>
    </w:p>
    <w:p w14:paraId="1203AB12"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Security-Based Swap</w:t>
      </w:r>
      <w:r w:rsidRPr="0078138A">
        <w:rPr>
          <w:rFonts w:cs="Times New Roman"/>
          <w:sz w:val="22"/>
          <w:szCs w:val="22"/>
        </w:rPr>
        <w:t>”</w:t>
      </w:r>
      <w:r w:rsidRPr="0078138A">
        <w:rPr>
          <w:rFonts w:cs="Times New Roman"/>
          <w:b/>
          <w:i/>
          <w:sz w:val="22"/>
          <w:szCs w:val="22"/>
        </w:rPr>
        <w:t xml:space="preserve"> or </w:t>
      </w:r>
      <w:r w:rsidRPr="0078138A">
        <w:rPr>
          <w:rFonts w:cs="Times New Roman"/>
          <w:sz w:val="22"/>
          <w:szCs w:val="22"/>
        </w:rPr>
        <w:t>“</w:t>
      </w:r>
      <w:r w:rsidRPr="0078138A">
        <w:rPr>
          <w:rFonts w:cs="Times New Roman"/>
          <w:b/>
          <w:i/>
          <w:sz w:val="22"/>
          <w:szCs w:val="22"/>
        </w:rPr>
        <w:t>SBS</w:t>
      </w:r>
      <w:r w:rsidRPr="0078138A">
        <w:rPr>
          <w:rFonts w:cs="Times New Roman"/>
          <w:sz w:val="22"/>
          <w:szCs w:val="22"/>
        </w:rPr>
        <w:t xml:space="preserve">” means a “security-based swap,” as defined in </w:t>
      </w:r>
      <w:r>
        <w:rPr>
          <w:rFonts w:cs="Times New Roman"/>
          <w:sz w:val="22"/>
          <w:szCs w:val="22"/>
        </w:rPr>
        <w:t>SEA</w:t>
      </w:r>
      <w:r w:rsidRPr="0078138A">
        <w:rPr>
          <w:rFonts w:cs="Times New Roman"/>
          <w:sz w:val="22"/>
          <w:szCs w:val="22"/>
        </w:rPr>
        <w:t xml:space="preserve"> § 3(a)(68) and the rules adopted thereunder. </w:t>
      </w:r>
    </w:p>
    <w:p w14:paraId="31C68876"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Security-Based Swap</w:t>
      </w:r>
      <w:r w:rsidRPr="0078138A">
        <w:rPr>
          <w:rFonts w:cs="Times New Roman"/>
          <w:sz w:val="22"/>
          <w:szCs w:val="22"/>
        </w:rPr>
        <w:t xml:space="preserve"> </w:t>
      </w:r>
      <w:r w:rsidRPr="0078138A">
        <w:rPr>
          <w:rFonts w:cs="Times New Roman"/>
          <w:b/>
          <w:i/>
          <w:sz w:val="22"/>
          <w:szCs w:val="22"/>
        </w:rPr>
        <w:t>Commercial End User Reporting Requirement</w:t>
      </w:r>
      <w:r w:rsidRPr="0078138A">
        <w:rPr>
          <w:rFonts w:cs="Times New Roman"/>
          <w:sz w:val="22"/>
          <w:szCs w:val="22"/>
        </w:rPr>
        <w:t xml:space="preserve">” means the requirement under 15 U.S.C. 78c-3(g)(1)(C) to notify the SEC, in the manner set forth by the SEC, of how it </w:t>
      </w:r>
      <w:r w:rsidRPr="0078138A">
        <w:rPr>
          <w:rFonts w:cs="Times New Roman"/>
          <w:sz w:val="22"/>
          <w:szCs w:val="22"/>
        </w:rPr>
        <w:lastRenderedPageBreak/>
        <w:t>generally meets its financial obligations a</w:t>
      </w:r>
      <w:r>
        <w:rPr>
          <w:rFonts w:cs="Times New Roman"/>
          <w:sz w:val="22"/>
          <w:szCs w:val="22"/>
        </w:rPr>
        <w:t>ssociated with entering into Uncleared SBS (SEC Rules)</w:t>
      </w:r>
      <w:r w:rsidRPr="0078138A">
        <w:rPr>
          <w:rFonts w:cs="Times New Roman"/>
          <w:sz w:val="22"/>
          <w:szCs w:val="22"/>
        </w:rPr>
        <w:t xml:space="preserve">. </w:t>
      </w:r>
    </w:p>
    <w:p w14:paraId="286DF62E"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Security-Based Swap Dealer</w:t>
      </w:r>
      <w:r w:rsidRPr="0078138A">
        <w:rPr>
          <w:rFonts w:cs="Times New Roman"/>
          <w:sz w:val="22"/>
          <w:szCs w:val="22"/>
        </w:rPr>
        <w:t>”</w:t>
      </w:r>
      <w:r>
        <w:rPr>
          <w:rFonts w:cs="Times New Roman"/>
          <w:sz w:val="22"/>
          <w:szCs w:val="22"/>
        </w:rPr>
        <w:t xml:space="preserve"> </w:t>
      </w:r>
      <w:r>
        <w:rPr>
          <w:rFonts w:cs="Times New Roman"/>
          <w:b/>
          <w:i/>
          <w:sz w:val="22"/>
          <w:szCs w:val="22"/>
        </w:rPr>
        <w:t xml:space="preserve">or </w:t>
      </w:r>
      <w:r>
        <w:rPr>
          <w:rFonts w:cs="Times New Roman"/>
          <w:sz w:val="22"/>
          <w:szCs w:val="22"/>
        </w:rPr>
        <w:t>“</w:t>
      </w:r>
      <w:r>
        <w:rPr>
          <w:rFonts w:cs="Times New Roman"/>
          <w:b/>
          <w:i/>
          <w:sz w:val="22"/>
          <w:szCs w:val="22"/>
        </w:rPr>
        <w:t>SBSD</w:t>
      </w:r>
      <w:r>
        <w:rPr>
          <w:rFonts w:cs="Times New Roman"/>
          <w:sz w:val="22"/>
          <w:szCs w:val="22"/>
        </w:rPr>
        <w:t>”</w:t>
      </w:r>
      <w:r w:rsidRPr="0078138A">
        <w:rPr>
          <w:rFonts w:cs="Times New Roman"/>
          <w:sz w:val="22"/>
          <w:szCs w:val="22"/>
        </w:rPr>
        <w:t xml:space="preserve"> means a “security-based swap dealer,” as defined in SEA § 3(a)(71) and the rules adopted thereunder.</w:t>
      </w:r>
    </w:p>
    <w:p w14:paraId="1D89F7FD" w14:textId="77777777" w:rsidR="00AE4FDF" w:rsidRPr="00E80736" w:rsidRDefault="00AE4FDF" w:rsidP="00AE4FDF">
      <w:pPr>
        <w:rPr>
          <w:rFonts w:cs="Times New Roman"/>
          <w:sz w:val="22"/>
          <w:szCs w:val="22"/>
        </w:rPr>
      </w:pPr>
      <w:r>
        <w:rPr>
          <w:rFonts w:cs="Times New Roman"/>
          <w:sz w:val="22"/>
          <w:szCs w:val="22"/>
        </w:rPr>
        <w:t>“</w:t>
      </w:r>
      <w:r>
        <w:rPr>
          <w:rFonts w:cs="Times New Roman"/>
          <w:b/>
          <w:i/>
          <w:sz w:val="22"/>
          <w:szCs w:val="22"/>
        </w:rPr>
        <w:t>Significant S</w:t>
      </w:r>
      <w:r w:rsidRPr="00E80736">
        <w:rPr>
          <w:rFonts w:cs="Times New Roman"/>
          <w:b/>
          <w:i/>
          <w:sz w:val="22"/>
          <w:szCs w:val="22"/>
        </w:rPr>
        <w:t>ubsidiary</w:t>
      </w:r>
      <w:r>
        <w:rPr>
          <w:rFonts w:cs="Times New Roman"/>
          <w:sz w:val="22"/>
          <w:szCs w:val="22"/>
        </w:rPr>
        <w:t xml:space="preserve">” means a </w:t>
      </w:r>
      <w:r w:rsidRPr="00BA38A2">
        <w:rPr>
          <w:rFonts w:cs="Times New Roman"/>
          <w:sz w:val="22"/>
          <w:szCs w:val="22"/>
        </w:rPr>
        <w:t>Subsidiary (</w:t>
      </w:r>
      <w:r>
        <w:rPr>
          <w:rFonts w:cs="Times New Roman"/>
          <w:sz w:val="22"/>
          <w:szCs w:val="22"/>
        </w:rPr>
        <w:t>CFTC 2020 Rules</w:t>
      </w:r>
      <w:r w:rsidRPr="00BA38A2">
        <w:rPr>
          <w:rFonts w:cs="Times New Roman"/>
          <w:sz w:val="22"/>
          <w:szCs w:val="22"/>
        </w:rPr>
        <w:t>)</w:t>
      </w:r>
      <w:r>
        <w:rPr>
          <w:rFonts w:cs="Times New Roman"/>
          <w:sz w:val="22"/>
          <w:szCs w:val="22"/>
        </w:rPr>
        <w:t xml:space="preserve">, including its </w:t>
      </w:r>
      <w:r w:rsidRPr="00BA38A2">
        <w:rPr>
          <w:rFonts w:cs="Times New Roman"/>
          <w:sz w:val="22"/>
          <w:szCs w:val="22"/>
        </w:rPr>
        <w:t>Subsidiary (</w:t>
      </w:r>
      <w:r>
        <w:rPr>
          <w:rFonts w:cs="Times New Roman"/>
          <w:sz w:val="22"/>
          <w:szCs w:val="22"/>
        </w:rPr>
        <w:t>CFTC 2020 Rules</w:t>
      </w:r>
      <w:r w:rsidRPr="00BA38A2">
        <w:rPr>
          <w:rFonts w:cs="Times New Roman"/>
          <w:sz w:val="22"/>
          <w:szCs w:val="22"/>
        </w:rPr>
        <w:t>)</w:t>
      </w:r>
      <w:r w:rsidRPr="00E80736">
        <w:rPr>
          <w:rFonts w:cs="Times New Roman"/>
          <w:sz w:val="22"/>
          <w:szCs w:val="22"/>
        </w:rPr>
        <w:t>, which meets any of the following conditions:</w:t>
      </w:r>
    </w:p>
    <w:p w14:paraId="50FB5E01" w14:textId="77777777" w:rsidR="00AE4FDF" w:rsidRPr="00E80736" w:rsidRDefault="00AE4FDF" w:rsidP="00AE4FDF">
      <w:pPr>
        <w:ind w:left="1440" w:hanging="720"/>
        <w:rPr>
          <w:rFonts w:eastAsia="Times New Roman" w:cs="Times New Roman"/>
          <w:sz w:val="22"/>
          <w:szCs w:val="22"/>
        </w:rPr>
      </w:pPr>
      <w:r w:rsidRPr="00E80736">
        <w:rPr>
          <w:rFonts w:eastAsia="Times New Roman" w:cs="Times New Roman"/>
          <w:sz w:val="22"/>
          <w:szCs w:val="22"/>
        </w:rPr>
        <w:t xml:space="preserve">(i) </w:t>
      </w:r>
      <w:r>
        <w:rPr>
          <w:rFonts w:eastAsia="Times New Roman" w:cs="Times New Roman"/>
          <w:sz w:val="22"/>
          <w:szCs w:val="22"/>
        </w:rPr>
        <w:tab/>
      </w:r>
      <w:r w:rsidRPr="00E80736">
        <w:rPr>
          <w:rFonts w:eastAsia="Times New Roman" w:cs="Times New Roman"/>
          <w:sz w:val="22"/>
          <w:szCs w:val="22"/>
        </w:rPr>
        <w:t>The three</w:t>
      </w:r>
      <w:r>
        <w:rPr>
          <w:rFonts w:eastAsia="Times New Roman" w:cs="Times New Roman"/>
          <w:sz w:val="22"/>
          <w:szCs w:val="22"/>
        </w:rPr>
        <w:t>-</w:t>
      </w:r>
      <w:r w:rsidRPr="00E80736">
        <w:rPr>
          <w:rFonts w:eastAsia="Times New Roman" w:cs="Times New Roman"/>
          <w:sz w:val="22"/>
          <w:szCs w:val="22"/>
        </w:rPr>
        <w:t>year rolling average of t</w:t>
      </w:r>
      <w:r>
        <w:rPr>
          <w:rFonts w:eastAsia="Times New Roman" w:cs="Times New Roman"/>
          <w:sz w:val="22"/>
          <w:szCs w:val="22"/>
        </w:rPr>
        <w:t>he Subsidiary's</w:t>
      </w:r>
      <w:r w:rsidRPr="00BA38A2">
        <w:rPr>
          <w:rFonts w:cs="Times New Roman"/>
          <w:sz w:val="22"/>
          <w:szCs w:val="22"/>
        </w:rPr>
        <w:t xml:space="preserve"> (</w:t>
      </w:r>
      <w:r>
        <w:rPr>
          <w:rFonts w:cs="Times New Roman"/>
          <w:sz w:val="22"/>
          <w:szCs w:val="22"/>
        </w:rPr>
        <w:t>CFTC 2020 Rules</w:t>
      </w:r>
      <w:r w:rsidRPr="00BA38A2">
        <w:rPr>
          <w:rFonts w:cs="Times New Roman"/>
          <w:sz w:val="22"/>
          <w:szCs w:val="22"/>
        </w:rPr>
        <w:t>)</w:t>
      </w:r>
      <w:r>
        <w:rPr>
          <w:rFonts w:cs="Times New Roman"/>
          <w:sz w:val="22"/>
          <w:szCs w:val="22"/>
        </w:rPr>
        <w:t xml:space="preserve"> </w:t>
      </w:r>
      <w:r w:rsidRPr="00E80736">
        <w:rPr>
          <w:rFonts w:eastAsia="Times New Roman" w:cs="Times New Roman"/>
          <w:sz w:val="22"/>
          <w:szCs w:val="22"/>
        </w:rPr>
        <w:t>equity capital is equal to or greater than five percent of the thr</w:t>
      </w:r>
      <w:r>
        <w:rPr>
          <w:rFonts w:eastAsia="Times New Roman" w:cs="Times New Roman"/>
          <w:sz w:val="22"/>
          <w:szCs w:val="22"/>
        </w:rPr>
        <w:t>ee-year rolling average of the Ultimate U.S. Parent E</w:t>
      </w:r>
      <w:r w:rsidRPr="00E80736">
        <w:rPr>
          <w:rFonts w:eastAsia="Times New Roman" w:cs="Times New Roman"/>
          <w:sz w:val="22"/>
          <w:szCs w:val="22"/>
        </w:rPr>
        <w:t>ntity's consolidated equity capital, as determined in accordance with U.S. GAAP as of the end of the most recently completed fiscal year;</w:t>
      </w:r>
    </w:p>
    <w:p w14:paraId="565235F0" w14:textId="77777777" w:rsidR="00AE4FDF" w:rsidRPr="00E80736" w:rsidRDefault="00AE4FDF" w:rsidP="00AE4FDF">
      <w:pPr>
        <w:ind w:left="1440" w:hanging="720"/>
        <w:rPr>
          <w:rFonts w:eastAsia="Times New Roman" w:cs="Times New Roman"/>
          <w:sz w:val="22"/>
          <w:szCs w:val="22"/>
        </w:rPr>
      </w:pPr>
      <w:r w:rsidRPr="00E80736">
        <w:rPr>
          <w:rFonts w:eastAsia="Times New Roman" w:cs="Times New Roman"/>
          <w:sz w:val="22"/>
          <w:szCs w:val="22"/>
        </w:rPr>
        <w:t xml:space="preserve">(ii) </w:t>
      </w:r>
      <w:r>
        <w:rPr>
          <w:rFonts w:eastAsia="Times New Roman" w:cs="Times New Roman"/>
          <w:sz w:val="22"/>
          <w:szCs w:val="22"/>
        </w:rPr>
        <w:tab/>
      </w:r>
      <w:r w:rsidRPr="00E80736">
        <w:rPr>
          <w:rFonts w:eastAsia="Times New Roman" w:cs="Times New Roman"/>
          <w:sz w:val="22"/>
          <w:szCs w:val="22"/>
        </w:rPr>
        <w:t>The thr</w:t>
      </w:r>
      <w:r>
        <w:rPr>
          <w:rFonts w:eastAsia="Times New Roman" w:cs="Times New Roman"/>
          <w:sz w:val="22"/>
          <w:szCs w:val="22"/>
        </w:rPr>
        <w:t>ee-year rolling average of the S</w:t>
      </w:r>
      <w:r w:rsidRPr="00E80736">
        <w:rPr>
          <w:rFonts w:eastAsia="Times New Roman" w:cs="Times New Roman"/>
          <w:sz w:val="22"/>
          <w:szCs w:val="22"/>
        </w:rPr>
        <w:t>ubsidiary's</w:t>
      </w:r>
      <w:r>
        <w:rPr>
          <w:rFonts w:cs="Times New Roman"/>
          <w:sz w:val="22"/>
          <w:szCs w:val="22"/>
        </w:rPr>
        <w:t xml:space="preserve"> </w:t>
      </w:r>
      <w:r w:rsidRPr="00BA38A2">
        <w:rPr>
          <w:rFonts w:cs="Times New Roman"/>
          <w:sz w:val="22"/>
          <w:szCs w:val="22"/>
        </w:rPr>
        <w:t>(</w:t>
      </w:r>
      <w:r>
        <w:rPr>
          <w:rFonts w:cs="Times New Roman"/>
          <w:sz w:val="22"/>
          <w:szCs w:val="22"/>
        </w:rPr>
        <w:t>CFTC 2020 Rules</w:t>
      </w:r>
      <w:r w:rsidRPr="00BA38A2">
        <w:rPr>
          <w:rFonts w:cs="Times New Roman"/>
          <w:sz w:val="22"/>
          <w:szCs w:val="22"/>
        </w:rPr>
        <w:t>)</w:t>
      </w:r>
      <w:r w:rsidRPr="00E80736">
        <w:rPr>
          <w:rFonts w:eastAsia="Times New Roman" w:cs="Times New Roman"/>
          <w:sz w:val="22"/>
          <w:szCs w:val="22"/>
        </w:rPr>
        <w:t xml:space="preserve"> total revenue is equal to or greater than ten percent of the thr</w:t>
      </w:r>
      <w:r>
        <w:rPr>
          <w:rFonts w:eastAsia="Times New Roman" w:cs="Times New Roman"/>
          <w:sz w:val="22"/>
          <w:szCs w:val="22"/>
        </w:rPr>
        <w:t>ee-year rolling average of the Ultimate U.S. Parent E</w:t>
      </w:r>
      <w:r w:rsidRPr="00E80736">
        <w:rPr>
          <w:rFonts w:eastAsia="Times New Roman" w:cs="Times New Roman"/>
          <w:sz w:val="22"/>
          <w:szCs w:val="22"/>
        </w:rPr>
        <w:t>ntity's total consolidated revenue, as determined in accordance with U.S. GAAP as of the end of the most recently completed fiscal year; or</w:t>
      </w:r>
    </w:p>
    <w:p w14:paraId="2AEC0F68" w14:textId="77777777" w:rsidR="00AE4FDF" w:rsidRDefault="00AE4FDF" w:rsidP="00AE4FDF">
      <w:pPr>
        <w:ind w:left="1440" w:hanging="720"/>
        <w:rPr>
          <w:rFonts w:eastAsia="Times New Roman" w:cs="Times New Roman"/>
          <w:sz w:val="22"/>
          <w:szCs w:val="22"/>
        </w:rPr>
      </w:pPr>
      <w:r w:rsidRPr="00E80736">
        <w:rPr>
          <w:rFonts w:eastAsia="Times New Roman" w:cs="Times New Roman"/>
          <w:sz w:val="22"/>
          <w:szCs w:val="22"/>
        </w:rPr>
        <w:t xml:space="preserve">(iii) </w:t>
      </w:r>
      <w:r>
        <w:rPr>
          <w:rFonts w:eastAsia="Times New Roman" w:cs="Times New Roman"/>
          <w:sz w:val="22"/>
          <w:szCs w:val="22"/>
        </w:rPr>
        <w:tab/>
      </w:r>
      <w:r w:rsidRPr="00E80736">
        <w:rPr>
          <w:rFonts w:eastAsia="Times New Roman" w:cs="Times New Roman"/>
          <w:sz w:val="22"/>
          <w:szCs w:val="22"/>
        </w:rPr>
        <w:t>The thr</w:t>
      </w:r>
      <w:r>
        <w:rPr>
          <w:rFonts w:eastAsia="Times New Roman" w:cs="Times New Roman"/>
          <w:sz w:val="22"/>
          <w:szCs w:val="22"/>
        </w:rPr>
        <w:t>ee-year rolling average of the S</w:t>
      </w:r>
      <w:r w:rsidRPr="00E80736">
        <w:rPr>
          <w:rFonts w:eastAsia="Times New Roman" w:cs="Times New Roman"/>
          <w:sz w:val="22"/>
          <w:szCs w:val="22"/>
        </w:rPr>
        <w:t>ubsidiary's</w:t>
      </w:r>
      <w:r w:rsidRPr="00BA38A2">
        <w:rPr>
          <w:rFonts w:cs="Times New Roman"/>
          <w:sz w:val="22"/>
          <w:szCs w:val="22"/>
        </w:rPr>
        <w:t xml:space="preserve"> (</w:t>
      </w:r>
      <w:r>
        <w:rPr>
          <w:rFonts w:cs="Times New Roman"/>
          <w:sz w:val="22"/>
          <w:szCs w:val="22"/>
        </w:rPr>
        <w:t>CFTC 2020 Rules</w:t>
      </w:r>
      <w:r w:rsidRPr="00BA38A2">
        <w:rPr>
          <w:rFonts w:cs="Times New Roman"/>
          <w:sz w:val="22"/>
          <w:szCs w:val="22"/>
        </w:rPr>
        <w:t>)</w:t>
      </w:r>
      <w:r w:rsidRPr="00E80736">
        <w:rPr>
          <w:rFonts w:eastAsia="Times New Roman" w:cs="Times New Roman"/>
          <w:sz w:val="22"/>
          <w:szCs w:val="22"/>
        </w:rPr>
        <w:t xml:space="preserve"> total assets is equal to or greater than ten percent of the thr</w:t>
      </w:r>
      <w:r>
        <w:rPr>
          <w:rFonts w:eastAsia="Times New Roman" w:cs="Times New Roman"/>
          <w:sz w:val="22"/>
          <w:szCs w:val="22"/>
        </w:rPr>
        <w:t>ee-year rolling average of the Ultimate U.S. Parent E</w:t>
      </w:r>
      <w:r w:rsidRPr="00E80736">
        <w:rPr>
          <w:rFonts w:eastAsia="Times New Roman" w:cs="Times New Roman"/>
          <w:sz w:val="22"/>
          <w:szCs w:val="22"/>
        </w:rPr>
        <w:t xml:space="preserve">ntity's total consolidated assets, as determined in accordance with U.S. GAAP as of the end of the most recently completed fiscal year. </w:t>
      </w:r>
    </w:p>
    <w:p w14:paraId="3D17CCBE" w14:textId="77777777" w:rsidR="00AE4FDF" w:rsidRPr="00A406CB" w:rsidRDefault="00AE4FDF" w:rsidP="00AE4FDF">
      <w:pPr>
        <w:rPr>
          <w:rFonts w:cs="Times New Roman"/>
          <w:sz w:val="22"/>
          <w:szCs w:val="22"/>
        </w:rPr>
      </w:pPr>
      <w:r w:rsidRPr="0078138A">
        <w:rPr>
          <w:rFonts w:cs="Times New Roman"/>
          <w:sz w:val="22"/>
          <w:szCs w:val="22"/>
        </w:rPr>
        <w:t>CFT</w:t>
      </w:r>
      <w:r>
        <w:rPr>
          <w:rFonts w:cs="Times New Roman"/>
          <w:sz w:val="22"/>
          <w:szCs w:val="22"/>
        </w:rPr>
        <w:t>C Reg. 23.23(a)(14</w:t>
      </w:r>
      <w:r w:rsidRPr="0078138A">
        <w:rPr>
          <w:rFonts w:cs="Times New Roman"/>
          <w:sz w:val="22"/>
          <w:szCs w:val="22"/>
        </w:rPr>
        <w:t>)</w:t>
      </w:r>
      <w:r>
        <w:rPr>
          <w:rFonts w:cs="Times New Roman"/>
          <w:sz w:val="22"/>
          <w:szCs w:val="22"/>
        </w:rPr>
        <w:t>.</w:t>
      </w:r>
    </w:p>
    <w:p w14:paraId="55166532"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Sovereign Entity</w:t>
      </w:r>
      <w:r w:rsidRPr="0078138A">
        <w:rPr>
          <w:rFonts w:cs="Times New Roman"/>
          <w:sz w:val="22"/>
          <w:szCs w:val="22"/>
        </w:rPr>
        <w:t>” means a central government (including the U.S. government) or an agency, department, ministry, or central bank of a central government if the SBSD has determined that the counterparty has only a minimal amount of credit risk pursuant to policies and procedures or credit risk models established pursuant to SEC Rule 15c3-1 or 18a-1 (as applicable).  SEC Rule 18a-3(c)(1)(iii)(F).</w:t>
      </w:r>
    </w:p>
    <w:p w14:paraId="573516A4"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Subsidiary</w:t>
      </w:r>
      <w:r>
        <w:rPr>
          <w:rFonts w:cs="Times New Roman"/>
          <w:b/>
          <w:i/>
          <w:sz w:val="22"/>
          <w:szCs w:val="22"/>
        </w:rPr>
        <w:t xml:space="preserve"> (PR Margin Rules)</w:t>
      </w:r>
      <w:r w:rsidRPr="0078138A">
        <w:rPr>
          <w:rFonts w:cs="Times New Roman"/>
          <w:sz w:val="22"/>
          <w:szCs w:val="22"/>
        </w:rPr>
        <w:t>” means</w:t>
      </w:r>
      <w:r>
        <w:rPr>
          <w:rFonts w:cs="Times New Roman"/>
          <w:sz w:val="22"/>
          <w:szCs w:val="22"/>
        </w:rPr>
        <w:t xml:space="preserve"> </w:t>
      </w:r>
      <w:r w:rsidRPr="0078138A">
        <w:rPr>
          <w:rFonts w:cs="Times New Roman"/>
          <w:sz w:val="22"/>
          <w:szCs w:val="22"/>
        </w:rPr>
        <w:t xml:space="preserve">a “subsidiary,” as defined in PR Reg. </w:t>
      </w:r>
      <w:r>
        <w:rPr>
          <w:rFonts w:cs="Times New Roman"/>
          <w:sz w:val="22"/>
          <w:szCs w:val="22"/>
        </w:rPr>
        <w:t>_.2.</w:t>
      </w:r>
    </w:p>
    <w:p w14:paraId="2AB26580"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Subsidiary</w:t>
      </w:r>
      <w:r>
        <w:rPr>
          <w:rFonts w:cs="Times New Roman"/>
          <w:b/>
          <w:i/>
          <w:sz w:val="22"/>
          <w:szCs w:val="22"/>
        </w:rPr>
        <w:t xml:space="preserve"> (CFTC 2020 Rules)</w:t>
      </w:r>
      <w:r w:rsidRPr="0078138A">
        <w:rPr>
          <w:rFonts w:cs="Times New Roman"/>
          <w:sz w:val="22"/>
          <w:szCs w:val="22"/>
        </w:rPr>
        <w:t>” means</w:t>
      </w:r>
      <w:r>
        <w:rPr>
          <w:rFonts w:cs="Times New Roman"/>
          <w:sz w:val="22"/>
          <w:szCs w:val="22"/>
        </w:rPr>
        <w:t xml:space="preserve"> </w:t>
      </w:r>
      <w:r w:rsidRPr="00A406CB">
        <w:rPr>
          <w:rFonts w:cs="Times New Roman"/>
          <w:sz w:val="22"/>
          <w:szCs w:val="22"/>
        </w:rPr>
        <w:t>an affiliate of a person controlled by such person directly, or indirectly through one or more intermediaries.</w:t>
      </w:r>
      <w:r>
        <w:rPr>
          <w:rFonts w:cs="Times New Roman"/>
          <w:sz w:val="22"/>
          <w:szCs w:val="22"/>
        </w:rPr>
        <w:t xml:space="preserve">  CFTC Reg. 23.23(a)(15).</w:t>
      </w:r>
    </w:p>
    <w:p w14:paraId="18ECA3C3"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w:t>
      </w:r>
      <w:r w:rsidRPr="0078138A">
        <w:rPr>
          <w:rFonts w:cs="Times New Roman"/>
          <w:sz w:val="22"/>
          <w:szCs w:val="22"/>
        </w:rPr>
        <w:t>” means a “swap,” as defined in CEA § 1a(47) and the rules adopted thereunder.</w:t>
      </w:r>
    </w:p>
    <w:p w14:paraId="49533586" w14:textId="77777777" w:rsidR="00AE4FDF" w:rsidRPr="0078138A" w:rsidRDefault="00AE4FDF" w:rsidP="00AE4FDF">
      <w:pPr>
        <w:rPr>
          <w:rFonts w:cs="Times New Roman"/>
          <w:sz w:val="22"/>
          <w:szCs w:val="22"/>
        </w:rPr>
      </w:pPr>
      <w:r>
        <w:rPr>
          <w:rFonts w:cs="Times New Roman"/>
          <w:sz w:val="22"/>
          <w:szCs w:val="22"/>
        </w:rPr>
        <w:t>“</w:t>
      </w:r>
      <w:r w:rsidRPr="00900B15">
        <w:rPr>
          <w:rFonts w:cs="Times New Roman"/>
          <w:b/>
          <w:i/>
          <w:sz w:val="22"/>
          <w:szCs w:val="22"/>
        </w:rPr>
        <w:t>Swap Booked in a U.S. Branch (CFTC 2020 Rules)</w:t>
      </w:r>
      <w:r w:rsidRPr="008B6F6B">
        <w:rPr>
          <w:rFonts w:cs="Times New Roman"/>
          <w:sz w:val="22"/>
          <w:szCs w:val="22"/>
        </w:rPr>
        <w:t>”</w:t>
      </w:r>
      <w:r>
        <w:rPr>
          <w:rFonts w:cs="Times New Roman"/>
          <w:sz w:val="22"/>
          <w:szCs w:val="22"/>
        </w:rPr>
        <w:t xml:space="preserve"> means a Swap entered into by a U.S. Branch (CFTC 2020 Rules) where the Swap is reflected in the local accounts of the U.S. Branch (CFTC 2020 Rules).  CFTC Reg. 23.23(a)(16).</w:t>
      </w:r>
    </w:p>
    <w:p w14:paraId="18392CAD" w14:textId="77777777" w:rsidR="00AE4FDF" w:rsidRDefault="00AE4FDF" w:rsidP="00AE4FDF">
      <w:pPr>
        <w:rPr>
          <w:rFonts w:cs="Times New Roman"/>
          <w:sz w:val="22"/>
          <w:szCs w:val="22"/>
        </w:rPr>
      </w:pPr>
      <w:r w:rsidRPr="0078138A">
        <w:rPr>
          <w:rFonts w:cs="Times New Roman"/>
          <w:sz w:val="22"/>
          <w:szCs w:val="22"/>
        </w:rPr>
        <w:t>“</w:t>
      </w:r>
      <w:r w:rsidRPr="009B2889">
        <w:rPr>
          <w:rFonts w:cs="Times New Roman"/>
          <w:b/>
          <w:i/>
          <w:sz w:val="22"/>
          <w:szCs w:val="22"/>
        </w:rPr>
        <w:t>Swap</w:t>
      </w:r>
      <w:r>
        <w:rPr>
          <w:rFonts w:cs="Times New Roman"/>
          <w:sz w:val="22"/>
          <w:szCs w:val="22"/>
        </w:rPr>
        <w:t xml:space="preserve"> </w:t>
      </w:r>
      <w:r w:rsidRPr="0078138A">
        <w:rPr>
          <w:rFonts w:cs="Times New Roman"/>
          <w:b/>
          <w:i/>
          <w:sz w:val="22"/>
          <w:szCs w:val="22"/>
        </w:rPr>
        <w:t>Clearing Requirement</w:t>
      </w:r>
      <w:r w:rsidRPr="0078138A">
        <w:rPr>
          <w:rFonts w:cs="Times New Roman"/>
          <w:sz w:val="22"/>
          <w:szCs w:val="22"/>
        </w:rPr>
        <w:t xml:space="preserve">” means </w:t>
      </w:r>
      <w:r>
        <w:rPr>
          <w:rFonts w:cs="Times New Roman"/>
          <w:sz w:val="22"/>
          <w:szCs w:val="22"/>
        </w:rPr>
        <w:t>the requirements under</w:t>
      </w:r>
      <w:r w:rsidRPr="0078138A">
        <w:rPr>
          <w:rFonts w:cs="Times New Roman"/>
          <w:sz w:val="22"/>
          <w:szCs w:val="22"/>
        </w:rPr>
        <w:t xml:space="preserve"> CEA § 2(h)(1)</w:t>
      </w:r>
      <w:r>
        <w:rPr>
          <w:rFonts w:cs="Times New Roman"/>
          <w:sz w:val="22"/>
          <w:szCs w:val="22"/>
        </w:rPr>
        <w:t>.</w:t>
      </w:r>
    </w:p>
    <w:p w14:paraId="647397E7" w14:textId="77777777" w:rsidR="00AE4FDF" w:rsidRPr="008B6F6B" w:rsidRDefault="00AE4FDF" w:rsidP="00AE4FDF">
      <w:pPr>
        <w:rPr>
          <w:rFonts w:cs="Times New Roman"/>
          <w:sz w:val="22"/>
          <w:szCs w:val="22"/>
        </w:rPr>
      </w:pPr>
      <w:r>
        <w:rPr>
          <w:rFonts w:cs="Times New Roman"/>
          <w:sz w:val="22"/>
          <w:szCs w:val="22"/>
        </w:rPr>
        <w:lastRenderedPageBreak/>
        <w:t>“</w:t>
      </w:r>
      <w:r>
        <w:rPr>
          <w:rFonts w:cs="Times New Roman"/>
          <w:b/>
          <w:i/>
          <w:sz w:val="22"/>
          <w:szCs w:val="22"/>
        </w:rPr>
        <w:t>Swap Conducted Through a Foreign Branch (CFTC 2020 Rules)</w:t>
      </w:r>
      <w:r>
        <w:rPr>
          <w:rFonts w:cs="Times New Roman"/>
          <w:sz w:val="22"/>
          <w:szCs w:val="22"/>
        </w:rPr>
        <w:t>” means</w:t>
      </w:r>
      <w:r w:rsidRPr="008B6F6B">
        <w:rPr>
          <w:rFonts w:cs="Times New Roman"/>
          <w:sz w:val="22"/>
          <w:szCs w:val="22"/>
        </w:rPr>
        <w:t xml:space="preserve"> a </w:t>
      </w:r>
      <w:r>
        <w:rPr>
          <w:rFonts w:cs="Times New Roman"/>
          <w:sz w:val="22"/>
          <w:szCs w:val="22"/>
        </w:rPr>
        <w:t>S</w:t>
      </w:r>
      <w:r w:rsidRPr="008B6F6B">
        <w:rPr>
          <w:rFonts w:cs="Times New Roman"/>
          <w:sz w:val="22"/>
          <w:szCs w:val="22"/>
        </w:rPr>
        <w:t xml:space="preserve">wap entered into </w:t>
      </w:r>
      <w:r>
        <w:rPr>
          <w:rFonts w:cs="Times New Roman"/>
          <w:sz w:val="22"/>
          <w:szCs w:val="22"/>
        </w:rPr>
        <w:t>by a Foreign Branch where: (i) the F</w:t>
      </w:r>
      <w:r w:rsidRPr="008B6F6B">
        <w:rPr>
          <w:rFonts w:cs="Times New Roman"/>
          <w:sz w:val="22"/>
          <w:szCs w:val="22"/>
        </w:rPr>
        <w:t xml:space="preserve">oreign </w:t>
      </w:r>
      <w:r>
        <w:rPr>
          <w:rFonts w:cs="Times New Roman"/>
          <w:sz w:val="22"/>
          <w:szCs w:val="22"/>
        </w:rPr>
        <w:t>Branch or another F</w:t>
      </w:r>
      <w:r w:rsidRPr="008B6F6B">
        <w:rPr>
          <w:rFonts w:cs="Times New Roman"/>
          <w:sz w:val="22"/>
          <w:szCs w:val="22"/>
        </w:rPr>
        <w:t xml:space="preserve">oreign </w:t>
      </w:r>
      <w:r>
        <w:rPr>
          <w:rFonts w:cs="Times New Roman"/>
          <w:sz w:val="22"/>
          <w:szCs w:val="22"/>
        </w:rPr>
        <w:t>B</w:t>
      </w:r>
      <w:r w:rsidRPr="008B6F6B">
        <w:rPr>
          <w:rFonts w:cs="Times New Roman"/>
          <w:sz w:val="22"/>
          <w:szCs w:val="22"/>
        </w:rPr>
        <w:t>ranch is the office through which the U.S. person makes and receives pay</w:t>
      </w:r>
      <w:r>
        <w:rPr>
          <w:rFonts w:cs="Times New Roman"/>
          <w:sz w:val="22"/>
          <w:szCs w:val="22"/>
        </w:rPr>
        <w:t>ments and deliveries under the S</w:t>
      </w:r>
      <w:r w:rsidRPr="008B6F6B">
        <w:rPr>
          <w:rFonts w:cs="Times New Roman"/>
          <w:sz w:val="22"/>
          <w:szCs w:val="22"/>
        </w:rPr>
        <w:t>wap pursuant to a master netting or similar trading agreement</w:t>
      </w:r>
      <w:r>
        <w:rPr>
          <w:rFonts w:cs="Times New Roman"/>
          <w:sz w:val="22"/>
          <w:szCs w:val="22"/>
        </w:rPr>
        <w:t>, and the documentation of the S</w:t>
      </w:r>
      <w:r w:rsidRPr="008B6F6B">
        <w:rPr>
          <w:rFonts w:cs="Times New Roman"/>
          <w:sz w:val="22"/>
          <w:szCs w:val="22"/>
        </w:rPr>
        <w:t>wap specifies that the office for the U.S. perso</w:t>
      </w:r>
      <w:r>
        <w:rPr>
          <w:rFonts w:cs="Times New Roman"/>
          <w:sz w:val="22"/>
          <w:szCs w:val="22"/>
        </w:rPr>
        <w:t>n is such Foreign Branch; (ii) the Swap is entered into by such F</w:t>
      </w:r>
      <w:r w:rsidRPr="008B6F6B">
        <w:rPr>
          <w:rFonts w:cs="Times New Roman"/>
          <w:sz w:val="22"/>
          <w:szCs w:val="22"/>
        </w:rPr>
        <w:t xml:space="preserve">oreign </w:t>
      </w:r>
      <w:r>
        <w:rPr>
          <w:rFonts w:cs="Times New Roman"/>
          <w:sz w:val="22"/>
          <w:szCs w:val="22"/>
        </w:rPr>
        <w:t>B</w:t>
      </w:r>
      <w:r w:rsidRPr="008B6F6B">
        <w:rPr>
          <w:rFonts w:cs="Times New Roman"/>
          <w:sz w:val="22"/>
          <w:szCs w:val="22"/>
        </w:rPr>
        <w:t xml:space="preserve">ranch in its normal course of business; and (iii) The swap is reflected in the local accounts of the </w:t>
      </w:r>
      <w:r>
        <w:rPr>
          <w:rFonts w:cs="Times New Roman"/>
          <w:sz w:val="22"/>
          <w:szCs w:val="22"/>
        </w:rPr>
        <w:t>F</w:t>
      </w:r>
      <w:r w:rsidRPr="008B6F6B">
        <w:rPr>
          <w:rFonts w:cs="Times New Roman"/>
          <w:sz w:val="22"/>
          <w:szCs w:val="22"/>
        </w:rPr>
        <w:t xml:space="preserve">oreign </w:t>
      </w:r>
      <w:r>
        <w:rPr>
          <w:rFonts w:cs="Times New Roman"/>
          <w:sz w:val="22"/>
          <w:szCs w:val="22"/>
        </w:rPr>
        <w:t>B</w:t>
      </w:r>
      <w:r w:rsidRPr="008B6F6B">
        <w:rPr>
          <w:rFonts w:cs="Times New Roman"/>
          <w:sz w:val="22"/>
          <w:szCs w:val="22"/>
        </w:rPr>
        <w:t>ranch.</w:t>
      </w:r>
      <w:r>
        <w:rPr>
          <w:rFonts w:cs="Times New Roman"/>
          <w:sz w:val="22"/>
          <w:szCs w:val="22"/>
        </w:rPr>
        <w:t xml:space="preserve">  CFTC Reg. 23.23(a)(17).</w:t>
      </w:r>
    </w:p>
    <w:p w14:paraId="41975574"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 Dealer</w:t>
      </w:r>
      <w:r w:rsidRPr="0078138A">
        <w:rPr>
          <w:rFonts w:cs="Times New Roman"/>
          <w:sz w:val="22"/>
          <w:szCs w:val="22"/>
        </w:rPr>
        <w:t>”</w:t>
      </w:r>
      <w:r>
        <w:rPr>
          <w:rFonts w:cs="Times New Roman"/>
          <w:sz w:val="22"/>
          <w:szCs w:val="22"/>
        </w:rPr>
        <w:t xml:space="preserve"> </w:t>
      </w:r>
      <w:r>
        <w:rPr>
          <w:rFonts w:cs="Times New Roman"/>
          <w:b/>
          <w:i/>
          <w:sz w:val="22"/>
          <w:szCs w:val="22"/>
        </w:rPr>
        <w:t xml:space="preserve">or </w:t>
      </w:r>
      <w:r>
        <w:rPr>
          <w:rFonts w:cs="Times New Roman"/>
          <w:sz w:val="22"/>
          <w:szCs w:val="22"/>
        </w:rPr>
        <w:t>“</w:t>
      </w:r>
      <w:r>
        <w:rPr>
          <w:rFonts w:cs="Times New Roman"/>
          <w:b/>
          <w:i/>
          <w:sz w:val="22"/>
          <w:szCs w:val="22"/>
        </w:rPr>
        <w:t>SD</w:t>
      </w:r>
      <w:r>
        <w:rPr>
          <w:rFonts w:cs="Times New Roman"/>
          <w:sz w:val="22"/>
          <w:szCs w:val="22"/>
        </w:rPr>
        <w:t>”</w:t>
      </w:r>
      <w:r w:rsidRPr="0078138A">
        <w:rPr>
          <w:rFonts w:cs="Times New Roman"/>
          <w:sz w:val="22"/>
          <w:szCs w:val="22"/>
        </w:rPr>
        <w:t xml:space="preserve"> means a “swap dealer,” as defined in CEA § 1a(49) and the rules adopted thereunder.</w:t>
      </w:r>
      <w:r>
        <w:rPr>
          <w:rFonts w:cs="Times New Roman"/>
          <w:sz w:val="22"/>
          <w:szCs w:val="22"/>
        </w:rPr>
        <w:t xml:space="preserve"> </w:t>
      </w:r>
    </w:p>
    <w:p w14:paraId="65B6297E"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 Dealer Affiliate</w:t>
      </w:r>
      <w:r w:rsidRPr="0078138A">
        <w:rPr>
          <w:rFonts w:cs="Times New Roman"/>
          <w:sz w:val="22"/>
          <w:szCs w:val="22"/>
        </w:rPr>
        <w:t>”</w:t>
      </w:r>
      <w:r>
        <w:rPr>
          <w:rFonts w:cs="Times New Roman"/>
          <w:sz w:val="22"/>
          <w:szCs w:val="22"/>
        </w:rPr>
        <w:t xml:space="preserve"> </w:t>
      </w:r>
      <w:r>
        <w:rPr>
          <w:rFonts w:cs="Times New Roman"/>
          <w:b/>
          <w:i/>
          <w:sz w:val="22"/>
          <w:szCs w:val="22"/>
        </w:rPr>
        <w:t xml:space="preserve">or </w:t>
      </w:r>
      <w:r>
        <w:rPr>
          <w:rFonts w:cs="Times New Roman"/>
          <w:sz w:val="22"/>
          <w:szCs w:val="22"/>
        </w:rPr>
        <w:t>“</w:t>
      </w:r>
      <w:r>
        <w:rPr>
          <w:rFonts w:cs="Times New Roman"/>
          <w:b/>
          <w:i/>
          <w:sz w:val="22"/>
          <w:szCs w:val="22"/>
        </w:rPr>
        <w:t>SD Affiliate</w:t>
      </w:r>
      <w:r>
        <w:rPr>
          <w:rFonts w:cs="Times New Roman"/>
          <w:sz w:val="22"/>
          <w:szCs w:val="22"/>
        </w:rPr>
        <w:t>”</w:t>
      </w:r>
      <w:r w:rsidRPr="0078138A">
        <w:rPr>
          <w:rFonts w:cs="Times New Roman"/>
          <w:sz w:val="22"/>
          <w:szCs w:val="22"/>
        </w:rPr>
        <w:t xml:space="preserve"> means a person that directly or indirectly through one or more intermediaries, controls, or is controlled by, or is under common control with a Swap Dealer.  CFTC </w:t>
      </w:r>
      <w:r>
        <w:rPr>
          <w:rFonts w:cs="Times New Roman"/>
          <w:sz w:val="22"/>
          <w:szCs w:val="22"/>
        </w:rPr>
        <w:t>Reg.</w:t>
      </w:r>
      <w:r w:rsidRPr="0078138A">
        <w:rPr>
          <w:rFonts w:cs="Times New Roman"/>
          <w:sz w:val="22"/>
          <w:szCs w:val="22"/>
        </w:rPr>
        <w:t xml:space="preserve"> 23.23(a)(1).</w:t>
      </w:r>
    </w:p>
    <w:p w14:paraId="1862A543" w14:textId="77777777" w:rsidR="00AE4FDF" w:rsidRPr="0078138A" w:rsidRDefault="00AE4FDF" w:rsidP="00AE4FDF">
      <w:pPr>
        <w:rPr>
          <w:rFonts w:cs="Times New Roman"/>
          <w:sz w:val="22"/>
          <w:szCs w:val="22"/>
        </w:rPr>
      </w:pPr>
      <w:r w:rsidRPr="005B6B88">
        <w:rPr>
          <w:rFonts w:cs="Times New Roman"/>
          <w:sz w:val="22"/>
          <w:szCs w:val="22"/>
        </w:rPr>
        <w:t>“</w:t>
      </w:r>
      <w:r w:rsidRPr="005B6B88">
        <w:rPr>
          <w:rFonts w:cs="Times New Roman"/>
          <w:b/>
          <w:i/>
          <w:sz w:val="22"/>
          <w:szCs w:val="22"/>
        </w:rPr>
        <w:t>Swap Dealer De Minimis Counting Entity</w:t>
      </w:r>
      <w:r w:rsidRPr="005B6B88">
        <w:rPr>
          <w:rFonts w:cs="Times New Roman"/>
          <w:sz w:val="22"/>
          <w:szCs w:val="22"/>
        </w:rPr>
        <w:t>” means an entity that may engage in Swap dealing activity and is requesting information from Named Entity for purposes of determining the necessity of counting Swaps with Named Entity against the de minimis counting threshold for registration as an SD.</w:t>
      </w:r>
    </w:p>
    <w:p w14:paraId="1B6AB0B1"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 Entity</w:t>
      </w:r>
      <w:r>
        <w:rPr>
          <w:rFonts w:cs="Times New Roman"/>
          <w:b/>
          <w:i/>
          <w:sz w:val="22"/>
          <w:szCs w:val="22"/>
        </w:rPr>
        <w:t xml:space="preserve"> (PR Margin Rules)</w:t>
      </w:r>
      <w:r w:rsidRPr="0078138A">
        <w:rPr>
          <w:rFonts w:cs="Times New Roman"/>
          <w:sz w:val="22"/>
          <w:szCs w:val="22"/>
        </w:rPr>
        <w:t>” means a Swap Dealer, a Security-Based Swap Dealer, a Major Swap Participant or a Major Security-Based Swap Participant.</w:t>
      </w:r>
      <w:r>
        <w:rPr>
          <w:rFonts w:cs="Times New Roman"/>
          <w:sz w:val="22"/>
          <w:szCs w:val="22"/>
        </w:rPr>
        <w:t xml:space="preserve">  </w:t>
      </w:r>
      <w:r w:rsidRPr="0078138A">
        <w:rPr>
          <w:rFonts w:cs="Times New Roman"/>
          <w:sz w:val="22"/>
          <w:szCs w:val="22"/>
        </w:rPr>
        <w:t>PR Reg. _.2</w:t>
      </w:r>
      <w:r>
        <w:rPr>
          <w:rFonts w:cs="Times New Roman"/>
          <w:sz w:val="22"/>
          <w:szCs w:val="22"/>
        </w:rPr>
        <w:t>.</w:t>
      </w:r>
    </w:p>
    <w:p w14:paraId="6709365D" w14:textId="77777777" w:rsidR="00AE4FDF" w:rsidRPr="00DF7D64"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 Entity Significant Risk Subsidiary</w:t>
      </w:r>
      <w:r>
        <w:rPr>
          <w:rFonts w:cs="Times New Roman"/>
          <w:sz w:val="22"/>
          <w:szCs w:val="22"/>
        </w:rPr>
        <w:t>” means any non-U.S. Significant Subsidiary of an U</w:t>
      </w:r>
      <w:r w:rsidRPr="00DF7D64">
        <w:rPr>
          <w:rFonts w:cs="Times New Roman"/>
          <w:sz w:val="22"/>
          <w:szCs w:val="22"/>
        </w:rPr>
        <w:t>ltimat</w:t>
      </w:r>
      <w:r>
        <w:rPr>
          <w:rFonts w:cs="Times New Roman"/>
          <w:sz w:val="22"/>
          <w:szCs w:val="22"/>
        </w:rPr>
        <w:t xml:space="preserve">e U.S. Parent Entity, that is </w:t>
      </w:r>
      <w:r w:rsidRPr="0078138A">
        <w:rPr>
          <w:rFonts w:cs="Times New Roman"/>
          <w:sz w:val="22"/>
          <w:szCs w:val="22"/>
        </w:rPr>
        <w:t>a Swap De</w:t>
      </w:r>
      <w:r>
        <w:rPr>
          <w:rFonts w:cs="Times New Roman"/>
          <w:sz w:val="22"/>
          <w:szCs w:val="22"/>
        </w:rPr>
        <w:t>aler or Major Swap Participant, where the U</w:t>
      </w:r>
      <w:r w:rsidRPr="00DF7D64">
        <w:rPr>
          <w:rFonts w:cs="Times New Roman"/>
          <w:sz w:val="22"/>
          <w:szCs w:val="22"/>
        </w:rPr>
        <w:t>ltimate U.</w:t>
      </w:r>
      <w:r>
        <w:rPr>
          <w:rFonts w:cs="Times New Roman"/>
          <w:sz w:val="22"/>
          <w:szCs w:val="22"/>
        </w:rPr>
        <w:t>S. Parent E</w:t>
      </w:r>
      <w:r w:rsidRPr="00DF7D64">
        <w:rPr>
          <w:rFonts w:cs="Times New Roman"/>
          <w:sz w:val="22"/>
          <w:szCs w:val="22"/>
        </w:rPr>
        <w:t xml:space="preserve">ntity has more than $50 billion in global consolidated assets, as determined in accordance with U.S. GAAP at the end of the most recently completed fiscal year, but excluding </w:t>
      </w:r>
      <w:r>
        <w:rPr>
          <w:rFonts w:cs="Times New Roman"/>
          <w:sz w:val="22"/>
          <w:szCs w:val="22"/>
        </w:rPr>
        <w:t>non-U.S. Subsidiaries</w:t>
      </w:r>
      <w:r w:rsidRPr="00BA38A2">
        <w:rPr>
          <w:rFonts w:cs="Times New Roman"/>
          <w:sz w:val="22"/>
          <w:szCs w:val="22"/>
        </w:rPr>
        <w:t xml:space="preserve"> (</w:t>
      </w:r>
      <w:r>
        <w:rPr>
          <w:rFonts w:cs="Times New Roman"/>
          <w:sz w:val="22"/>
          <w:szCs w:val="22"/>
        </w:rPr>
        <w:t>CFTC 2020 Rules</w:t>
      </w:r>
      <w:r w:rsidRPr="00BA38A2">
        <w:rPr>
          <w:rFonts w:cs="Times New Roman"/>
          <w:sz w:val="22"/>
          <w:szCs w:val="22"/>
        </w:rPr>
        <w:t>)</w:t>
      </w:r>
      <w:r>
        <w:rPr>
          <w:rFonts w:cs="Times New Roman"/>
          <w:sz w:val="22"/>
          <w:szCs w:val="22"/>
        </w:rPr>
        <w:t xml:space="preserve"> that are:</w:t>
      </w:r>
    </w:p>
    <w:p w14:paraId="6777733C" w14:textId="77777777" w:rsidR="00AE4FDF" w:rsidRPr="00DF7D64" w:rsidRDefault="00AE4FDF" w:rsidP="00AE4FDF">
      <w:pPr>
        <w:ind w:left="1440" w:hanging="720"/>
        <w:rPr>
          <w:rFonts w:eastAsia="Times New Roman" w:cs="Times New Roman"/>
          <w:sz w:val="22"/>
          <w:szCs w:val="22"/>
        </w:rPr>
      </w:pPr>
      <w:r w:rsidRPr="00DF7D64">
        <w:rPr>
          <w:rFonts w:eastAsia="Times New Roman" w:cs="Times New Roman"/>
          <w:sz w:val="22"/>
          <w:szCs w:val="22"/>
        </w:rPr>
        <w:t xml:space="preserve">(i) </w:t>
      </w:r>
      <w:r>
        <w:rPr>
          <w:rFonts w:eastAsia="Times New Roman" w:cs="Times New Roman"/>
          <w:sz w:val="22"/>
          <w:szCs w:val="22"/>
        </w:rPr>
        <w:tab/>
      </w:r>
      <w:r w:rsidRPr="00DF7D64">
        <w:rPr>
          <w:rFonts w:eastAsia="Times New Roman" w:cs="Times New Roman"/>
          <w:sz w:val="22"/>
          <w:szCs w:val="22"/>
        </w:rPr>
        <w:t>Subject to consolidated supervision and regulation by the Board of Governors of t</w:t>
      </w:r>
      <w:r>
        <w:rPr>
          <w:rFonts w:eastAsia="Times New Roman" w:cs="Times New Roman"/>
          <w:sz w:val="22"/>
          <w:szCs w:val="22"/>
        </w:rPr>
        <w:t xml:space="preserve">he Federal Reserve System as a </w:t>
      </w:r>
      <w:r w:rsidRPr="00BA38A2">
        <w:rPr>
          <w:rFonts w:cs="Times New Roman"/>
          <w:sz w:val="22"/>
          <w:szCs w:val="22"/>
        </w:rPr>
        <w:t>Subsidiary (</w:t>
      </w:r>
      <w:r>
        <w:rPr>
          <w:rFonts w:cs="Times New Roman"/>
          <w:sz w:val="22"/>
          <w:szCs w:val="22"/>
        </w:rPr>
        <w:t>CFTC 2020 Rules</w:t>
      </w:r>
      <w:r w:rsidRPr="00BA38A2">
        <w:rPr>
          <w:rFonts w:cs="Times New Roman"/>
          <w:sz w:val="22"/>
          <w:szCs w:val="22"/>
        </w:rPr>
        <w:t>)</w:t>
      </w:r>
      <w:r>
        <w:rPr>
          <w:rFonts w:cs="Times New Roman"/>
          <w:sz w:val="22"/>
          <w:szCs w:val="22"/>
        </w:rPr>
        <w:t xml:space="preserve"> </w:t>
      </w:r>
      <w:r w:rsidRPr="00DF7D64">
        <w:rPr>
          <w:rFonts w:eastAsia="Times New Roman" w:cs="Times New Roman"/>
          <w:sz w:val="22"/>
          <w:szCs w:val="22"/>
        </w:rPr>
        <w:t>of a U.S. bank holding company or an intermediate holding company; or</w:t>
      </w:r>
    </w:p>
    <w:p w14:paraId="6C8CC2C0" w14:textId="77777777" w:rsidR="00AE4FDF" w:rsidRPr="00DF7D64" w:rsidRDefault="00AE4FDF" w:rsidP="00AE4FDF">
      <w:pPr>
        <w:ind w:left="1440" w:hanging="720"/>
        <w:rPr>
          <w:rFonts w:eastAsia="Times New Roman" w:cs="Times New Roman"/>
          <w:sz w:val="22"/>
          <w:szCs w:val="22"/>
        </w:rPr>
      </w:pPr>
      <w:r w:rsidRPr="00DF7D64">
        <w:rPr>
          <w:rFonts w:eastAsia="Times New Roman" w:cs="Times New Roman"/>
          <w:sz w:val="22"/>
          <w:szCs w:val="22"/>
        </w:rPr>
        <w:t xml:space="preserve">(ii) </w:t>
      </w:r>
      <w:r>
        <w:rPr>
          <w:rFonts w:eastAsia="Times New Roman" w:cs="Times New Roman"/>
          <w:sz w:val="22"/>
          <w:szCs w:val="22"/>
        </w:rPr>
        <w:tab/>
      </w:r>
      <w:r w:rsidRPr="00DF7D64">
        <w:rPr>
          <w:rFonts w:eastAsia="Times New Roman" w:cs="Times New Roman"/>
          <w:sz w:val="22"/>
          <w:szCs w:val="22"/>
        </w:rPr>
        <w:t xml:space="preserve">Subject to capital </w:t>
      </w:r>
      <w:r>
        <w:rPr>
          <w:rFonts w:eastAsia="Times New Roman" w:cs="Times New Roman"/>
          <w:sz w:val="22"/>
          <w:szCs w:val="22"/>
        </w:rPr>
        <w:t>standards and oversight by the S</w:t>
      </w:r>
      <w:r w:rsidRPr="00DF7D64">
        <w:rPr>
          <w:rFonts w:eastAsia="Times New Roman" w:cs="Times New Roman"/>
          <w:sz w:val="22"/>
          <w:szCs w:val="22"/>
        </w:rPr>
        <w:t>ubsidiary's</w:t>
      </w:r>
      <w:r w:rsidRPr="00BA38A2">
        <w:rPr>
          <w:rFonts w:cs="Times New Roman"/>
          <w:sz w:val="22"/>
          <w:szCs w:val="22"/>
        </w:rPr>
        <w:t xml:space="preserve"> (</w:t>
      </w:r>
      <w:r>
        <w:rPr>
          <w:rFonts w:cs="Times New Roman"/>
          <w:sz w:val="22"/>
          <w:szCs w:val="22"/>
        </w:rPr>
        <w:t>CFTC 2020 Rules</w:t>
      </w:r>
      <w:r w:rsidRPr="00BA38A2">
        <w:rPr>
          <w:rFonts w:cs="Times New Roman"/>
          <w:sz w:val="22"/>
          <w:szCs w:val="22"/>
        </w:rPr>
        <w:t>)</w:t>
      </w:r>
      <w:r w:rsidRPr="00DF7D64">
        <w:rPr>
          <w:rFonts w:eastAsia="Times New Roman" w:cs="Times New Roman"/>
          <w:sz w:val="22"/>
          <w:szCs w:val="22"/>
        </w:rPr>
        <w:t xml:space="preserve"> home country supervisor that are consistent with the Basel Committee on Banking Supervision's “International Regulatory Framework for Banks” and subj</w:t>
      </w:r>
      <w:r>
        <w:rPr>
          <w:rFonts w:eastAsia="Times New Roman" w:cs="Times New Roman"/>
          <w:sz w:val="22"/>
          <w:szCs w:val="22"/>
        </w:rPr>
        <w:t xml:space="preserve">ect to margin requirements for </w:t>
      </w:r>
      <w:r w:rsidRPr="0078138A">
        <w:rPr>
          <w:rFonts w:cs="Times New Roman"/>
          <w:sz w:val="22"/>
          <w:szCs w:val="22"/>
        </w:rPr>
        <w:t>Uncleared Swap</w:t>
      </w:r>
      <w:r>
        <w:rPr>
          <w:rFonts w:cs="Times New Roman"/>
          <w:sz w:val="22"/>
          <w:szCs w:val="22"/>
        </w:rPr>
        <w:t xml:space="preserve"> (CFTC Margin Rules</w:t>
      </w:r>
      <w:r>
        <w:rPr>
          <w:rFonts w:eastAsia="Times New Roman" w:cs="Times New Roman"/>
          <w:sz w:val="22"/>
          <w:szCs w:val="22"/>
        </w:rPr>
        <w:t xml:space="preserve">) </w:t>
      </w:r>
      <w:r w:rsidRPr="00DF7D64">
        <w:rPr>
          <w:rFonts w:eastAsia="Times New Roman" w:cs="Times New Roman"/>
          <w:sz w:val="22"/>
          <w:szCs w:val="22"/>
        </w:rPr>
        <w:t>in a jurisdiction that the Commission has found comparable pursuant to a published comparability</w:t>
      </w:r>
      <w:r>
        <w:rPr>
          <w:rFonts w:eastAsia="Times New Roman" w:cs="Times New Roman"/>
          <w:sz w:val="22"/>
          <w:szCs w:val="22"/>
        </w:rPr>
        <w:t xml:space="preserve"> determination with respect to </w:t>
      </w:r>
      <w:r w:rsidRPr="0078138A">
        <w:rPr>
          <w:rFonts w:cs="Times New Roman"/>
          <w:sz w:val="22"/>
          <w:szCs w:val="22"/>
        </w:rPr>
        <w:t>Uncleared Swap</w:t>
      </w:r>
      <w:r>
        <w:rPr>
          <w:rFonts w:cs="Times New Roman"/>
          <w:sz w:val="22"/>
          <w:szCs w:val="22"/>
        </w:rPr>
        <w:t xml:space="preserve"> (CFTC Margin Rules</w:t>
      </w:r>
      <w:r>
        <w:rPr>
          <w:rFonts w:eastAsia="Times New Roman" w:cs="Times New Roman"/>
          <w:sz w:val="22"/>
          <w:szCs w:val="22"/>
        </w:rPr>
        <w:t xml:space="preserve">) </w:t>
      </w:r>
      <w:r w:rsidRPr="00DF7D64">
        <w:rPr>
          <w:rFonts w:eastAsia="Times New Roman" w:cs="Times New Roman"/>
          <w:sz w:val="22"/>
          <w:szCs w:val="22"/>
        </w:rPr>
        <w:t>margin requirements.</w:t>
      </w:r>
    </w:p>
    <w:p w14:paraId="6F18268D" w14:textId="77777777" w:rsidR="00AE4FDF" w:rsidRPr="0078138A" w:rsidRDefault="00AE4FDF" w:rsidP="00AE4FDF">
      <w:pPr>
        <w:rPr>
          <w:rFonts w:cs="Times New Roman"/>
          <w:sz w:val="22"/>
          <w:szCs w:val="22"/>
        </w:rPr>
      </w:pPr>
      <w:r w:rsidRPr="0078138A">
        <w:rPr>
          <w:rFonts w:cs="Times New Roman"/>
          <w:sz w:val="22"/>
          <w:szCs w:val="22"/>
        </w:rPr>
        <w:t>CFTC Reg. 23.23(a)(13)</w:t>
      </w:r>
      <w:r>
        <w:rPr>
          <w:rFonts w:cs="Times New Roman"/>
          <w:sz w:val="22"/>
          <w:szCs w:val="22"/>
        </w:rPr>
        <w:t>.</w:t>
      </w:r>
    </w:p>
    <w:p w14:paraId="0C8BD128"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Swaps Hedging Exemption Reporting Requirement</w:t>
      </w:r>
      <w:r w:rsidRPr="0078138A">
        <w:rPr>
          <w:rFonts w:cs="Times New Roman"/>
          <w:sz w:val="22"/>
          <w:szCs w:val="22"/>
        </w:rPr>
        <w:t>” means the reporting requirements of CFTC Reg. 50.50(b).</w:t>
      </w:r>
    </w:p>
    <w:p w14:paraId="6AE3AE97" w14:textId="77777777" w:rsidR="00AE4FDF" w:rsidRPr="0078138A" w:rsidRDefault="00AE4FDF" w:rsidP="00AE4FDF">
      <w:pPr>
        <w:rPr>
          <w:rFonts w:cs="Times New Roman"/>
          <w:sz w:val="22"/>
          <w:szCs w:val="22"/>
        </w:rPr>
      </w:pPr>
      <w:r w:rsidRPr="0078138A">
        <w:rPr>
          <w:rFonts w:cs="Times New Roman"/>
          <w:sz w:val="22"/>
          <w:szCs w:val="22"/>
        </w:rPr>
        <w:lastRenderedPageBreak/>
        <w:t>“</w:t>
      </w:r>
      <w:r w:rsidRPr="0078138A">
        <w:rPr>
          <w:rFonts w:cs="Times New Roman"/>
          <w:b/>
          <w:i/>
          <w:sz w:val="22"/>
          <w:szCs w:val="22"/>
        </w:rPr>
        <w:t>Transaction Conducted through a Foreign Branch</w:t>
      </w:r>
      <w:r w:rsidRPr="0078138A">
        <w:rPr>
          <w:rFonts w:cs="Times New Roman"/>
          <w:sz w:val="22"/>
          <w:szCs w:val="22"/>
        </w:rPr>
        <w:t>” means a Security-Based Swap transaction that is arranged, negotiated, and executed by a U.S. Person (</w:t>
      </w:r>
      <w:r>
        <w:rPr>
          <w:rFonts w:cs="Times New Roman"/>
          <w:sz w:val="22"/>
          <w:szCs w:val="22"/>
        </w:rPr>
        <w:t>CFTC 2020 Rules</w:t>
      </w:r>
      <w:r w:rsidRPr="0078138A">
        <w:rPr>
          <w:rFonts w:cs="Times New Roman"/>
          <w:sz w:val="22"/>
          <w:szCs w:val="22"/>
        </w:rPr>
        <w:t>/SEC Rule</w:t>
      </w:r>
      <w:r>
        <w:rPr>
          <w:rFonts w:cs="Times New Roman"/>
          <w:sz w:val="22"/>
          <w:szCs w:val="22"/>
        </w:rPr>
        <w:t>s</w:t>
      </w:r>
      <w:r w:rsidRPr="0078138A">
        <w:rPr>
          <w:rFonts w:cs="Times New Roman"/>
          <w:sz w:val="22"/>
          <w:szCs w:val="22"/>
        </w:rPr>
        <w:t>) through a Foreign Branch</w:t>
      </w:r>
      <w:r>
        <w:rPr>
          <w:rFonts w:cs="Times New Roman"/>
          <w:sz w:val="22"/>
          <w:szCs w:val="22"/>
        </w:rPr>
        <w:t xml:space="preserve"> (SEC Rules)</w:t>
      </w:r>
      <w:r w:rsidRPr="0078138A">
        <w:rPr>
          <w:rFonts w:cs="Times New Roman"/>
          <w:sz w:val="22"/>
          <w:szCs w:val="22"/>
        </w:rPr>
        <w:t xml:space="preserve"> of such </w:t>
      </w:r>
      <w:r>
        <w:rPr>
          <w:rFonts w:cs="Times New Roman"/>
          <w:sz w:val="22"/>
          <w:szCs w:val="22"/>
        </w:rPr>
        <w:t>person</w:t>
      </w:r>
      <w:r w:rsidRPr="0078138A">
        <w:rPr>
          <w:rFonts w:cs="Times New Roman"/>
          <w:sz w:val="22"/>
          <w:szCs w:val="22"/>
        </w:rPr>
        <w:t xml:space="preserve"> if: (A) </w:t>
      </w:r>
      <w:r>
        <w:rPr>
          <w:rFonts w:cs="Times New Roman"/>
          <w:sz w:val="22"/>
          <w:szCs w:val="22"/>
        </w:rPr>
        <w:t>t</w:t>
      </w:r>
      <w:r w:rsidRPr="0078138A">
        <w:rPr>
          <w:rFonts w:cs="Times New Roman"/>
          <w:sz w:val="22"/>
          <w:szCs w:val="22"/>
        </w:rPr>
        <w:t xml:space="preserve">he Foreign Branch is the counterparty to such </w:t>
      </w:r>
      <w:r>
        <w:rPr>
          <w:rFonts w:cs="Times New Roman"/>
          <w:sz w:val="22"/>
          <w:szCs w:val="22"/>
        </w:rPr>
        <w:t>S</w:t>
      </w:r>
      <w:r w:rsidRPr="0078138A">
        <w:rPr>
          <w:rFonts w:cs="Times New Roman"/>
          <w:sz w:val="22"/>
          <w:szCs w:val="22"/>
        </w:rPr>
        <w:t>ecurity-</w:t>
      </w:r>
      <w:r>
        <w:rPr>
          <w:rFonts w:cs="Times New Roman"/>
          <w:sz w:val="22"/>
          <w:szCs w:val="22"/>
        </w:rPr>
        <w:t>B</w:t>
      </w:r>
      <w:r w:rsidRPr="0078138A">
        <w:rPr>
          <w:rFonts w:cs="Times New Roman"/>
          <w:sz w:val="22"/>
          <w:szCs w:val="22"/>
        </w:rPr>
        <w:t xml:space="preserve">ased </w:t>
      </w:r>
      <w:r>
        <w:rPr>
          <w:rFonts w:cs="Times New Roman"/>
          <w:sz w:val="22"/>
          <w:szCs w:val="22"/>
        </w:rPr>
        <w:t>S</w:t>
      </w:r>
      <w:r w:rsidRPr="0078138A">
        <w:rPr>
          <w:rFonts w:cs="Times New Roman"/>
          <w:sz w:val="22"/>
          <w:szCs w:val="22"/>
        </w:rPr>
        <w:t xml:space="preserve">wap transaction; and (B) </w:t>
      </w:r>
      <w:r>
        <w:rPr>
          <w:rFonts w:cs="Times New Roman"/>
          <w:sz w:val="22"/>
          <w:szCs w:val="22"/>
        </w:rPr>
        <w:t>t</w:t>
      </w:r>
      <w:r w:rsidRPr="0078138A">
        <w:rPr>
          <w:rFonts w:cs="Times New Roman"/>
          <w:sz w:val="22"/>
          <w:szCs w:val="22"/>
        </w:rPr>
        <w:t xml:space="preserve">he Security-Based Swap transaction is arranged, negotiated, and executed on behalf of the Foreign Branch </w:t>
      </w:r>
      <w:r>
        <w:rPr>
          <w:rFonts w:cs="Times New Roman"/>
          <w:sz w:val="22"/>
          <w:szCs w:val="22"/>
        </w:rPr>
        <w:t xml:space="preserve">(SEC Rules) </w:t>
      </w:r>
      <w:r w:rsidRPr="0078138A">
        <w:rPr>
          <w:rFonts w:cs="Times New Roman"/>
          <w:sz w:val="22"/>
          <w:szCs w:val="22"/>
        </w:rPr>
        <w:t>solely by persons located outside the United States.  SEC Rule 3a71-3(a)(3).</w:t>
      </w:r>
    </w:p>
    <w:p w14:paraId="3BADC680" w14:textId="77777777" w:rsidR="00AE4FDF" w:rsidRDefault="00AE4FDF" w:rsidP="00AE4FDF">
      <w:pPr>
        <w:rPr>
          <w:rFonts w:cs="Times New Roman"/>
          <w:sz w:val="22"/>
          <w:szCs w:val="22"/>
        </w:rPr>
      </w:pPr>
      <w:r>
        <w:rPr>
          <w:rFonts w:cs="Times New Roman"/>
          <w:sz w:val="22"/>
          <w:szCs w:val="22"/>
        </w:rPr>
        <w:t xml:space="preserve"> “</w:t>
      </w:r>
      <w:r w:rsidRPr="00A406CB">
        <w:rPr>
          <w:rFonts w:cs="Times New Roman"/>
          <w:b/>
          <w:i/>
          <w:sz w:val="22"/>
          <w:szCs w:val="22"/>
        </w:rPr>
        <w:t>Ultimate U.S. Parent Entity</w:t>
      </w:r>
      <w:r>
        <w:rPr>
          <w:rFonts w:cs="Times New Roman"/>
          <w:sz w:val="22"/>
          <w:szCs w:val="22"/>
        </w:rPr>
        <w:t xml:space="preserve">” means </w:t>
      </w:r>
      <w:r w:rsidRPr="00D82A92">
        <w:rPr>
          <w:rFonts w:cs="Times New Roman"/>
          <w:sz w:val="22"/>
          <w:szCs w:val="22"/>
        </w:rPr>
        <w:t>the U.S. Parent Entity</w:t>
      </w:r>
      <w:r>
        <w:rPr>
          <w:rStyle w:val="FootnoteReference"/>
          <w:rFonts w:cs="Times New Roman"/>
          <w:sz w:val="22"/>
          <w:szCs w:val="22"/>
        </w:rPr>
        <w:footnoteReference w:id="19"/>
      </w:r>
      <w:r>
        <w:rPr>
          <w:rFonts w:cs="Times New Roman"/>
          <w:sz w:val="22"/>
          <w:szCs w:val="22"/>
        </w:rPr>
        <w:t xml:space="preserve"> that is not a </w:t>
      </w:r>
      <w:r w:rsidRPr="00BA38A2">
        <w:rPr>
          <w:rFonts w:cs="Times New Roman"/>
          <w:sz w:val="22"/>
          <w:szCs w:val="22"/>
        </w:rPr>
        <w:t>Subsidiary (</w:t>
      </w:r>
      <w:r>
        <w:rPr>
          <w:rFonts w:cs="Times New Roman"/>
          <w:sz w:val="22"/>
          <w:szCs w:val="22"/>
        </w:rPr>
        <w:t>CFTC 2020 Rules</w:t>
      </w:r>
      <w:r w:rsidRPr="00BA38A2">
        <w:rPr>
          <w:rFonts w:cs="Times New Roman"/>
          <w:sz w:val="22"/>
          <w:szCs w:val="22"/>
        </w:rPr>
        <w:t>)</w:t>
      </w:r>
      <w:r>
        <w:rPr>
          <w:rFonts w:cs="Times New Roman"/>
          <w:sz w:val="22"/>
          <w:szCs w:val="22"/>
        </w:rPr>
        <w:t xml:space="preserve"> of any other U.S. Parent E</w:t>
      </w:r>
      <w:r w:rsidRPr="00A406CB">
        <w:rPr>
          <w:rFonts w:cs="Times New Roman"/>
          <w:sz w:val="22"/>
          <w:szCs w:val="22"/>
        </w:rPr>
        <w:t xml:space="preserve">ntity. </w:t>
      </w:r>
      <w:r>
        <w:rPr>
          <w:rFonts w:cs="Times New Roman"/>
          <w:sz w:val="22"/>
          <w:szCs w:val="22"/>
        </w:rPr>
        <w:t xml:space="preserve"> </w:t>
      </w:r>
      <w:r w:rsidRPr="0078138A">
        <w:rPr>
          <w:rFonts w:cs="Times New Roman"/>
          <w:sz w:val="22"/>
          <w:szCs w:val="22"/>
        </w:rPr>
        <w:t xml:space="preserve">CFTC </w:t>
      </w:r>
      <w:r>
        <w:rPr>
          <w:rFonts w:cs="Times New Roman"/>
          <w:sz w:val="22"/>
          <w:szCs w:val="22"/>
        </w:rPr>
        <w:t>Reg.</w:t>
      </w:r>
      <w:r w:rsidRPr="0078138A">
        <w:rPr>
          <w:rFonts w:cs="Times New Roman"/>
          <w:sz w:val="22"/>
          <w:szCs w:val="22"/>
        </w:rPr>
        <w:t xml:space="preserve"> 23.23(a)(1</w:t>
      </w:r>
      <w:r>
        <w:rPr>
          <w:rFonts w:cs="Times New Roman"/>
          <w:sz w:val="22"/>
          <w:szCs w:val="22"/>
        </w:rPr>
        <w:t>9</w:t>
      </w:r>
      <w:r w:rsidRPr="0078138A">
        <w:rPr>
          <w:rFonts w:cs="Times New Roman"/>
          <w:sz w:val="22"/>
          <w:szCs w:val="22"/>
        </w:rPr>
        <w:t>)</w:t>
      </w:r>
      <w:r>
        <w:rPr>
          <w:rFonts w:cs="Times New Roman"/>
          <w:sz w:val="22"/>
          <w:szCs w:val="22"/>
        </w:rPr>
        <w:t>.</w:t>
      </w:r>
    </w:p>
    <w:p w14:paraId="14A4E8DB" w14:textId="77777777" w:rsidR="00AE4FDF" w:rsidRDefault="00AE4FDF" w:rsidP="00AE4FDF">
      <w:pPr>
        <w:rPr>
          <w:rFonts w:cs="Times New Roman"/>
          <w:sz w:val="22"/>
          <w:szCs w:val="22"/>
        </w:rPr>
      </w:pPr>
      <w:r w:rsidRPr="0078138A">
        <w:rPr>
          <w:rFonts w:cs="Times New Roman"/>
          <w:sz w:val="22"/>
          <w:szCs w:val="22"/>
        </w:rPr>
        <w:t>“</w:t>
      </w:r>
      <w:r>
        <w:rPr>
          <w:rFonts w:cs="Times New Roman"/>
          <w:b/>
          <w:i/>
          <w:sz w:val="22"/>
          <w:szCs w:val="22"/>
        </w:rPr>
        <w:t>Uncleared SBS (PR Margin Rules)</w:t>
      </w:r>
      <w:r>
        <w:rPr>
          <w:rFonts w:cs="Times New Roman"/>
          <w:sz w:val="22"/>
          <w:szCs w:val="22"/>
        </w:rPr>
        <w:t>” means</w:t>
      </w:r>
      <w:r w:rsidRPr="0078138A">
        <w:rPr>
          <w:rFonts w:cs="Times New Roman"/>
          <w:sz w:val="22"/>
          <w:szCs w:val="22"/>
        </w:rPr>
        <w:t xml:space="preserve"> a “non-cleared security-based swap,” as defined in PR Reg. _.2</w:t>
      </w:r>
      <w:r>
        <w:rPr>
          <w:rFonts w:cs="Times New Roman"/>
          <w:sz w:val="22"/>
          <w:szCs w:val="22"/>
        </w:rPr>
        <w:t>.</w:t>
      </w:r>
    </w:p>
    <w:p w14:paraId="1585D08F" w14:textId="77777777" w:rsidR="00AE4FDF" w:rsidRPr="0078138A" w:rsidRDefault="00AE4FDF" w:rsidP="00AE4FDF">
      <w:pPr>
        <w:rPr>
          <w:rFonts w:cs="Times New Roman"/>
          <w:sz w:val="22"/>
          <w:szCs w:val="22"/>
        </w:rPr>
      </w:pPr>
      <w:r w:rsidRPr="0078138A">
        <w:rPr>
          <w:rFonts w:cs="Times New Roman"/>
          <w:sz w:val="22"/>
          <w:szCs w:val="22"/>
        </w:rPr>
        <w:t>“</w:t>
      </w:r>
      <w:r>
        <w:rPr>
          <w:rFonts w:cs="Times New Roman"/>
          <w:b/>
          <w:i/>
          <w:sz w:val="22"/>
          <w:szCs w:val="22"/>
        </w:rPr>
        <w:t>Uncleared SBS (SEC Rules)</w:t>
      </w:r>
      <w:r>
        <w:rPr>
          <w:rFonts w:cs="Times New Roman"/>
          <w:sz w:val="22"/>
          <w:szCs w:val="22"/>
        </w:rPr>
        <w:t>”</w:t>
      </w:r>
      <w:r w:rsidRPr="0078138A">
        <w:rPr>
          <w:rFonts w:cs="Times New Roman"/>
          <w:sz w:val="22"/>
          <w:szCs w:val="22"/>
        </w:rPr>
        <w:t xml:space="preserve"> a “non-cleared security-based swap,” as defined in SEC Rule 18a-3(b)(5). </w:t>
      </w:r>
    </w:p>
    <w:p w14:paraId="499EBDDD" w14:textId="77777777" w:rsidR="00AE4FDF"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Uncleared Swap</w:t>
      </w:r>
      <w:r>
        <w:rPr>
          <w:rFonts w:cs="Times New Roman"/>
          <w:b/>
          <w:i/>
          <w:sz w:val="22"/>
          <w:szCs w:val="22"/>
        </w:rPr>
        <w:t xml:space="preserve"> (CFTC Margin Rules)</w:t>
      </w:r>
      <w:r>
        <w:rPr>
          <w:rFonts w:cs="Times New Roman"/>
          <w:sz w:val="22"/>
          <w:szCs w:val="22"/>
        </w:rPr>
        <w:t xml:space="preserve">” means </w:t>
      </w:r>
      <w:r w:rsidRPr="0078138A">
        <w:rPr>
          <w:rFonts w:cs="Times New Roman"/>
          <w:sz w:val="22"/>
          <w:szCs w:val="22"/>
        </w:rPr>
        <w:t>an “uncleared</w:t>
      </w:r>
      <w:r>
        <w:rPr>
          <w:rFonts w:cs="Times New Roman"/>
          <w:sz w:val="22"/>
          <w:szCs w:val="22"/>
        </w:rPr>
        <w:t xml:space="preserve"> swap,” as defined in CFTC Reg. 23.151</w:t>
      </w:r>
      <w:r w:rsidRPr="00445F5D">
        <w:rPr>
          <w:rFonts w:cs="Times New Roman"/>
          <w:sz w:val="22"/>
          <w:szCs w:val="22"/>
        </w:rPr>
        <w:t>.</w:t>
      </w:r>
    </w:p>
    <w:p w14:paraId="69E69ECD" w14:textId="77777777" w:rsidR="00AE4FDF" w:rsidRDefault="00AE4FDF" w:rsidP="00AE4FDF">
      <w:pPr>
        <w:rPr>
          <w:rFonts w:cs="Times New Roman"/>
          <w:sz w:val="22"/>
          <w:szCs w:val="22"/>
        </w:rPr>
      </w:pPr>
      <w:r w:rsidRPr="0078138A">
        <w:rPr>
          <w:rFonts w:cs="Times New Roman"/>
          <w:sz w:val="22"/>
          <w:szCs w:val="22"/>
        </w:rPr>
        <w:t>“</w:t>
      </w:r>
      <w:r>
        <w:rPr>
          <w:rFonts w:cs="Times New Roman"/>
          <w:b/>
          <w:i/>
          <w:sz w:val="22"/>
          <w:szCs w:val="22"/>
        </w:rPr>
        <w:t>Uncleared Swap (PR Margin Rules)</w:t>
      </w:r>
      <w:r w:rsidRPr="0078138A">
        <w:rPr>
          <w:rFonts w:cs="Times New Roman"/>
          <w:sz w:val="22"/>
          <w:szCs w:val="22"/>
        </w:rPr>
        <w:t>” means</w:t>
      </w:r>
      <w:r w:rsidRPr="003F3486">
        <w:rPr>
          <w:rFonts w:cs="Times New Roman"/>
          <w:sz w:val="22"/>
          <w:szCs w:val="22"/>
          <w:lang w:val="x-none"/>
        </w:rPr>
        <w:t xml:space="preserve"> a “non-cleared swap,”</w:t>
      </w:r>
      <w:r>
        <w:rPr>
          <w:rFonts w:cs="Times New Roman"/>
          <w:sz w:val="22"/>
          <w:szCs w:val="22"/>
        </w:rPr>
        <w:t xml:space="preserve"> </w:t>
      </w:r>
      <w:r w:rsidRPr="003F3486">
        <w:rPr>
          <w:rFonts w:cs="Times New Roman"/>
          <w:sz w:val="22"/>
          <w:szCs w:val="22"/>
          <w:lang w:val="x-none"/>
        </w:rPr>
        <w:t>as defined in PR Reg. _.2</w:t>
      </w:r>
      <w:r>
        <w:rPr>
          <w:rFonts w:cs="Times New Roman"/>
          <w:sz w:val="22"/>
          <w:szCs w:val="22"/>
        </w:rPr>
        <w:t>.</w:t>
      </w:r>
    </w:p>
    <w:p w14:paraId="4F66FE4E" w14:textId="77777777" w:rsidR="00AE4FDF" w:rsidRPr="0078138A" w:rsidRDefault="00AE4FDF" w:rsidP="00AE4FDF">
      <w:pPr>
        <w:rPr>
          <w:rFonts w:cs="Times New Roman"/>
          <w:sz w:val="22"/>
          <w:szCs w:val="22"/>
        </w:rPr>
      </w:pPr>
      <w:r w:rsidRPr="0078138A">
        <w:rPr>
          <w:rFonts w:cs="Times New Roman"/>
          <w:sz w:val="22"/>
          <w:szCs w:val="22"/>
        </w:rPr>
        <w:t xml:space="preserve"> “</w:t>
      </w:r>
      <w:r w:rsidRPr="0078138A">
        <w:rPr>
          <w:rFonts w:cs="Times New Roman"/>
          <w:b/>
          <w:i/>
          <w:sz w:val="22"/>
          <w:szCs w:val="22"/>
        </w:rPr>
        <w:t>United States</w:t>
      </w:r>
      <w:r w:rsidRPr="0078138A">
        <w:rPr>
          <w:rFonts w:cs="Times New Roman"/>
          <w:sz w:val="22"/>
          <w:szCs w:val="22"/>
        </w:rPr>
        <w:t xml:space="preserve">” means the United States of America, its territories and possessions, any </w:t>
      </w:r>
      <w:r>
        <w:rPr>
          <w:rFonts w:cs="Times New Roman"/>
          <w:sz w:val="22"/>
          <w:szCs w:val="22"/>
        </w:rPr>
        <w:t>s</w:t>
      </w:r>
      <w:r w:rsidRPr="0078138A">
        <w:rPr>
          <w:rFonts w:cs="Times New Roman"/>
          <w:sz w:val="22"/>
          <w:szCs w:val="22"/>
        </w:rPr>
        <w:t xml:space="preserve">tate of the United States, and the District of Columbia. </w:t>
      </w:r>
      <w:r w:rsidRPr="00397F0F">
        <w:rPr>
          <w:rFonts w:cs="Times New Roman"/>
          <w:i/>
          <w:sz w:val="22"/>
          <w:szCs w:val="22"/>
        </w:rPr>
        <w:t>See</w:t>
      </w:r>
      <w:r w:rsidRPr="00397F0F">
        <w:rPr>
          <w:rFonts w:cs="Times New Roman"/>
          <w:sz w:val="22"/>
          <w:szCs w:val="22"/>
        </w:rPr>
        <w:t xml:space="preserve"> </w:t>
      </w:r>
      <w:r w:rsidRPr="0078138A">
        <w:rPr>
          <w:rFonts w:cs="Times New Roman"/>
          <w:sz w:val="22"/>
          <w:szCs w:val="22"/>
        </w:rPr>
        <w:t>240.3a71-3(a)(5) and 23.160(a)(7).</w:t>
      </w:r>
    </w:p>
    <w:p w14:paraId="3D36DC64" w14:textId="77777777" w:rsidR="00AE4FDF" w:rsidRPr="0078138A" w:rsidRDefault="00AE4FDF" w:rsidP="00AE4FDF">
      <w:pPr>
        <w:rPr>
          <w:rFonts w:cs="Times New Roman"/>
          <w:sz w:val="22"/>
          <w:szCs w:val="22"/>
          <w:highlight w:val="yellow"/>
        </w:rPr>
      </w:pPr>
      <w:r w:rsidRPr="0078138A">
        <w:rPr>
          <w:rFonts w:cs="Times New Roman"/>
          <w:sz w:val="22"/>
          <w:szCs w:val="22"/>
        </w:rPr>
        <w:t>“</w:t>
      </w:r>
      <w:r w:rsidRPr="0078138A">
        <w:rPr>
          <w:rFonts w:cs="Times New Roman"/>
          <w:b/>
          <w:i/>
          <w:sz w:val="22"/>
          <w:szCs w:val="22"/>
        </w:rPr>
        <w:t>U.S. Branch (</w:t>
      </w:r>
      <w:r>
        <w:rPr>
          <w:rFonts w:cs="Times New Roman"/>
          <w:b/>
          <w:i/>
          <w:sz w:val="22"/>
          <w:szCs w:val="22"/>
        </w:rPr>
        <w:t>CFTC Margin Rules</w:t>
      </w:r>
      <w:r w:rsidRPr="0078138A">
        <w:rPr>
          <w:rFonts w:cs="Times New Roman"/>
          <w:b/>
          <w:i/>
          <w:sz w:val="22"/>
          <w:szCs w:val="22"/>
        </w:rPr>
        <w:t>)</w:t>
      </w:r>
      <w:r w:rsidRPr="0078138A">
        <w:rPr>
          <w:rFonts w:cs="Times New Roman"/>
          <w:sz w:val="22"/>
          <w:szCs w:val="22"/>
        </w:rPr>
        <w:t>” means a “U.S. branch” as used in the CFTC Margin R</w:t>
      </w:r>
      <w:r>
        <w:rPr>
          <w:rFonts w:cs="Times New Roman"/>
          <w:sz w:val="22"/>
          <w:szCs w:val="22"/>
        </w:rPr>
        <w:t>ule</w:t>
      </w:r>
      <w:r w:rsidRPr="0078138A">
        <w:rPr>
          <w:rFonts w:cs="Times New Roman"/>
          <w:sz w:val="22"/>
          <w:szCs w:val="22"/>
        </w:rPr>
        <w:t>s.</w:t>
      </w:r>
    </w:p>
    <w:p w14:paraId="7CB1AAF0"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Branch (</w:t>
      </w:r>
      <w:r>
        <w:rPr>
          <w:rFonts w:cs="Times New Roman"/>
          <w:b/>
          <w:i/>
          <w:sz w:val="22"/>
          <w:szCs w:val="22"/>
        </w:rPr>
        <w:t>CFTC 2020 Rules</w:t>
      </w:r>
      <w:r w:rsidRPr="0078138A">
        <w:rPr>
          <w:rFonts w:cs="Times New Roman"/>
          <w:b/>
          <w:i/>
          <w:sz w:val="22"/>
          <w:szCs w:val="22"/>
        </w:rPr>
        <w:t>)</w:t>
      </w:r>
      <w:r w:rsidRPr="0078138A">
        <w:rPr>
          <w:rFonts w:cs="Times New Roman"/>
          <w:sz w:val="22"/>
          <w:szCs w:val="22"/>
        </w:rPr>
        <w:t>”</w:t>
      </w:r>
      <w:r w:rsidRPr="0078138A">
        <w:rPr>
          <w:rFonts w:cs="Times New Roman"/>
          <w:b/>
          <w:i/>
          <w:sz w:val="22"/>
          <w:szCs w:val="22"/>
        </w:rPr>
        <w:t xml:space="preserve"> </w:t>
      </w:r>
      <w:r w:rsidRPr="0078138A">
        <w:rPr>
          <w:rFonts w:cs="Times New Roman"/>
          <w:sz w:val="22"/>
          <w:szCs w:val="22"/>
        </w:rPr>
        <w:t xml:space="preserve">means a branch or agency of a non-U.S. banking organization where such branch or agency: (i) is located in the United States; (ii) maintains accounts independently of the home office and other U.S. branches, with the profit or loss accrued at each branch determined as a separate item for each U.S. branch; and (iii) engages in the business of banking and is subject to substantive banking regulation in the state or district where located.  </w:t>
      </w:r>
      <w:r>
        <w:rPr>
          <w:rFonts w:cs="Times New Roman"/>
          <w:sz w:val="22"/>
          <w:szCs w:val="22"/>
        </w:rPr>
        <w:t>CFTC Reg. 23.23(a)(21).</w:t>
      </w:r>
    </w:p>
    <w:p w14:paraId="46F7A562"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GAAP</w:t>
      </w:r>
      <w:r w:rsidRPr="0078138A">
        <w:rPr>
          <w:rFonts w:cs="Times New Roman"/>
          <w:sz w:val="22"/>
          <w:szCs w:val="22"/>
        </w:rPr>
        <w:t xml:space="preserve">” means U.S. generally accepted accounting principles. </w:t>
      </w:r>
    </w:p>
    <w:p w14:paraId="25908588"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Person Categories (</w:t>
      </w:r>
      <w:r>
        <w:rPr>
          <w:rFonts w:cs="Times New Roman"/>
          <w:b/>
          <w:i/>
          <w:sz w:val="22"/>
          <w:szCs w:val="22"/>
        </w:rPr>
        <w:t>CFTC 2013 Interpretive Guidance</w:t>
      </w:r>
      <w:r w:rsidRPr="0078138A">
        <w:rPr>
          <w:rFonts w:cs="Times New Roman"/>
          <w:b/>
          <w:i/>
          <w:sz w:val="22"/>
          <w:szCs w:val="22"/>
        </w:rPr>
        <w:t>)</w:t>
      </w:r>
      <w:r w:rsidRPr="0078138A">
        <w:rPr>
          <w:rFonts w:cs="Times New Roman"/>
          <w:sz w:val="22"/>
          <w:szCs w:val="22"/>
        </w:rPr>
        <w:t>” means the enumerated categories of “U.S., persons” that are provided in the CFTC 2013 Interpretive Guidance.</w:t>
      </w:r>
      <w:r w:rsidRPr="0078138A">
        <w:rPr>
          <w:rStyle w:val="FootnoteReference"/>
          <w:rFonts w:eastAsia="Times New Roman" w:cs="Times New Roman"/>
          <w:sz w:val="22"/>
          <w:szCs w:val="22"/>
        </w:rPr>
        <w:footnoteReference w:id="20"/>
      </w:r>
      <w:r w:rsidRPr="0078138A">
        <w:rPr>
          <w:rFonts w:cs="Times New Roman"/>
          <w:sz w:val="22"/>
          <w:szCs w:val="22"/>
        </w:rPr>
        <w:t xml:space="preserve">  For </w:t>
      </w:r>
      <w:r w:rsidRPr="0078138A">
        <w:rPr>
          <w:rFonts w:cs="Times New Roman"/>
          <w:sz w:val="22"/>
          <w:szCs w:val="22"/>
        </w:rPr>
        <w:lastRenderedPageBreak/>
        <w:t xml:space="preserve">informational purposes only, the text of the categories (but not the related interpretive materials) is reproduced below: </w:t>
      </w:r>
    </w:p>
    <w:p w14:paraId="345F7F95"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(i)</w:t>
      </w:r>
      <w:r w:rsidRPr="0078138A">
        <w:rPr>
          <w:rFonts w:eastAsia="Times New Roman" w:cs="Times New Roman"/>
          <w:sz w:val="22"/>
          <w:szCs w:val="22"/>
        </w:rPr>
        <w:tab/>
        <w:t>any natural person who is a resident of the United States;</w:t>
      </w:r>
    </w:p>
    <w:p w14:paraId="4EAE546A"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(ii) </w:t>
      </w:r>
      <w:r w:rsidRPr="0078138A">
        <w:rPr>
          <w:rFonts w:eastAsia="Times New Roman" w:cs="Times New Roman"/>
          <w:sz w:val="22"/>
          <w:szCs w:val="22"/>
        </w:rPr>
        <w:tab/>
        <w:t>any estate of a decedent who was a resident of the United States at the time of death;</w:t>
      </w:r>
    </w:p>
    <w:p w14:paraId="10E945D2"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(iii) </w:t>
      </w:r>
      <w:r w:rsidRPr="0078138A">
        <w:rPr>
          <w:rFonts w:eastAsia="Times New Roman" w:cs="Times New Roman"/>
          <w:sz w:val="22"/>
          <w:szCs w:val="22"/>
        </w:rPr>
        <w:tab/>
        <w:t>any corporation, partnership, limited liability company, business or other trust, association, joint-stock company, fund or any form of enterprise similar to any of the foregoing (other than an entity described in prongs (iv) or (v), below) (a “</w:t>
      </w:r>
      <w:r w:rsidRPr="0078138A">
        <w:rPr>
          <w:rFonts w:eastAsia="Times New Roman" w:cs="Times New Roman"/>
          <w:b/>
          <w:sz w:val="22"/>
          <w:szCs w:val="22"/>
        </w:rPr>
        <w:t>legal entity</w:t>
      </w:r>
      <w:r w:rsidRPr="0078138A">
        <w:rPr>
          <w:rFonts w:eastAsia="Times New Roman" w:cs="Times New Roman"/>
          <w:sz w:val="22"/>
          <w:szCs w:val="22"/>
        </w:rPr>
        <w:t>”),</w:t>
      </w:r>
      <w:r w:rsidRPr="0078138A">
        <w:rPr>
          <w:rStyle w:val="FootnoteReference"/>
          <w:rFonts w:eastAsia="Times New Roman" w:cs="Times New Roman"/>
          <w:sz w:val="22"/>
          <w:szCs w:val="22"/>
        </w:rPr>
        <w:footnoteReference w:id="21"/>
      </w:r>
      <w:r w:rsidRPr="0078138A">
        <w:rPr>
          <w:rFonts w:eastAsia="Times New Roman" w:cs="Times New Roman"/>
          <w:sz w:val="22"/>
          <w:szCs w:val="22"/>
        </w:rPr>
        <w:t xml:space="preserve"> in each case that is organized or incorporated under the laws of a state or other jurisdiction in the United States or having its principal place of business in the United States;</w:t>
      </w:r>
      <w:r w:rsidRPr="0078138A">
        <w:rPr>
          <w:rFonts w:cs="Times New Roman"/>
          <w:sz w:val="22"/>
          <w:szCs w:val="22"/>
          <w:vertAlign w:val="superscript"/>
        </w:rPr>
        <w:footnoteReference w:id="22"/>
      </w:r>
    </w:p>
    <w:p w14:paraId="60283E90"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(iv) </w:t>
      </w:r>
      <w:r w:rsidRPr="0078138A">
        <w:rPr>
          <w:rFonts w:eastAsia="Times New Roman" w:cs="Times New Roman"/>
          <w:sz w:val="22"/>
          <w:szCs w:val="22"/>
        </w:rPr>
        <w:tab/>
        <w:t>any pension plan for the employees, officers or principals of a legal entity described in prong (iii), unless the pension plan is primarily for foreign employees of such entity;</w:t>
      </w:r>
    </w:p>
    <w:p w14:paraId="02F4F9C6"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(v) </w:t>
      </w:r>
      <w:r w:rsidRPr="0078138A">
        <w:rPr>
          <w:rFonts w:eastAsia="Times New Roman" w:cs="Times New Roman"/>
          <w:sz w:val="22"/>
          <w:szCs w:val="22"/>
        </w:rPr>
        <w:tab/>
        <w:t>any trust governed by the laws of a state or other jurisdiction in the United States, if a court within the United States is able to exercise primary supervision over the administration of the trust;</w:t>
      </w:r>
    </w:p>
    <w:p w14:paraId="0B1EE425"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(vi) </w:t>
      </w:r>
      <w:r w:rsidRPr="0078138A">
        <w:rPr>
          <w:rFonts w:eastAsia="Times New Roman" w:cs="Times New Roman"/>
          <w:sz w:val="22"/>
          <w:szCs w:val="22"/>
        </w:rPr>
        <w:tab/>
        <w:t>any commodity pool, pooled account, investment fund, or other collective investment vehicle that is not described in prong (iii) and that is majority-owned by one or more persons described in prong (i), (ii), (iii), (iv), or (v),</w:t>
      </w:r>
      <w:r w:rsidRPr="0078138A">
        <w:rPr>
          <w:rStyle w:val="FootnoteReference"/>
          <w:rFonts w:eastAsia="Times New Roman" w:cs="Times New Roman"/>
          <w:sz w:val="22"/>
          <w:szCs w:val="22"/>
        </w:rPr>
        <w:footnoteReference w:id="23"/>
      </w:r>
      <w:r w:rsidRPr="0078138A">
        <w:rPr>
          <w:rFonts w:eastAsia="Times New Roman" w:cs="Times New Roman"/>
          <w:sz w:val="22"/>
          <w:szCs w:val="22"/>
        </w:rPr>
        <w:t xml:space="preserve"> except any commodity pool, pooled account, investment fund, or other collective investment </w:t>
      </w:r>
      <w:r w:rsidRPr="0078138A">
        <w:rPr>
          <w:rFonts w:eastAsia="Times New Roman" w:cs="Times New Roman"/>
          <w:sz w:val="22"/>
          <w:szCs w:val="22"/>
        </w:rPr>
        <w:lastRenderedPageBreak/>
        <w:t>vehicle that is publicly offered only to non-U.S. persons and not offered to U.S. persons;</w:t>
      </w:r>
      <w:r w:rsidRPr="0078138A">
        <w:rPr>
          <w:rStyle w:val="FootnoteReference"/>
          <w:rFonts w:eastAsia="Times New Roman" w:cs="Times New Roman"/>
          <w:sz w:val="22"/>
          <w:szCs w:val="22"/>
        </w:rPr>
        <w:footnoteReference w:id="24"/>
      </w:r>
    </w:p>
    <w:p w14:paraId="3B23104C"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(vii) </w:t>
      </w:r>
      <w:r w:rsidRPr="0078138A">
        <w:rPr>
          <w:rFonts w:eastAsia="Times New Roman" w:cs="Times New Roman"/>
          <w:sz w:val="22"/>
          <w:szCs w:val="22"/>
        </w:rPr>
        <w:tab/>
        <w:t>any legal entity (other than a limited liability company, limited liability partnership or similar entity where all of the owners of the entity have limited liability) that is directly or indirectly majority-owned by one or more persons described in prong (i), (ii), (iii), (iv), or (v) and in which such person(s) bears unlimited responsibility for the obligations and liabilities of the legal entity;</w:t>
      </w:r>
      <w:r w:rsidRPr="0078138A">
        <w:rPr>
          <w:rStyle w:val="FootnoteReference"/>
          <w:rFonts w:eastAsia="Times New Roman" w:cs="Times New Roman"/>
          <w:sz w:val="22"/>
          <w:szCs w:val="22"/>
        </w:rPr>
        <w:footnoteReference w:id="25"/>
      </w:r>
      <w:r w:rsidRPr="0078138A">
        <w:rPr>
          <w:rFonts w:eastAsia="Times New Roman" w:cs="Times New Roman"/>
          <w:sz w:val="22"/>
          <w:szCs w:val="22"/>
        </w:rPr>
        <w:t xml:space="preserve"> and</w:t>
      </w:r>
    </w:p>
    <w:p w14:paraId="4B350E90" w14:textId="77777777" w:rsidR="00AE4FDF" w:rsidRPr="0078138A" w:rsidRDefault="00AE4FDF" w:rsidP="00AE4FDF">
      <w:pPr>
        <w:ind w:left="1440" w:hanging="720"/>
        <w:rPr>
          <w:rFonts w:eastAsia="Times New Roman" w:cs="Times New Roman"/>
          <w:sz w:val="22"/>
          <w:szCs w:val="22"/>
        </w:rPr>
      </w:pPr>
      <w:r w:rsidRPr="0078138A">
        <w:rPr>
          <w:rFonts w:eastAsia="Times New Roman" w:cs="Times New Roman"/>
          <w:sz w:val="22"/>
          <w:szCs w:val="22"/>
        </w:rPr>
        <w:t xml:space="preserve">(viii) </w:t>
      </w:r>
      <w:r w:rsidRPr="0078138A">
        <w:rPr>
          <w:rFonts w:eastAsia="Times New Roman" w:cs="Times New Roman"/>
          <w:sz w:val="22"/>
          <w:szCs w:val="22"/>
        </w:rPr>
        <w:tab/>
        <w:t>any individual account or joint account (discretionary or not) where the beneficial owner (or one of the beneficial owners in the case of a joint account) is a person described in prong (i), (ii), (iii), (iv), (v), (vi), or (vii).</w:t>
      </w:r>
    </w:p>
    <w:p w14:paraId="4D7C887F"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Person (</w:t>
      </w:r>
      <w:r>
        <w:rPr>
          <w:rFonts w:cs="Times New Roman"/>
          <w:b/>
          <w:i/>
          <w:sz w:val="22"/>
          <w:szCs w:val="22"/>
        </w:rPr>
        <w:t>CFTC Margin Rules</w:t>
      </w:r>
      <w:r w:rsidRPr="0078138A">
        <w:rPr>
          <w:rFonts w:cs="Times New Roman"/>
          <w:b/>
          <w:i/>
          <w:sz w:val="22"/>
          <w:szCs w:val="22"/>
        </w:rPr>
        <w:t>)</w:t>
      </w:r>
      <w:r w:rsidRPr="0078138A">
        <w:rPr>
          <w:rFonts w:cs="Times New Roman"/>
          <w:sz w:val="22"/>
          <w:szCs w:val="22"/>
        </w:rPr>
        <w:t>” means:</w:t>
      </w:r>
    </w:p>
    <w:p w14:paraId="3D8D5657" w14:textId="77777777" w:rsidR="00AE4FDF" w:rsidRPr="0078138A" w:rsidRDefault="00AE4FDF" w:rsidP="00AE4FDF">
      <w:pPr>
        <w:pStyle w:val="ListParagraph"/>
        <w:numPr>
          <w:ilvl w:val="0"/>
          <w:numId w:val="43"/>
        </w:numPr>
        <w:ind w:left="1440"/>
        <w:rPr>
          <w:rFonts w:cs="Times New Roman"/>
          <w:sz w:val="22"/>
          <w:szCs w:val="22"/>
        </w:rPr>
      </w:pPr>
      <w:r>
        <w:rPr>
          <w:rFonts w:cs="Times New Roman"/>
          <w:sz w:val="22"/>
          <w:szCs w:val="22"/>
        </w:rPr>
        <w:t>a</w:t>
      </w:r>
      <w:r w:rsidRPr="0078138A">
        <w:rPr>
          <w:rFonts w:cs="Times New Roman"/>
          <w:sz w:val="22"/>
          <w:szCs w:val="22"/>
        </w:rPr>
        <w:t xml:space="preserve"> natural person who is a resident of the United States;</w:t>
      </w:r>
    </w:p>
    <w:p w14:paraId="72361827" w14:textId="77777777" w:rsidR="00AE4FDF" w:rsidRPr="0078138A" w:rsidRDefault="00AE4FDF" w:rsidP="00AE4FDF">
      <w:pPr>
        <w:pStyle w:val="ListParagraph"/>
        <w:ind w:left="1440"/>
        <w:rPr>
          <w:rFonts w:cs="Times New Roman"/>
          <w:sz w:val="22"/>
          <w:szCs w:val="22"/>
        </w:rPr>
      </w:pPr>
    </w:p>
    <w:p w14:paraId="20497420"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n estate of a decedent who was a resident of the United States at the time of death;</w:t>
      </w:r>
    </w:p>
    <w:p w14:paraId="3CF8AF17" w14:textId="77777777" w:rsidR="00AE4FDF" w:rsidRPr="0078138A" w:rsidRDefault="00AE4FDF" w:rsidP="00AE4FDF">
      <w:pPr>
        <w:pStyle w:val="ListParagraph"/>
        <w:spacing w:before="240"/>
        <w:ind w:left="1440"/>
        <w:rPr>
          <w:rFonts w:cs="Times New Roman"/>
          <w:sz w:val="22"/>
          <w:szCs w:val="22"/>
        </w:rPr>
      </w:pPr>
    </w:p>
    <w:p w14:paraId="2B61D96D"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 xml:space="preserve"> corporation, partnership, limited liability company, business or other trust, association, joint-stock company, fund or any form of entity similar to any of the foregoing (other than an entity described in paragraph (iv) or (v) below) (a “legal entity”), in each case that is organized or incorporated under the laws of the United States or that has its principal place of business in the United States, including any branch of such legal entity;</w:t>
      </w:r>
    </w:p>
    <w:p w14:paraId="63DEFCCB" w14:textId="77777777" w:rsidR="00AE4FDF" w:rsidRPr="0078138A" w:rsidRDefault="00AE4FDF" w:rsidP="00AE4FDF">
      <w:pPr>
        <w:pStyle w:val="ListParagraph"/>
        <w:spacing w:before="240"/>
        <w:ind w:left="1440"/>
        <w:rPr>
          <w:rFonts w:cs="Times New Roman"/>
          <w:sz w:val="22"/>
          <w:szCs w:val="22"/>
        </w:rPr>
      </w:pPr>
    </w:p>
    <w:p w14:paraId="7C94DB8C"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 xml:space="preserve"> pension plan for the employees, officers or principals of a legal entity described in (iii) above, unless the pension plan is primarily for foreign employees of such entity;</w:t>
      </w:r>
    </w:p>
    <w:p w14:paraId="75B787F6" w14:textId="77777777" w:rsidR="00AE4FDF" w:rsidRPr="0078138A" w:rsidRDefault="00AE4FDF" w:rsidP="00AE4FDF">
      <w:pPr>
        <w:pStyle w:val="ListParagraph"/>
        <w:spacing w:before="240"/>
        <w:ind w:left="1440"/>
        <w:rPr>
          <w:rFonts w:cs="Times New Roman"/>
          <w:sz w:val="22"/>
          <w:szCs w:val="22"/>
        </w:rPr>
      </w:pPr>
    </w:p>
    <w:p w14:paraId="1CE7DD2F"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 xml:space="preserve"> trust governed by the laws of a state or other jurisdiction in the United States, if a court within the United States is able to exercise primary supervision over the administration of the trust;</w:t>
      </w:r>
    </w:p>
    <w:p w14:paraId="061D0E72" w14:textId="77777777" w:rsidR="00AE4FDF" w:rsidRPr="0078138A" w:rsidRDefault="00AE4FDF" w:rsidP="00AE4FDF">
      <w:pPr>
        <w:pStyle w:val="ListParagraph"/>
        <w:spacing w:before="240"/>
        <w:ind w:left="1440"/>
        <w:rPr>
          <w:rFonts w:cs="Times New Roman"/>
          <w:sz w:val="22"/>
          <w:szCs w:val="22"/>
        </w:rPr>
      </w:pPr>
    </w:p>
    <w:p w14:paraId="23BFF200"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 xml:space="preserve"> legal entity (other than a limited liability company, limited liability partnership or similar entity where all of the owners of the entity have limited liability) that is owned by one or more persons described in paragraphs (i) through (v) above and </w:t>
      </w:r>
      <w:r w:rsidRPr="0078138A">
        <w:rPr>
          <w:rFonts w:cs="Times New Roman"/>
          <w:sz w:val="22"/>
          <w:szCs w:val="22"/>
        </w:rPr>
        <w:lastRenderedPageBreak/>
        <w:t>for which such person(s) bears unlimited responsibility for the obligations and liabilities of the legal entity, including any branch of the legal entity; or</w:t>
      </w:r>
    </w:p>
    <w:p w14:paraId="15B3A186" w14:textId="77777777" w:rsidR="00AE4FDF" w:rsidRPr="0078138A" w:rsidRDefault="00AE4FDF" w:rsidP="00AE4FDF">
      <w:pPr>
        <w:pStyle w:val="ListParagraph"/>
        <w:spacing w:before="240"/>
        <w:ind w:left="1440"/>
        <w:rPr>
          <w:rFonts w:cs="Times New Roman"/>
          <w:sz w:val="22"/>
          <w:szCs w:val="22"/>
        </w:rPr>
      </w:pPr>
    </w:p>
    <w:p w14:paraId="27485C03" w14:textId="77777777" w:rsidR="00AE4FDF" w:rsidRPr="0078138A" w:rsidRDefault="00AE4FDF" w:rsidP="00AE4FDF">
      <w:pPr>
        <w:pStyle w:val="ListParagraph"/>
        <w:numPr>
          <w:ilvl w:val="0"/>
          <w:numId w:val="43"/>
        </w:numPr>
        <w:spacing w:before="240"/>
        <w:ind w:left="1440"/>
        <w:rPr>
          <w:rFonts w:cs="Times New Roman"/>
          <w:sz w:val="22"/>
          <w:szCs w:val="22"/>
        </w:rPr>
      </w:pPr>
      <w:r>
        <w:rPr>
          <w:rFonts w:cs="Times New Roman"/>
          <w:sz w:val="22"/>
          <w:szCs w:val="22"/>
        </w:rPr>
        <w:t>a</w:t>
      </w:r>
      <w:r w:rsidRPr="0078138A">
        <w:rPr>
          <w:rFonts w:cs="Times New Roman"/>
          <w:sz w:val="22"/>
          <w:szCs w:val="22"/>
        </w:rPr>
        <w:t>n individual account or joint account (discretionary or not) where the beneficial owner (or one of the beneficial owners in the case of a joint account) is a person described in (i) through (vi) above.</w:t>
      </w:r>
    </w:p>
    <w:p w14:paraId="1DFE99C3" w14:textId="77777777" w:rsidR="00AE4FDF" w:rsidRPr="0078138A" w:rsidRDefault="00AE4FDF" w:rsidP="00AE4FDF">
      <w:pPr>
        <w:spacing w:after="0"/>
        <w:ind w:left="720"/>
        <w:rPr>
          <w:rFonts w:cs="Times New Roman"/>
          <w:sz w:val="22"/>
          <w:szCs w:val="22"/>
        </w:rPr>
      </w:pPr>
      <w:r w:rsidRPr="0078138A">
        <w:rPr>
          <w:rFonts w:cs="Times New Roman"/>
          <w:sz w:val="22"/>
          <w:szCs w:val="22"/>
        </w:rPr>
        <w:t>CFTC Reg. 23.160(a)(10).</w:t>
      </w:r>
    </w:p>
    <w:p w14:paraId="4B5D89EF" w14:textId="77777777" w:rsidR="00AE4FDF" w:rsidRPr="0078138A" w:rsidRDefault="00AE4FDF" w:rsidP="00AE4FDF">
      <w:pPr>
        <w:spacing w:after="0"/>
        <w:ind w:left="360"/>
        <w:rPr>
          <w:rFonts w:cs="Times New Roman"/>
          <w:b/>
          <w:sz w:val="22"/>
          <w:szCs w:val="22"/>
        </w:rPr>
      </w:pPr>
    </w:p>
    <w:p w14:paraId="5E816339" w14:textId="77777777" w:rsidR="00AE4FDF" w:rsidRPr="0078138A" w:rsidRDefault="00AE4FDF" w:rsidP="00AE4FDF">
      <w:pPr>
        <w:spacing w:before="240"/>
        <w:rPr>
          <w:rFonts w:cs="Times New Roman"/>
          <w:sz w:val="22"/>
          <w:szCs w:val="22"/>
        </w:rPr>
      </w:pPr>
      <w:r w:rsidRPr="0078138A">
        <w:rPr>
          <w:rFonts w:cs="Times New Roman"/>
          <w:sz w:val="22"/>
          <w:szCs w:val="22"/>
        </w:rPr>
        <w:t>“</w:t>
      </w:r>
      <w:r w:rsidRPr="0078138A">
        <w:rPr>
          <w:rFonts w:cs="Times New Roman"/>
          <w:b/>
          <w:i/>
          <w:sz w:val="22"/>
          <w:szCs w:val="22"/>
        </w:rPr>
        <w:t>U.S. Person</w:t>
      </w:r>
      <w:r w:rsidRPr="0078138A">
        <w:rPr>
          <w:rFonts w:cs="Times New Roman"/>
          <w:sz w:val="22"/>
          <w:szCs w:val="22"/>
        </w:rPr>
        <w:t xml:space="preserve"> </w:t>
      </w:r>
      <w:r w:rsidRPr="0078138A">
        <w:rPr>
          <w:rFonts w:cs="Times New Roman"/>
          <w:b/>
          <w:i/>
          <w:sz w:val="22"/>
          <w:szCs w:val="22"/>
        </w:rPr>
        <w:t>(</w:t>
      </w:r>
      <w:r>
        <w:rPr>
          <w:rFonts w:cs="Times New Roman"/>
          <w:b/>
          <w:i/>
          <w:sz w:val="22"/>
          <w:szCs w:val="22"/>
        </w:rPr>
        <w:t>CFTC 2013 Interpretive Guidance</w:t>
      </w:r>
      <w:r w:rsidRPr="0078138A">
        <w:rPr>
          <w:rFonts w:cs="Times New Roman"/>
          <w:b/>
          <w:i/>
          <w:sz w:val="22"/>
          <w:szCs w:val="22"/>
        </w:rPr>
        <w:t>)</w:t>
      </w:r>
      <w:r w:rsidRPr="0078138A">
        <w:rPr>
          <w:rFonts w:cs="Times New Roman"/>
          <w:sz w:val="22"/>
          <w:szCs w:val="22"/>
        </w:rPr>
        <w:t>” means a “U.S. person,” under the CFTC 2013 Interpretive Guidance.</w:t>
      </w:r>
    </w:p>
    <w:p w14:paraId="24C873E6"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Person (</w:t>
      </w:r>
      <w:r>
        <w:rPr>
          <w:rFonts w:cs="Times New Roman"/>
          <w:b/>
          <w:i/>
          <w:sz w:val="22"/>
          <w:szCs w:val="22"/>
        </w:rPr>
        <w:t>CFTC 2020 Rules</w:t>
      </w:r>
      <w:r w:rsidRPr="0078138A">
        <w:rPr>
          <w:rFonts w:cs="Times New Roman"/>
          <w:b/>
          <w:i/>
          <w:sz w:val="22"/>
          <w:szCs w:val="22"/>
        </w:rPr>
        <w:t>/SEC Rule</w:t>
      </w:r>
      <w:r>
        <w:rPr>
          <w:rFonts w:cs="Times New Roman"/>
          <w:b/>
          <w:i/>
          <w:sz w:val="22"/>
          <w:szCs w:val="22"/>
        </w:rPr>
        <w:t>s</w:t>
      </w:r>
      <w:r w:rsidRPr="0078138A">
        <w:rPr>
          <w:rFonts w:cs="Times New Roman"/>
          <w:b/>
          <w:i/>
          <w:sz w:val="22"/>
          <w:szCs w:val="22"/>
        </w:rPr>
        <w:t>)</w:t>
      </w:r>
      <w:r w:rsidRPr="0078138A">
        <w:rPr>
          <w:rFonts w:cs="Times New Roman"/>
          <w:sz w:val="22"/>
          <w:szCs w:val="22"/>
        </w:rPr>
        <w:t xml:space="preserve">” means any person, that is: </w:t>
      </w:r>
    </w:p>
    <w:p w14:paraId="39131180" w14:textId="77777777" w:rsidR="00AE4FDF" w:rsidRPr="0078138A" w:rsidRDefault="00AE4FDF" w:rsidP="00AE4FDF">
      <w:pPr>
        <w:pStyle w:val="ListParagraph"/>
        <w:numPr>
          <w:ilvl w:val="0"/>
          <w:numId w:val="44"/>
        </w:numPr>
        <w:ind w:left="1440"/>
        <w:rPr>
          <w:rFonts w:cs="Times New Roman"/>
          <w:sz w:val="22"/>
          <w:szCs w:val="22"/>
        </w:rPr>
      </w:pPr>
      <w:r>
        <w:rPr>
          <w:rFonts w:cs="Times New Roman"/>
          <w:sz w:val="22"/>
          <w:szCs w:val="22"/>
        </w:rPr>
        <w:t>a</w:t>
      </w:r>
      <w:r w:rsidRPr="0078138A">
        <w:rPr>
          <w:rFonts w:cs="Times New Roman"/>
          <w:sz w:val="22"/>
          <w:szCs w:val="22"/>
        </w:rPr>
        <w:t xml:space="preserve"> natural person resident in the United States; </w:t>
      </w:r>
    </w:p>
    <w:p w14:paraId="2B933843" w14:textId="77777777" w:rsidR="00AE4FDF" w:rsidRPr="0078138A" w:rsidRDefault="00AE4FDF" w:rsidP="00AE4FDF">
      <w:pPr>
        <w:pStyle w:val="ListParagraph"/>
        <w:ind w:left="1440"/>
        <w:rPr>
          <w:rFonts w:cs="Times New Roman"/>
          <w:sz w:val="22"/>
          <w:szCs w:val="22"/>
        </w:rPr>
      </w:pPr>
    </w:p>
    <w:p w14:paraId="49E2373C" w14:textId="77777777" w:rsidR="00AE4FDF" w:rsidRPr="0078138A" w:rsidRDefault="00AE4FDF" w:rsidP="00AE4FDF">
      <w:pPr>
        <w:pStyle w:val="ListParagraph"/>
        <w:numPr>
          <w:ilvl w:val="0"/>
          <w:numId w:val="44"/>
        </w:numPr>
        <w:ind w:left="1440"/>
        <w:rPr>
          <w:rFonts w:cs="Times New Roman"/>
          <w:sz w:val="22"/>
          <w:szCs w:val="22"/>
        </w:rPr>
      </w:pPr>
      <w:r>
        <w:rPr>
          <w:rFonts w:cs="Times New Roman"/>
          <w:sz w:val="22"/>
          <w:szCs w:val="22"/>
        </w:rPr>
        <w:t>a</w:t>
      </w:r>
      <w:r w:rsidRPr="0078138A">
        <w:rPr>
          <w:rFonts w:cs="Times New Roman"/>
          <w:sz w:val="22"/>
          <w:szCs w:val="22"/>
        </w:rPr>
        <w:t xml:space="preserve"> partnership, corporation, trust, investment vehicle, or other legal person organized, incorporated, or established under the laws of the United States or having its principal place of business in the United States; </w:t>
      </w:r>
    </w:p>
    <w:p w14:paraId="066DCAEC" w14:textId="77777777" w:rsidR="00AE4FDF" w:rsidRPr="0078138A" w:rsidRDefault="00AE4FDF" w:rsidP="00AE4FDF">
      <w:pPr>
        <w:pStyle w:val="ListParagraph"/>
        <w:ind w:left="1440"/>
        <w:rPr>
          <w:rFonts w:cs="Times New Roman"/>
          <w:sz w:val="22"/>
          <w:szCs w:val="22"/>
        </w:rPr>
      </w:pPr>
    </w:p>
    <w:p w14:paraId="3D0E7635" w14:textId="77777777" w:rsidR="00AE4FDF" w:rsidRPr="0078138A" w:rsidRDefault="00AE4FDF" w:rsidP="00AE4FDF">
      <w:pPr>
        <w:pStyle w:val="ListParagraph"/>
        <w:numPr>
          <w:ilvl w:val="0"/>
          <w:numId w:val="44"/>
        </w:numPr>
        <w:ind w:left="1440"/>
        <w:rPr>
          <w:rFonts w:cs="Times New Roman"/>
          <w:sz w:val="22"/>
          <w:szCs w:val="22"/>
        </w:rPr>
      </w:pPr>
      <w:r>
        <w:rPr>
          <w:rFonts w:cs="Times New Roman"/>
          <w:sz w:val="22"/>
          <w:szCs w:val="22"/>
        </w:rPr>
        <w:t>a</w:t>
      </w:r>
      <w:r w:rsidRPr="0078138A">
        <w:rPr>
          <w:rFonts w:cs="Times New Roman"/>
          <w:sz w:val="22"/>
          <w:szCs w:val="22"/>
        </w:rPr>
        <w:t xml:space="preserve">n account (whether discretionary or non-discretionary) of a U.S. person; or </w:t>
      </w:r>
    </w:p>
    <w:p w14:paraId="6ED9AB1D" w14:textId="77777777" w:rsidR="00AE4FDF" w:rsidRPr="0078138A" w:rsidRDefault="00AE4FDF" w:rsidP="00AE4FDF">
      <w:pPr>
        <w:pStyle w:val="ListParagraph"/>
        <w:ind w:left="1440"/>
        <w:rPr>
          <w:rFonts w:cs="Times New Roman"/>
          <w:sz w:val="22"/>
          <w:szCs w:val="22"/>
        </w:rPr>
      </w:pPr>
    </w:p>
    <w:p w14:paraId="2F866BE6" w14:textId="77777777" w:rsidR="00AE4FDF" w:rsidRPr="0078138A" w:rsidRDefault="00AE4FDF" w:rsidP="00AE4FDF">
      <w:pPr>
        <w:pStyle w:val="ListParagraph"/>
        <w:numPr>
          <w:ilvl w:val="0"/>
          <w:numId w:val="44"/>
        </w:numPr>
        <w:ind w:left="1440"/>
        <w:rPr>
          <w:rFonts w:cs="Times New Roman"/>
          <w:sz w:val="22"/>
          <w:szCs w:val="22"/>
        </w:rPr>
      </w:pPr>
      <w:r>
        <w:rPr>
          <w:rFonts w:cs="Times New Roman"/>
          <w:sz w:val="22"/>
          <w:szCs w:val="22"/>
        </w:rPr>
        <w:t>a</w:t>
      </w:r>
      <w:r w:rsidRPr="0078138A">
        <w:rPr>
          <w:rFonts w:cs="Times New Roman"/>
          <w:sz w:val="22"/>
          <w:szCs w:val="22"/>
        </w:rPr>
        <w:t xml:space="preserve">n estate of a decedent who was a resident of the United States at the time of death.  </w:t>
      </w:r>
    </w:p>
    <w:p w14:paraId="52E633D7" w14:textId="77777777" w:rsidR="00AE4FDF" w:rsidRPr="0078138A" w:rsidRDefault="00AE4FDF" w:rsidP="00AE4FDF">
      <w:pPr>
        <w:ind w:left="360"/>
        <w:rPr>
          <w:rFonts w:cs="Times New Roman"/>
          <w:sz w:val="22"/>
          <w:szCs w:val="22"/>
        </w:rPr>
      </w:pPr>
      <w:r w:rsidRPr="0078138A">
        <w:rPr>
          <w:rFonts w:cs="Times New Roman"/>
          <w:sz w:val="22"/>
          <w:szCs w:val="22"/>
        </w:rPr>
        <w:t>For these purposes, principal place of business means the location from which the officers, partners, or managers of the legal person primarily direct, control, and coordinate the activities of the legal person.  With respect to an externally managed investment vehicle, this location is the office from which the manager of the vehicle primarily directs, controls, and coordinates the investment activities of the vehicle.</w:t>
      </w:r>
    </w:p>
    <w:p w14:paraId="645F9E6A" w14:textId="77777777" w:rsidR="00AE4FDF" w:rsidRPr="0078138A" w:rsidRDefault="00AE4FDF" w:rsidP="00AE4FDF">
      <w:pPr>
        <w:ind w:left="360"/>
        <w:rPr>
          <w:rFonts w:cs="Times New Roman"/>
          <w:sz w:val="22"/>
          <w:szCs w:val="22"/>
        </w:rPr>
      </w:pPr>
      <w:r w:rsidRPr="0078138A">
        <w:rPr>
          <w:rFonts w:cs="Times New Roman"/>
          <w:sz w:val="22"/>
          <w:szCs w:val="22"/>
        </w:rPr>
        <w:t xml:space="preserve">The term “U.S. person” does not include the International Monetary Fund, the International Bank for Reconstruction and Development, the Inter-American Development Bank, the Asian Development Bank, the African Development Bank, the United Nations, and their agencies and pension plans, and any other similar international organizations, their agencies and pension plans.  </w:t>
      </w:r>
    </w:p>
    <w:p w14:paraId="434D2425" w14:textId="77777777" w:rsidR="00AE4FDF" w:rsidRPr="0078138A" w:rsidRDefault="00AE4FDF" w:rsidP="00AE4FDF">
      <w:pPr>
        <w:ind w:left="360"/>
        <w:rPr>
          <w:rFonts w:cs="Times New Roman"/>
          <w:sz w:val="22"/>
          <w:szCs w:val="22"/>
        </w:rPr>
      </w:pPr>
      <w:r w:rsidRPr="0078138A">
        <w:rPr>
          <w:rFonts w:cs="Times New Roman"/>
          <w:sz w:val="22"/>
          <w:szCs w:val="22"/>
        </w:rPr>
        <w:t>CFTC Reg. 23.23(a)(23) and SEC Rule 240.3a71-3(a)(4).</w:t>
      </w:r>
    </w:p>
    <w:p w14:paraId="01707EE7"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Person Guarantee (</w:t>
      </w:r>
      <w:r>
        <w:rPr>
          <w:rFonts w:cs="Times New Roman"/>
          <w:b/>
          <w:i/>
          <w:sz w:val="22"/>
          <w:szCs w:val="22"/>
        </w:rPr>
        <w:t>CFTC Margin Rules</w:t>
      </w:r>
      <w:r w:rsidRPr="0078138A">
        <w:rPr>
          <w:rFonts w:cs="Times New Roman"/>
          <w:b/>
          <w:i/>
          <w:sz w:val="22"/>
          <w:szCs w:val="22"/>
        </w:rPr>
        <w:t>)</w:t>
      </w:r>
      <w:r w:rsidRPr="0078138A">
        <w:rPr>
          <w:rFonts w:cs="Times New Roman"/>
          <w:sz w:val="22"/>
          <w:szCs w:val="22"/>
        </w:rPr>
        <w:t>” means a Guarantee (</w:t>
      </w:r>
      <w:r>
        <w:rPr>
          <w:rFonts w:cs="Times New Roman"/>
          <w:sz w:val="22"/>
          <w:szCs w:val="22"/>
        </w:rPr>
        <w:t>CFTC Margin Rules</w:t>
      </w:r>
      <w:r w:rsidRPr="0078138A">
        <w:rPr>
          <w:rFonts w:cs="Times New Roman"/>
          <w:sz w:val="22"/>
          <w:szCs w:val="22"/>
        </w:rPr>
        <w:t>) received from a U.S. Person (</w:t>
      </w:r>
      <w:r>
        <w:rPr>
          <w:rFonts w:cs="Times New Roman"/>
          <w:sz w:val="22"/>
          <w:szCs w:val="22"/>
        </w:rPr>
        <w:t>CFTC Margin Rules</w:t>
      </w:r>
      <w:r w:rsidRPr="0078138A">
        <w:rPr>
          <w:rFonts w:cs="Times New Roman"/>
          <w:sz w:val="22"/>
          <w:szCs w:val="22"/>
        </w:rPr>
        <w:t>).</w:t>
      </w:r>
    </w:p>
    <w:p w14:paraId="53C12721" w14:textId="77777777" w:rsidR="00AE4FDF" w:rsidRPr="0078138A" w:rsidRDefault="00AE4FDF" w:rsidP="00AE4FDF">
      <w:pPr>
        <w:rPr>
          <w:rFonts w:cs="Times New Roman"/>
          <w:sz w:val="22"/>
          <w:szCs w:val="22"/>
        </w:rPr>
      </w:pPr>
      <w:r w:rsidRPr="0078138A">
        <w:rPr>
          <w:rFonts w:cs="Times New Roman"/>
          <w:sz w:val="22"/>
          <w:szCs w:val="22"/>
        </w:rPr>
        <w:t>“</w:t>
      </w:r>
      <w:r w:rsidRPr="0078138A">
        <w:rPr>
          <w:rFonts w:cs="Times New Roman"/>
          <w:b/>
          <w:i/>
          <w:sz w:val="22"/>
          <w:szCs w:val="22"/>
        </w:rPr>
        <w:t>U.S. Person Guarantee</w:t>
      </w:r>
      <w:r w:rsidRPr="0078138A">
        <w:rPr>
          <w:rFonts w:cs="Times New Roman"/>
          <w:sz w:val="22"/>
          <w:szCs w:val="22"/>
        </w:rPr>
        <w:t xml:space="preserve"> </w:t>
      </w:r>
      <w:r w:rsidRPr="0078138A">
        <w:rPr>
          <w:rFonts w:cs="Times New Roman"/>
          <w:b/>
          <w:i/>
          <w:sz w:val="22"/>
          <w:szCs w:val="22"/>
        </w:rPr>
        <w:t>(</w:t>
      </w:r>
      <w:r>
        <w:rPr>
          <w:rFonts w:cs="Times New Roman"/>
          <w:b/>
          <w:i/>
          <w:sz w:val="22"/>
          <w:szCs w:val="22"/>
        </w:rPr>
        <w:t>CFTC 2013 Interpretive Guidance</w:t>
      </w:r>
      <w:r w:rsidRPr="0078138A">
        <w:rPr>
          <w:rFonts w:cs="Times New Roman"/>
          <w:b/>
          <w:i/>
          <w:sz w:val="22"/>
          <w:szCs w:val="22"/>
        </w:rPr>
        <w:t>)</w:t>
      </w:r>
      <w:r w:rsidRPr="0078138A">
        <w:rPr>
          <w:rFonts w:cs="Times New Roman"/>
          <w:sz w:val="22"/>
          <w:szCs w:val="22"/>
        </w:rPr>
        <w:t>” means a Guarantee (</w:t>
      </w:r>
      <w:r>
        <w:rPr>
          <w:rFonts w:cs="Times New Roman"/>
          <w:sz w:val="22"/>
          <w:szCs w:val="22"/>
        </w:rPr>
        <w:t>CFTC 2013 Interpretive Guidance</w:t>
      </w:r>
      <w:r w:rsidRPr="0078138A">
        <w:rPr>
          <w:rFonts w:cs="Times New Roman"/>
          <w:sz w:val="22"/>
          <w:szCs w:val="22"/>
        </w:rPr>
        <w:t>) received from any person that falls within one or more of the U.S. Person Categories (</w:t>
      </w:r>
      <w:r>
        <w:rPr>
          <w:rFonts w:cs="Times New Roman"/>
          <w:sz w:val="22"/>
          <w:szCs w:val="22"/>
        </w:rPr>
        <w:t>CFTC 2013 Interpretive Guidance</w:t>
      </w:r>
      <w:r w:rsidRPr="0078138A">
        <w:rPr>
          <w:rFonts w:cs="Times New Roman"/>
          <w:sz w:val="22"/>
          <w:szCs w:val="22"/>
        </w:rPr>
        <w:t>) or would otherwise be deemed to be a “U.S. person” under the CFTC 2013 Interpretive Guidance.</w:t>
      </w:r>
    </w:p>
    <w:p w14:paraId="3406F435" w14:textId="77777777" w:rsidR="00AE4FDF" w:rsidRPr="008542A2" w:rsidRDefault="00AE4FDF" w:rsidP="00AE4FDF">
      <w:pPr>
        <w:pStyle w:val="BodyText"/>
        <w:ind w:firstLine="0"/>
        <w:jc w:val="center"/>
        <w:rPr>
          <w:lang w:val="en-GB"/>
        </w:rPr>
      </w:pPr>
      <w:r w:rsidRPr="0078138A">
        <w:rPr>
          <w:sz w:val="22"/>
          <w:szCs w:val="22"/>
        </w:rPr>
        <w:lastRenderedPageBreak/>
        <w:t>“</w:t>
      </w:r>
      <w:r w:rsidRPr="0078138A">
        <w:rPr>
          <w:b/>
          <w:i/>
          <w:sz w:val="22"/>
          <w:szCs w:val="22"/>
        </w:rPr>
        <w:t>U.S. Person Guarantee (</w:t>
      </w:r>
      <w:r>
        <w:rPr>
          <w:b/>
          <w:i/>
          <w:sz w:val="22"/>
          <w:szCs w:val="22"/>
        </w:rPr>
        <w:t>CFTC 2020 Rules</w:t>
      </w:r>
      <w:r w:rsidRPr="0078138A">
        <w:rPr>
          <w:b/>
          <w:i/>
          <w:sz w:val="22"/>
          <w:szCs w:val="22"/>
        </w:rPr>
        <w:t>)</w:t>
      </w:r>
      <w:r w:rsidRPr="0078138A">
        <w:rPr>
          <w:sz w:val="22"/>
          <w:szCs w:val="22"/>
        </w:rPr>
        <w:t>” means a Guarantee (</w:t>
      </w:r>
      <w:r>
        <w:rPr>
          <w:sz w:val="22"/>
          <w:szCs w:val="22"/>
        </w:rPr>
        <w:t>CFTC 2020 Rules</w:t>
      </w:r>
      <w:r w:rsidRPr="0078138A">
        <w:rPr>
          <w:sz w:val="22"/>
          <w:szCs w:val="22"/>
        </w:rPr>
        <w:t xml:space="preserve">) </w:t>
      </w:r>
      <w:r>
        <w:rPr>
          <w:sz w:val="22"/>
          <w:szCs w:val="22"/>
        </w:rPr>
        <w:t>by</w:t>
      </w:r>
      <w:r w:rsidRPr="0078138A">
        <w:rPr>
          <w:sz w:val="22"/>
          <w:szCs w:val="22"/>
        </w:rPr>
        <w:t xml:space="preserve"> a U.S. Person (</w:t>
      </w:r>
      <w:r>
        <w:rPr>
          <w:sz w:val="22"/>
          <w:szCs w:val="22"/>
        </w:rPr>
        <w:t>CFTC 2020 Rules</w:t>
      </w:r>
      <w:r w:rsidRPr="0078138A">
        <w:rPr>
          <w:sz w:val="22"/>
          <w:szCs w:val="22"/>
        </w:rPr>
        <w:t>/SEC Rule</w:t>
      </w:r>
      <w:r>
        <w:rPr>
          <w:sz w:val="22"/>
          <w:szCs w:val="22"/>
        </w:rPr>
        <w:t>s</w:t>
      </w:r>
      <w:r w:rsidRPr="0078138A">
        <w:rPr>
          <w:sz w:val="22"/>
          <w:szCs w:val="22"/>
        </w:rPr>
        <w:t>).</w:t>
      </w:r>
    </w:p>
    <w:sectPr w:rsidR="00AE4FDF" w:rsidRPr="008542A2" w:rsidSect="00C34DFE">
      <w:pgSz w:w="12240" w:h="15840" w:code="1"/>
      <w:pgMar w:top="2016" w:right="1800" w:bottom="1800" w:left="1800" w:header="432" w:footer="432"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1CB2" w14:textId="77777777" w:rsidR="00DA5B8A" w:rsidRDefault="00DA5B8A">
      <w:pPr>
        <w:spacing w:after="0"/>
      </w:pPr>
      <w:r>
        <w:separator/>
      </w:r>
    </w:p>
  </w:endnote>
  <w:endnote w:type="continuationSeparator" w:id="0">
    <w:p w14:paraId="5A74B9B7" w14:textId="77777777" w:rsidR="00DA5B8A" w:rsidRDefault="00DA5B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2198" w14:textId="77777777" w:rsidR="00DA5B8A" w:rsidRDefault="00DA5B8A">
    <w:pPr>
      <w:framePr w:wrap="around" w:vAnchor="text" w:hAnchor="margin" w:xAlign="center" w:y="1"/>
    </w:pPr>
    <w:r>
      <w:fldChar w:fldCharType="begin"/>
    </w:r>
    <w:r>
      <w:instrText xml:space="preserve">PAGE  </w:instrText>
    </w:r>
    <w:r>
      <w:fldChar w:fldCharType="end"/>
    </w:r>
  </w:p>
  <w:p w14:paraId="04469FB6" w14:textId="77777777" w:rsidR="00DA5B8A" w:rsidRDefault="00166DDA">
    <w:r>
      <w:fldChar w:fldCharType="begin"/>
    </w:r>
    <w:r>
      <w:instrText xml:space="preserve"> DOCPROPERTY DOCXDOCID DMS=InterwovenIManage Format=&lt;&lt;NUM&gt;&gt;v&lt;&lt;VER&gt;&gt; PRESERVELOCATION \* MERGEFORMAT </w:instrText>
    </w:r>
    <w:r>
      <w:fldChar w:fldCharType="separate"/>
    </w:r>
    <w:r w:rsidR="00DA5B8A">
      <w:t>1006456343v1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D340" w14:textId="77777777" w:rsidR="00DA5B8A" w:rsidRDefault="00DA5B8A" w:rsidP="00C16EDC">
    <w:pPr>
      <w:pStyle w:val="Footer"/>
      <w:jc w:val="center"/>
    </w:pPr>
    <w:r>
      <w:fldChar w:fldCharType="begin"/>
    </w:r>
    <w:r>
      <w:instrText xml:space="preserve"> PAGE </w:instrText>
    </w:r>
    <w:r>
      <w:fldChar w:fldCharType="separate"/>
    </w:r>
    <w:r>
      <w:rPr>
        <w:noProof/>
      </w:rPr>
      <w:t>2</w:t>
    </w:r>
    <w:r>
      <w:fldChar w:fldCharType="end"/>
    </w:r>
  </w:p>
  <w:p w14:paraId="59F5EE5A" w14:textId="77777777" w:rsidR="00DA5B8A" w:rsidRDefault="00DA5B8A">
    <w:pPr>
      <w:rPr>
        <w:rStyle w:val="NoNumber"/>
      </w:rPr>
    </w:pPr>
    <w:r>
      <w:br/>
    </w:r>
  </w:p>
  <w:p w14:paraId="4AC5E410" w14:textId="77777777" w:rsidR="00DA5B8A" w:rsidRPr="00C16EDC" w:rsidRDefault="00DA5B8A">
    <w:pPr>
      <w:rPr>
        <w:rStyle w:val="No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3E7E" w14:textId="77777777" w:rsidR="00CD4AE3" w:rsidRDefault="00CD4AE3" w:rsidP="00CD4AE3">
    <w:pPr>
      <w:pStyle w:val="Footer"/>
      <w:jc w:val="center"/>
      <w:rPr>
        <w:color w:val="000000"/>
      </w:rPr>
    </w:pPr>
  </w:p>
  <w:p w14:paraId="743AFC75" w14:textId="05FDA6BB" w:rsidR="00DA5B8A" w:rsidRPr="00CD4AE3" w:rsidRDefault="00CD4AE3" w:rsidP="00CD4AE3">
    <w:pPr>
      <w:pStyle w:val="Footer"/>
      <w:jc w:val="center"/>
      <w:rPr>
        <w:rStyle w:val="NoNumber"/>
        <w:sz w:val="20"/>
      </w:rPr>
    </w:pPr>
    <w:r w:rsidRPr="00CD4AE3">
      <w:rPr>
        <w:color w:val="000000"/>
        <w:sz w:val="20"/>
      </w:rPr>
      <w:t>Copyright © 2021 by International Swaps and Derivatives Association, Inc.</w:t>
    </w:r>
    <w:r w:rsidR="00DA5B8A" w:rsidRPr="00CD4AE3">
      <w:rPr>
        <w:sz w:val="20"/>
      </w:rPr>
      <w:br/>
    </w:r>
  </w:p>
  <w:p w14:paraId="15F40220" w14:textId="77777777" w:rsidR="00DA5B8A" w:rsidRPr="001412C2" w:rsidRDefault="00DA5B8A">
    <w:pPr>
      <w:rPr>
        <w:rStyle w:val="No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FB900" w14:textId="77777777" w:rsidR="00DA5B8A" w:rsidRDefault="00DA5B8A">
      <w:pPr>
        <w:spacing w:after="0"/>
      </w:pPr>
      <w:r>
        <w:separator/>
      </w:r>
    </w:p>
  </w:footnote>
  <w:footnote w:type="continuationSeparator" w:id="0">
    <w:p w14:paraId="6EF00C1E" w14:textId="77777777" w:rsidR="00DA5B8A" w:rsidRDefault="00DA5B8A">
      <w:pPr>
        <w:spacing w:after="0"/>
      </w:pPr>
      <w:r>
        <w:continuationSeparator/>
      </w:r>
    </w:p>
  </w:footnote>
  <w:footnote w:id="1">
    <w:p w14:paraId="3DA6C2BE" w14:textId="77777777" w:rsidR="00DA5B8A" w:rsidRPr="000E2176" w:rsidRDefault="00DA5B8A">
      <w:pPr>
        <w:pStyle w:val="FootnoteText"/>
        <w:rPr>
          <w:sz w:val="20"/>
        </w:rPr>
      </w:pPr>
      <w:r w:rsidRPr="000E2176">
        <w:rPr>
          <w:rStyle w:val="FootnoteReference"/>
          <w:sz w:val="20"/>
        </w:rPr>
        <w:footnoteRef/>
      </w:r>
      <w:r w:rsidRPr="000E2176">
        <w:rPr>
          <w:sz w:val="20"/>
        </w:rPr>
        <w:t xml:space="preserve"> </w:t>
      </w:r>
      <w:r w:rsidRPr="000E2176">
        <w:rPr>
          <w:sz w:val="20"/>
        </w:rPr>
        <w:tab/>
      </w:r>
      <w:r>
        <w:rPr>
          <w:sz w:val="20"/>
        </w:rPr>
        <w:t>If sending to a Named Entity on behalf of multiple members of a dealer group, include each Information Recipient’s name here, and insert “each an” in the parenthetical that follows.</w:t>
      </w:r>
    </w:p>
  </w:footnote>
  <w:footnote w:id="2">
    <w:p w14:paraId="4189B63C" w14:textId="77777777" w:rsidR="00DA5B8A" w:rsidRPr="00A01DF9" w:rsidRDefault="00DA5B8A">
      <w:pPr>
        <w:pStyle w:val="FootnoteText"/>
        <w:rPr>
          <w:sz w:val="20"/>
        </w:rPr>
      </w:pPr>
      <w:r w:rsidRPr="00A01DF9">
        <w:rPr>
          <w:rStyle w:val="FootnoteReference"/>
          <w:sz w:val="20"/>
        </w:rPr>
        <w:footnoteRef/>
      </w:r>
      <w:r w:rsidRPr="00A01DF9">
        <w:rPr>
          <w:sz w:val="20"/>
        </w:rPr>
        <w:t xml:space="preserve"> </w:t>
      </w:r>
      <w:r w:rsidRPr="00A01DF9">
        <w:rPr>
          <w:sz w:val="20"/>
        </w:rPr>
        <w:tab/>
        <w:t>The U.S. Prudential Regulators include the Board of Governors of the Federal Reserve System, the Office of the Comptroller of the Currency, the Federal Deposit Insurance Corporation, the Farm Credit Administration, and the Federal Housing Finance Agency.</w:t>
      </w:r>
    </w:p>
  </w:footnote>
  <w:footnote w:id="3">
    <w:p w14:paraId="5B20F303" w14:textId="77777777" w:rsidR="00DA5B8A" w:rsidRPr="00A01DF9" w:rsidRDefault="00DA5B8A" w:rsidP="00A01DF9">
      <w:pPr>
        <w:pStyle w:val="FootnoteText"/>
        <w:rPr>
          <w:sz w:val="20"/>
        </w:rPr>
      </w:pPr>
      <w:r w:rsidRPr="00A01DF9">
        <w:rPr>
          <w:rStyle w:val="FootnoteReference"/>
          <w:sz w:val="20"/>
        </w:rPr>
        <w:footnoteRef/>
      </w:r>
      <w:r w:rsidRPr="00A01DF9">
        <w:rPr>
          <w:sz w:val="20"/>
        </w:rPr>
        <w:t xml:space="preserve"> </w:t>
      </w:r>
      <w:r w:rsidRPr="00A01DF9">
        <w:rPr>
          <w:sz w:val="20"/>
        </w:rPr>
        <w:tab/>
        <w:t xml:space="preserve">For example, if Named Entity’s Swaps with one entity named as a Recipient are guaranteed by a U.S. person while Swaps with another entity named as a Recipient are not guaranteed by a U.S. person. </w:t>
      </w:r>
    </w:p>
  </w:footnote>
  <w:footnote w:id="4">
    <w:p w14:paraId="1A17A46A" w14:textId="77777777" w:rsidR="00DA5B8A" w:rsidRDefault="00DA5B8A" w:rsidP="00A01DF9">
      <w:pPr>
        <w:pStyle w:val="FootnoteText"/>
      </w:pPr>
      <w:r w:rsidRPr="00A01DF9">
        <w:rPr>
          <w:rStyle w:val="FootnoteReference"/>
          <w:sz w:val="20"/>
        </w:rPr>
        <w:footnoteRef/>
      </w:r>
      <w:r w:rsidRPr="00A01DF9">
        <w:rPr>
          <w:sz w:val="20"/>
        </w:rPr>
        <w:t xml:space="preserve"> </w:t>
      </w:r>
      <w:r w:rsidRPr="00A01DF9">
        <w:rPr>
          <w:sz w:val="20"/>
        </w:rPr>
        <w:tab/>
        <w:t>Include these instructions in the outgoing letter to the Named Entity if sending on behalf of multiple dealers.</w:t>
      </w:r>
    </w:p>
  </w:footnote>
  <w:footnote w:id="5">
    <w:p w14:paraId="180B46AF" w14:textId="77777777" w:rsidR="00DA5B8A" w:rsidRPr="00446659" w:rsidRDefault="00DA5B8A" w:rsidP="00D246D0">
      <w:pPr>
        <w:pStyle w:val="FootnoteText"/>
        <w:rPr>
          <w:sz w:val="20"/>
          <w:lang w:eastAsia="zh-CN"/>
        </w:rPr>
      </w:pPr>
      <w:r w:rsidRPr="00446659">
        <w:rPr>
          <w:rStyle w:val="FootnoteReference"/>
          <w:sz w:val="20"/>
        </w:rPr>
        <w:footnoteRef/>
      </w:r>
      <w:r w:rsidRPr="00446659">
        <w:rPr>
          <w:sz w:val="20"/>
        </w:rPr>
        <w:t xml:space="preserve"> </w:t>
      </w:r>
      <w:r>
        <w:rPr>
          <w:sz w:val="20"/>
        </w:rPr>
        <w:tab/>
      </w:r>
      <w:r w:rsidRPr="00446659">
        <w:rPr>
          <w:sz w:val="20"/>
        </w:rPr>
        <w:t>Insert the name</w:t>
      </w:r>
      <w:r>
        <w:rPr>
          <w:sz w:val="20"/>
        </w:rPr>
        <w:t>(s)</w:t>
      </w:r>
      <w:r w:rsidRPr="00446659">
        <w:rPr>
          <w:sz w:val="20"/>
        </w:rPr>
        <w:t xml:space="preserve"> of </w:t>
      </w:r>
      <w:r>
        <w:rPr>
          <w:sz w:val="20"/>
        </w:rPr>
        <w:t>the entity or entities designated as Recipient(s) in the request letter or otherwise intended as Recipient(s) for purposes of the information below.  If addressed to multiple Recipients, each statement in the Letter will apply separately as to each such named Recipient</w:t>
      </w:r>
      <w:r w:rsidRPr="00446659">
        <w:rPr>
          <w:sz w:val="20"/>
        </w:rPr>
        <w:t>.</w:t>
      </w:r>
    </w:p>
  </w:footnote>
  <w:footnote w:id="6">
    <w:p w14:paraId="03A368B1" w14:textId="77777777" w:rsidR="00DA5B8A" w:rsidRPr="00446659" w:rsidRDefault="00DA5B8A" w:rsidP="00B84D74">
      <w:pPr>
        <w:pStyle w:val="FootnoteText"/>
        <w:ind w:left="450" w:hanging="450"/>
        <w:rPr>
          <w:sz w:val="20"/>
        </w:rPr>
      </w:pPr>
      <w:r w:rsidRPr="00446659">
        <w:rPr>
          <w:rStyle w:val="FootnoteReference"/>
          <w:sz w:val="20"/>
        </w:rPr>
        <w:footnoteRef/>
      </w:r>
      <w:r w:rsidRPr="00446659">
        <w:rPr>
          <w:sz w:val="20"/>
        </w:rPr>
        <w:t xml:space="preserve"> </w:t>
      </w:r>
      <w:r>
        <w:rPr>
          <w:sz w:val="20"/>
        </w:rPr>
        <w:tab/>
      </w:r>
      <w:r w:rsidRPr="00446659">
        <w:rPr>
          <w:sz w:val="20"/>
        </w:rPr>
        <w:t>As this is standard form language only, the parties may wish to make further amendments to suit their needs such as, where possible, to address a situation where an agent/manager is signing on behalf of a client/fund but only in respect of the portion of that client’s business transacted by that agent/manager.</w:t>
      </w:r>
    </w:p>
  </w:footnote>
  <w:footnote w:id="7">
    <w:p w14:paraId="2EF3FBDC" w14:textId="77777777" w:rsidR="00DA5B8A" w:rsidRPr="00446659" w:rsidRDefault="00DA5B8A" w:rsidP="00B84D74">
      <w:pPr>
        <w:pStyle w:val="FootnoteText"/>
        <w:ind w:left="450" w:hanging="450"/>
        <w:rPr>
          <w:sz w:val="20"/>
        </w:rPr>
      </w:pPr>
      <w:r w:rsidRPr="00446659">
        <w:rPr>
          <w:rStyle w:val="FootnoteReference"/>
          <w:sz w:val="20"/>
        </w:rPr>
        <w:footnoteRef/>
      </w:r>
      <w:r w:rsidRPr="00446659">
        <w:rPr>
          <w:sz w:val="20"/>
        </w:rPr>
        <w:t xml:space="preserve"> </w:t>
      </w:r>
      <w:r>
        <w:rPr>
          <w:sz w:val="20"/>
        </w:rPr>
        <w:tab/>
      </w:r>
      <w:r w:rsidRPr="005F6B23">
        <w:rPr>
          <w:sz w:val="20"/>
          <w:lang w:val="en-GB"/>
        </w:rPr>
        <w:t xml:space="preserve">If this Letter is being completed by the Named Entity, the Named Entity should insert its full legal name here. </w:t>
      </w:r>
      <w:r>
        <w:rPr>
          <w:sz w:val="20"/>
          <w:lang w:val="en-GB"/>
        </w:rPr>
        <w:t xml:space="preserve"> </w:t>
      </w:r>
      <w:r w:rsidRPr="005F6B23">
        <w:rPr>
          <w:sz w:val="20"/>
          <w:lang w:val="en-GB"/>
        </w:rPr>
        <w:t xml:space="preserve">If this Letter is being completed by an agent on behalf of one or more Named Entities, the agent must clearly identify the full legal name and LEI of each Named Entity either on this page or on an attached sheet. </w:t>
      </w:r>
      <w:r>
        <w:rPr>
          <w:sz w:val="20"/>
          <w:lang w:val="en-GB"/>
        </w:rPr>
        <w:t xml:space="preserve"> </w:t>
      </w:r>
      <w:r w:rsidRPr="005F6B23">
        <w:rPr>
          <w:sz w:val="20"/>
          <w:lang w:val="en-GB"/>
        </w:rPr>
        <w:t xml:space="preserve">An agent may only list multiple Named Entities where the applicable </w:t>
      </w:r>
      <w:r>
        <w:rPr>
          <w:sz w:val="20"/>
          <w:lang w:val="en-GB"/>
        </w:rPr>
        <w:t>Part</w:t>
      </w:r>
      <w:r w:rsidRPr="005F6B23">
        <w:rPr>
          <w:sz w:val="20"/>
          <w:lang w:val="en-GB"/>
        </w:rPr>
        <w:t>s</w:t>
      </w:r>
      <w:r>
        <w:rPr>
          <w:sz w:val="20"/>
          <w:lang w:val="en-GB"/>
        </w:rPr>
        <w:t xml:space="preserve"> (including the individual items in each Part)</w:t>
      </w:r>
      <w:r w:rsidRPr="005F6B23">
        <w:rPr>
          <w:sz w:val="20"/>
          <w:lang w:val="en-GB"/>
        </w:rPr>
        <w:t xml:space="preserve"> or elections made in each applicable </w:t>
      </w:r>
      <w:r>
        <w:rPr>
          <w:sz w:val="20"/>
          <w:lang w:val="en-GB"/>
        </w:rPr>
        <w:t>Part (including the individual items in each Part)</w:t>
      </w:r>
      <w:r w:rsidRPr="005F6B23">
        <w:rPr>
          <w:sz w:val="20"/>
          <w:lang w:val="en-GB"/>
        </w:rPr>
        <w:t xml:space="preserve"> by all such Named Entities are identical. </w:t>
      </w:r>
      <w:r>
        <w:rPr>
          <w:sz w:val="20"/>
          <w:lang w:val="en-GB"/>
        </w:rPr>
        <w:t xml:space="preserve"> </w:t>
      </w:r>
      <w:r w:rsidRPr="005F6B23">
        <w:rPr>
          <w:sz w:val="20"/>
          <w:lang w:val="en-GB"/>
        </w:rPr>
        <w:t xml:space="preserve">Where an agent wishes to complete this Letter on behalf of two or more Named Entities </w:t>
      </w:r>
      <w:r>
        <w:rPr>
          <w:sz w:val="20"/>
          <w:lang w:val="en-GB"/>
        </w:rPr>
        <w:t>that</w:t>
      </w:r>
      <w:r w:rsidRPr="005F6B23">
        <w:rPr>
          <w:sz w:val="20"/>
          <w:lang w:val="en-GB"/>
        </w:rPr>
        <w:t xml:space="preserve"> do not have identical applicable </w:t>
      </w:r>
      <w:r>
        <w:rPr>
          <w:sz w:val="20"/>
          <w:lang w:val="en-GB"/>
        </w:rPr>
        <w:t>Parts</w:t>
      </w:r>
      <w:r w:rsidRPr="005F6B23">
        <w:rPr>
          <w:sz w:val="20"/>
          <w:lang w:val="en-GB"/>
        </w:rPr>
        <w:t xml:space="preserve"> or elections in each applicable </w:t>
      </w:r>
      <w:r>
        <w:rPr>
          <w:sz w:val="20"/>
          <w:lang w:val="en-GB"/>
        </w:rPr>
        <w:t>Part</w:t>
      </w:r>
      <w:r w:rsidRPr="005F6B23">
        <w:rPr>
          <w:sz w:val="20"/>
          <w:lang w:val="en-GB"/>
        </w:rPr>
        <w:t xml:space="preserve">, the agent should complete separate letters for each group of Named Entities </w:t>
      </w:r>
      <w:r>
        <w:rPr>
          <w:sz w:val="20"/>
          <w:lang w:val="en-GB"/>
        </w:rPr>
        <w:t>that</w:t>
      </w:r>
      <w:r w:rsidRPr="005F6B23">
        <w:rPr>
          <w:sz w:val="20"/>
          <w:lang w:val="en-GB"/>
        </w:rPr>
        <w:t xml:space="preserve"> have identical elections or for each Named Entity. </w:t>
      </w:r>
      <w:r>
        <w:rPr>
          <w:sz w:val="20"/>
          <w:lang w:val="en-GB"/>
        </w:rPr>
        <w:t xml:space="preserve"> </w:t>
      </w:r>
      <w:r w:rsidRPr="005F6B23">
        <w:rPr>
          <w:sz w:val="20"/>
          <w:lang w:val="en-GB"/>
        </w:rPr>
        <w:t>Similarly, if this Letter is being delivered by a trustee on behalf of one or more trusts or trust funds, the trustee should amend the signature block to make clear each Named Entity and its identifier and only list multiple Named Entities where the elections made by each Named Entity are identical.</w:t>
      </w:r>
      <w:r w:rsidRPr="00446659">
        <w:rPr>
          <w:sz w:val="20"/>
        </w:rPr>
        <w:t xml:space="preserve"> </w:t>
      </w:r>
      <w:r>
        <w:rPr>
          <w:sz w:val="20"/>
        </w:rPr>
        <w:t xml:space="preserve"> </w:t>
      </w:r>
    </w:p>
  </w:footnote>
  <w:footnote w:id="8">
    <w:p w14:paraId="6111EB2E" w14:textId="77777777" w:rsidR="00DA5B8A" w:rsidRPr="00986D8A" w:rsidRDefault="00DA5B8A" w:rsidP="00B84D74">
      <w:pPr>
        <w:pStyle w:val="FootnoteText"/>
        <w:tabs>
          <w:tab w:val="clear" w:pos="432"/>
          <w:tab w:val="left" w:pos="450"/>
        </w:tabs>
        <w:ind w:left="450" w:hanging="450"/>
        <w:rPr>
          <w:sz w:val="20"/>
        </w:rPr>
      </w:pPr>
      <w:r w:rsidRPr="00986D8A">
        <w:rPr>
          <w:rStyle w:val="FootnoteReference"/>
          <w:sz w:val="20"/>
        </w:rPr>
        <w:footnoteRef/>
      </w:r>
      <w:r w:rsidRPr="00986D8A">
        <w:rPr>
          <w:sz w:val="20"/>
        </w:rPr>
        <w:t xml:space="preserve"> </w:t>
      </w:r>
      <w:r>
        <w:rPr>
          <w:sz w:val="20"/>
        </w:rPr>
        <w:tab/>
      </w:r>
      <w:r w:rsidRPr="00986D8A">
        <w:rPr>
          <w:sz w:val="20"/>
        </w:rPr>
        <w:t>If you would like to include an alternative identifier, please describe the type of identifier provided.</w:t>
      </w:r>
    </w:p>
  </w:footnote>
  <w:footnote w:id="9">
    <w:p w14:paraId="07782FC3" w14:textId="77777777" w:rsidR="00DA5B8A" w:rsidRDefault="00DA5B8A" w:rsidP="00B84D74">
      <w:pPr>
        <w:pStyle w:val="FootnoteText"/>
        <w:ind w:left="450" w:hanging="450"/>
      </w:pPr>
      <w:r w:rsidRPr="00986D8A">
        <w:rPr>
          <w:rStyle w:val="FootnoteReference"/>
          <w:sz w:val="20"/>
        </w:rPr>
        <w:footnoteRef/>
      </w:r>
      <w:r w:rsidRPr="00986D8A">
        <w:rPr>
          <w:sz w:val="20"/>
        </w:rPr>
        <w:t xml:space="preserve"> </w:t>
      </w:r>
      <w:r>
        <w:rPr>
          <w:sz w:val="20"/>
        </w:rPr>
        <w:tab/>
      </w:r>
      <w:r w:rsidRPr="00986D8A">
        <w:rPr>
          <w:sz w:val="20"/>
        </w:rPr>
        <w:t>Only insert the name of the agent if this Letter is being completed by an agent on behalf of one or more Named Entities. If this Letter is being completed by the Named Entity, this line can be left blank, struck through, marked as not applicable or similar.</w:t>
      </w:r>
    </w:p>
  </w:footnote>
  <w:footnote w:id="10">
    <w:p w14:paraId="28CCFC78" w14:textId="77777777" w:rsidR="00DA5B8A" w:rsidRPr="00CD28FA" w:rsidRDefault="00DA5B8A">
      <w:pPr>
        <w:pStyle w:val="FootnoteText"/>
        <w:rPr>
          <w:sz w:val="20"/>
        </w:rPr>
      </w:pPr>
      <w:r w:rsidRPr="00CD28FA">
        <w:rPr>
          <w:rStyle w:val="FootnoteReference"/>
          <w:sz w:val="20"/>
        </w:rPr>
        <w:footnoteRef/>
      </w:r>
      <w:r w:rsidRPr="00CD28FA">
        <w:rPr>
          <w:sz w:val="20"/>
        </w:rPr>
        <w:t xml:space="preserve"> </w:t>
      </w:r>
      <w:r w:rsidRPr="00CD28FA">
        <w:rPr>
          <w:sz w:val="20"/>
        </w:rPr>
        <w:tab/>
      </w:r>
      <w:r w:rsidRPr="000A45A7">
        <w:rPr>
          <w:b/>
          <w:sz w:val="20"/>
        </w:rPr>
        <w:t>Important Note for Multi-Branch Entities</w:t>
      </w:r>
      <w:r w:rsidRPr="001C21CC">
        <w:rPr>
          <w:b/>
          <w:sz w:val="20"/>
        </w:rPr>
        <w:t>:</w:t>
      </w:r>
      <w:r w:rsidRPr="000A45A7">
        <w:rPr>
          <w:sz w:val="20"/>
        </w:rPr>
        <w:t xml:space="preserve">  For purposes of this item, an entity organized under the laws of the United States does </w:t>
      </w:r>
      <w:r w:rsidRPr="000A45A7">
        <w:rPr>
          <w:sz w:val="20"/>
          <w:u w:val="single"/>
        </w:rPr>
        <w:t>not</w:t>
      </w:r>
      <w:r w:rsidRPr="000A45A7">
        <w:rPr>
          <w:sz w:val="20"/>
        </w:rPr>
        <w:t xml:space="preserve"> include a U.S. branch or agency of a non-U.S. </w:t>
      </w:r>
      <w:r>
        <w:rPr>
          <w:sz w:val="20"/>
        </w:rPr>
        <w:t>entity</w:t>
      </w:r>
      <w:r w:rsidRPr="000A45A7">
        <w:rPr>
          <w:sz w:val="20"/>
        </w:rPr>
        <w:t xml:space="preserve">.  For example, if Named Entity is a banking organization that is not organized </w:t>
      </w:r>
      <w:r>
        <w:rPr>
          <w:sz w:val="20"/>
        </w:rPr>
        <w:t>in</w:t>
      </w:r>
      <w:r w:rsidRPr="000A45A7">
        <w:rPr>
          <w:sz w:val="20"/>
        </w:rPr>
        <w:t xml:space="preserve"> the United States</w:t>
      </w:r>
      <w:r>
        <w:rPr>
          <w:sz w:val="20"/>
        </w:rPr>
        <w:t>, Named Entity</w:t>
      </w:r>
      <w:r w:rsidRPr="000A45A7">
        <w:rPr>
          <w:sz w:val="20"/>
        </w:rPr>
        <w:t xml:space="preserve"> should check “No” for this item, even if </w:t>
      </w:r>
      <w:r>
        <w:rPr>
          <w:sz w:val="20"/>
        </w:rPr>
        <w:t>it</w:t>
      </w:r>
      <w:r w:rsidRPr="000A45A7">
        <w:rPr>
          <w:sz w:val="20"/>
        </w:rPr>
        <w:t xml:space="preserve"> has a branch or agency in the United States</w:t>
      </w:r>
      <w:r>
        <w:rPr>
          <w:sz w:val="20"/>
        </w:rPr>
        <w:t xml:space="preserve">, and should use Part II.F </w:t>
      </w:r>
      <w:r w:rsidRPr="000A45A7">
        <w:rPr>
          <w:sz w:val="20"/>
        </w:rPr>
        <w:t xml:space="preserve">to address </w:t>
      </w:r>
      <w:r>
        <w:rPr>
          <w:sz w:val="20"/>
        </w:rPr>
        <w:t xml:space="preserve">informational needs regarding </w:t>
      </w:r>
      <w:r w:rsidRPr="000A45A7">
        <w:rPr>
          <w:sz w:val="20"/>
        </w:rPr>
        <w:t xml:space="preserve">U.S. branch transactions.  </w:t>
      </w:r>
    </w:p>
  </w:footnote>
  <w:footnote w:id="11">
    <w:p w14:paraId="5AFE5D03" w14:textId="77777777" w:rsidR="00DA5B8A" w:rsidRPr="00686BC4" w:rsidRDefault="00DA5B8A" w:rsidP="00686BC4">
      <w:pPr>
        <w:pStyle w:val="FootnoteText"/>
        <w:rPr>
          <w:sz w:val="20"/>
        </w:rPr>
      </w:pPr>
      <w:r w:rsidRPr="00686BC4">
        <w:rPr>
          <w:rStyle w:val="FootnoteReference"/>
          <w:sz w:val="20"/>
        </w:rPr>
        <w:footnoteRef/>
      </w:r>
      <w:r w:rsidRPr="00686BC4">
        <w:rPr>
          <w:sz w:val="20"/>
        </w:rPr>
        <w:t xml:space="preserve"> </w:t>
      </w:r>
      <w:r w:rsidRPr="00686BC4">
        <w:rPr>
          <w:sz w:val="20"/>
        </w:rPr>
        <w:tab/>
      </w:r>
      <w:r w:rsidRPr="00686BC4">
        <w:rPr>
          <w:sz w:val="20"/>
          <w:lang w:val="x-none"/>
        </w:rPr>
        <w:t>The U</w:t>
      </w:r>
      <w:r>
        <w:rPr>
          <w:sz w:val="20"/>
        </w:rPr>
        <w:t>.</w:t>
      </w:r>
      <w:r w:rsidRPr="00686BC4">
        <w:rPr>
          <w:sz w:val="20"/>
          <w:lang w:val="x-none"/>
        </w:rPr>
        <w:t>S</w:t>
      </w:r>
      <w:r>
        <w:rPr>
          <w:sz w:val="20"/>
        </w:rPr>
        <w:t>.</w:t>
      </w:r>
      <w:r w:rsidRPr="00686BC4">
        <w:rPr>
          <w:sz w:val="20"/>
          <w:lang w:val="x-none"/>
        </w:rPr>
        <w:t xml:space="preserve"> </w:t>
      </w:r>
      <w:r>
        <w:rPr>
          <w:sz w:val="20"/>
        </w:rPr>
        <w:t>P</w:t>
      </w:r>
      <w:r w:rsidRPr="00686BC4">
        <w:rPr>
          <w:sz w:val="20"/>
          <w:lang w:val="x-none"/>
        </w:rPr>
        <w:t xml:space="preserve">rudential </w:t>
      </w:r>
      <w:r>
        <w:rPr>
          <w:sz w:val="20"/>
        </w:rPr>
        <w:t>R</w:t>
      </w:r>
      <w:r w:rsidRPr="00686BC4">
        <w:rPr>
          <w:sz w:val="20"/>
          <w:lang w:val="x-none"/>
        </w:rPr>
        <w:t>egulators indicated that they would “generally consider the entity to which the swap is</w:t>
      </w:r>
      <w:r w:rsidRPr="00686BC4">
        <w:rPr>
          <w:sz w:val="20"/>
        </w:rPr>
        <w:t xml:space="preserve"> </w:t>
      </w:r>
      <w:r w:rsidRPr="00686BC4">
        <w:rPr>
          <w:sz w:val="20"/>
          <w:lang w:val="x-none"/>
        </w:rPr>
        <w:t xml:space="preserve">booked as the counterparty” for purposes of section _.9 of the PR Margin Requirements. </w:t>
      </w:r>
      <w:r w:rsidRPr="003E56EA">
        <w:rPr>
          <w:i/>
          <w:sz w:val="20"/>
          <w:lang w:val="x-none"/>
        </w:rPr>
        <w:t>See</w:t>
      </w:r>
      <w:r w:rsidRPr="00686BC4">
        <w:rPr>
          <w:sz w:val="20"/>
          <w:lang w:val="x-none"/>
        </w:rPr>
        <w:t xml:space="preserve"> 80 Fed. Reg. at</w:t>
      </w:r>
      <w:r w:rsidRPr="00686BC4">
        <w:rPr>
          <w:sz w:val="20"/>
        </w:rPr>
        <w:t xml:space="preserve"> </w:t>
      </w:r>
      <w:r w:rsidRPr="00686BC4">
        <w:rPr>
          <w:sz w:val="20"/>
          <w:lang w:val="x-none"/>
        </w:rPr>
        <w:t>74883 &amp; n. 183</w:t>
      </w:r>
      <w:r w:rsidRPr="00686BC4">
        <w:rPr>
          <w:sz w:val="20"/>
        </w:rPr>
        <w:t>.</w:t>
      </w:r>
    </w:p>
  </w:footnote>
  <w:footnote w:id="12">
    <w:p w14:paraId="6B4318A0" w14:textId="77777777" w:rsidR="00DA5B8A" w:rsidRPr="00BC068A" w:rsidRDefault="00DA5B8A">
      <w:pPr>
        <w:pStyle w:val="FootnoteText"/>
        <w:rPr>
          <w:sz w:val="20"/>
        </w:rPr>
      </w:pPr>
      <w:r w:rsidRPr="00BC068A">
        <w:rPr>
          <w:rStyle w:val="FootnoteReference"/>
          <w:sz w:val="20"/>
        </w:rPr>
        <w:footnoteRef/>
      </w:r>
      <w:r w:rsidRPr="00BC068A">
        <w:rPr>
          <w:sz w:val="20"/>
        </w:rPr>
        <w:t xml:space="preserve"> </w:t>
      </w:r>
      <w:r>
        <w:rPr>
          <w:sz w:val="20"/>
        </w:rPr>
        <w:tab/>
        <w:t>When providing a response, please use the CFTC’s number system to identify the relevant no-action letter.</w:t>
      </w:r>
    </w:p>
  </w:footnote>
  <w:footnote w:id="13">
    <w:p w14:paraId="0814987B" w14:textId="77777777" w:rsidR="00DA5B8A" w:rsidRPr="003A3548" w:rsidRDefault="00DA5B8A" w:rsidP="003A3548">
      <w:pPr>
        <w:pStyle w:val="FootnoteText"/>
        <w:rPr>
          <w:sz w:val="20"/>
          <w:lang w:val="x-none"/>
        </w:rPr>
      </w:pPr>
      <w:r w:rsidRPr="003A3548">
        <w:rPr>
          <w:rStyle w:val="FootnoteReference"/>
          <w:sz w:val="20"/>
        </w:rPr>
        <w:footnoteRef/>
      </w:r>
      <w:r w:rsidRPr="003A3548">
        <w:rPr>
          <w:sz w:val="20"/>
        </w:rPr>
        <w:t xml:space="preserve"> </w:t>
      </w:r>
      <w:r>
        <w:rPr>
          <w:sz w:val="20"/>
        </w:rPr>
        <w:tab/>
      </w:r>
      <w:r w:rsidRPr="00073796">
        <w:rPr>
          <w:i/>
          <w:sz w:val="20"/>
          <w:lang w:val="x-none"/>
        </w:rPr>
        <w:t>See</w:t>
      </w:r>
      <w:r w:rsidRPr="003A3548">
        <w:rPr>
          <w:sz w:val="20"/>
          <w:lang w:val="x-none"/>
        </w:rPr>
        <w:t xml:space="preserve"> CFTC Reg. 50.50(b)(iii)(D). The CFTC has interpreted the meaning of “issuer of securities” in this context</w:t>
      </w:r>
      <w:r w:rsidRPr="003A3548">
        <w:rPr>
          <w:sz w:val="20"/>
        </w:rPr>
        <w:t xml:space="preserve"> </w:t>
      </w:r>
      <w:r w:rsidRPr="003A3548">
        <w:rPr>
          <w:sz w:val="20"/>
          <w:lang w:val="x-none"/>
        </w:rPr>
        <w:t>in the same manner as the SEC did in its proposal for implementing the end-user exception to mandatory</w:t>
      </w:r>
      <w:r w:rsidRPr="003A3548">
        <w:rPr>
          <w:sz w:val="20"/>
        </w:rPr>
        <w:t xml:space="preserve"> </w:t>
      </w:r>
      <w:r w:rsidRPr="003A3548">
        <w:rPr>
          <w:sz w:val="20"/>
          <w:lang w:val="x-none"/>
        </w:rPr>
        <w:t>clearing of security-based swaps, and so the phrase has been interpreted to cover entities that are “controlled”</w:t>
      </w:r>
      <w:r w:rsidRPr="003A3548">
        <w:rPr>
          <w:sz w:val="20"/>
        </w:rPr>
        <w:t xml:space="preserve"> </w:t>
      </w:r>
      <w:r w:rsidRPr="003A3548">
        <w:rPr>
          <w:sz w:val="20"/>
          <w:lang w:val="x-none"/>
        </w:rPr>
        <w:t xml:space="preserve">by issuers of securities. </w:t>
      </w:r>
      <w:r w:rsidRPr="00073796">
        <w:rPr>
          <w:i/>
          <w:sz w:val="20"/>
          <w:lang w:val="x-none"/>
        </w:rPr>
        <w:t>See</w:t>
      </w:r>
      <w:r w:rsidRPr="003A3548">
        <w:rPr>
          <w:sz w:val="20"/>
          <w:lang w:val="x-none"/>
        </w:rPr>
        <w:t xml:space="preserve"> 77 Fed. Reg. 42560, 42570 (July 19, 2012) (citing 75 Fed. Reg. 79992, 79996 &amp;</w:t>
      </w:r>
      <w:r w:rsidRPr="003A3548">
        <w:rPr>
          <w:sz w:val="20"/>
        </w:rPr>
        <w:t xml:space="preserve"> </w:t>
      </w:r>
      <w:r w:rsidRPr="003A3548">
        <w:rPr>
          <w:sz w:val="20"/>
          <w:lang w:val="x-none"/>
        </w:rPr>
        <w:t>n. 34 (Dec. 21, 2010)) (“[A] counterparty invoking the end-user clearing exception is considered by the [SEC]</w:t>
      </w:r>
      <w:r w:rsidRPr="003A3548">
        <w:rPr>
          <w:sz w:val="20"/>
        </w:rPr>
        <w:t xml:space="preserve"> </w:t>
      </w:r>
      <w:r w:rsidRPr="003A3548">
        <w:rPr>
          <w:sz w:val="20"/>
          <w:lang w:val="x-none"/>
        </w:rPr>
        <w:t>to be an issuer of securities registered under Exchange Act Section 12 or required to file reports pursuant to</w:t>
      </w:r>
      <w:r w:rsidRPr="003A3548">
        <w:rPr>
          <w:sz w:val="20"/>
        </w:rPr>
        <w:t xml:space="preserve"> </w:t>
      </w:r>
      <w:r w:rsidRPr="003A3548">
        <w:rPr>
          <w:sz w:val="20"/>
          <w:lang w:val="x-none"/>
        </w:rPr>
        <w:t>Exchange Act Section 15(d) if it is controlled by a person that is an issuer of securities registered under</w:t>
      </w:r>
      <w:r w:rsidRPr="003A3548">
        <w:rPr>
          <w:sz w:val="20"/>
        </w:rPr>
        <w:t xml:space="preserve"> </w:t>
      </w:r>
      <w:r w:rsidRPr="003A3548">
        <w:rPr>
          <w:sz w:val="20"/>
          <w:lang w:val="x-none"/>
        </w:rPr>
        <w:t>Exchange Act Section 12 or required to file reports pursuant to Exchange Act Section 15(d).”).</w:t>
      </w:r>
    </w:p>
    <w:p w14:paraId="192A5EF5" w14:textId="77777777" w:rsidR="00DA5B8A" w:rsidRPr="003A3548" w:rsidRDefault="00DA5B8A">
      <w:pPr>
        <w:pStyle w:val="FootnoteText"/>
        <w:rPr>
          <w:lang w:val="x-none"/>
        </w:rPr>
      </w:pPr>
    </w:p>
  </w:footnote>
  <w:footnote w:id="14">
    <w:p w14:paraId="0989A04B"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t xml:space="preserve">For the full discussion of how the CFTC interprets the term “affiliate conduit” (or alternately “conduit affiliate”), </w:t>
      </w:r>
      <w:r w:rsidRPr="00397F0F">
        <w:rPr>
          <w:i/>
          <w:sz w:val="20"/>
        </w:rPr>
        <w:t>see</w:t>
      </w:r>
      <w:r w:rsidRPr="0078138A">
        <w:rPr>
          <w:sz w:val="20"/>
        </w:rPr>
        <w:t xml:space="preserve"> the CFTC 2013 Interpretive Guidance at pp. 45358-59.  Note that the discussion indicates that the term “affiliate conduit” is not intended to include affiliates of swap dealers.  </w:t>
      </w:r>
    </w:p>
  </w:footnote>
  <w:footnote w:id="15">
    <w:p w14:paraId="7FD71510" w14:textId="77777777" w:rsidR="00DA5B8A" w:rsidRPr="0078138A" w:rsidRDefault="00DA5B8A" w:rsidP="00AE4FDF">
      <w:pPr>
        <w:pStyle w:val="FootnoteText"/>
        <w:tabs>
          <w:tab w:val="clear" w:pos="432"/>
        </w:tabs>
        <w:ind w:left="360" w:hanging="360"/>
        <w:rPr>
          <w:sz w:val="20"/>
        </w:rPr>
      </w:pPr>
      <w:r w:rsidRPr="0078138A">
        <w:rPr>
          <w:rStyle w:val="FootnoteReference"/>
          <w:sz w:val="20"/>
        </w:rPr>
        <w:footnoteRef/>
      </w:r>
      <w:r w:rsidRPr="0078138A">
        <w:rPr>
          <w:sz w:val="20"/>
        </w:rPr>
        <w:t xml:space="preserve"> </w:t>
      </w:r>
      <w:r w:rsidRPr="0078138A">
        <w:rPr>
          <w:sz w:val="20"/>
        </w:rPr>
        <w:tab/>
        <w:t>The concept of a majority-owned affiliate for these purposes is discussed in fn. 591 of the CFTC 2013 Interpretive Guidance.</w:t>
      </w:r>
    </w:p>
  </w:footnote>
  <w:footnote w:id="16">
    <w:p w14:paraId="79501360" w14:textId="77777777" w:rsidR="00DA5B8A" w:rsidRPr="0078138A" w:rsidRDefault="00DA5B8A" w:rsidP="00AE4FDF">
      <w:pPr>
        <w:pStyle w:val="FootnoteText"/>
        <w:tabs>
          <w:tab w:val="clear" w:pos="432"/>
        </w:tabs>
        <w:ind w:left="360" w:hanging="360"/>
        <w:rPr>
          <w:sz w:val="20"/>
        </w:rPr>
      </w:pPr>
      <w:r w:rsidRPr="0078138A">
        <w:rPr>
          <w:rStyle w:val="FootnoteReference"/>
          <w:sz w:val="20"/>
        </w:rPr>
        <w:footnoteRef/>
      </w:r>
      <w:r w:rsidRPr="0078138A">
        <w:rPr>
          <w:sz w:val="20"/>
        </w:rPr>
        <w:t xml:space="preserve"> </w:t>
      </w:r>
      <w:r w:rsidRPr="0078138A">
        <w:rPr>
          <w:sz w:val="20"/>
        </w:rPr>
        <w:tab/>
        <w:t xml:space="preserve">The concept of “control” for these purposes is discussed in fn. 592 of the CFTC 2013 Interpretive Guidance.  </w:t>
      </w:r>
    </w:p>
  </w:footnote>
  <w:footnote w:id="17">
    <w:p w14:paraId="100440CA" w14:textId="77777777" w:rsidR="00DA5B8A" w:rsidRPr="0078138A" w:rsidRDefault="00DA5B8A" w:rsidP="00AE4FDF">
      <w:pPr>
        <w:pStyle w:val="FootnoteText"/>
        <w:rPr>
          <w:sz w:val="20"/>
        </w:rPr>
      </w:pPr>
      <w:r w:rsidRPr="0078138A">
        <w:rPr>
          <w:rStyle w:val="FootnoteReference"/>
          <w:sz w:val="20"/>
        </w:rPr>
        <w:footnoteRef/>
      </w:r>
      <w:r w:rsidRPr="0078138A">
        <w:rPr>
          <w:sz w:val="20"/>
        </w:rPr>
        <w:t xml:space="preserve"> </w:t>
      </w:r>
      <w:r w:rsidRPr="0078138A">
        <w:rPr>
          <w:sz w:val="20"/>
        </w:rPr>
        <w:tab/>
        <w:t xml:space="preserve">Note that Section 705 of the Consolidated Appropriations Act, 2016, Pub. L. 114-113, made amendments to CEA § 2(h)(7)(D) and </w:t>
      </w:r>
      <w:r>
        <w:rPr>
          <w:sz w:val="20"/>
        </w:rPr>
        <w:t>SEA</w:t>
      </w:r>
      <w:r w:rsidRPr="0078138A">
        <w:rPr>
          <w:sz w:val="20"/>
        </w:rPr>
        <w:t xml:space="preserve"> § 3C(g)(4).</w:t>
      </w:r>
    </w:p>
  </w:footnote>
  <w:footnote w:id="18">
    <w:p w14:paraId="0E36430D"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t xml:space="preserve">For a full discussion of how the CFTC interpreted the term “guarantee,” </w:t>
      </w:r>
      <w:r w:rsidRPr="00397F0F">
        <w:rPr>
          <w:i/>
          <w:sz w:val="20"/>
        </w:rPr>
        <w:t>see</w:t>
      </w:r>
      <w:r w:rsidRPr="0078138A">
        <w:rPr>
          <w:sz w:val="20"/>
        </w:rPr>
        <w:t xml:space="preserve"> the CFTC 2013 Interpretive Guidance at p. 45320 &amp; fn. 267 and also at p. 45355. </w:t>
      </w:r>
    </w:p>
  </w:footnote>
  <w:footnote w:id="19">
    <w:p w14:paraId="52B71001" w14:textId="77777777" w:rsidR="00DA5B8A" w:rsidRPr="00D578AC" w:rsidRDefault="00DA5B8A" w:rsidP="00AE4FDF">
      <w:pPr>
        <w:pStyle w:val="FootnoteText"/>
        <w:ind w:left="360" w:hanging="360"/>
      </w:pPr>
      <w:r>
        <w:rPr>
          <w:rStyle w:val="FootnoteReference"/>
        </w:rPr>
        <w:footnoteRef/>
      </w:r>
      <w:r>
        <w:t xml:space="preserve"> </w:t>
      </w:r>
      <w:r>
        <w:tab/>
      </w:r>
      <w:r>
        <w:rPr>
          <w:sz w:val="20"/>
        </w:rPr>
        <w:t xml:space="preserve">The discussion in the preamble to the CFTC 2020 Rules indicates that a “U.S. Parent Entity” is a </w:t>
      </w:r>
      <w:r w:rsidRPr="00D578AC">
        <w:rPr>
          <w:sz w:val="20"/>
        </w:rPr>
        <w:t>Parent Entity</w:t>
      </w:r>
      <w:r>
        <w:rPr>
          <w:sz w:val="20"/>
        </w:rPr>
        <w:t xml:space="preserve"> that is also a </w:t>
      </w:r>
      <w:r w:rsidRPr="00D578AC">
        <w:rPr>
          <w:sz w:val="20"/>
        </w:rPr>
        <w:t>U.S. Person</w:t>
      </w:r>
      <w:r>
        <w:rPr>
          <w:sz w:val="20"/>
        </w:rPr>
        <w:t xml:space="preserve"> (CFTC 2020 Rules/SEC Rules)</w:t>
      </w:r>
      <w:r w:rsidRPr="00D578AC">
        <w:rPr>
          <w:sz w:val="20"/>
        </w:rPr>
        <w:t>.</w:t>
      </w:r>
      <w:r>
        <w:rPr>
          <w:sz w:val="20"/>
        </w:rPr>
        <w:t xml:space="preserve">  </w:t>
      </w:r>
      <w:r>
        <w:rPr>
          <w:i/>
          <w:sz w:val="20"/>
        </w:rPr>
        <w:t>See e.g.,</w:t>
      </w:r>
      <w:r w:rsidRPr="00D578AC">
        <w:t xml:space="preserve"> </w:t>
      </w:r>
      <w:r w:rsidRPr="00D578AC">
        <w:rPr>
          <w:sz w:val="20"/>
        </w:rPr>
        <w:t>85 F</w:t>
      </w:r>
      <w:r>
        <w:rPr>
          <w:sz w:val="20"/>
        </w:rPr>
        <w:t xml:space="preserve">ed. </w:t>
      </w:r>
      <w:r w:rsidRPr="00D578AC">
        <w:rPr>
          <w:sz w:val="20"/>
        </w:rPr>
        <w:t>R</w:t>
      </w:r>
      <w:r>
        <w:rPr>
          <w:sz w:val="20"/>
        </w:rPr>
        <w:t>eg.</w:t>
      </w:r>
      <w:r w:rsidRPr="00D578AC">
        <w:rPr>
          <w:sz w:val="20"/>
        </w:rPr>
        <w:t xml:space="preserve"> 56924, 56943</w:t>
      </w:r>
      <w:r>
        <w:rPr>
          <w:sz w:val="20"/>
        </w:rPr>
        <w:t>.</w:t>
      </w:r>
    </w:p>
  </w:footnote>
  <w:footnote w:id="20">
    <w:p w14:paraId="53EDDEBD" w14:textId="77777777" w:rsidR="00DA5B8A" w:rsidRPr="0078138A" w:rsidRDefault="00DA5B8A" w:rsidP="00AE4FDF">
      <w:pPr>
        <w:pStyle w:val="FootnoteText"/>
        <w:ind w:left="360" w:hanging="360"/>
        <w:rPr>
          <w:sz w:val="20"/>
        </w:rPr>
      </w:pPr>
      <w:r w:rsidRPr="0078138A">
        <w:rPr>
          <w:rStyle w:val="FootnoteReference"/>
          <w:sz w:val="20"/>
        </w:rPr>
        <w:footnoteRef/>
      </w:r>
      <w:r w:rsidRPr="0078138A">
        <w:rPr>
          <w:sz w:val="20"/>
        </w:rPr>
        <w:t xml:space="preserve"> </w:t>
      </w:r>
      <w:r w:rsidRPr="0078138A">
        <w:rPr>
          <w:sz w:val="20"/>
        </w:rPr>
        <w:tab/>
        <w:t xml:space="preserve">CFTC 2013 Interpretive Guidance at pp. 45316-17. </w:t>
      </w:r>
    </w:p>
  </w:footnote>
  <w:footnote w:id="21">
    <w:p w14:paraId="6786D379"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r>
      <w:r w:rsidRPr="00397F0F">
        <w:rPr>
          <w:i/>
          <w:sz w:val="20"/>
        </w:rPr>
        <w:t>See</w:t>
      </w:r>
      <w:r w:rsidRPr="0078138A">
        <w:rPr>
          <w:sz w:val="20"/>
        </w:rPr>
        <w:t xml:space="preserve"> the CFTC 2013 Interpretive Guidance at p. 45309 regarding the inclusion of legal entities that engage in non-profit activities, U.S. state, county and local governments and their agencies and instrumentalities.  The treatment of international financial institutions such as the World Bank is discussed at p. 45353 &amp; fn. 531.</w:t>
      </w:r>
    </w:p>
  </w:footnote>
  <w:footnote w:id="22">
    <w:p w14:paraId="3A6BA87E"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t xml:space="preserve">The CFTC indicates that the concept of “principal place of business” as applied to collective investment vehicles requires special consideration due to the nature of such vehicles.  In particular, the location of senior personnel responsible for implementing the vehicle’s investment strategy and for forming and/or promoting the vehicle is discussed.  For discussion of the relevant considerations, </w:t>
      </w:r>
      <w:r w:rsidRPr="00397F0F">
        <w:rPr>
          <w:i/>
          <w:sz w:val="20"/>
        </w:rPr>
        <w:t>see</w:t>
      </w:r>
      <w:r w:rsidRPr="0078138A">
        <w:rPr>
          <w:sz w:val="20"/>
        </w:rPr>
        <w:t xml:space="preserve"> the CFTC 2013 Interpretive Guidance at pp. 45309-12.   </w:t>
      </w:r>
    </w:p>
  </w:footnote>
  <w:footnote w:id="23">
    <w:p w14:paraId="4F2BB3F4"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t xml:space="preserve">For purposes of making this determination, the CFTC indicates that collective investment vehicles should “look through” direct investors in certain circumstances.  </w:t>
      </w:r>
      <w:r w:rsidRPr="00397F0F">
        <w:rPr>
          <w:i/>
          <w:sz w:val="20"/>
        </w:rPr>
        <w:t>See</w:t>
      </w:r>
      <w:r w:rsidRPr="0078138A">
        <w:rPr>
          <w:sz w:val="20"/>
        </w:rPr>
        <w:t xml:space="preserve"> the Interpretive Guidance at pp. 45313-14 for discussion of when a look-through is required.  In addition, the CFTC 2013Interpretive Guidance indicates that majority ownership for this purpose is “the beneficial ownership of more than 50 percent of the equity or voting interests.”  </w:t>
      </w:r>
    </w:p>
  </w:footnote>
  <w:footnote w:id="24">
    <w:p w14:paraId="5AA36ABC" w14:textId="77777777" w:rsidR="00DA5B8A" w:rsidRPr="0078138A" w:rsidRDefault="00DA5B8A" w:rsidP="00AE4FDF">
      <w:pPr>
        <w:pStyle w:val="FootnoteText"/>
        <w:ind w:left="360" w:hanging="360"/>
        <w:jc w:val="both"/>
        <w:rPr>
          <w:sz w:val="20"/>
        </w:rPr>
      </w:pPr>
      <w:r w:rsidRPr="0078138A">
        <w:rPr>
          <w:rStyle w:val="FootnoteReference"/>
          <w:sz w:val="20"/>
        </w:rPr>
        <w:footnoteRef/>
      </w:r>
      <w:r w:rsidRPr="0078138A">
        <w:rPr>
          <w:sz w:val="20"/>
        </w:rPr>
        <w:t xml:space="preserve"> </w:t>
      </w:r>
      <w:r w:rsidRPr="0078138A">
        <w:rPr>
          <w:sz w:val="20"/>
        </w:rPr>
        <w:tab/>
      </w:r>
      <w:r w:rsidRPr="00397F0F">
        <w:rPr>
          <w:i/>
          <w:sz w:val="20"/>
        </w:rPr>
        <w:t>See</w:t>
      </w:r>
      <w:r w:rsidRPr="0078138A">
        <w:rPr>
          <w:sz w:val="20"/>
        </w:rPr>
        <w:t xml:space="preserve"> the CFTC 2013</w:t>
      </w:r>
      <w:r>
        <w:rPr>
          <w:sz w:val="20"/>
        </w:rPr>
        <w:t xml:space="preserve"> </w:t>
      </w:r>
      <w:r w:rsidRPr="0078138A">
        <w:rPr>
          <w:sz w:val="20"/>
        </w:rPr>
        <w:t>Interpretive Guidance at p. 45314 regarding exclusion of collective investment vehicles that are publicly offered only to non-U.S. persons and not offered to U.S. persons from the U.S. Person Categories.</w:t>
      </w:r>
    </w:p>
  </w:footnote>
  <w:footnote w:id="25">
    <w:p w14:paraId="4A4298FF" w14:textId="77777777" w:rsidR="00DA5B8A" w:rsidRPr="00AC2BB6" w:rsidRDefault="00DA5B8A" w:rsidP="00AE4FDF">
      <w:pPr>
        <w:pStyle w:val="FootnoteText"/>
        <w:ind w:left="360" w:hanging="360"/>
        <w:jc w:val="both"/>
      </w:pPr>
      <w:r w:rsidRPr="0078138A">
        <w:rPr>
          <w:rStyle w:val="FootnoteReference"/>
          <w:sz w:val="20"/>
        </w:rPr>
        <w:footnoteRef/>
      </w:r>
      <w:r w:rsidRPr="0078138A">
        <w:rPr>
          <w:sz w:val="20"/>
        </w:rPr>
        <w:t xml:space="preserve"> </w:t>
      </w:r>
      <w:r w:rsidRPr="0078138A">
        <w:rPr>
          <w:sz w:val="20"/>
        </w:rPr>
        <w:tab/>
        <w:t xml:space="preserve">Regarding the circumstances in which a majority of the owners of an entity are considered to be U.S. persons with unlimited responsibility for the obligations and liabilities of the legal entity, </w:t>
      </w:r>
      <w:r w:rsidRPr="00397F0F">
        <w:rPr>
          <w:i/>
          <w:sz w:val="20"/>
        </w:rPr>
        <w:t>see</w:t>
      </w:r>
      <w:r w:rsidRPr="0078138A">
        <w:rPr>
          <w:sz w:val="20"/>
        </w:rPr>
        <w:t xml:space="preserve"> the CFTC 2013 Interpretive Guidance at pp. 45312-13.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8CA4AE"/>
    <w:name w:val="List Number 5"/>
    <w:lvl w:ilvl="0">
      <w:start w:val="1"/>
      <w:numFmt w:val="decimal"/>
      <w:lvlText w:val="%1."/>
      <w:lvlJc w:val="left"/>
      <w:pPr>
        <w:tabs>
          <w:tab w:val="num" w:pos="3600"/>
        </w:tabs>
        <w:ind w:left="3600" w:hanging="720"/>
      </w:pPr>
      <w:rPr>
        <w:rFonts w:hint="default"/>
      </w:rPr>
    </w:lvl>
  </w:abstractNum>
  <w:abstractNum w:abstractNumId="1" w15:restartNumberingAfterBreak="0">
    <w:nsid w:val="FFFFFF7D"/>
    <w:multiLevelType w:val="singleLevel"/>
    <w:tmpl w:val="4ADC3920"/>
    <w:name w:val="List Number 4"/>
    <w:lvl w:ilvl="0">
      <w:start w:val="1"/>
      <w:numFmt w:val="decimal"/>
      <w:lvlText w:val="%1."/>
      <w:lvlJc w:val="left"/>
      <w:pPr>
        <w:tabs>
          <w:tab w:val="num" w:pos="2880"/>
        </w:tabs>
        <w:ind w:left="2880" w:hanging="720"/>
      </w:pPr>
      <w:rPr>
        <w:rFonts w:hint="default"/>
      </w:rPr>
    </w:lvl>
  </w:abstractNum>
  <w:abstractNum w:abstractNumId="2" w15:restartNumberingAfterBreak="0">
    <w:nsid w:val="FFFFFF7E"/>
    <w:multiLevelType w:val="singleLevel"/>
    <w:tmpl w:val="B3A0B91E"/>
    <w:name w:val="List Number 3"/>
    <w:lvl w:ilvl="0">
      <w:start w:val="1"/>
      <w:numFmt w:val="decimal"/>
      <w:lvlText w:val="%1."/>
      <w:lvlJc w:val="left"/>
      <w:pPr>
        <w:tabs>
          <w:tab w:val="num" w:pos="2160"/>
        </w:tabs>
        <w:ind w:left="2160" w:hanging="720"/>
      </w:pPr>
      <w:rPr>
        <w:rFonts w:hint="default"/>
      </w:rPr>
    </w:lvl>
  </w:abstractNum>
  <w:abstractNum w:abstractNumId="3" w15:restartNumberingAfterBreak="0">
    <w:nsid w:val="FFFFFF7F"/>
    <w:multiLevelType w:val="singleLevel"/>
    <w:tmpl w:val="19AC4A0A"/>
    <w:name w:val="List Number 2"/>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4808E5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7899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C40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CBC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A7760"/>
    <w:name w:val="List Number"/>
    <w:lvl w:ilvl="0">
      <w:start w:val="1"/>
      <w:numFmt w:val="decimal"/>
      <w:lvlText w:val="%1."/>
      <w:lvlJc w:val="left"/>
      <w:pPr>
        <w:tabs>
          <w:tab w:val="num" w:pos="720"/>
        </w:tabs>
        <w:ind w:left="720" w:hanging="720"/>
      </w:pPr>
      <w:rPr>
        <w:rFonts w:hint="default"/>
      </w:rPr>
    </w:lvl>
  </w:abstractNum>
  <w:abstractNum w:abstractNumId="9" w15:restartNumberingAfterBreak="0">
    <w:nsid w:val="FFFFFF89"/>
    <w:multiLevelType w:val="singleLevel"/>
    <w:tmpl w:val="785CBD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9762D"/>
    <w:multiLevelType w:val="hybridMultilevel"/>
    <w:tmpl w:val="C8ECA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E22502"/>
    <w:multiLevelType w:val="hybridMultilevel"/>
    <w:tmpl w:val="5F8880EC"/>
    <w:name w:val="List Bullet 4"/>
    <w:lvl w:ilvl="0" w:tplc="EF589768">
      <w:start w:val="1"/>
      <w:numFmt w:val="bullet"/>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975BE"/>
    <w:multiLevelType w:val="multilevel"/>
    <w:tmpl w:val="B2C6F874"/>
    <w:name w:val="DP-Brief 3"/>
    <w:lvl w:ilvl="0">
      <w:start w:val="1"/>
      <w:numFmt w:val="upperRoman"/>
      <w:lvlRestart w:val="0"/>
      <w:pStyle w:val="Heading1"/>
      <w:suff w:val="nothing"/>
      <w:lvlText w:val="%1."/>
      <w:lvlJc w:val="left"/>
      <w:pPr>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upperLetter"/>
      <w:pStyle w:val="Heading2"/>
      <w:lvlText w:val="%2."/>
      <w:lvlJc w:val="left"/>
      <w:pPr>
        <w:ind w:left="720" w:hanging="720"/>
      </w:pPr>
      <w:rPr>
        <w:rFonts w:ascii="Times New Roman" w:hAnsi="Times New Roman" w:cs="Times New Roman" w:hint="default"/>
        <w:b/>
        <w:i w:val="0"/>
        <w:caps w:val="0"/>
        <w:strike w:val="0"/>
        <w:dstrike w:val="0"/>
        <w:vanish w:val="0"/>
        <w:color w:val="auto"/>
        <w:sz w:val="22"/>
        <w:szCs w:val="22"/>
        <w:u w:val="none"/>
        <w:vertAlign w:val="baseline"/>
      </w:rPr>
    </w:lvl>
    <w:lvl w:ilvl="2">
      <w:start w:val="1"/>
      <w:numFmt w:val="decimal"/>
      <w:pStyle w:val="Heading3"/>
      <w:lvlText w:val="%3."/>
      <w:lvlJc w:val="left"/>
      <w:pPr>
        <w:ind w:left="144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Heading4"/>
      <w:lvlText w:val="%4."/>
      <w:lvlJc w:val="left"/>
      <w:pPr>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Heading5"/>
      <w:lvlText w:val="%5."/>
      <w:lvlJc w:val="left"/>
      <w:pPr>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Heading6"/>
      <w:lvlText w:val="(%6)"/>
      <w:lvlJc w:val="left"/>
      <w:pPr>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Letter"/>
      <w:pStyle w:val="Heading7"/>
      <w:lvlText w:val="%7."/>
      <w:lvlJc w:val="left"/>
      <w:pPr>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pStyle w:val="Heading8"/>
      <w:lvlText w:val="%8."/>
      <w:lvlJc w:val="left"/>
      <w:pPr>
        <w:ind w:left="50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Heading9"/>
      <w:lvlText w:val="%9."/>
      <w:lvlJc w:val="left"/>
      <w:pPr>
        <w:ind w:left="57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3" w15:restartNumberingAfterBreak="0">
    <w:nsid w:val="239B3C7E"/>
    <w:multiLevelType w:val="hybridMultilevel"/>
    <w:tmpl w:val="B7E8F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72D53"/>
    <w:multiLevelType w:val="hybridMultilevel"/>
    <w:tmpl w:val="DF9E35EA"/>
    <w:name w:val="List Bullet 2"/>
    <w:lvl w:ilvl="0" w:tplc="B936D4C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2925"/>
    <w:multiLevelType w:val="hybridMultilevel"/>
    <w:tmpl w:val="4DF2B766"/>
    <w:lvl w:ilvl="0" w:tplc="626431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35EE5"/>
    <w:multiLevelType w:val="hybridMultilevel"/>
    <w:tmpl w:val="86D4F40E"/>
    <w:name w:val="List Bullet"/>
    <w:lvl w:ilvl="0" w:tplc="C07012E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200142"/>
    <w:multiLevelType w:val="hybridMultilevel"/>
    <w:tmpl w:val="F04A046E"/>
    <w:name w:val="List Bullet 3"/>
    <w:lvl w:ilvl="0" w:tplc="49A6D602">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73541"/>
    <w:multiLevelType w:val="hybridMultilevel"/>
    <w:tmpl w:val="88304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A7266F"/>
    <w:multiLevelType w:val="hybridMultilevel"/>
    <w:tmpl w:val="11D0BA52"/>
    <w:name w:val="List Bullet 5"/>
    <w:lvl w:ilvl="0" w:tplc="C0365250">
      <w:start w:val="1"/>
      <w:numFmt w:val="bullet"/>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41BD3"/>
    <w:multiLevelType w:val="hybridMultilevel"/>
    <w:tmpl w:val="DA884EE6"/>
    <w:lvl w:ilvl="0" w:tplc="332C8D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554D0"/>
    <w:multiLevelType w:val="hybridMultilevel"/>
    <w:tmpl w:val="E3829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11"/>
  </w:num>
  <w:num w:numId="4">
    <w:abstractNumId w:val="19"/>
  </w:num>
  <w:num w:numId="5">
    <w:abstractNumId w:val="16"/>
  </w:num>
  <w:num w:numId="6">
    <w:abstractNumId w:val="3"/>
  </w:num>
  <w:num w:numId="7">
    <w:abstractNumId w:val="2"/>
  </w:num>
  <w:num w:numId="8">
    <w:abstractNumId w:val="1"/>
  </w:num>
  <w:num w:numId="9">
    <w:abstractNumId w:val="0"/>
  </w:num>
  <w:num w:numId="10">
    <w:abstractNumId w:val="8"/>
  </w:num>
  <w:num w:numId="11">
    <w:abstractNumId w:val="16"/>
  </w:num>
  <w:num w:numId="12">
    <w:abstractNumId w:val="14"/>
  </w:num>
  <w:num w:numId="13">
    <w:abstractNumId w:val="17"/>
  </w:num>
  <w:num w:numId="14">
    <w:abstractNumId w:val="11"/>
  </w:num>
  <w:num w:numId="15">
    <w:abstractNumId w:val="19"/>
  </w:num>
  <w:num w:numId="16">
    <w:abstractNumId w:val="16"/>
  </w:num>
  <w:num w:numId="17">
    <w:abstractNumId w:val="3"/>
  </w:num>
  <w:num w:numId="18">
    <w:abstractNumId w:val="2"/>
  </w:num>
  <w:num w:numId="19">
    <w:abstractNumId w:val="1"/>
  </w:num>
  <w:num w:numId="20">
    <w:abstractNumId w:val="1"/>
  </w:num>
  <w:num w:numId="21">
    <w:abstractNumId w:val="14"/>
  </w:num>
  <w:num w:numId="22">
    <w:abstractNumId w:val="17"/>
  </w:num>
  <w:num w:numId="23">
    <w:abstractNumId w:val="11"/>
  </w:num>
  <w:num w:numId="24">
    <w:abstractNumId w:val="1"/>
  </w:num>
  <w:num w:numId="25">
    <w:abstractNumId w:val="0"/>
  </w:num>
  <w:num w:numId="26">
    <w:abstractNumId w:val="8"/>
  </w:num>
  <w:num w:numId="27">
    <w:abstractNumId w:val="9"/>
  </w:num>
  <w:num w:numId="28">
    <w:abstractNumId w:val="7"/>
  </w:num>
  <w:num w:numId="29">
    <w:abstractNumId w:val="6"/>
  </w:num>
  <w:num w:numId="30">
    <w:abstractNumId w:val="5"/>
  </w:num>
  <w:num w:numId="31">
    <w:abstractNumId w:val="4"/>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8"/>
  </w:num>
  <w:num w:numId="36">
    <w:abstractNumId w:val="10"/>
  </w:num>
  <w:num w:numId="37">
    <w:abstractNumId w:val="21"/>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D246D0"/>
    <w:rsid w:val="00000720"/>
    <w:rsid w:val="00001408"/>
    <w:rsid w:val="00001D25"/>
    <w:rsid w:val="000132AC"/>
    <w:rsid w:val="00016905"/>
    <w:rsid w:val="000236BC"/>
    <w:rsid w:val="00027CE8"/>
    <w:rsid w:val="0004235C"/>
    <w:rsid w:val="000424F9"/>
    <w:rsid w:val="00043314"/>
    <w:rsid w:val="00045D2F"/>
    <w:rsid w:val="00045F5A"/>
    <w:rsid w:val="00052C21"/>
    <w:rsid w:val="00053F21"/>
    <w:rsid w:val="000719FC"/>
    <w:rsid w:val="00072392"/>
    <w:rsid w:val="00073796"/>
    <w:rsid w:val="000920F9"/>
    <w:rsid w:val="000A45A7"/>
    <w:rsid w:val="000B0412"/>
    <w:rsid w:val="000C08D3"/>
    <w:rsid w:val="000C1094"/>
    <w:rsid w:val="000C15D6"/>
    <w:rsid w:val="000D0656"/>
    <w:rsid w:val="000E2176"/>
    <w:rsid w:val="000F1374"/>
    <w:rsid w:val="000F3377"/>
    <w:rsid w:val="00117B24"/>
    <w:rsid w:val="00126A0E"/>
    <w:rsid w:val="00127A1D"/>
    <w:rsid w:val="00131292"/>
    <w:rsid w:val="0013752A"/>
    <w:rsid w:val="001412C2"/>
    <w:rsid w:val="00162A35"/>
    <w:rsid w:val="001654C5"/>
    <w:rsid w:val="00166DDA"/>
    <w:rsid w:val="00171DF3"/>
    <w:rsid w:val="001765D1"/>
    <w:rsid w:val="00187655"/>
    <w:rsid w:val="001A06E3"/>
    <w:rsid w:val="001B3974"/>
    <w:rsid w:val="001B3D65"/>
    <w:rsid w:val="001C21CC"/>
    <w:rsid w:val="001C6AEA"/>
    <w:rsid w:val="001D23E0"/>
    <w:rsid w:val="001D69E4"/>
    <w:rsid w:val="001D6E2E"/>
    <w:rsid w:val="001D7D1B"/>
    <w:rsid w:val="001E5F3A"/>
    <w:rsid w:val="001E6530"/>
    <w:rsid w:val="001E7E74"/>
    <w:rsid w:val="001F26D6"/>
    <w:rsid w:val="001F45B0"/>
    <w:rsid w:val="0020611A"/>
    <w:rsid w:val="002156F8"/>
    <w:rsid w:val="002244AD"/>
    <w:rsid w:val="00230D44"/>
    <w:rsid w:val="0023160A"/>
    <w:rsid w:val="00234454"/>
    <w:rsid w:val="00245310"/>
    <w:rsid w:val="0025140D"/>
    <w:rsid w:val="002600F1"/>
    <w:rsid w:val="00261D70"/>
    <w:rsid w:val="002678AB"/>
    <w:rsid w:val="0027205F"/>
    <w:rsid w:val="00277EC8"/>
    <w:rsid w:val="0028048A"/>
    <w:rsid w:val="00285642"/>
    <w:rsid w:val="00286ABD"/>
    <w:rsid w:val="00293F4F"/>
    <w:rsid w:val="00297EA4"/>
    <w:rsid w:val="002A6D62"/>
    <w:rsid w:val="002B2987"/>
    <w:rsid w:val="002B3563"/>
    <w:rsid w:val="002B7442"/>
    <w:rsid w:val="002C21B1"/>
    <w:rsid w:val="002C5F82"/>
    <w:rsid w:val="002D4BE4"/>
    <w:rsid w:val="002E75E0"/>
    <w:rsid w:val="002F386B"/>
    <w:rsid w:val="002F3CE0"/>
    <w:rsid w:val="002F4A7C"/>
    <w:rsid w:val="002F5517"/>
    <w:rsid w:val="002F5ECD"/>
    <w:rsid w:val="002F7035"/>
    <w:rsid w:val="003126CA"/>
    <w:rsid w:val="0031368E"/>
    <w:rsid w:val="00313F48"/>
    <w:rsid w:val="0032197D"/>
    <w:rsid w:val="00331B9C"/>
    <w:rsid w:val="00335752"/>
    <w:rsid w:val="00335C8B"/>
    <w:rsid w:val="003400B4"/>
    <w:rsid w:val="00340921"/>
    <w:rsid w:val="003409FB"/>
    <w:rsid w:val="003511EF"/>
    <w:rsid w:val="0036770F"/>
    <w:rsid w:val="003721F2"/>
    <w:rsid w:val="0038215C"/>
    <w:rsid w:val="00383200"/>
    <w:rsid w:val="003A3548"/>
    <w:rsid w:val="003A6DFC"/>
    <w:rsid w:val="003B2409"/>
    <w:rsid w:val="003B7472"/>
    <w:rsid w:val="003C1FCB"/>
    <w:rsid w:val="003C6EC1"/>
    <w:rsid w:val="003E56EA"/>
    <w:rsid w:val="003F322F"/>
    <w:rsid w:val="003F3F05"/>
    <w:rsid w:val="003F7F9A"/>
    <w:rsid w:val="00401563"/>
    <w:rsid w:val="00402C14"/>
    <w:rsid w:val="004054E7"/>
    <w:rsid w:val="0040656F"/>
    <w:rsid w:val="00435F98"/>
    <w:rsid w:val="00446659"/>
    <w:rsid w:val="0045077D"/>
    <w:rsid w:val="0046272E"/>
    <w:rsid w:val="00464EFE"/>
    <w:rsid w:val="0047088D"/>
    <w:rsid w:val="00477D5B"/>
    <w:rsid w:val="004848A0"/>
    <w:rsid w:val="00490EB2"/>
    <w:rsid w:val="004928D1"/>
    <w:rsid w:val="0049308D"/>
    <w:rsid w:val="004A1DDC"/>
    <w:rsid w:val="004A1E6A"/>
    <w:rsid w:val="004A2F59"/>
    <w:rsid w:val="004A6B6C"/>
    <w:rsid w:val="004B6E53"/>
    <w:rsid w:val="004C1055"/>
    <w:rsid w:val="004C5EA0"/>
    <w:rsid w:val="004D2717"/>
    <w:rsid w:val="004D415D"/>
    <w:rsid w:val="004D7328"/>
    <w:rsid w:val="004F361F"/>
    <w:rsid w:val="004F6138"/>
    <w:rsid w:val="004F6E8C"/>
    <w:rsid w:val="00500AA8"/>
    <w:rsid w:val="0051062E"/>
    <w:rsid w:val="00513F20"/>
    <w:rsid w:val="0052420F"/>
    <w:rsid w:val="005302DF"/>
    <w:rsid w:val="00536281"/>
    <w:rsid w:val="00541C8A"/>
    <w:rsid w:val="00550027"/>
    <w:rsid w:val="00554226"/>
    <w:rsid w:val="005573A1"/>
    <w:rsid w:val="00562907"/>
    <w:rsid w:val="005712B4"/>
    <w:rsid w:val="00572F63"/>
    <w:rsid w:val="0057584A"/>
    <w:rsid w:val="00584D67"/>
    <w:rsid w:val="00595337"/>
    <w:rsid w:val="005B538F"/>
    <w:rsid w:val="005C77EB"/>
    <w:rsid w:val="005D189E"/>
    <w:rsid w:val="005D2FAD"/>
    <w:rsid w:val="005D456B"/>
    <w:rsid w:val="005D63FB"/>
    <w:rsid w:val="005E501C"/>
    <w:rsid w:val="005F00DE"/>
    <w:rsid w:val="005F2371"/>
    <w:rsid w:val="005F56C7"/>
    <w:rsid w:val="005F6B23"/>
    <w:rsid w:val="00605A0A"/>
    <w:rsid w:val="00606422"/>
    <w:rsid w:val="006069E7"/>
    <w:rsid w:val="00610330"/>
    <w:rsid w:val="00610C52"/>
    <w:rsid w:val="00614CE2"/>
    <w:rsid w:val="00615AAB"/>
    <w:rsid w:val="006173E3"/>
    <w:rsid w:val="0061746F"/>
    <w:rsid w:val="00621221"/>
    <w:rsid w:val="006232B3"/>
    <w:rsid w:val="00623ECB"/>
    <w:rsid w:val="00624F85"/>
    <w:rsid w:val="006262BD"/>
    <w:rsid w:val="006312D1"/>
    <w:rsid w:val="00642E98"/>
    <w:rsid w:val="00647C6B"/>
    <w:rsid w:val="006504CC"/>
    <w:rsid w:val="00654354"/>
    <w:rsid w:val="0066140C"/>
    <w:rsid w:val="006636EC"/>
    <w:rsid w:val="00664858"/>
    <w:rsid w:val="006650BF"/>
    <w:rsid w:val="00667A82"/>
    <w:rsid w:val="00672399"/>
    <w:rsid w:val="00672C89"/>
    <w:rsid w:val="00675FB0"/>
    <w:rsid w:val="00680CFE"/>
    <w:rsid w:val="0068336C"/>
    <w:rsid w:val="00686BC4"/>
    <w:rsid w:val="00691EF4"/>
    <w:rsid w:val="00694694"/>
    <w:rsid w:val="006967C8"/>
    <w:rsid w:val="006A5343"/>
    <w:rsid w:val="006C3359"/>
    <w:rsid w:val="006D267C"/>
    <w:rsid w:val="006D2D12"/>
    <w:rsid w:val="006D5027"/>
    <w:rsid w:val="006D5297"/>
    <w:rsid w:val="006E144D"/>
    <w:rsid w:val="006E48B7"/>
    <w:rsid w:val="006E557D"/>
    <w:rsid w:val="006F4CBC"/>
    <w:rsid w:val="006F536D"/>
    <w:rsid w:val="00701B85"/>
    <w:rsid w:val="007026D2"/>
    <w:rsid w:val="00703B1E"/>
    <w:rsid w:val="00704E47"/>
    <w:rsid w:val="007050DC"/>
    <w:rsid w:val="007159C9"/>
    <w:rsid w:val="0072186C"/>
    <w:rsid w:val="00723120"/>
    <w:rsid w:val="00725A5D"/>
    <w:rsid w:val="00732D64"/>
    <w:rsid w:val="00734BD0"/>
    <w:rsid w:val="0073698F"/>
    <w:rsid w:val="007403F4"/>
    <w:rsid w:val="00740951"/>
    <w:rsid w:val="007412FB"/>
    <w:rsid w:val="00742999"/>
    <w:rsid w:val="007471F6"/>
    <w:rsid w:val="0076154D"/>
    <w:rsid w:val="0076572B"/>
    <w:rsid w:val="00771127"/>
    <w:rsid w:val="007914CB"/>
    <w:rsid w:val="00793680"/>
    <w:rsid w:val="007A7419"/>
    <w:rsid w:val="007B059F"/>
    <w:rsid w:val="007B5655"/>
    <w:rsid w:val="007B5CFE"/>
    <w:rsid w:val="007C104B"/>
    <w:rsid w:val="007C1C33"/>
    <w:rsid w:val="007C1CE8"/>
    <w:rsid w:val="007C2E3C"/>
    <w:rsid w:val="007C6026"/>
    <w:rsid w:val="007D17BC"/>
    <w:rsid w:val="007D3F0D"/>
    <w:rsid w:val="007F4899"/>
    <w:rsid w:val="008039FC"/>
    <w:rsid w:val="008044B1"/>
    <w:rsid w:val="008063BB"/>
    <w:rsid w:val="0080697A"/>
    <w:rsid w:val="0081061F"/>
    <w:rsid w:val="00811696"/>
    <w:rsid w:val="00811927"/>
    <w:rsid w:val="00815126"/>
    <w:rsid w:val="00822842"/>
    <w:rsid w:val="00830721"/>
    <w:rsid w:val="008362A9"/>
    <w:rsid w:val="008451CD"/>
    <w:rsid w:val="0084642B"/>
    <w:rsid w:val="00846B2E"/>
    <w:rsid w:val="008502AD"/>
    <w:rsid w:val="00852A58"/>
    <w:rsid w:val="00852D3C"/>
    <w:rsid w:val="008542A2"/>
    <w:rsid w:val="0085630D"/>
    <w:rsid w:val="00861C09"/>
    <w:rsid w:val="0086633A"/>
    <w:rsid w:val="00866673"/>
    <w:rsid w:val="00867DE6"/>
    <w:rsid w:val="00871014"/>
    <w:rsid w:val="00882F6C"/>
    <w:rsid w:val="00885DCA"/>
    <w:rsid w:val="00887AA4"/>
    <w:rsid w:val="00893C87"/>
    <w:rsid w:val="00897712"/>
    <w:rsid w:val="008A03A0"/>
    <w:rsid w:val="008B2E87"/>
    <w:rsid w:val="008B407E"/>
    <w:rsid w:val="008B4601"/>
    <w:rsid w:val="008B696B"/>
    <w:rsid w:val="008C1CA2"/>
    <w:rsid w:val="008D15DB"/>
    <w:rsid w:val="008E0015"/>
    <w:rsid w:val="008E4069"/>
    <w:rsid w:val="00902FD9"/>
    <w:rsid w:val="00906E91"/>
    <w:rsid w:val="009102C4"/>
    <w:rsid w:val="0091580D"/>
    <w:rsid w:val="00916A93"/>
    <w:rsid w:val="00917A12"/>
    <w:rsid w:val="00924775"/>
    <w:rsid w:val="00937226"/>
    <w:rsid w:val="00942457"/>
    <w:rsid w:val="0094783A"/>
    <w:rsid w:val="00952EC9"/>
    <w:rsid w:val="009532F5"/>
    <w:rsid w:val="009556E5"/>
    <w:rsid w:val="00961A6E"/>
    <w:rsid w:val="009761D6"/>
    <w:rsid w:val="009842DC"/>
    <w:rsid w:val="00985F0D"/>
    <w:rsid w:val="00986D8A"/>
    <w:rsid w:val="009870CD"/>
    <w:rsid w:val="009905C0"/>
    <w:rsid w:val="00992912"/>
    <w:rsid w:val="009A71E5"/>
    <w:rsid w:val="009B72E9"/>
    <w:rsid w:val="009C1CAE"/>
    <w:rsid w:val="009C2BA9"/>
    <w:rsid w:val="009C38F2"/>
    <w:rsid w:val="009C4B09"/>
    <w:rsid w:val="009C4E34"/>
    <w:rsid w:val="009C5B27"/>
    <w:rsid w:val="009C7F81"/>
    <w:rsid w:val="009E1997"/>
    <w:rsid w:val="009E4E90"/>
    <w:rsid w:val="00A006CF"/>
    <w:rsid w:val="00A01DF9"/>
    <w:rsid w:val="00A0203B"/>
    <w:rsid w:val="00A077A1"/>
    <w:rsid w:val="00A07E10"/>
    <w:rsid w:val="00A2096C"/>
    <w:rsid w:val="00A249C1"/>
    <w:rsid w:val="00A31957"/>
    <w:rsid w:val="00A32661"/>
    <w:rsid w:val="00A34507"/>
    <w:rsid w:val="00A403AC"/>
    <w:rsid w:val="00A558D6"/>
    <w:rsid w:val="00A62565"/>
    <w:rsid w:val="00A64813"/>
    <w:rsid w:val="00A755A5"/>
    <w:rsid w:val="00A85758"/>
    <w:rsid w:val="00A90E1E"/>
    <w:rsid w:val="00A92F90"/>
    <w:rsid w:val="00AA2737"/>
    <w:rsid w:val="00AB40A5"/>
    <w:rsid w:val="00AB6E4F"/>
    <w:rsid w:val="00AC3102"/>
    <w:rsid w:val="00AC55C7"/>
    <w:rsid w:val="00AD2A65"/>
    <w:rsid w:val="00AD6A4F"/>
    <w:rsid w:val="00AE1C08"/>
    <w:rsid w:val="00AE1DBD"/>
    <w:rsid w:val="00AE4FDF"/>
    <w:rsid w:val="00AE7B71"/>
    <w:rsid w:val="00AF1FD7"/>
    <w:rsid w:val="00AF4719"/>
    <w:rsid w:val="00AF4BDB"/>
    <w:rsid w:val="00AF4E4F"/>
    <w:rsid w:val="00AF52E2"/>
    <w:rsid w:val="00AF6324"/>
    <w:rsid w:val="00B10AF2"/>
    <w:rsid w:val="00B12736"/>
    <w:rsid w:val="00B146B2"/>
    <w:rsid w:val="00B160EB"/>
    <w:rsid w:val="00B177B1"/>
    <w:rsid w:val="00B20D96"/>
    <w:rsid w:val="00B20F15"/>
    <w:rsid w:val="00B20F9C"/>
    <w:rsid w:val="00B26879"/>
    <w:rsid w:val="00B31DA5"/>
    <w:rsid w:val="00B35A94"/>
    <w:rsid w:val="00B45981"/>
    <w:rsid w:val="00B54F43"/>
    <w:rsid w:val="00B62535"/>
    <w:rsid w:val="00B65D81"/>
    <w:rsid w:val="00B714DD"/>
    <w:rsid w:val="00B80497"/>
    <w:rsid w:val="00B84D74"/>
    <w:rsid w:val="00B85B0C"/>
    <w:rsid w:val="00B85DC4"/>
    <w:rsid w:val="00BA0940"/>
    <w:rsid w:val="00BA2522"/>
    <w:rsid w:val="00BA662F"/>
    <w:rsid w:val="00BA665C"/>
    <w:rsid w:val="00BC068A"/>
    <w:rsid w:val="00BC3D94"/>
    <w:rsid w:val="00BE4AEF"/>
    <w:rsid w:val="00BF117B"/>
    <w:rsid w:val="00BF2489"/>
    <w:rsid w:val="00BF2E7E"/>
    <w:rsid w:val="00C031B8"/>
    <w:rsid w:val="00C079F3"/>
    <w:rsid w:val="00C11542"/>
    <w:rsid w:val="00C11E9A"/>
    <w:rsid w:val="00C15E7B"/>
    <w:rsid w:val="00C163C0"/>
    <w:rsid w:val="00C16EDC"/>
    <w:rsid w:val="00C2795F"/>
    <w:rsid w:val="00C32ECC"/>
    <w:rsid w:val="00C34DFE"/>
    <w:rsid w:val="00C52412"/>
    <w:rsid w:val="00C55B29"/>
    <w:rsid w:val="00C56BEC"/>
    <w:rsid w:val="00C73ECA"/>
    <w:rsid w:val="00C74BDD"/>
    <w:rsid w:val="00C90B6E"/>
    <w:rsid w:val="00CA09A8"/>
    <w:rsid w:val="00CA33E1"/>
    <w:rsid w:val="00CA5959"/>
    <w:rsid w:val="00CB4329"/>
    <w:rsid w:val="00CB4B17"/>
    <w:rsid w:val="00CB58DB"/>
    <w:rsid w:val="00CB7978"/>
    <w:rsid w:val="00CC18E1"/>
    <w:rsid w:val="00CC6C78"/>
    <w:rsid w:val="00CD11AA"/>
    <w:rsid w:val="00CD28FA"/>
    <w:rsid w:val="00CD4AE3"/>
    <w:rsid w:val="00CD7034"/>
    <w:rsid w:val="00CE36E2"/>
    <w:rsid w:val="00CE5646"/>
    <w:rsid w:val="00D02AFA"/>
    <w:rsid w:val="00D037C6"/>
    <w:rsid w:val="00D04AA6"/>
    <w:rsid w:val="00D1323D"/>
    <w:rsid w:val="00D23C06"/>
    <w:rsid w:val="00D246D0"/>
    <w:rsid w:val="00D262CF"/>
    <w:rsid w:val="00D35585"/>
    <w:rsid w:val="00D41491"/>
    <w:rsid w:val="00D41EB8"/>
    <w:rsid w:val="00D46752"/>
    <w:rsid w:val="00D53FB9"/>
    <w:rsid w:val="00D60095"/>
    <w:rsid w:val="00D72352"/>
    <w:rsid w:val="00D7673A"/>
    <w:rsid w:val="00D8388F"/>
    <w:rsid w:val="00D85305"/>
    <w:rsid w:val="00D855D5"/>
    <w:rsid w:val="00D8736C"/>
    <w:rsid w:val="00DA5B8A"/>
    <w:rsid w:val="00DB2BA0"/>
    <w:rsid w:val="00DB663F"/>
    <w:rsid w:val="00DC1F2A"/>
    <w:rsid w:val="00DC3F34"/>
    <w:rsid w:val="00DC6EBE"/>
    <w:rsid w:val="00DD20EA"/>
    <w:rsid w:val="00DE5C13"/>
    <w:rsid w:val="00DF17C0"/>
    <w:rsid w:val="00DF3119"/>
    <w:rsid w:val="00DF4004"/>
    <w:rsid w:val="00DF63F2"/>
    <w:rsid w:val="00E04DF3"/>
    <w:rsid w:val="00E13767"/>
    <w:rsid w:val="00E15426"/>
    <w:rsid w:val="00E23B35"/>
    <w:rsid w:val="00E24296"/>
    <w:rsid w:val="00E45DDB"/>
    <w:rsid w:val="00E45EFE"/>
    <w:rsid w:val="00E4746E"/>
    <w:rsid w:val="00E516C0"/>
    <w:rsid w:val="00E519B8"/>
    <w:rsid w:val="00E653A0"/>
    <w:rsid w:val="00E77C84"/>
    <w:rsid w:val="00E77D1F"/>
    <w:rsid w:val="00E97333"/>
    <w:rsid w:val="00EA5010"/>
    <w:rsid w:val="00EA7F9D"/>
    <w:rsid w:val="00EB0DD1"/>
    <w:rsid w:val="00EB546E"/>
    <w:rsid w:val="00EC16EB"/>
    <w:rsid w:val="00EC70BD"/>
    <w:rsid w:val="00EE1EB2"/>
    <w:rsid w:val="00EE6A6E"/>
    <w:rsid w:val="00EF66D0"/>
    <w:rsid w:val="00EF6E26"/>
    <w:rsid w:val="00F013A8"/>
    <w:rsid w:val="00F10216"/>
    <w:rsid w:val="00F13284"/>
    <w:rsid w:val="00F15B9B"/>
    <w:rsid w:val="00F16A42"/>
    <w:rsid w:val="00F24173"/>
    <w:rsid w:val="00F256D1"/>
    <w:rsid w:val="00F33117"/>
    <w:rsid w:val="00F4063C"/>
    <w:rsid w:val="00F52CEF"/>
    <w:rsid w:val="00F578BB"/>
    <w:rsid w:val="00F63100"/>
    <w:rsid w:val="00F70C94"/>
    <w:rsid w:val="00F873A4"/>
    <w:rsid w:val="00F90A20"/>
    <w:rsid w:val="00F95A1E"/>
    <w:rsid w:val="00F97431"/>
    <w:rsid w:val="00FA27F7"/>
    <w:rsid w:val="00FB1338"/>
    <w:rsid w:val="00FB1DC6"/>
    <w:rsid w:val="00FB29F8"/>
    <w:rsid w:val="00FB30B0"/>
    <w:rsid w:val="00FC0289"/>
    <w:rsid w:val="00FD43A0"/>
    <w:rsid w:val="00FE3813"/>
    <w:rsid w:val="00FE4D41"/>
    <w:rsid w:val="00FE58A1"/>
    <w:rsid w:val="00FF17BD"/>
    <w:rsid w:val="00FF4601"/>
    <w:rsid w:val="00FF6A8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2C0BA0F"/>
  <w15:docId w15:val="{EFB59636-83AD-4B42-9E18-33C12490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iPriority="99" w:unhideWhenUsed="1"/>
    <w:lsdException w:name="toc 7" w:semiHidden="1" w:unhideWhenUsed="1"/>
    <w:lsdException w:name="toc 8" w:semiHidden="1" w:unhideWhenUsed="1"/>
    <w:lsdException w:name="toc 9" w:semiHidden="1" w:uiPriority="99" w:unhideWhenUsed="1"/>
    <w:lsdException w:name="Normal Indent" w:semiHidden="1" w:uiPriority="54"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29" w:unhideWhenUsed="1"/>
    <w:lsdException w:name="caption" w:semiHidden="1" w:uiPriority="99" w:unhideWhenUsed="1" w:qFormat="1"/>
    <w:lsdException w:name="table of figures" w:semiHidden="1" w:uiPriority="2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uiPriority="29"/>
    <w:lsdException w:name="macro" w:semiHidden="1" w:unhideWhenUsed="1"/>
    <w:lsdException w:name="toa heading" w:semiHidden="1" w:uiPriority="2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11" w:unhideWhenUsed="1"/>
    <w:lsdException w:name="Signature" w:semiHidden="1" w:uiPriority="11" w:unhideWhenUsed="1"/>
    <w:lsdException w:name="Default Paragraph Font" w:semiHidden="1" w:uiPriority="1" w:unhideWhenUsed="1"/>
    <w:lsdException w:name="Body Text" w:semiHidden="1" w:uiPriority="2" w:unhideWhenUsed="1" w:qFormat="1"/>
    <w:lsdException w:name="Body Text Indent" w:semiHidden="1" w:uiPriority="24" w:unhideWhenUsed="1"/>
    <w:lsdException w:name="List Continue" w:semiHidden="1" w:unhideWhenUsed="1"/>
    <w:lsdException w:name="Message Header" w:semiHidden="1" w:unhideWhenUsed="1"/>
    <w:lsdException w:name="Subtitle" w:uiPriority="4" w:qFormat="1"/>
    <w:lsdException w:name="Salutation" w:semiHidden="1" w:uiPriority="11" w:unhideWhenUsed="1"/>
    <w:lsdException w:name="Date" w:semiHidden="1" w:unhideWhenUsed="1"/>
    <w:lsdException w:name="Body Text First Indent" w:semiHidden="1" w:uiPriority="24" w:unhideWhenUsed="1"/>
    <w:lsdException w:name="Body Text First Indent 2" w:semiHidden="1" w:uiPriority="24" w:unhideWhenUsed="1"/>
    <w:lsdException w:name="Note Heading" w:semiHidden="1" w:uiPriority="99" w:unhideWhenUsed="1"/>
    <w:lsdException w:name="Body Text 2" w:semiHidden="1" w:uiPriority="24" w:unhideWhenUsed="1"/>
    <w:lsdException w:name="Body Text 3" w:semiHidden="1" w:uiPriority="24" w:unhideWhenUsed="1"/>
    <w:lsdException w:name="Body Text Indent 2" w:semiHidden="1" w:uiPriority="24" w:unhideWhenUsed="1"/>
    <w:lsdException w:name="Body Text Indent 3" w:semiHidden="1" w:uiPriority="24" w:unhideWhenUsed="1"/>
    <w:lsdException w:name="Block Text" w:semiHidden="1" w:uiPriority="3" w:unhideWhenUsed="1" w:qFormat="1"/>
    <w:lsdException w:name="Hyperlink" w:semiHidden="1" w:uiPriority="99" w:unhideWhenUsed="1"/>
    <w:lsdException w:name="FollowedHyperlink" w:semiHidden="1" w:unhideWhenUsed="1"/>
    <w:lsdException w:name="Strong" w:qFormat="1"/>
    <w:lsdException w:name="Emphasis" w:uiPriority="44"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E26"/>
    <w:pPr>
      <w:spacing w:after="240"/>
    </w:pPr>
    <w:rPr>
      <w:rFonts w:cstheme="minorBidi"/>
      <w:sz w:val="24"/>
      <w:szCs w:val="24"/>
      <w:lang w:val="en-US" w:eastAsia="en-US"/>
    </w:rPr>
  </w:style>
  <w:style w:type="paragraph" w:styleId="Heading1">
    <w:name w:val="heading 1"/>
    <w:basedOn w:val="Normal"/>
    <w:next w:val="BodyText"/>
    <w:link w:val="Heading1Char"/>
    <w:pPr>
      <w:keepNext/>
      <w:numPr>
        <w:numId w:val="32"/>
      </w:numPr>
      <w:spacing w:before="240"/>
      <w:jc w:val="center"/>
      <w:outlineLvl w:val="0"/>
    </w:pPr>
    <w:rPr>
      <w:rFonts w:cs="Times New Roman"/>
      <w:szCs w:val="20"/>
    </w:rPr>
  </w:style>
  <w:style w:type="paragraph" w:styleId="Heading2">
    <w:name w:val="heading 2"/>
    <w:basedOn w:val="Normal"/>
    <w:next w:val="BodyText"/>
    <w:link w:val="Heading2Char"/>
    <w:pPr>
      <w:numPr>
        <w:ilvl w:val="1"/>
        <w:numId w:val="32"/>
      </w:numPr>
      <w:spacing w:before="240"/>
      <w:outlineLvl w:val="1"/>
    </w:pPr>
    <w:rPr>
      <w:rFonts w:eastAsia="Times New Roman" w:cs="Times New Roman"/>
      <w:szCs w:val="20"/>
    </w:rPr>
  </w:style>
  <w:style w:type="paragraph" w:styleId="Heading3">
    <w:name w:val="heading 3"/>
    <w:basedOn w:val="Normal"/>
    <w:next w:val="BodyText"/>
    <w:link w:val="Heading3Char"/>
    <w:pPr>
      <w:numPr>
        <w:ilvl w:val="2"/>
        <w:numId w:val="32"/>
      </w:numPr>
      <w:spacing w:before="240"/>
      <w:outlineLvl w:val="2"/>
    </w:pPr>
    <w:rPr>
      <w:rFonts w:eastAsia="Times New Roman" w:cs="Times New Roman"/>
      <w:szCs w:val="20"/>
    </w:rPr>
  </w:style>
  <w:style w:type="paragraph" w:styleId="Heading4">
    <w:name w:val="heading 4"/>
    <w:basedOn w:val="Normal"/>
    <w:next w:val="BodyTextIndent"/>
    <w:link w:val="Heading4Char"/>
    <w:pPr>
      <w:numPr>
        <w:ilvl w:val="3"/>
        <w:numId w:val="32"/>
      </w:numPr>
      <w:spacing w:before="240"/>
      <w:outlineLvl w:val="3"/>
    </w:pPr>
    <w:rPr>
      <w:rFonts w:cs="Times New Roman"/>
      <w:szCs w:val="20"/>
    </w:rPr>
  </w:style>
  <w:style w:type="paragraph" w:styleId="Heading5">
    <w:name w:val="heading 5"/>
    <w:basedOn w:val="Normal"/>
    <w:next w:val="BodyText"/>
    <w:link w:val="Heading5Char"/>
    <w:pPr>
      <w:numPr>
        <w:ilvl w:val="4"/>
        <w:numId w:val="32"/>
      </w:numPr>
      <w:spacing w:before="240"/>
      <w:outlineLvl w:val="4"/>
    </w:pPr>
    <w:rPr>
      <w:rFonts w:eastAsia="Times New Roman" w:cs="Times New Roman"/>
      <w:szCs w:val="20"/>
    </w:rPr>
  </w:style>
  <w:style w:type="paragraph" w:styleId="Heading6">
    <w:name w:val="heading 6"/>
    <w:basedOn w:val="Normal"/>
    <w:next w:val="BodyText"/>
    <w:link w:val="Heading6Char"/>
    <w:pPr>
      <w:numPr>
        <w:ilvl w:val="5"/>
        <w:numId w:val="32"/>
      </w:numPr>
      <w:spacing w:before="240"/>
      <w:outlineLvl w:val="5"/>
    </w:pPr>
    <w:rPr>
      <w:rFonts w:eastAsia="Times New Roman" w:cs="Times New Roman"/>
      <w:szCs w:val="20"/>
    </w:rPr>
  </w:style>
  <w:style w:type="paragraph" w:styleId="Heading7">
    <w:name w:val="heading 7"/>
    <w:basedOn w:val="Normal"/>
    <w:next w:val="BodyText"/>
    <w:link w:val="Heading7Char"/>
    <w:pPr>
      <w:numPr>
        <w:ilvl w:val="6"/>
        <w:numId w:val="32"/>
      </w:numPr>
      <w:spacing w:before="240"/>
      <w:outlineLvl w:val="6"/>
    </w:pPr>
    <w:rPr>
      <w:rFonts w:eastAsia="Times New Roman" w:cs="Times New Roman"/>
      <w:szCs w:val="20"/>
    </w:rPr>
  </w:style>
  <w:style w:type="paragraph" w:styleId="Heading8">
    <w:name w:val="heading 8"/>
    <w:basedOn w:val="Normal"/>
    <w:next w:val="BodyText"/>
    <w:link w:val="Heading8Char"/>
    <w:pPr>
      <w:numPr>
        <w:ilvl w:val="7"/>
        <w:numId w:val="32"/>
      </w:numPr>
      <w:spacing w:before="240"/>
      <w:outlineLvl w:val="7"/>
    </w:pPr>
    <w:rPr>
      <w:rFonts w:eastAsia="Times New Roman" w:cs="Times New Roman"/>
      <w:szCs w:val="20"/>
    </w:rPr>
  </w:style>
  <w:style w:type="paragraph" w:styleId="Heading9">
    <w:name w:val="heading 9"/>
    <w:basedOn w:val="Normal"/>
    <w:next w:val="BodyText"/>
    <w:link w:val="Heading9Char"/>
    <w:pPr>
      <w:numPr>
        <w:ilvl w:val="8"/>
        <w:numId w:val="32"/>
      </w:numPr>
      <w:spacing w:before="240"/>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uiPriority w:val="3"/>
    <w:qFormat/>
    <w:pPr>
      <w:spacing w:before="240"/>
      <w:ind w:left="1440" w:right="1440"/>
    </w:pPr>
    <w:rPr>
      <w:rFonts w:eastAsia="Times New Roman" w:cs="Times New Roman"/>
      <w:szCs w:val="20"/>
    </w:rPr>
  </w:style>
  <w:style w:type="paragraph" w:styleId="BodyText">
    <w:name w:val="Body Text"/>
    <w:basedOn w:val="Normal"/>
    <w:link w:val="BodyTextChar"/>
    <w:uiPriority w:val="2"/>
    <w:qFormat/>
    <w:pPr>
      <w:spacing w:before="240"/>
      <w:ind w:firstLine="720"/>
    </w:pPr>
    <w:rPr>
      <w:rFonts w:eastAsia="Times New Roman" w:cs="Times New Roman"/>
      <w:szCs w:val="20"/>
    </w:rPr>
  </w:style>
  <w:style w:type="character" w:customStyle="1" w:styleId="BodyTextChar">
    <w:name w:val="Body Text Char"/>
    <w:link w:val="BodyText"/>
    <w:uiPriority w:val="2"/>
    <w:rPr>
      <w:sz w:val="24"/>
      <w:lang w:val="en-US" w:eastAsia="en-US"/>
    </w:rPr>
  </w:style>
  <w:style w:type="paragraph" w:styleId="BodyText2">
    <w:name w:val="Body Text 2"/>
    <w:basedOn w:val="Normal"/>
    <w:link w:val="BodyText2Char"/>
    <w:uiPriority w:val="24"/>
    <w:pPr>
      <w:spacing w:after="0" w:line="480" w:lineRule="auto"/>
      <w:ind w:firstLine="720"/>
    </w:pPr>
    <w:rPr>
      <w:rFonts w:eastAsia="Times New Roman" w:cs="Times New Roman"/>
      <w:szCs w:val="20"/>
    </w:rPr>
  </w:style>
  <w:style w:type="character" w:customStyle="1" w:styleId="BodyText2Char">
    <w:name w:val="Body Text 2 Char"/>
    <w:link w:val="BodyText2"/>
    <w:uiPriority w:val="24"/>
    <w:rPr>
      <w:sz w:val="24"/>
      <w:lang w:val="en-US" w:eastAsia="en-US"/>
    </w:rPr>
  </w:style>
  <w:style w:type="paragraph" w:styleId="BodyText3">
    <w:name w:val="Body Text 3"/>
    <w:basedOn w:val="Normal"/>
    <w:link w:val="BodyText3Char"/>
    <w:uiPriority w:val="24"/>
    <w:pPr>
      <w:spacing w:before="240"/>
    </w:pPr>
    <w:rPr>
      <w:rFonts w:eastAsia="Times New Roman" w:cs="Times New Roman"/>
      <w:szCs w:val="16"/>
    </w:rPr>
  </w:style>
  <w:style w:type="character" w:customStyle="1" w:styleId="BodyText3Char">
    <w:name w:val="Body Text 3 Char"/>
    <w:link w:val="BodyText3"/>
    <w:uiPriority w:val="24"/>
    <w:rPr>
      <w:sz w:val="24"/>
      <w:szCs w:val="16"/>
      <w:lang w:val="en-US" w:eastAsia="en-US"/>
    </w:rPr>
  </w:style>
  <w:style w:type="paragraph" w:styleId="BodyTextFirstIndent">
    <w:name w:val="Body Text First Indent"/>
    <w:basedOn w:val="BodyText"/>
    <w:link w:val="BodyTextFirstIndentChar"/>
    <w:uiPriority w:val="24"/>
    <w:pPr>
      <w:ind w:left="720"/>
    </w:pPr>
  </w:style>
  <w:style w:type="character" w:customStyle="1" w:styleId="BodyTextFirstIndentChar">
    <w:name w:val="Body Text First Indent Char"/>
    <w:link w:val="BodyTextFirstIndent"/>
    <w:uiPriority w:val="24"/>
    <w:rPr>
      <w:sz w:val="24"/>
      <w:lang w:val="en-US" w:eastAsia="en-US"/>
    </w:rPr>
  </w:style>
  <w:style w:type="paragraph" w:styleId="BodyTextIndent">
    <w:name w:val="Body Text Indent"/>
    <w:basedOn w:val="Normal"/>
    <w:link w:val="BodyTextIndentChar"/>
    <w:uiPriority w:val="24"/>
    <w:pPr>
      <w:spacing w:before="240"/>
      <w:ind w:left="720"/>
    </w:pPr>
    <w:rPr>
      <w:rFonts w:eastAsia="Times New Roman" w:cs="Times New Roman"/>
      <w:szCs w:val="20"/>
    </w:rPr>
  </w:style>
  <w:style w:type="character" w:customStyle="1" w:styleId="BodyTextIndentChar">
    <w:name w:val="Body Text Indent Char"/>
    <w:link w:val="BodyTextIndent"/>
    <w:uiPriority w:val="24"/>
    <w:rPr>
      <w:sz w:val="24"/>
      <w:lang w:val="en-US" w:eastAsia="en-US"/>
    </w:rPr>
  </w:style>
  <w:style w:type="paragraph" w:styleId="BodyTextFirstIndent2">
    <w:name w:val="Body Text First Indent 2"/>
    <w:basedOn w:val="BodyText"/>
    <w:link w:val="BodyTextFirstIndent2Char"/>
    <w:uiPriority w:val="24"/>
    <w:pPr>
      <w:spacing w:after="0" w:line="480" w:lineRule="auto"/>
      <w:ind w:left="720"/>
    </w:pPr>
  </w:style>
  <w:style w:type="character" w:customStyle="1" w:styleId="BodyTextFirstIndent2Char">
    <w:name w:val="Body Text First Indent 2 Char"/>
    <w:link w:val="BodyTextFirstIndent2"/>
    <w:uiPriority w:val="24"/>
    <w:rPr>
      <w:sz w:val="24"/>
      <w:lang w:val="en-US" w:eastAsia="en-US"/>
    </w:rPr>
  </w:style>
  <w:style w:type="paragraph" w:styleId="BodyTextIndent2">
    <w:name w:val="Body Text Indent 2"/>
    <w:basedOn w:val="Normal"/>
    <w:link w:val="BodyTextIndent2Char"/>
    <w:uiPriority w:val="24"/>
    <w:pPr>
      <w:spacing w:after="0" w:line="480" w:lineRule="auto"/>
      <w:ind w:left="720"/>
    </w:pPr>
    <w:rPr>
      <w:rFonts w:eastAsia="Times New Roman" w:cs="Times New Roman"/>
      <w:szCs w:val="20"/>
    </w:rPr>
  </w:style>
  <w:style w:type="character" w:customStyle="1" w:styleId="BodyTextIndent2Char">
    <w:name w:val="Body Text Indent 2 Char"/>
    <w:link w:val="BodyTextIndent2"/>
    <w:uiPriority w:val="24"/>
    <w:rPr>
      <w:sz w:val="24"/>
      <w:lang w:val="en-US" w:eastAsia="en-US"/>
    </w:rPr>
  </w:style>
  <w:style w:type="paragraph" w:styleId="BodyTextIndent3">
    <w:name w:val="Body Text Indent 3"/>
    <w:basedOn w:val="Normal"/>
    <w:link w:val="BodyTextIndent3Char"/>
    <w:uiPriority w:val="24"/>
    <w:pPr>
      <w:ind w:left="720"/>
    </w:pPr>
    <w:rPr>
      <w:rFonts w:eastAsia="Times New Roman" w:cs="Times New Roman"/>
      <w:szCs w:val="16"/>
    </w:rPr>
  </w:style>
  <w:style w:type="character" w:customStyle="1" w:styleId="BodyTextIndent3Char">
    <w:name w:val="Body Text Indent 3 Char"/>
    <w:link w:val="BodyTextIndent3"/>
    <w:uiPriority w:val="24"/>
    <w:rPr>
      <w:sz w:val="24"/>
      <w:szCs w:val="16"/>
      <w:lang w:val="en-US" w:eastAsia="en-US"/>
    </w:rPr>
  </w:style>
  <w:style w:type="character" w:styleId="BookTitle">
    <w:name w:val="Book Title"/>
    <w:uiPriority w:val="99"/>
    <w:qFormat/>
    <w:rPr>
      <w:b/>
      <w:bCs/>
      <w:smallCaps/>
      <w:spacing w:val="5"/>
    </w:rPr>
  </w:style>
  <w:style w:type="paragraph" w:styleId="Caption">
    <w:name w:val="caption"/>
    <w:basedOn w:val="Normal"/>
    <w:next w:val="Normal"/>
    <w:uiPriority w:val="99"/>
    <w:qFormat/>
    <w:pPr>
      <w:keepNext/>
      <w:spacing w:after="0"/>
    </w:pPr>
    <w:rPr>
      <w:rFonts w:eastAsia="Times New Roman" w:cs="Times New Roman"/>
      <w:b/>
      <w:bCs/>
      <w:sz w:val="20"/>
      <w:szCs w:val="20"/>
    </w:rPr>
  </w:style>
  <w:style w:type="paragraph" w:customStyle="1" w:styleId="Center">
    <w:name w:val="Center"/>
    <w:basedOn w:val="Normal"/>
    <w:link w:val="CenterChar"/>
    <w:uiPriority w:val="4"/>
    <w:qFormat/>
    <w:pPr>
      <w:spacing w:before="240"/>
      <w:jc w:val="center"/>
    </w:pPr>
    <w:rPr>
      <w:rFonts w:eastAsia="Times New Roman" w:cs="Times New Roman"/>
      <w:szCs w:val="20"/>
    </w:rPr>
  </w:style>
  <w:style w:type="character" w:customStyle="1" w:styleId="CenterChar">
    <w:name w:val="Center Char"/>
    <w:link w:val="Center"/>
    <w:uiPriority w:val="4"/>
    <w:rPr>
      <w:sz w:val="24"/>
      <w:lang w:val="en-US" w:eastAsia="en-US"/>
    </w:rPr>
  </w:style>
  <w:style w:type="paragraph" w:styleId="Closing">
    <w:name w:val="Closing"/>
    <w:basedOn w:val="Normal"/>
    <w:link w:val="ClosingChar"/>
    <w:uiPriority w:val="11"/>
    <w:pPr>
      <w:keepLines/>
      <w:tabs>
        <w:tab w:val="left" w:pos="4752"/>
        <w:tab w:val="right" w:pos="8640"/>
      </w:tabs>
      <w:spacing w:before="480" w:after="480"/>
      <w:ind w:left="4320"/>
    </w:pPr>
    <w:rPr>
      <w:rFonts w:eastAsia="Times New Roman" w:cs="Times New Roman"/>
      <w:szCs w:val="20"/>
    </w:rPr>
  </w:style>
  <w:style w:type="character" w:customStyle="1" w:styleId="ClosingChar">
    <w:name w:val="Closing Char"/>
    <w:link w:val="Closing"/>
    <w:uiPriority w:val="11"/>
    <w:rPr>
      <w:sz w:val="24"/>
      <w:lang w:val="en-US" w:eastAsia="en-US"/>
    </w:rPr>
  </w:style>
  <w:style w:type="paragraph" w:customStyle="1" w:styleId="DPComment">
    <w:name w:val="DP Comment"/>
    <w:basedOn w:val="BodyText"/>
    <w:next w:val="BodyText"/>
    <w:uiPriority w:val="44"/>
    <w:rPr>
      <w:vanish/>
      <w:color w:val="FF0000"/>
    </w:rPr>
  </w:style>
  <w:style w:type="character" w:styleId="Emphasis">
    <w:name w:val="Emphasis"/>
    <w:uiPriority w:val="44"/>
    <w:rPr>
      <w:i/>
      <w:iCs/>
    </w:rPr>
  </w:style>
  <w:style w:type="paragraph" w:styleId="EndnoteText">
    <w:name w:val="endnote text"/>
    <w:basedOn w:val="Normal"/>
    <w:link w:val="EndnoteTextChar"/>
    <w:uiPriority w:val="99"/>
    <w:pPr>
      <w:spacing w:after="0"/>
    </w:pPr>
    <w:rPr>
      <w:rFonts w:eastAsia="Times New Roman" w:cs="Times New Roman"/>
      <w:szCs w:val="20"/>
    </w:rPr>
  </w:style>
  <w:style w:type="character" w:customStyle="1" w:styleId="EndnoteTextChar">
    <w:name w:val="Endnote Text Char"/>
    <w:link w:val="EndnoteText"/>
    <w:uiPriority w:val="99"/>
    <w:rPr>
      <w:sz w:val="24"/>
      <w:lang w:val="en-US" w:eastAsia="en-US"/>
    </w:rPr>
  </w:style>
  <w:style w:type="paragraph" w:styleId="EnvelopeAddress">
    <w:name w:val="envelope address"/>
    <w:basedOn w:val="Normal"/>
    <w:uiPriority w:val="99"/>
    <w:pPr>
      <w:framePr w:w="7920" w:h="1980" w:hRule="exact" w:hSpace="180" w:wrap="auto" w:hAnchor="page" w:xAlign="center" w:yAlign="bottom"/>
      <w:spacing w:after="0"/>
      <w:ind w:left="2880"/>
    </w:pPr>
    <w:rPr>
      <w:rFonts w:eastAsia="Times New Roman" w:cs="Arial"/>
    </w:rPr>
  </w:style>
  <w:style w:type="paragraph" w:styleId="EnvelopeReturn">
    <w:name w:val="envelope return"/>
    <w:basedOn w:val="Normal"/>
    <w:uiPriority w:val="99"/>
    <w:pPr>
      <w:spacing w:after="0"/>
    </w:pPr>
    <w:rPr>
      <w:rFonts w:eastAsia="Times New Roman" w:cs="Arial"/>
      <w:sz w:val="20"/>
      <w:szCs w:val="20"/>
    </w:rPr>
  </w:style>
  <w:style w:type="paragraph" w:customStyle="1" w:styleId="FlushRight">
    <w:name w:val="Flush Right"/>
    <w:basedOn w:val="Normal"/>
    <w:uiPriority w:val="11"/>
    <w:pPr>
      <w:spacing w:before="240"/>
      <w:jc w:val="right"/>
    </w:pPr>
    <w:rPr>
      <w:rFonts w:eastAsia="Times New Roman" w:cs="Times New Roman"/>
      <w:szCs w:val="20"/>
    </w:rPr>
  </w:style>
  <w:style w:type="paragraph" w:styleId="Footer">
    <w:name w:val="footer"/>
    <w:basedOn w:val="Normal"/>
    <w:link w:val="FooterChar"/>
    <w:uiPriority w:val="99"/>
    <w:pPr>
      <w:tabs>
        <w:tab w:val="center" w:pos="4320"/>
        <w:tab w:val="right" w:pos="8640"/>
      </w:tabs>
      <w:spacing w:after="0"/>
    </w:pPr>
    <w:rPr>
      <w:rFonts w:eastAsia="Times New Roman" w:cs="Times New Roman"/>
      <w:szCs w:val="20"/>
    </w:rPr>
  </w:style>
  <w:style w:type="character" w:customStyle="1" w:styleId="FooterChar">
    <w:name w:val="Footer Char"/>
    <w:link w:val="Footer"/>
    <w:uiPriority w:val="99"/>
    <w:rPr>
      <w:sz w:val="24"/>
      <w:lang w:val="en-US" w:eastAsia="en-US"/>
    </w:rPr>
  </w:style>
  <w:style w:type="character" w:styleId="FootnoteReference">
    <w:name w:val="footnote reference"/>
    <w:rPr>
      <w:vertAlign w:val="superscript"/>
    </w:rPr>
  </w:style>
  <w:style w:type="paragraph" w:styleId="FootnoteText">
    <w:name w:val="footnote text"/>
    <w:basedOn w:val="Normal"/>
    <w:link w:val="FootnoteTextChar"/>
    <w:uiPriority w:val="99"/>
    <w:pPr>
      <w:tabs>
        <w:tab w:val="left" w:pos="432"/>
      </w:tabs>
      <w:ind w:left="432" w:hanging="432"/>
    </w:pPr>
    <w:rPr>
      <w:rFonts w:eastAsia="Times New Roman" w:cs="Times New Roman"/>
      <w:szCs w:val="20"/>
    </w:rPr>
  </w:style>
  <w:style w:type="character" w:customStyle="1" w:styleId="FootnoteTextChar">
    <w:name w:val="Footnote Text Char"/>
    <w:link w:val="FootnoteText"/>
    <w:uiPriority w:val="99"/>
    <w:rPr>
      <w:sz w:val="24"/>
      <w:lang w:val="en-US" w:eastAsia="en-US"/>
    </w:rPr>
  </w:style>
  <w:style w:type="paragraph" w:customStyle="1" w:styleId="HangingIndent">
    <w:name w:val="Hanging Indent"/>
    <w:basedOn w:val="Normal"/>
    <w:uiPriority w:val="11"/>
    <w:pPr>
      <w:spacing w:before="240"/>
      <w:ind w:left="720" w:hanging="720"/>
    </w:pPr>
    <w:rPr>
      <w:rFonts w:eastAsia="Times New Roman" w:cs="Times New Roman"/>
      <w:szCs w:val="20"/>
    </w:rPr>
  </w:style>
  <w:style w:type="paragraph" w:styleId="Header">
    <w:name w:val="header"/>
    <w:basedOn w:val="Normal"/>
    <w:link w:val="HeaderChar"/>
    <w:uiPriority w:val="99"/>
    <w:pPr>
      <w:tabs>
        <w:tab w:val="center" w:pos="4320"/>
        <w:tab w:val="right" w:pos="8640"/>
      </w:tabs>
      <w:spacing w:after="0"/>
    </w:pPr>
    <w:rPr>
      <w:rFonts w:eastAsia="Times New Roman" w:cs="Times New Roman"/>
      <w:szCs w:val="20"/>
    </w:rPr>
  </w:style>
  <w:style w:type="character" w:customStyle="1" w:styleId="HeaderChar">
    <w:name w:val="Header Char"/>
    <w:link w:val="Header"/>
    <w:uiPriority w:val="99"/>
    <w:rPr>
      <w:sz w:val="24"/>
      <w:lang w:val="en-US" w:eastAsia="en-US"/>
    </w:rPr>
  </w:style>
  <w:style w:type="character" w:customStyle="1" w:styleId="Heading1Char">
    <w:name w:val="Heading 1 Char"/>
    <w:link w:val="Heading1"/>
    <w:rPr>
      <w:sz w:val="24"/>
      <w:lang w:val="en-US" w:eastAsia="en-US"/>
    </w:rPr>
  </w:style>
  <w:style w:type="character" w:customStyle="1" w:styleId="Heading2Char">
    <w:name w:val="Heading 2 Char"/>
    <w:link w:val="Heading2"/>
    <w:rPr>
      <w:rFonts w:eastAsia="Times New Roman"/>
      <w:sz w:val="24"/>
      <w:lang w:val="en-US" w:eastAsia="en-US"/>
    </w:rPr>
  </w:style>
  <w:style w:type="character" w:customStyle="1" w:styleId="Heading3Char">
    <w:name w:val="Heading 3 Char"/>
    <w:link w:val="Heading3"/>
    <w:rPr>
      <w:rFonts w:eastAsia="Times New Roman"/>
      <w:sz w:val="24"/>
      <w:lang w:val="en-US" w:eastAsia="en-US"/>
    </w:rPr>
  </w:style>
  <w:style w:type="character" w:customStyle="1" w:styleId="Heading4Char">
    <w:name w:val="Heading 4 Char"/>
    <w:link w:val="Heading4"/>
    <w:rPr>
      <w:sz w:val="24"/>
      <w:lang w:val="en-US" w:eastAsia="en-US"/>
    </w:rPr>
  </w:style>
  <w:style w:type="character" w:customStyle="1" w:styleId="Heading5Char">
    <w:name w:val="Heading 5 Char"/>
    <w:link w:val="Heading5"/>
    <w:rPr>
      <w:rFonts w:eastAsia="Times New Roman"/>
      <w:sz w:val="24"/>
      <w:lang w:val="en-US" w:eastAsia="en-US"/>
    </w:rPr>
  </w:style>
  <w:style w:type="character" w:customStyle="1" w:styleId="Heading6Char">
    <w:name w:val="Heading 6 Char"/>
    <w:link w:val="Heading6"/>
    <w:rPr>
      <w:rFonts w:eastAsia="Times New Roman"/>
      <w:sz w:val="24"/>
      <w:lang w:val="en-US" w:eastAsia="en-US"/>
    </w:rPr>
  </w:style>
  <w:style w:type="character" w:customStyle="1" w:styleId="Heading7Char">
    <w:name w:val="Heading 7 Char"/>
    <w:link w:val="Heading7"/>
    <w:rPr>
      <w:rFonts w:eastAsia="Times New Roman"/>
      <w:sz w:val="24"/>
      <w:lang w:val="en-US" w:eastAsia="en-US"/>
    </w:rPr>
  </w:style>
  <w:style w:type="character" w:customStyle="1" w:styleId="Heading8Char">
    <w:name w:val="Heading 8 Char"/>
    <w:link w:val="Heading8"/>
    <w:rPr>
      <w:rFonts w:eastAsia="Times New Roman"/>
      <w:sz w:val="24"/>
      <w:lang w:val="en-US" w:eastAsia="en-US"/>
    </w:rPr>
  </w:style>
  <w:style w:type="character" w:customStyle="1" w:styleId="Heading9Char">
    <w:name w:val="Heading 9 Char"/>
    <w:link w:val="Heading9"/>
    <w:rPr>
      <w:rFonts w:eastAsia="Times New Roman"/>
      <w:sz w:val="24"/>
      <w:lang w:val="en-US" w:eastAsia="en-US"/>
    </w:rPr>
  </w:style>
  <w:style w:type="paragraph" w:styleId="Index1">
    <w:name w:val="index 1"/>
    <w:basedOn w:val="Normal"/>
    <w:autoRedefine/>
    <w:uiPriority w:val="99"/>
    <w:pPr>
      <w:spacing w:after="0"/>
      <w:ind w:left="360" w:hanging="360"/>
    </w:pPr>
    <w:rPr>
      <w:rFonts w:eastAsia="Times New Roman" w:cs="Times New Roman"/>
      <w:szCs w:val="20"/>
    </w:rPr>
  </w:style>
  <w:style w:type="paragraph" w:styleId="Index2">
    <w:name w:val="index 2"/>
    <w:basedOn w:val="Normal"/>
    <w:autoRedefine/>
    <w:uiPriority w:val="99"/>
    <w:pPr>
      <w:spacing w:after="0"/>
      <w:ind w:left="720" w:hanging="360"/>
    </w:pPr>
    <w:rPr>
      <w:rFonts w:eastAsia="Times New Roman" w:cs="Times New Roman"/>
      <w:szCs w:val="20"/>
    </w:rPr>
  </w:style>
  <w:style w:type="paragraph" w:styleId="Index3">
    <w:name w:val="index 3"/>
    <w:basedOn w:val="Normal"/>
    <w:autoRedefine/>
    <w:uiPriority w:val="99"/>
    <w:pPr>
      <w:spacing w:after="0"/>
      <w:ind w:left="1080" w:hanging="360"/>
    </w:pPr>
    <w:rPr>
      <w:rFonts w:eastAsia="Times New Roman" w:cs="Times New Roman"/>
      <w:szCs w:val="20"/>
    </w:rPr>
  </w:style>
  <w:style w:type="paragraph" w:styleId="Index4">
    <w:name w:val="index 4"/>
    <w:basedOn w:val="Normal"/>
    <w:autoRedefine/>
    <w:uiPriority w:val="99"/>
    <w:pPr>
      <w:spacing w:after="0"/>
      <w:ind w:left="1440" w:hanging="360"/>
    </w:pPr>
    <w:rPr>
      <w:rFonts w:eastAsia="Times New Roman" w:cs="Times New Roman"/>
      <w:szCs w:val="20"/>
    </w:rPr>
  </w:style>
  <w:style w:type="paragraph" w:styleId="Index5">
    <w:name w:val="index 5"/>
    <w:basedOn w:val="Normal"/>
    <w:autoRedefine/>
    <w:uiPriority w:val="99"/>
    <w:pPr>
      <w:spacing w:after="0"/>
      <w:ind w:left="1800" w:hanging="360"/>
    </w:pPr>
    <w:rPr>
      <w:rFonts w:eastAsia="Times New Roman" w:cs="Times New Roman"/>
      <w:szCs w:val="20"/>
    </w:rPr>
  </w:style>
  <w:style w:type="paragraph" w:styleId="Index6">
    <w:name w:val="index 6"/>
    <w:basedOn w:val="Normal"/>
    <w:autoRedefine/>
    <w:uiPriority w:val="99"/>
    <w:pPr>
      <w:spacing w:after="0"/>
      <w:ind w:left="2160" w:hanging="360"/>
    </w:pPr>
    <w:rPr>
      <w:rFonts w:eastAsia="Times New Roman" w:cs="Times New Roman"/>
      <w:szCs w:val="20"/>
    </w:rPr>
  </w:style>
  <w:style w:type="paragraph" w:styleId="Index7">
    <w:name w:val="index 7"/>
    <w:basedOn w:val="Normal"/>
    <w:autoRedefine/>
    <w:uiPriority w:val="99"/>
    <w:pPr>
      <w:spacing w:after="0"/>
      <w:ind w:left="2520" w:hanging="360"/>
    </w:pPr>
    <w:rPr>
      <w:rFonts w:eastAsia="Times New Roman" w:cs="Times New Roman"/>
      <w:szCs w:val="20"/>
    </w:rPr>
  </w:style>
  <w:style w:type="paragraph" w:styleId="Index8">
    <w:name w:val="index 8"/>
    <w:basedOn w:val="Normal"/>
    <w:autoRedefine/>
    <w:uiPriority w:val="99"/>
    <w:pPr>
      <w:spacing w:after="0"/>
      <w:ind w:left="2880" w:hanging="360"/>
    </w:pPr>
    <w:rPr>
      <w:rFonts w:eastAsia="Times New Roman" w:cs="Times New Roman"/>
      <w:szCs w:val="20"/>
    </w:rPr>
  </w:style>
  <w:style w:type="paragraph" w:styleId="Index9">
    <w:name w:val="index 9"/>
    <w:basedOn w:val="Normal"/>
    <w:autoRedefine/>
    <w:uiPriority w:val="99"/>
    <w:pPr>
      <w:spacing w:after="0"/>
      <w:ind w:left="3240" w:hanging="360"/>
    </w:pPr>
    <w:rPr>
      <w:rFonts w:eastAsia="Times New Roman" w:cs="Times New Roman"/>
      <w:szCs w:val="20"/>
    </w:rPr>
  </w:style>
  <w:style w:type="paragraph" w:styleId="IndexHeading">
    <w:name w:val="index heading"/>
    <w:basedOn w:val="Normal"/>
    <w:next w:val="Index1"/>
    <w:uiPriority w:val="29"/>
    <w:pPr>
      <w:spacing w:after="0"/>
    </w:pPr>
    <w:rPr>
      <w:rFonts w:eastAsia="Times New Roman" w:cs="Arial"/>
      <w:b/>
      <w:bCs/>
      <w:szCs w:val="20"/>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240"/>
      <w:contextualSpacing/>
    </w:pPr>
    <w:rPr>
      <w:rFonts w:cstheme="minorBidi"/>
      <w:sz w:val="24"/>
      <w:szCs w:val="24"/>
      <w:lang w:val="en-US" w:eastAsia="en-US"/>
    </w:rPr>
  </w:style>
  <w:style w:type="character" w:customStyle="1" w:styleId="NoNumber">
    <w:name w:val="NoNumber"/>
    <w:uiPriority w:val="99"/>
    <w:semiHidden/>
    <w:rsid w:val="001412C2"/>
    <w:rPr>
      <w:rFonts w:ascii="Arial" w:hAnsi="Arial"/>
      <w:sz w:val="18"/>
    </w:rPr>
  </w:style>
  <w:style w:type="paragraph" w:styleId="NormalIndent">
    <w:name w:val="Normal Indent"/>
    <w:basedOn w:val="Normal"/>
    <w:uiPriority w:val="54"/>
    <w:pPr>
      <w:spacing w:after="0"/>
      <w:ind w:left="1440"/>
    </w:pPr>
    <w:rPr>
      <w:rFonts w:eastAsia="Times New Roman" w:cs="Times New Roman"/>
      <w:szCs w:val="20"/>
    </w:rPr>
  </w:style>
  <w:style w:type="paragraph" w:styleId="NoteHeading">
    <w:name w:val="Note Heading"/>
    <w:basedOn w:val="Normal"/>
    <w:next w:val="Normal"/>
    <w:link w:val="NoteHeadingChar"/>
    <w:uiPriority w:val="99"/>
    <w:pPr>
      <w:spacing w:after="0"/>
    </w:pPr>
    <w:rPr>
      <w:rFonts w:eastAsia="Times New Roman" w:cs="Times New Roman"/>
      <w:szCs w:val="20"/>
    </w:rPr>
  </w:style>
  <w:style w:type="character" w:customStyle="1" w:styleId="NoteHeadingChar">
    <w:name w:val="Note Heading Char"/>
    <w:link w:val="NoteHeading"/>
    <w:uiPriority w:val="99"/>
    <w:rPr>
      <w:sz w:val="24"/>
      <w:lang w:val="en-US" w:eastAsia="en-US"/>
    </w:rPr>
  </w:style>
  <w:style w:type="character" w:styleId="PageNumber">
    <w:name w:val="page number"/>
    <w:uiPriority w:val="99"/>
    <w:rPr>
      <w:rFonts w:ascii="Times New Roman" w:hAnsi="Times New Roman"/>
      <w:sz w:val="24"/>
    </w:rPr>
  </w:style>
  <w:style w:type="paragraph" w:styleId="PlainText">
    <w:name w:val="Plain Text"/>
    <w:basedOn w:val="Normal"/>
    <w:link w:val="PlainTextChar"/>
    <w:uiPriority w:val="99"/>
    <w:unhideWhenUsed/>
    <w:pPr>
      <w:spacing w:after="0"/>
    </w:pPr>
    <w:rPr>
      <w:rFonts w:eastAsia="Times New Roman" w:cs="Courier New"/>
      <w:szCs w:val="20"/>
    </w:rPr>
  </w:style>
  <w:style w:type="character" w:customStyle="1" w:styleId="PlainTextChar">
    <w:name w:val="Plain Text Char"/>
    <w:link w:val="PlainText"/>
    <w:uiPriority w:val="99"/>
    <w:rPr>
      <w:rFonts w:cs="Courier New"/>
      <w:sz w:val="24"/>
      <w:lang w:val="en-US" w:eastAsia="en-US"/>
    </w:rPr>
  </w:style>
  <w:style w:type="paragraph" w:styleId="Quote">
    <w:name w:val="Quote"/>
    <w:basedOn w:val="Normal"/>
    <w:next w:val="Normal"/>
    <w:link w:val="QuoteChar"/>
    <w:uiPriority w:val="44"/>
    <w:rPr>
      <w:i/>
      <w:iCs/>
      <w:color w:val="000000"/>
    </w:rPr>
  </w:style>
  <w:style w:type="character" w:customStyle="1" w:styleId="QuoteChar">
    <w:name w:val="Quote Char"/>
    <w:link w:val="Quote"/>
    <w:uiPriority w:val="44"/>
    <w:rPr>
      <w:rFonts w:eastAsiaTheme="minorHAnsi" w:cstheme="minorBidi"/>
      <w:i/>
      <w:iCs/>
      <w:color w:val="000000"/>
      <w:sz w:val="24"/>
      <w:szCs w:val="24"/>
      <w:lang w:val="en-US" w:eastAsia="en-US"/>
    </w:rPr>
  </w:style>
  <w:style w:type="paragraph" w:styleId="Salutation">
    <w:name w:val="Salutation"/>
    <w:basedOn w:val="Normal"/>
    <w:next w:val="Normal"/>
    <w:link w:val="SalutationChar"/>
    <w:uiPriority w:val="11"/>
    <w:pPr>
      <w:spacing w:after="0"/>
    </w:pPr>
    <w:rPr>
      <w:rFonts w:eastAsia="Times New Roman" w:cs="Times New Roman"/>
      <w:szCs w:val="20"/>
    </w:rPr>
  </w:style>
  <w:style w:type="character" w:customStyle="1" w:styleId="SalutationChar">
    <w:name w:val="Salutation Char"/>
    <w:link w:val="Salutation"/>
    <w:uiPriority w:val="11"/>
    <w:rPr>
      <w:sz w:val="24"/>
      <w:lang w:val="en-US" w:eastAsia="en-US"/>
    </w:rPr>
  </w:style>
  <w:style w:type="paragraph" w:styleId="Signature">
    <w:name w:val="Signature"/>
    <w:basedOn w:val="Normal"/>
    <w:link w:val="SignatureChar"/>
    <w:uiPriority w:val="11"/>
    <w:pPr>
      <w:keepLines/>
      <w:tabs>
        <w:tab w:val="left" w:pos="4752"/>
        <w:tab w:val="right" w:pos="8640"/>
      </w:tabs>
      <w:spacing w:before="480" w:after="480"/>
      <w:ind w:left="4320"/>
    </w:pPr>
    <w:rPr>
      <w:rFonts w:eastAsia="Times New Roman" w:cs="Times New Roman"/>
      <w:szCs w:val="20"/>
    </w:rPr>
  </w:style>
  <w:style w:type="character" w:customStyle="1" w:styleId="SignatureChar">
    <w:name w:val="Signature Char"/>
    <w:link w:val="Signature"/>
    <w:uiPriority w:val="11"/>
    <w:rPr>
      <w:sz w:val="24"/>
      <w:lang w:val="en-US" w:eastAsia="en-US"/>
    </w:rPr>
  </w:style>
  <w:style w:type="paragraph" w:customStyle="1" w:styleId="SignatureLeft">
    <w:name w:val="Signature Left"/>
    <w:basedOn w:val="Normal"/>
    <w:uiPriority w:val="11"/>
    <w:pPr>
      <w:keepLines/>
      <w:tabs>
        <w:tab w:val="left" w:pos="432"/>
        <w:tab w:val="right" w:pos="4320"/>
      </w:tabs>
      <w:spacing w:before="480" w:after="480"/>
    </w:pPr>
    <w:rPr>
      <w:rFonts w:eastAsia="Times New Roman" w:cs="Times New Roman"/>
      <w:szCs w:val="20"/>
    </w:rPr>
  </w:style>
  <w:style w:type="paragraph" w:styleId="Subtitle">
    <w:name w:val="Subtitle"/>
    <w:basedOn w:val="Normal"/>
    <w:next w:val="BodyText"/>
    <w:link w:val="SubtitleChar"/>
    <w:uiPriority w:val="4"/>
    <w:qFormat/>
    <w:pPr>
      <w:keepNext/>
      <w:spacing w:before="240"/>
      <w:jc w:val="center"/>
    </w:pPr>
    <w:rPr>
      <w:rFonts w:eastAsia="Times New Roman" w:cs="Times New Roman"/>
      <w:szCs w:val="20"/>
    </w:rPr>
  </w:style>
  <w:style w:type="character" w:customStyle="1" w:styleId="SubtitleChar">
    <w:name w:val="Subtitle Char"/>
    <w:link w:val="Subtitle"/>
    <w:uiPriority w:val="4"/>
    <w:rPr>
      <w:sz w:val="24"/>
      <w:lang w:val="en-US" w:eastAsia="en-US"/>
    </w:rPr>
  </w:style>
  <w:style w:type="paragraph" w:customStyle="1" w:styleId="Table">
    <w:name w:val="Table"/>
    <w:basedOn w:val="Normal"/>
    <w:uiPriority w:val="14"/>
    <w:qFormat/>
    <w:pPr>
      <w:spacing w:after="0"/>
    </w:pPr>
    <w:rPr>
      <w:rFonts w:eastAsia="Times New Roman" w:cs="Times New Roman"/>
      <w:szCs w:val="20"/>
    </w:rPr>
  </w:style>
  <w:style w:type="paragraph" w:customStyle="1" w:styleId="TableFinancial">
    <w:name w:val="Table Financial"/>
    <w:basedOn w:val="Normal"/>
    <w:next w:val="Normal"/>
    <w:uiPriority w:val="17"/>
    <w:pPr>
      <w:tabs>
        <w:tab w:val="left" w:pos="216"/>
        <w:tab w:val="decimal" w:pos="432"/>
      </w:tabs>
      <w:spacing w:after="0"/>
    </w:pPr>
    <w:rPr>
      <w:rFonts w:eastAsia="Times New Roman" w:cs="Times New Roman"/>
      <w:szCs w:val="20"/>
    </w:rPr>
  </w:style>
  <w:style w:type="paragraph" w:styleId="TableofAuthorities">
    <w:name w:val="table of authorities"/>
    <w:basedOn w:val="Normal"/>
    <w:next w:val="Normal"/>
    <w:uiPriority w:val="29"/>
    <w:unhideWhenUsed/>
    <w:pPr>
      <w:spacing w:after="0"/>
      <w:ind w:left="240" w:hanging="240"/>
    </w:pPr>
    <w:rPr>
      <w:rFonts w:eastAsia="Times New Roman" w:cs="Times New Roman"/>
      <w:szCs w:val="20"/>
    </w:rPr>
  </w:style>
  <w:style w:type="paragraph" w:styleId="TableofFigures">
    <w:name w:val="table of figures"/>
    <w:basedOn w:val="Normal"/>
    <w:next w:val="Normal"/>
    <w:uiPriority w:val="29"/>
    <w:unhideWhenUsed/>
    <w:pPr>
      <w:spacing w:after="0"/>
      <w:ind w:left="432" w:hanging="432"/>
    </w:pPr>
    <w:rPr>
      <w:rFonts w:eastAsia="Times New Roman" w:cs="Times New Roman"/>
      <w:szCs w:val="20"/>
    </w:rPr>
  </w:style>
  <w:style w:type="character" w:customStyle="1" w:styleId="Table10pt">
    <w:name w:val="Table10pt"/>
    <w:uiPriority w:val="15"/>
    <w:rPr>
      <w:sz w:val="20"/>
    </w:rPr>
  </w:style>
  <w:style w:type="character" w:customStyle="1" w:styleId="Table11pt">
    <w:name w:val="Table11pt"/>
    <w:uiPriority w:val="15"/>
    <w:rPr>
      <w:sz w:val="22"/>
    </w:rPr>
  </w:style>
  <w:style w:type="character" w:customStyle="1" w:styleId="Table8pt">
    <w:name w:val="Table8pt"/>
    <w:uiPriority w:val="14"/>
    <w:rPr>
      <w:sz w:val="16"/>
    </w:rPr>
  </w:style>
  <w:style w:type="character" w:customStyle="1" w:styleId="Table9pt">
    <w:name w:val="Table9pt"/>
    <w:uiPriority w:val="14"/>
    <w:rPr>
      <w:sz w:val="18"/>
    </w:rPr>
  </w:style>
  <w:style w:type="paragraph" w:customStyle="1" w:styleId="TableNote10pt">
    <w:name w:val="TableNote10pt"/>
    <w:basedOn w:val="Normal"/>
    <w:uiPriority w:val="17"/>
    <w:pPr>
      <w:spacing w:after="0"/>
      <w:ind w:left="432" w:hanging="432"/>
    </w:pPr>
    <w:rPr>
      <w:rFonts w:eastAsia="Times New Roman" w:cs="Times New Roman"/>
      <w:sz w:val="20"/>
      <w:szCs w:val="20"/>
    </w:rPr>
  </w:style>
  <w:style w:type="paragraph" w:customStyle="1" w:styleId="TableNote11pt">
    <w:name w:val="TableNote11pt"/>
    <w:basedOn w:val="Normal"/>
    <w:uiPriority w:val="17"/>
    <w:pPr>
      <w:spacing w:after="0"/>
      <w:ind w:left="432" w:hanging="432"/>
    </w:pPr>
    <w:rPr>
      <w:rFonts w:eastAsia="Times New Roman" w:cs="Times New Roman"/>
      <w:sz w:val="22"/>
      <w:szCs w:val="20"/>
    </w:rPr>
  </w:style>
  <w:style w:type="paragraph" w:customStyle="1" w:styleId="TableNote8pt">
    <w:name w:val="TableNote8pt"/>
    <w:basedOn w:val="Normal"/>
    <w:uiPriority w:val="16"/>
    <w:pPr>
      <w:spacing w:after="0"/>
      <w:ind w:left="432" w:hanging="432"/>
    </w:pPr>
    <w:rPr>
      <w:rFonts w:eastAsia="Times New Roman" w:cs="Times New Roman"/>
      <w:sz w:val="16"/>
      <w:szCs w:val="20"/>
    </w:rPr>
  </w:style>
  <w:style w:type="paragraph" w:customStyle="1" w:styleId="TableNote9pt">
    <w:name w:val="TableNote9pt"/>
    <w:basedOn w:val="Normal"/>
    <w:uiPriority w:val="16"/>
    <w:pPr>
      <w:spacing w:after="0"/>
      <w:ind w:left="432" w:hanging="432"/>
    </w:pPr>
    <w:rPr>
      <w:rFonts w:eastAsia="Times New Roman" w:cs="Times New Roman"/>
      <w:sz w:val="18"/>
      <w:szCs w:val="20"/>
    </w:rPr>
  </w:style>
  <w:style w:type="paragraph" w:customStyle="1" w:styleId="TableNoteLine">
    <w:name w:val="TableNoteLine"/>
    <w:basedOn w:val="Normal"/>
    <w:next w:val="TableNote8pt"/>
    <w:uiPriority w:val="16"/>
    <w:pPr>
      <w:pBdr>
        <w:bottom w:val="single" w:sz="4" w:space="1" w:color="auto"/>
      </w:pBdr>
      <w:spacing w:after="120"/>
      <w:ind w:right="6480"/>
    </w:pPr>
    <w:rPr>
      <w:rFonts w:eastAsia="Times New Roman" w:cs="Times New Roman"/>
      <w:szCs w:val="20"/>
    </w:rPr>
  </w:style>
  <w:style w:type="paragraph" w:styleId="Title">
    <w:name w:val="Title"/>
    <w:basedOn w:val="Normal"/>
    <w:next w:val="Subtitle"/>
    <w:link w:val="TitleChar"/>
    <w:uiPriority w:val="4"/>
    <w:qFormat/>
    <w:pPr>
      <w:keepNext/>
      <w:jc w:val="center"/>
    </w:pPr>
    <w:rPr>
      <w:rFonts w:eastAsia="Times New Roman" w:cs="Times New Roman"/>
      <w:b/>
      <w:szCs w:val="20"/>
    </w:rPr>
  </w:style>
  <w:style w:type="character" w:customStyle="1" w:styleId="TitleChar">
    <w:name w:val="Title Char"/>
    <w:link w:val="Title"/>
    <w:uiPriority w:val="4"/>
    <w:rPr>
      <w:b/>
      <w:sz w:val="24"/>
      <w:lang w:val="en-US" w:eastAsia="en-US"/>
    </w:rPr>
  </w:style>
  <w:style w:type="paragraph" w:customStyle="1" w:styleId="Title16">
    <w:name w:val="Title 16"/>
    <w:basedOn w:val="Title"/>
    <w:next w:val="Subtitle"/>
    <w:link w:val="Title16Char"/>
    <w:uiPriority w:val="4"/>
    <w:qFormat/>
    <w:rPr>
      <w:sz w:val="32"/>
    </w:rPr>
  </w:style>
  <w:style w:type="character" w:customStyle="1" w:styleId="Title16Char">
    <w:name w:val="Title 16 Char"/>
    <w:link w:val="Title16"/>
    <w:uiPriority w:val="4"/>
    <w:rPr>
      <w:b/>
      <w:sz w:val="32"/>
      <w:lang w:val="en-US" w:eastAsia="en-US"/>
    </w:rPr>
  </w:style>
  <w:style w:type="paragraph" w:styleId="TOAHeading">
    <w:name w:val="toa heading"/>
    <w:basedOn w:val="Normal"/>
    <w:next w:val="Normal"/>
    <w:uiPriority w:val="29"/>
    <w:unhideWhenUsed/>
    <w:rPr>
      <w:rFonts w:eastAsia="Times New Roman" w:cs="Arial"/>
      <w:b/>
      <w:bCs/>
    </w:rPr>
  </w:style>
  <w:style w:type="paragraph" w:styleId="TOC1">
    <w:name w:val="toc 1"/>
    <w:basedOn w:val="Normal"/>
    <w:next w:val="Normal"/>
    <w:autoRedefine/>
    <w:uiPriority w:val="99"/>
    <w:pPr>
      <w:spacing w:after="0"/>
      <w:ind w:right="720"/>
    </w:pPr>
    <w:rPr>
      <w:rFonts w:eastAsia="Times New Roman" w:cs="Times New Roman"/>
      <w:szCs w:val="20"/>
    </w:rPr>
  </w:style>
  <w:style w:type="paragraph" w:styleId="TOC2">
    <w:name w:val="toc 2"/>
    <w:basedOn w:val="Normal"/>
    <w:next w:val="Normal"/>
    <w:autoRedefine/>
    <w:uiPriority w:val="99"/>
    <w:pPr>
      <w:spacing w:after="0"/>
      <w:ind w:left="245" w:right="720"/>
    </w:pPr>
    <w:rPr>
      <w:rFonts w:eastAsia="Times New Roman" w:cs="Times New Roman"/>
      <w:szCs w:val="20"/>
    </w:rPr>
  </w:style>
  <w:style w:type="paragraph" w:styleId="TOC3">
    <w:name w:val="toc 3"/>
    <w:basedOn w:val="Normal"/>
    <w:next w:val="Normal"/>
    <w:autoRedefine/>
    <w:uiPriority w:val="99"/>
    <w:pPr>
      <w:spacing w:after="0"/>
      <w:ind w:left="475" w:right="720"/>
    </w:pPr>
    <w:rPr>
      <w:rFonts w:eastAsia="Times New Roman" w:cs="Times New Roman"/>
      <w:szCs w:val="20"/>
    </w:rPr>
  </w:style>
  <w:style w:type="paragraph" w:styleId="TOC4">
    <w:name w:val="toc 4"/>
    <w:basedOn w:val="Normal"/>
    <w:next w:val="Normal"/>
    <w:autoRedefine/>
    <w:uiPriority w:val="99"/>
    <w:pPr>
      <w:spacing w:after="0"/>
      <w:ind w:left="720" w:right="720"/>
    </w:pPr>
    <w:rPr>
      <w:rFonts w:eastAsia="Times New Roman" w:cs="Times New Roman"/>
      <w:szCs w:val="20"/>
    </w:rPr>
  </w:style>
  <w:style w:type="paragraph" w:styleId="TOC6">
    <w:name w:val="toc 6"/>
    <w:basedOn w:val="Normal"/>
    <w:next w:val="Normal"/>
    <w:autoRedefine/>
    <w:uiPriority w:val="99"/>
    <w:pPr>
      <w:spacing w:after="0"/>
      <w:ind w:left="1200"/>
    </w:pPr>
    <w:rPr>
      <w:rFonts w:eastAsia="Times New Roman" w:cs="Times New Roman"/>
      <w:szCs w:val="20"/>
    </w:rPr>
  </w:style>
  <w:style w:type="paragraph" w:styleId="TOC9">
    <w:name w:val="toc 9"/>
    <w:basedOn w:val="Normal"/>
    <w:next w:val="Normal"/>
    <w:autoRedefine/>
    <w:uiPriority w:val="99"/>
    <w:pPr>
      <w:spacing w:after="0"/>
      <w:ind w:left="1920"/>
    </w:pPr>
    <w:rPr>
      <w:rFonts w:eastAsia="Times New Roman" w:cs="Times New Roman"/>
      <w:szCs w:val="20"/>
    </w:rPr>
  </w:style>
  <w:style w:type="paragraph" w:customStyle="1" w:styleId="AODocTxt">
    <w:name w:val="AODocTxt"/>
    <w:basedOn w:val="Normal"/>
    <w:rsid w:val="00D246D0"/>
    <w:pPr>
      <w:spacing w:before="240" w:after="0" w:line="260" w:lineRule="atLeast"/>
      <w:jc w:val="both"/>
    </w:pPr>
    <w:rPr>
      <w:rFonts w:eastAsia="SimSun" w:cs="Times New Roman"/>
      <w:sz w:val="22"/>
      <w:szCs w:val="22"/>
      <w:lang w:val="en-GB"/>
    </w:rPr>
  </w:style>
  <w:style w:type="character" w:styleId="Hyperlink">
    <w:name w:val="Hyperlink"/>
    <w:uiPriority w:val="99"/>
    <w:unhideWhenUsed/>
    <w:rsid w:val="00D246D0"/>
    <w:rPr>
      <w:color w:val="0000FF"/>
      <w:u w:val="single"/>
    </w:rPr>
  </w:style>
  <w:style w:type="paragraph" w:styleId="BalloonText">
    <w:name w:val="Balloon Text"/>
    <w:basedOn w:val="Normal"/>
    <w:link w:val="BalloonTextChar"/>
    <w:rsid w:val="00D246D0"/>
    <w:pPr>
      <w:spacing w:after="0"/>
    </w:pPr>
    <w:rPr>
      <w:rFonts w:ascii="Tahoma" w:hAnsi="Tahoma" w:cs="Tahoma"/>
      <w:sz w:val="16"/>
      <w:szCs w:val="16"/>
    </w:rPr>
  </w:style>
  <w:style w:type="character" w:customStyle="1" w:styleId="BalloonTextChar">
    <w:name w:val="Balloon Text Char"/>
    <w:basedOn w:val="DefaultParagraphFont"/>
    <w:link w:val="BalloonText"/>
    <w:rsid w:val="00D246D0"/>
    <w:rPr>
      <w:rFonts w:ascii="Tahoma" w:hAnsi="Tahoma" w:cs="Tahoma"/>
      <w:sz w:val="16"/>
      <w:szCs w:val="16"/>
      <w:lang w:val="en-US" w:eastAsia="en-US"/>
    </w:rPr>
  </w:style>
  <w:style w:type="table" w:styleId="TableGrid">
    <w:name w:val="Table Grid"/>
    <w:basedOn w:val="TableNormal"/>
    <w:rsid w:val="00CE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611A"/>
    <w:rPr>
      <w:rFonts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CB03-7608-4CF3-8937-A3482FF3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10098</Words>
  <Characters>57562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Debevoise &amp; Plimpton LLP</Company>
  <LinksUpToDate>false</LinksUpToDate>
  <CharactersWithSpaces>67525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Debevoise User</dc:creator>
  <cp:lastModifiedBy>Megan O’Flynn</cp:lastModifiedBy>
  <cp:revision>4</cp:revision>
  <dcterms:created xsi:type="dcterms:W3CDTF">2021-01-13T22:55:00Z</dcterms:created>
  <dcterms:modified xsi:type="dcterms:W3CDTF">2021-01-15T15:34:00Z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1006456343v1</vt:lpwstr>
  </property>
  <property fmtid="{D5CDD505-2E9C-101B-9397-08002B2CF9AE}" pid="3" name="DocXLocation">
    <vt:lpwstr>Every Page</vt:lpwstr>
  </property>
  <property fmtid="{D5CDD505-2E9C-101B-9397-08002B2CF9AE}" pid="4" name="DocXFormat">
    <vt:lpwstr>Debevoise</vt:lpwstr>
  </property>
  <property fmtid="{D5CDD505-2E9C-101B-9397-08002B2CF9AE}" pid="5" name="DocXRemovePrint">
    <vt:lpwstr>False</vt:lpwstr>
  </property>
</Properties>
</file>