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40" w:rsidRPr="002C68E8" w:rsidRDefault="00FF4340" w:rsidP="002C68E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 xml:space="preserve">RECIPIENT </w:t>
      </w:r>
      <w:proofErr w:type="spellStart"/>
      <w:r>
        <w:rPr>
          <w:rFonts w:eastAsia="Times New Roman"/>
          <w:b/>
          <w:sz w:val="20"/>
          <w:szCs w:val="20"/>
          <w:u w:val="single"/>
        </w:rPr>
        <w:t>PCA</w:t>
      </w:r>
      <w:proofErr w:type="spellEnd"/>
      <w:r>
        <w:rPr>
          <w:rFonts w:eastAsia="Times New Roman"/>
          <w:b/>
          <w:sz w:val="20"/>
          <w:szCs w:val="20"/>
          <w:u w:val="single"/>
        </w:rPr>
        <w:t xml:space="preserve"> PRINCIPAL ANNEX</w:t>
      </w:r>
      <w:r>
        <w:rPr>
          <w:rFonts w:eastAsia="Times New Roman"/>
          <w:b/>
          <w:sz w:val="20"/>
          <w:szCs w:val="20"/>
        </w:rPr>
        <w:br/>
        <w:t>to the</w:t>
      </w:r>
      <w:r w:rsidR="008B225A">
        <w:rPr>
          <w:rFonts w:eastAsia="Times New Roman"/>
          <w:b/>
          <w:sz w:val="20"/>
          <w:szCs w:val="20"/>
        </w:rPr>
        <w:t xml:space="preserve"> Supplemental </w:t>
      </w:r>
      <w:proofErr w:type="spellStart"/>
      <w:r w:rsidR="008B225A">
        <w:rPr>
          <w:rFonts w:eastAsia="Times New Roman"/>
          <w:b/>
          <w:sz w:val="20"/>
          <w:szCs w:val="20"/>
        </w:rPr>
        <w:t>PCA</w:t>
      </w:r>
      <w:proofErr w:type="spellEnd"/>
      <w:r w:rsidR="008B225A">
        <w:rPr>
          <w:rFonts w:eastAsia="Times New Roman"/>
          <w:b/>
          <w:sz w:val="20"/>
          <w:szCs w:val="20"/>
        </w:rPr>
        <w:t xml:space="preserve"> Principal Answer Sheet to the</w:t>
      </w:r>
      <w:r>
        <w:rPr>
          <w:rFonts w:eastAsia="Times New Roman"/>
          <w:b/>
          <w:sz w:val="20"/>
          <w:szCs w:val="20"/>
        </w:rPr>
        <w:t xml:space="preserve"> </w:t>
      </w:r>
      <w:r w:rsidRPr="00FF4340">
        <w:rPr>
          <w:rFonts w:eastAsia="Times New Roman"/>
          <w:b/>
          <w:sz w:val="20"/>
          <w:szCs w:val="20"/>
        </w:rPr>
        <w:t>ISDA 2016 Variation Margin Protocol</w:t>
      </w:r>
      <w:r>
        <w:rPr>
          <w:rFonts w:eastAsia="Times New Roman"/>
          <w:b/>
          <w:sz w:val="20"/>
          <w:szCs w:val="20"/>
        </w:rPr>
        <w:t xml:space="preserve"> </w:t>
      </w:r>
      <w:r w:rsidR="00D0279B">
        <w:rPr>
          <w:rFonts w:eastAsia="Times New Roman"/>
          <w:b/>
          <w:sz w:val="20"/>
          <w:szCs w:val="20"/>
        </w:rPr>
        <w:t xml:space="preserve">Supplemental </w:t>
      </w:r>
      <w:r>
        <w:rPr>
          <w:rFonts w:eastAsia="Times New Roman"/>
          <w:b/>
          <w:sz w:val="20"/>
          <w:szCs w:val="20"/>
        </w:rPr>
        <w:t xml:space="preserve">Questionnaire </w:t>
      </w:r>
      <w:r w:rsidR="00D0279B">
        <w:rPr>
          <w:rFonts w:eastAsia="Times New Roman"/>
          <w:b/>
          <w:sz w:val="20"/>
          <w:szCs w:val="20"/>
        </w:rPr>
        <w:t xml:space="preserve">for </w:t>
      </w:r>
      <w:r w:rsidR="00462DAA">
        <w:rPr>
          <w:rFonts w:eastAsia="Times New Roman"/>
          <w:b/>
          <w:sz w:val="20"/>
          <w:szCs w:val="20"/>
        </w:rPr>
        <w:t>Japanese Notification Time Amendments</w:t>
      </w:r>
    </w:p>
    <w:p w:rsidR="00FF4340" w:rsidRDefault="00E378C2" w:rsidP="00B62A6E">
      <w:pPr>
        <w:pStyle w:val="EnumerationLev1"/>
      </w:pPr>
      <w:r>
        <w:t xml:space="preserve">Reference is made to the </w:t>
      </w:r>
      <w:r w:rsidR="00CE0C0E">
        <w:t xml:space="preserve">ISDA </w:t>
      </w:r>
      <w:r>
        <w:t>2016 Variation Margin Protocol</w:t>
      </w:r>
      <w:r w:rsidR="00CE0C0E">
        <w:t>,</w:t>
      </w:r>
      <w:r>
        <w:t xml:space="preserve"> </w:t>
      </w:r>
      <w:r w:rsidRPr="00986D80">
        <w:t>as published by the International Swaps and Derivatives Association, Inc. (“</w:t>
      </w:r>
      <w:r w:rsidRPr="00B62A6E">
        <w:rPr>
          <w:b/>
        </w:rPr>
        <w:t>ISDA</w:t>
      </w:r>
      <w:r w:rsidRPr="00986D80">
        <w:t xml:space="preserve">”) on </w:t>
      </w:r>
      <w:r w:rsidR="006D1BED">
        <w:t xml:space="preserve">August </w:t>
      </w:r>
      <w:r w:rsidR="001A0C9B">
        <w:t>16</w:t>
      </w:r>
      <w:r w:rsidR="006D1BED">
        <w:t>, 2016</w:t>
      </w:r>
      <w:r>
        <w:t xml:space="preserve"> (the “</w:t>
      </w:r>
      <w:r w:rsidRPr="006D1BED">
        <w:rPr>
          <w:b/>
        </w:rPr>
        <w:t>Protocol</w:t>
      </w:r>
      <w:r>
        <w:t>”)</w:t>
      </w:r>
      <w:r w:rsidR="00D0279B">
        <w:t xml:space="preserve"> and the ISDA 2016 Variation Margin Protocol Supplemental Questionnaire for </w:t>
      </w:r>
      <w:r w:rsidR="00462DAA">
        <w:t>Japanese Notification Time Amendments</w:t>
      </w:r>
      <w:r w:rsidR="00D0279B">
        <w:t xml:space="preserve">, as published by ISDA on </w:t>
      </w:r>
      <w:r w:rsidR="00462DAA">
        <w:t>January 13</w:t>
      </w:r>
      <w:r w:rsidR="00B45AEA">
        <w:t>, 201</w:t>
      </w:r>
      <w:r w:rsidR="00462DAA">
        <w:t>7</w:t>
      </w:r>
      <w:r w:rsidR="00B45AEA">
        <w:t xml:space="preserve"> </w:t>
      </w:r>
      <w:r w:rsidR="00D0279B">
        <w:t>(the “</w:t>
      </w:r>
      <w:r w:rsidR="00D0279B">
        <w:rPr>
          <w:b/>
        </w:rPr>
        <w:t>Supplemental Questionnaire</w:t>
      </w:r>
      <w:r w:rsidR="00D0279B">
        <w:t>”)</w:t>
      </w:r>
      <w:r w:rsidR="00CE0C0E">
        <w:t>.</w:t>
      </w:r>
      <w:r>
        <w:t xml:space="preserve">  Under </w:t>
      </w:r>
      <w:bookmarkStart w:id="0" w:name="_GoBack"/>
      <w:bookmarkEnd w:id="0"/>
      <w:r>
        <w:t xml:space="preserve">the terms of the Protocol, </w:t>
      </w:r>
      <w:r w:rsidR="00364BAF">
        <w:t xml:space="preserve">if any </w:t>
      </w:r>
      <w:r w:rsidR="00CE0C0E">
        <w:t>persons or entities</w:t>
      </w:r>
      <w:r w:rsidR="00364BAF">
        <w:t xml:space="preserve"> are </w:t>
      </w:r>
      <w:r w:rsidR="00CE0C0E">
        <w:t>listed</w:t>
      </w:r>
      <w:r w:rsidR="00364BAF">
        <w:t xml:space="preserve"> below, </w:t>
      </w:r>
      <w:r>
        <w:t xml:space="preserve">the </w:t>
      </w:r>
      <w:r w:rsidR="00CE0C0E">
        <w:t xml:space="preserve">executed </w:t>
      </w:r>
      <w:r w:rsidR="00D0279B">
        <w:t xml:space="preserve">Supplemental </w:t>
      </w:r>
      <w:r>
        <w:t xml:space="preserve">Questionnaire to which this </w:t>
      </w:r>
      <w:r w:rsidR="009C4F6F">
        <w:t xml:space="preserve">Recipient </w:t>
      </w:r>
      <w:proofErr w:type="spellStart"/>
      <w:r w:rsidR="009C4F6F">
        <w:t>PCA</w:t>
      </w:r>
      <w:proofErr w:type="spellEnd"/>
      <w:r w:rsidR="009C4F6F">
        <w:t xml:space="preserve"> Principal</w:t>
      </w:r>
      <w:r w:rsidR="00CE0C0E">
        <w:t xml:space="preserve"> Annex is attached is deemed delivered</w:t>
      </w:r>
      <w:r w:rsidR="00364BAF">
        <w:t xml:space="preserve"> exclusi</w:t>
      </w:r>
      <w:r w:rsidR="00CE0C0E">
        <w:t>vely to</w:t>
      </w:r>
      <w:r w:rsidR="00364BAF">
        <w:t xml:space="preserve"> such </w:t>
      </w:r>
      <w:r w:rsidR="00CE0C0E">
        <w:t xml:space="preserve">persons or entities as </w:t>
      </w:r>
      <w:proofErr w:type="spellStart"/>
      <w:r>
        <w:t>PCA</w:t>
      </w:r>
      <w:proofErr w:type="spellEnd"/>
      <w:r>
        <w:t xml:space="preserve"> Principals</w:t>
      </w:r>
      <w:r w:rsidR="00585848">
        <w:t xml:space="preserve"> of the Receiving Party</w:t>
      </w:r>
      <w:r w:rsidR="00CE0C0E">
        <w:t>.</w:t>
      </w:r>
      <w:r w:rsidR="00364BAF" w:rsidDel="00E378C2">
        <w:t xml:space="preserve"> </w:t>
      </w:r>
      <w:r w:rsidR="00364BAF">
        <w:t xml:space="preserve"> Capitalized terms used but not d</w:t>
      </w:r>
      <w:r w:rsidR="00CE0C0E">
        <w:t>efined in this Annex have the meanings given to them in the Protocol or Questionnaire</w:t>
      </w:r>
      <w:r w:rsidR="00B62A6E">
        <w:t>.</w:t>
      </w:r>
    </w:p>
    <w:p w:rsidR="00FF4340" w:rsidRPr="00FF4340" w:rsidRDefault="00FF4340" w:rsidP="00FF4340">
      <w:pPr>
        <w:pStyle w:val="EnumerationLev1"/>
        <w:spacing w:before="120"/>
        <w:rPr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0A0A0D" w:rsidRPr="007B22D8" w:rsidTr="002508A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proofErr w:type="spellStart"/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PCA</w:t>
            </w:r>
            <w:proofErr w:type="spellEnd"/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 xml:space="preserve"> PRINCIPAL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ENTITY IDENTIFIER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:rsidR="00C04915" w:rsidRDefault="00C04915" w:rsidP="00544F0E"/>
    <w:sectPr w:rsidR="00C049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2A" w:rsidRDefault="00FC112A" w:rsidP="00D54E03">
      <w:pPr>
        <w:spacing w:after="0" w:line="240" w:lineRule="auto"/>
      </w:pPr>
      <w:r>
        <w:separator/>
      </w:r>
    </w:p>
  </w:endnote>
  <w:end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E0" w:rsidRDefault="005061E0">
    <w:pPr>
      <w:pStyle w:val="Footer"/>
      <w:rPr>
        <w:rStyle w:val="DocID"/>
        <w:rFonts w:eastAsia="Calibri"/>
      </w:rPr>
    </w:pPr>
  </w:p>
  <w:p w:rsidR="005061E0" w:rsidRPr="00B169F0" w:rsidRDefault="005061E0" w:rsidP="005061E0">
    <w:pPr>
      <w:pStyle w:val="Footer"/>
      <w:spacing w:after="120"/>
      <w:jc w:val="center"/>
      <w:rPr>
        <w:sz w:val="18"/>
        <w:szCs w:val="18"/>
      </w:rPr>
    </w:pPr>
    <w:r w:rsidRPr="00B169F0">
      <w:rPr>
        <w:sz w:val="18"/>
        <w:szCs w:val="18"/>
      </w:rPr>
      <w:t>Copyright © 201</w:t>
    </w:r>
    <w:r w:rsidR="00462DAA">
      <w:rPr>
        <w:sz w:val="18"/>
        <w:szCs w:val="18"/>
      </w:rPr>
      <w:t>7</w:t>
    </w:r>
    <w:r w:rsidRPr="00B169F0">
      <w:rPr>
        <w:sz w:val="18"/>
        <w:szCs w:val="18"/>
      </w:rPr>
      <w:t xml:space="preserve"> by International Swaps and Derivatives Association, Inc.</w:t>
    </w:r>
  </w:p>
  <w:p w:rsidR="005061E0" w:rsidRDefault="005061E0" w:rsidP="006D1BED">
    <w:pPr>
      <w:pStyle w:val="Footer"/>
      <w:jc w:val="center"/>
      <w:rPr>
        <w:rStyle w:val="DocID"/>
        <w:rFonts w:eastAsia="Calibri"/>
      </w:rPr>
    </w:pPr>
  </w:p>
  <w:p w:rsidR="00126DB6" w:rsidRDefault="00126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2A" w:rsidRDefault="00FC112A" w:rsidP="00D54E03">
      <w:pPr>
        <w:spacing w:after="0" w:line="240" w:lineRule="auto"/>
      </w:pPr>
      <w:r>
        <w:separator/>
      </w:r>
    </w:p>
  </w:footnote>
  <w:foot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4CDE728C"/>
    <w:name w:val="Enumeration"/>
    <w:lvl w:ilvl="0">
      <w:start w:val="1"/>
      <w:numFmt w:val="none"/>
      <w:pStyle w:val="EnumerationLev1"/>
      <w:suff w:val="nothing"/>
      <w:lvlText w:val=""/>
      <w:lvlJc w:val="left"/>
      <w:rPr>
        <w:rFonts w:cs="Times New Roman" w:hint="eastAsia"/>
        <w:b w:val="0"/>
        <w:i w:val="0"/>
      </w:rPr>
    </w:lvl>
    <w:lvl w:ilvl="1">
      <w:start w:val="1"/>
      <w:numFmt w:val="decimal"/>
      <w:pStyle w:val="EnumerationLev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u w:val="none"/>
      </w:rPr>
    </w:lvl>
    <w:lvl w:ilvl="2">
      <w:start w:val="1"/>
      <w:numFmt w:val="lowerLetter"/>
      <w:pStyle w:val="EnumerationLev3"/>
      <w:lvlText w:val="(%3)"/>
      <w:lvlJc w:val="left"/>
      <w:pPr>
        <w:tabs>
          <w:tab w:val="num" w:pos="990"/>
        </w:tabs>
        <w:ind w:left="990" w:hanging="720"/>
      </w:pPr>
      <w:rPr>
        <w:rFonts w:cs="Times New Roman" w:hint="eastAsia"/>
        <w:b w:val="0"/>
        <w:i w:val="0"/>
      </w:rPr>
    </w:lvl>
    <w:lvl w:ilvl="3">
      <w:start w:val="1"/>
      <w:numFmt w:val="lowerRoman"/>
      <w:pStyle w:val="EnumerationLev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eastAsia"/>
        <w:b w:val="0"/>
        <w:i w:val="0"/>
        <w:color w:val="auto"/>
      </w:rPr>
    </w:lvl>
    <w:lvl w:ilvl="4">
      <w:start w:val="1"/>
      <w:numFmt w:val="decimal"/>
      <w:pStyle w:val="EnumerationLev5"/>
      <w:lvlText w:val="(%5)"/>
      <w:lvlJc w:val="left"/>
      <w:pPr>
        <w:tabs>
          <w:tab w:val="num" w:pos="2160"/>
        </w:tabs>
        <w:ind w:left="1440" w:firstLine="360"/>
      </w:pPr>
      <w:rPr>
        <w:rFonts w:cs="Times New Roman" w:hint="eastAsia"/>
        <w:b w:val="0"/>
        <w:color w:val="auto"/>
      </w:rPr>
    </w:lvl>
    <w:lvl w:ilvl="5">
      <w:start w:val="1"/>
      <w:numFmt w:val="ordinalText"/>
      <w:pStyle w:val="EnumerationLev6"/>
      <w:suff w:val="space"/>
      <w:lvlText w:val="%6,"/>
      <w:lvlJc w:val="left"/>
      <w:pPr>
        <w:ind w:firstLine="360"/>
      </w:pPr>
      <w:rPr>
        <w:rFonts w:cs="Times New Roman" w:hint="eastAsia"/>
        <w:b w:val="0"/>
        <w:i/>
      </w:rPr>
    </w:lvl>
    <w:lvl w:ilvl="6">
      <w:start w:val="1"/>
      <w:numFmt w:val="decimal"/>
      <w:pStyle w:val="EnumerationLev7"/>
      <w:lvlText w:val="%7."/>
      <w:lvlJc w:val="left"/>
      <w:pPr>
        <w:tabs>
          <w:tab w:val="num" w:pos="720"/>
        </w:tabs>
        <w:ind w:firstLine="360"/>
      </w:pPr>
      <w:rPr>
        <w:rFonts w:cs="Times New Roman" w:hint="eastAsia"/>
      </w:rPr>
    </w:lvl>
    <w:lvl w:ilvl="7">
      <w:start w:val="1"/>
      <w:numFmt w:val="decimal"/>
      <w:pStyle w:val="EnumerationLev8"/>
      <w:lvlText w:val="(%8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8">
      <w:start w:val="1"/>
      <w:numFmt w:val="lowerLetter"/>
      <w:pStyle w:val="EnumerationLev9"/>
      <w:lvlText w:val="(%9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1">
    <w:nsid w:val="5FE75B13"/>
    <w:multiLevelType w:val="singleLevel"/>
    <w:tmpl w:val="1602D20A"/>
    <w:name w:val="Bullet Point"/>
    <w:lvl w:ilvl="0">
      <w:numFmt w:val="decimal"/>
      <w:pStyle w:val="BulletPoin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FF4340"/>
    <w:rsid w:val="000243FD"/>
    <w:rsid w:val="00072643"/>
    <w:rsid w:val="00095CAD"/>
    <w:rsid w:val="000A0A0D"/>
    <w:rsid w:val="000A6FBE"/>
    <w:rsid w:val="000D2DC3"/>
    <w:rsid w:val="00126DB6"/>
    <w:rsid w:val="0012756F"/>
    <w:rsid w:val="00132467"/>
    <w:rsid w:val="00173776"/>
    <w:rsid w:val="00196835"/>
    <w:rsid w:val="001A0C9B"/>
    <w:rsid w:val="001E6EAA"/>
    <w:rsid w:val="00242A34"/>
    <w:rsid w:val="002508A9"/>
    <w:rsid w:val="002B16E6"/>
    <w:rsid w:val="002B674E"/>
    <w:rsid w:val="002C513D"/>
    <w:rsid w:val="002C68E8"/>
    <w:rsid w:val="002D6EEB"/>
    <w:rsid w:val="002E3B45"/>
    <w:rsid w:val="002E4D8B"/>
    <w:rsid w:val="00325387"/>
    <w:rsid w:val="00364BAF"/>
    <w:rsid w:val="00383C76"/>
    <w:rsid w:val="00396F23"/>
    <w:rsid w:val="003A337C"/>
    <w:rsid w:val="00437485"/>
    <w:rsid w:val="00462DAA"/>
    <w:rsid w:val="00472AB1"/>
    <w:rsid w:val="004B0AC6"/>
    <w:rsid w:val="004D09C4"/>
    <w:rsid w:val="004D7D76"/>
    <w:rsid w:val="004E547E"/>
    <w:rsid w:val="004F2646"/>
    <w:rsid w:val="005061E0"/>
    <w:rsid w:val="00506633"/>
    <w:rsid w:val="00544F0E"/>
    <w:rsid w:val="005530D5"/>
    <w:rsid w:val="00554976"/>
    <w:rsid w:val="00585848"/>
    <w:rsid w:val="00596D91"/>
    <w:rsid w:val="005A58A5"/>
    <w:rsid w:val="006828AC"/>
    <w:rsid w:val="00683711"/>
    <w:rsid w:val="006972B3"/>
    <w:rsid w:val="006A1E7B"/>
    <w:rsid w:val="006B30C7"/>
    <w:rsid w:val="006B7457"/>
    <w:rsid w:val="006D1BED"/>
    <w:rsid w:val="00712299"/>
    <w:rsid w:val="0076720E"/>
    <w:rsid w:val="00792CD0"/>
    <w:rsid w:val="00795161"/>
    <w:rsid w:val="0079678A"/>
    <w:rsid w:val="007A69D7"/>
    <w:rsid w:val="007B22D8"/>
    <w:rsid w:val="007E1FDA"/>
    <w:rsid w:val="007F2C8E"/>
    <w:rsid w:val="00802B34"/>
    <w:rsid w:val="008156F2"/>
    <w:rsid w:val="008165A3"/>
    <w:rsid w:val="00863887"/>
    <w:rsid w:val="0088775C"/>
    <w:rsid w:val="008B225A"/>
    <w:rsid w:val="008B7026"/>
    <w:rsid w:val="008D1D69"/>
    <w:rsid w:val="008E5A11"/>
    <w:rsid w:val="008F5E08"/>
    <w:rsid w:val="00933280"/>
    <w:rsid w:val="00951C31"/>
    <w:rsid w:val="009933DF"/>
    <w:rsid w:val="009A4886"/>
    <w:rsid w:val="009B3906"/>
    <w:rsid w:val="009C4F6F"/>
    <w:rsid w:val="009D34D0"/>
    <w:rsid w:val="00A35C53"/>
    <w:rsid w:val="00A572B5"/>
    <w:rsid w:val="00A61595"/>
    <w:rsid w:val="00A8266D"/>
    <w:rsid w:val="00B150C0"/>
    <w:rsid w:val="00B16DA1"/>
    <w:rsid w:val="00B177B1"/>
    <w:rsid w:val="00B2298D"/>
    <w:rsid w:val="00B316B4"/>
    <w:rsid w:val="00B328F1"/>
    <w:rsid w:val="00B416C5"/>
    <w:rsid w:val="00B45AEA"/>
    <w:rsid w:val="00B471D2"/>
    <w:rsid w:val="00B62A6E"/>
    <w:rsid w:val="00B660A4"/>
    <w:rsid w:val="00B75C28"/>
    <w:rsid w:val="00B91C7A"/>
    <w:rsid w:val="00B920C5"/>
    <w:rsid w:val="00BD2FF3"/>
    <w:rsid w:val="00C0154D"/>
    <w:rsid w:val="00C04915"/>
    <w:rsid w:val="00C33457"/>
    <w:rsid w:val="00CA720D"/>
    <w:rsid w:val="00CB0336"/>
    <w:rsid w:val="00CE0C0E"/>
    <w:rsid w:val="00CE102C"/>
    <w:rsid w:val="00D0279B"/>
    <w:rsid w:val="00D22361"/>
    <w:rsid w:val="00D540C9"/>
    <w:rsid w:val="00D54E03"/>
    <w:rsid w:val="00D6012C"/>
    <w:rsid w:val="00DA02B6"/>
    <w:rsid w:val="00E378C2"/>
    <w:rsid w:val="00EB5F72"/>
    <w:rsid w:val="00ED59BC"/>
    <w:rsid w:val="00EE31D9"/>
    <w:rsid w:val="00F66F4A"/>
    <w:rsid w:val="00F765B3"/>
    <w:rsid w:val="00F86B74"/>
    <w:rsid w:val="00F870BE"/>
    <w:rsid w:val="00FC112A"/>
    <w:rsid w:val="00FC74E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CE54-5884-4D16-8145-11E73FE4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55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2017-01-13T01:36:00Z</dcterms:created>
  <dcterms:modified xsi:type="dcterms:W3CDTF">2017-01-13T01:36:00Z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USActive 36420562.1</vt:lpwstr>
  </property>
</Properties>
</file>