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EF03F" w14:textId="77777777" w:rsidR="00115886" w:rsidRDefault="00115886" w:rsidP="008753E4">
      <w:pPr>
        <w:spacing w:after="0" w:line="240" w:lineRule="auto"/>
        <w:rPr>
          <w:rFonts w:ascii="Times New Roman" w:hAnsi="Times New Roman" w:cs="Times New Roman"/>
          <w:sz w:val="24"/>
          <w:szCs w:val="24"/>
        </w:rPr>
      </w:pPr>
    </w:p>
    <w:p w14:paraId="7CD35F86" w14:textId="77777777" w:rsidR="00115886" w:rsidRDefault="000704EA" w:rsidP="008753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November </w:t>
      </w:r>
      <w:r w:rsidR="00443882">
        <w:rPr>
          <w:rFonts w:ascii="Times New Roman" w:hAnsi="Times New Roman" w:cs="Times New Roman"/>
          <w:sz w:val="24"/>
          <w:szCs w:val="24"/>
        </w:rPr>
        <w:t>22</w:t>
      </w:r>
      <w:r w:rsidR="00115886">
        <w:rPr>
          <w:rFonts w:ascii="Times New Roman" w:hAnsi="Times New Roman" w:cs="Times New Roman"/>
          <w:sz w:val="24"/>
          <w:szCs w:val="24"/>
        </w:rPr>
        <w:t>, 2019</w:t>
      </w:r>
    </w:p>
    <w:p w14:paraId="54049230" w14:textId="77777777" w:rsidR="00115886" w:rsidRDefault="00115886" w:rsidP="008753E4">
      <w:pPr>
        <w:spacing w:after="0" w:line="240" w:lineRule="auto"/>
        <w:rPr>
          <w:rFonts w:ascii="Times New Roman" w:hAnsi="Times New Roman" w:cs="Times New Roman"/>
          <w:sz w:val="24"/>
          <w:szCs w:val="24"/>
        </w:rPr>
      </w:pPr>
    </w:p>
    <w:p w14:paraId="4E6914AD" w14:textId="77777777" w:rsidR="008753E4" w:rsidRPr="008753E4" w:rsidRDefault="008753E4" w:rsidP="008753E4">
      <w:pPr>
        <w:spacing w:after="0" w:line="240" w:lineRule="auto"/>
        <w:rPr>
          <w:rFonts w:ascii="Times New Roman" w:hAnsi="Times New Roman" w:cs="Times New Roman"/>
          <w:sz w:val="24"/>
          <w:szCs w:val="24"/>
        </w:rPr>
      </w:pPr>
      <w:r w:rsidRPr="008753E4">
        <w:rPr>
          <w:rFonts w:ascii="Times New Roman" w:hAnsi="Times New Roman" w:cs="Times New Roman"/>
          <w:sz w:val="24"/>
          <w:szCs w:val="24"/>
        </w:rPr>
        <w:t xml:space="preserve">Mr. Christopher Kirkpatrick </w:t>
      </w:r>
    </w:p>
    <w:p w14:paraId="304B1780" w14:textId="77777777" w:rsidR="008753E4" w:rsidRPr="008753E4" w:rsidRDefault="008753E4" w:rsidP="008753E4">
      <w:pPr>
        <w:spacing w:after="0" w:line="240" w:lineRule="auto"/>
        <w:rPr>
          <w:rFonts w:ascii="Times New Roman" w:hAnsi="Times New Roman" w:cs="Times New Roman"/>
          <w:sz w:val="24"/>
          <w:szCs w:val="24"/>
        </w:rPr>
      </w:pPr>
      <w:r w:rsidRPr="008753E4">
        <w:rPr>
          <w:rFonts w:ascii="Times New Roman" w:hAnsi="Times New Roman" w:cs="Times New Roman"/>
          <w:sz w:val="24"/>
          <w:szCs w:val="24"/>
        </w:rPr>
        <w:t xml:space="preserve">Secretary </w:t>
      </w:r>
    </w:p>
    <w:p w14:paraId="4BD15D7F" w14:textId="77777777" w:rsidR="008753E4" w:rsidRPr="008753E4" w:rsidRDefault="008753E4" w:rsidP="008753E4">
      <w:pPr>
        <w:spacing w:after="0" w:line="240" w:lineRule="auto"/>
        <w:rPr>
          <w:rFonts w:ascii="Times New Roman" w:hAnsi="Times New Roman" w:cs="Times New Roman"/>
          <w:sz w:val="24"/>
          <w:szCs w:val="24"/>
        </w:rPr>
      </w:pPr>
      <w:r w:rsidRPr="008753E4">
        <w:rPr>
          <w:rFonts w:ascii="Times New Roman" w:hAnsi="Times New Roman" w:cs="Times New Roman"/>
          <w:sz w:val="24"/>
          <w:szCs w:val="24"/>
        </w:rPr>
        <w:t xml:space="preserve">U.S. Commodity Futures Trading Commission </w:t>
      </w:r>
    </w:p>
    <w:p w14:paraId="39FC9C5E" w14:textId="77777777" w:rsidR="008753E4" w:rsidRPr="008753E4" w:rsidRDefault="008753E4" w:rsidP="008753E4">
      <w:pPr>
        <w:spacing w:after="0" w:line="240" w:lineRule="auto"/>
        <w:rPr>
          <w:rFonts w:ascii="Times New Roman" w:hAnsi="Times New Roman" w:cs="Times New Roman"/>
          <w:sz w:val="24"/>
          <w:szCs w:val="24"/>
        </w:rPr>
      </w:pPr>
      <w:r w:rsidRPr="008753E4">
        <w:rPr>
          <w:rFonts w:ascii="Times New Roman" w:hAnsi="Times New Roman" w:cs="Times New Roman"/>
          <w:sz w:val="24"/>
          <w:szCs w:val="24"/>
        </w:rPr>
        <w:t xml:space="preserve">Three Lafayette Centre </w:t>
      </w:r>
    </w:p>
    <w:p w14:paraId="2B0783B6" w14:textId="77777777" w:rsidR="008753E4" w:rsidRPr="008753E4" w:rsidRDefault="008753E4" w:rsidP="008753E4">
      <w:pPr>
        <w:spacing w:after="0" w:line="240" w:lineRule="auto"/>
        <w:rPr>
          <w:rFonts w:ascii="Times New Roman" w:hAnsi="Times New Roman" w:cs="Times New Roman"/>
          <w:sz w:val="24"/>
          <w:szCs w:val="24"/>
        </w:rPr>
      </w:pPr>
      <w:r w:rsidRPr="008753E4">
        <w:rPr>
          <w:rFonts w:ascii="Times New Roman" w:hAnsi="Times New Roman" w:cs="Times New Roman"/>
          <w:sz w:val="24"/>
          <w:szCs w:val="24"/>
        </w:rPr>
        <w:t xml:space="preserve">1155 21st Street, N.W. </w:t>
      </w:r>
    </w:p>
    <w:p w14:paraId="5A54B47B" w14:textId="77777777" w:rsidR="008753E4" w:rsidRPr="008753E4" w:rsidRDefault="008753E4" w:rsidP="008753E4">
      <w:pPr>
        <w:spacing w:after="0" w:line="240" w:lineRule="auto"/>
        <w:rPr>
          <w:rFonts w:ascii="Times New Roman" w:hAnsi="Times New Roman" w:cs="Times New Roman"/>
          <w:sz w:val="24"/>
          <w:szCs w:val="24"/>
        </w:rPr>
      </w:pPr>
      <w:r w:rsidRPr="008753E4">
        <w:rPr>
          <w:rFonts w:ascii="Times New Roman" w:hAnsi="Times New Roman" w:cs="Times New Roman"/>
          <w:sz w:val="24"/>
          <w:szCs w:val="24"/>
        </w:rPr>
        <w:t xml:space="preserve">Washington, D.C. 20581 </w:t>
      </w:r>
    </w:p>
    <w:p w14:paraId="7E9CCAF1" w14:textId="77777777" w:rsidR="008753E4" w:rsidRPr="008753E4" w:rsidRDefault="008753E4" w:rsidP="008753E4">
      <w:pPr>
        <w:spacing w:after="0" w:line="240" w:lineRule="auto"/>
        <w:rPr>
          <w:rFonts w:ascii="Times New Roman" w:hAnsi="Times New Roman" w:cs="Times New Roman"/>
          <w:sz w:val="24"/>
          <w:szCs w:val="24"/>
        </w:rPr>
      </w:pPr>
    </w:p>
    <w:p w14:paraId="60226DD8" w14:textId="77777777" w:rsidR="008753E4" w:rsidRPr="008753E4" w:rsidRDefault="008753E4" w:rsidP="008753E4">
      <w:pPr>
        <w:spacing w:after="0" w:line="240" w:lineRule="auto"/>
        <w:rPr>
          <w:rFonts w:ascii="Times New Roman" w:hAnsi="Times New Roman" w:cs="Times New Roman"/>
          <w:sz w:val="24"/>
          <w:szCs w:val="24"/>
        </w:rPr>
      </w:pPr>
      <w:r w:rsidRPr="008753E4">
        <w:rPr>
          <w:rFonts w:ascii="Times New Roman" w:hAnsi="Times New Roman" w:cs="Times New Roman"/>
          <w:sz w:val="24"/>
          <w:szCs w:val="24"/>
        </w:rPr>
        <w:t>Re: Exemption from Derivatives Clearing Organization Registration (RIN 3038- AE65)</w:t>
      </w:r>
      <w:r w:rsidR="00115886">
        <w:rPr>
          <w:rFonts w:ascii="Times New Roman" w:hAnsi="Times New Roman" w:cs="Times New Roman"/>
          <w:sz w:val="24"/>
          <w:szCs w:val="24"/>
        </w:rPr>
        <w:t>; Supplemental Notice of Proposed Rulemaking</w:t>
      </w:r>
      <w:r w:rsidRPr="008753E4">
        <w:rPr>
          <w:rFonts w:ascii="Times New Roman" w:hAnsi="Times New Roman" w:cs="Times New Roman"/>
          <w:sz w:val="24"/>
          <w:szCs w:val="24"/>
        </w:rPr>
        <w:t xml:space="preserve"> </w:t>
      </w:r>
    </w:p>
    <w:p w14:paraId="23DCDFB2" w14:textId="77777777" w:rsidR="008753E4" w:rsidRPr="008753E4" w:rsidRDefault="008753E4" w:rsidP="008753E4">
      <w:pPr>
        <w:spacing w:after="0" w:line="240" w:lineRule="auto"/>
        <w:rPr>
          <w:rFonts w:ascii="Times New Roman" w:hAnsi="Times New Roman" w:cs="Times New Roman"/>
          <w:sz w:val="24"/>
          <w:szCs w:val="24"/>
        </w:rPr>
      </w:pPr>
    </w:p>
    <w:p w14:paraId="6B7E7C8A" w14:textId="77777777" w:rsidR="008753E4" w:rsidRPr="008753E4" w:rsidRDefault="008753E4" w:rsidP="008753E4">
      <w:pPr>
        <w:spacing w:after="0" w:line="240" w:lineRule="auto"/>
        <w:rPr>
          <w:rFonts w:ascii="Times New Roman" w:hAnsi="Times New Roman" w:cs="Times New Roman"/>
          <w:sz w:val="24"/>
          <w:szCs w:val="24"/>
        </w:rPr>
      </w:pPr>
      <w:r w:rsidRPr="008753E4">
        <w:rPr>
          <w:rFonts w:ascii="Times New Roman" w:hAnsi="Times New Roman" w:cs="Times New Roman"/>
          <w:sz w:val="24"/>
          <w:szCs w:val="24"/>
        </w:rPr>
        <w:t xml:space="preserve">Dear Secretary Kirkpatrick: </w:t>
      </w:r>
    </w:p>
    <w:p w14:paraId="6E7CA1E8" w14:textId="77777777" w:rsidR="008753E4" w:rsidRPr="008753E4" w:rsidRDefault="008753E4" w:rsidP="008753E4">
      <w:pPr>
        <w:spacing w:after="0" w:line="240" w:lineRule="auto"/>
        <w:rPr>
          <w:rFonts w:ascii="Times New Roman" w:hAnsi="Times New Roman" w:cs="Times New Roman"/>
          <w:sz w:val="24"/>
          <w:szCs w:val="24"/>
        </w:rPr>
      </w:pPr>
    </w:p>
    <w:p w14:paraId="3E5C3126" w14:textId="77777777" w:rsidR="006D3EF7" w:rsidRDefault="008753E4" w:rsidP="008753E4">
      <w:pPr>
        <w:spacing w:after="0" w:line="240" w:lineRule="auto"/>
        <w:rPr>
          <w:rFonts w:ascii="Times New Roman" w:hAnsi="Times New Roman" w:cs="Times New Roman"/>
          <w:b/>
          <w:bCs/>
          <w:sz w:val="24"/>
          <w:szCs w:val="24"/>
        </w:rPr>
      </w:pPr>
      <w:r w:rsidRPr="008753E4">
        <w:rPr>
          <w:rFonts w:ascii="Times New Roman" w:hAnsi="Times New Roman" w:cs="Times New Roman"/>
          <w:sz w:val="24"/>
          <w:szCs w:val="24"/>
        </w:rPr>
        <w:t>The International Swaps and Derivatives Association, Inc. (</w:t>
      </w:r>
      <w:r w:rsidRPr="00115886">
        <w:rPr>
          <w:rFonts w:ascii="Times New Roman" w:hAnsi="Times New Roman" w:cs="Times New Roman"/>
          <w:b/>
          <w:sz w:val="24"/>
          <w:szCs w:val="24"/>
        </w:rPr>
        <w:t>“ISDA”</w:t>
      </w:r>
      <w:r w:rsidRPr="008753E4">
        <w:rPr>
          <w:rFonts w:ascii="Times New Roman" w:hAnsi="Times New Roman" w:cs="Times New Roman"/>
          <w:sz w:val="24"/>
          <w:szCs w:val="24"/>
        </w:rPr>
        <w:t>)</w:t>
      </w:r>
      <w:r w:rsidR="005346F8">
        <w:rPr>
          <w:rStyle w:val="FootnoteReference"/>
          <w:rFonts w:ascii="Times New Roman" w:hAnsi="Times New Roman" w:cs="Times New Roman"/>
          <w:sz w:val="24"/>
          <w:szCs w:val="24"/>
        </w:rPr>
        <w:footnoteReference w:id="2"/>
      </w:r>
      <w:r w:rsidRPr="008753E4">
        <w:rPr>
          <w:rFonts w:ascii="Times New Roman" w:hAnsi="Times New Roman" w:cs="Times New Roman"/>
          <w:sz w:val="24"/>
          <w:szCs w:val="24"/>
        </w:rPr>
        <w:t xml:space="preserve"> appreciates the opportunity to provide comments to the U.S. Commodity Futures Trading Commission (</w:t>
      </w:r>
      <w:r w:rsidRPr="00115886">
        <w:rPr>
          <w:rFonts w:ascii="Times New Roman" w:hAnsi="Times New Roman" w:cs="Times New Roman"/>
          <w:b/>
          <w:sz w:val="24"/>
          <w:szCs w:val="24"/>
        </w:rPr>
        <w:t>“CFTC”</w:t>
      </w:r>
      <w:r w:rsidRPr="008753E4">
        <w:rPr>
          <w:rFonts w:ascii="Times New Roman" w:hAnsi="Times New Roman" w:cs="Times New Roman"/>
          <w:sz w:val="24"/>
          <w:szCs w:val="24"/>
        </w:rPr>
        <w:t xml:space="preserve"> or </w:t>
      </w:r>
      <w:r w:rsidRPr="00115886">
        <w:rPr>
          <w:rFonts w:ascii="Times New Roman" w:hAnsi="Times New Roman" w:cs="Times New Roman"/>
          <w:b/>
          <w:sz w:val="24"/>
          <w:szCs w:val="24"/>
        </w:rPr>
        <w:t>“Commission”</w:t>
      </w:r>
      <w:r w:rsidRPr="008753E4">
        <w:rPr>
          <w:rFonts w:ascii="Times New Roman" w:hAnsi="Times New Roman" w:cs="Times New Roman"/>
          <w:sz w:val="24"/>
          <w:szCs w:val="24"/>
        </w:rPr>
        <w:t xml:space="preserve">) regarding the Commission’s </w:t>
      </w:r>
      <w:r w:rsidR="00115886">
        <w:rPr>
          <w:rFonts w:ascii="Times New Roman" w:hAnsi="Times New Roman" w:cs="Times New Roman"/>
          <w:sz w:val="24"/>
          <w:szCs w:val="24"/>
        </w:rPr>
        <w:t xml:space="preserve">Supplemental </w:t>
      </w:r>
      <w:r w:rsidRPr="008753E4">
        <w:rPr>
          <w:rFonts w:ascii="Times New Roman" w:hAnsi="Times New Roman" w:cs="Times New Roman"/>
          <w:sz w:val="24"/>
          <w:szCs w:val="24"/>
        </w:rPr>
        <w:t xml:space="preserve">Notice of Proposed Rulemaking: Exemption from Derivatives Clearing Organization </w:t>
      </w:r>
      <w:r w:rsidR="002E6D1B">
        <w:rPr>
          <w:rFonts w:ascii="Times New Roman" w:hAnsi="Times New Roman" w:cs="Times New Roman"/>
          <w:sz w:val="24"/>
          <w:szCs w:val="24"/>
        </w:rPr>
        <w:t>(</w:t>
      </w:r>
      <w:r w:rsidR="002E6D1B" w:rsidRPr="002E6D1B">
        <w:rPr>
          <w:rFonts w:ascii="Times New Roman" w:hAnsi="Times New Roman" w:cs="Times New Roman"/>
          <w:b/>
          <w:bCs/>
          <w:sz w:val="24"/>
          <w:szCs w:val="24"/>
        </w:rPr>
        <w:t>“DCO”</w:t>
      </w:r>
      <w:r w:rsidR="002E6D1B">
        <w:rPr>
          <w:rFonts w:ascii="Times New Roman" w:hAnsi="Times New Roman" w:cs="Times New Roman"/>
          <w:sz w:val="24"/>
          <w:szCs w:val="24"/>
        </w:rPr>
        <w:t xml:space="preserve">) </w:t>
      </w:r>
      <w:r w:rsidRPr="008753E4">
        <w:rPr>
          <w:rFonts w:ascii="Times New Roman" w:hAnsi="Times New Roman" w:cs="Times New Roman"/>
          <w:sz w:val="24"/>
          <w:szCs w:val="24"/>
        </w:rPr>
        <w:t xml:space="preserve">Registration (the </w:t>
      </w:r>
      <w:r w:rsidRPr="002D7EA4">
        <w:rPr>
          <w:rFonts w:ascii="Times New Roman" w:hAnsi="Times New Roman" w:cs="Times New Roman"/>
          <w:b/>
          <w:sz w:val="24"/>
          <w:szCs w:val="24"/>
        </w:rPr>
        <w:t>“</w:t>
      </w:r>
      <w:r w:rsidR="002E6D1B">
        <w:rPr>
          <w:rFonts w:ascii="Times New Roman" w:hAnsi="Times New Roman" w:cs="Times New Roman"/>
          <w:b/>
          <w:sz w:val="24"/>
          <w:szCs w:val="24"/>
        </w:rPr>
        <w:t xml:space="preserve">Supplemental </w:t>
      </w:r>
      <w:r w:rsidRPr="002D7EA4">
        <w:rPr>
          <w:rFonts w:ascii="Times New Roman" w:hAnsi="Times New Roman" w:cs="Times New Roman"/>
          <w:b/>
          <w:sz w:val="24"/>
          <w:szCs w:val="24"/>
        </w:rPr>
        <w:t>Proposal”</w:t>
      </w:r>
      <w:r w:rsidRPr="008753E4">
        <w:rPr>
          <w:rFonts w:ascii="Times New Roman" w:hAnsi="Times New Roman" w:cs="Times New Roman"/>
          <w:sz w:val="24"/>
          <w:szCs w:val="24"/>
        </w:rPr>
        <w:t>)</w:t>
      </w:r>
      <w:r w:rsidR="002E6D1B">
        <w:rPr>
          <w:rFonts w:ascii="Times New Roman" w:hAnsi="Times New Roman" w:cs="Times New Roman"/>
          <w:sz w:val="24"/>
          <w:szCs w:val="24"/>
        </w:rPr>
        <w:t xml:space="preserve"> published on July 23, 2019.</w:t>
      </w:r>
      <w:r w:rsidR="00DC62E8">
        <w:rPr>
          <w:rStyle w:val="FootnoteReference"/>
          <w:rFonts w:ascii="Times New Roman" w:hAnsi="Times New Roman" w:cs="Times New Roman"/>
          <w:sz w:val="24"/>
          <w:szCs w:val="24"/>
        </w:rPr>
        <w:footnoteReference w:id="3"/>
      </w:r>
      <w:r w:rsidR="002E6D1B">
        <w:rPr>
          <w:rFonts w:ascii="Times New Roman" w:hAnsi="Times New Roman" w:cs="Times New Roman"/>
          <w:sz w:val="24"/>
          <w:szCs w:val="24"/>
        </w:rPr>
        <w:t xml:space="preserve"> We note that the Supplemental Proposal provides amendments </w:t>
      </w:r>
      <w:r w:rsidR="00A67E4D">
        <w:rPr>
          <w:rFonts w:ascii="Times New Roman" w:hAnsi="Times New Roman" w:cs="Times New Roman"/>
          <w:sz w:val="24"/>
          <w:szCs w:val="24"/>
        </w:rPr>
        <w:t>to</w:t>
      </w:r>
      <w:r w:rsidR="002E6D1B">
        <w:rPr>
          <w:rFonts w:ascii="Times New Roman" w:hAnsi="Times New Roman" w:cs="Times New Roman"/>
          <w:sz w:val="24"/>
          <w:szCs w:val="24"/>
        </w:rPr>
        <w:t xml:space="preserve"> the Commission’s </w:t>
      </w:r>
      <w:r w:rsidR="00596090">
        <w:rPr>
          <w:rFonts w:ascii="Times New Roman" w:hAnsi="Times New Roman" w:cs="Times New Roman"/>
          <w:sz w:val="24"/>
          <w:szCs w:val="24"/>
        </w:rPr>
        <w:t xml:space="preserve">exempt DCO </w:t>
      </w:r>
      <w:r w:rsidR="002E6D1B">
        <w:rPr>
          <w:rFonts w:ascii="Times New Roman" w:hAnsi="Times New Roman" w:cs="Times New Roman"/>
          <w:sz w:val="24"/>
          <w:szCs w:val="24"/>
        </w:rPr>
        <w:t>proposal</w:t>
      </w:r>
      <w:r w:rsidR="00195AFC">
        <w:rPr>
          <w:rFonts w:ascii="Times New Roman" w:hAnsi="Times New Roman" w:cs="Times New Roman"/>
          <w:sz w:val="24"/>
          <w:szCs w:val="24"/>
        </w:rPr>
        <w:t xml:space="preserve"> published in August 2018</w:t>
      </w:r>
      <w:r w:rsidR="00596090">
        <w:rPr>
          <w:rFonts w:ascii="Times New Roman" w:hAnsi="Times New Roman" w:cs="Times New Roman"/>
          <w:sz w:val="24"/>
          <w:szCs w:val="24"/>
        </w:rPr>
        <w:t xml:space="preserve"> (</w:t>
      </w:r>
      <w:r w:rsidR="00596090" w:rsidRPr="00596090">
        <w:rPr>
          <w:rFonts w:ascii="Times New Roman" w:hAnsi="Times New Roman" w:cs="Times New Roman"/>
          <w:b/>
          <w:bCs/>
          <w:sz w:val="24"/>
          <w:szCs w:val="24"/>
        </w:rPr>
        <w:t>“Initial Proposal”</w:t>
      </w:r>
      <w:r w:rsidR="00596090" w:rsidRPr="00596090">
        <w:rPr>
          <w:rFonts w:ascii="Times New Roman" w:hAnsi="Times New Roman" w:cs="Times New Roman"/>
          <w:sz w:val="24"/>
          <w:szCs w:val="24"/>
        </w:rPr>
        <w:t>)</w:t>
      </w:r>
      <w:r w:rsidRPr="00596090">
        <w:rPr>
          <w:rFonts w:ascii="Times New Roman" w:hAnsi="Times New Roman" w:cs="Times New Roman"/>
          <w:sz w:val="24"/>
          <w:szCs w:val="24"/>
        </w:rPr>
        <w:t>.</w:t>
      </w:r>
      <w:r w:rsidR="00596090">
        <w:rPr>
          <w:rStyle w:val="FootnoteReference"/>
          <w:rFonts w:ascii="Times New Roman" w:hAnsi="Times New Roman" w:cs="Times New Roman"/>
          <w:sz w:val="24"/>
          <w:szCs w:val="24"/>
        </w:rPr>
        <w:footnoteReference w:id="4"/>
      </w:r>
      <w:r w:rsidRPr="00596090">
        <w:rPr>
          <w:rFonts w:ascii="Times New Roman" w:hAnsi="Times New Roman" w:cs="Times New Roman"/>
          <w:b/>
          <w:bCs/>
          <w:sz w:val="24"/>
          <w:szCs w:val="24"/>
        </w:rPr>
        <w:t xml:space="preserve"> </w:t>
      </w:r>
    </w:p>
    <w:p w14:paraId="71D65FFC" w14:textId="77777777" w:rsidR="006D3EF7" w:rsidRDefault="006D3EF7" w:rsidP="008753E4">
      <w:pPr>
        <w:spacing w:after="0" w:line="240" w:lineRule="auto"/>
        <w:rPr>
          <w:rFonts w:ascii="Times New Roman" w:hAnsi="Times New Roman" w:cs="Times New Roman"/>
          <w:b/>
          <w:bCs/>
          <w:sz w:val="24"/>
          <w:szCs w:val="24"/>
        </w:rPr>
      </w:pPr>
    </w:p>
    <w:p w14:paraId="482D36F0" w14:textId="77777777" w:rsidR="00B373B1" w:rsidRPr="00DE5DCA" w:rsidRDefault="008753E4" w:rsidP="008753E4">
      <w:pPr>
        <w:spacing w:after="0" w:line="240" w:lineRule="auto"/>
        <w:rPr>
          <w:rFonts w:ascii="Times New Roman" w:hAnsi="Times New Roman" w:cs="Times New Roman"/>
          <w:sz w:val="24"/>
          <w:szCs w:val="24"/>
          <w:lang w:eastAsia="ja-JP"/>
        </w:rPr>
      </w:pPr>
      <w:r w:rsidRPr="008753E4">
        <w:rPr>
          <w:rFonts w:ascii="Times New Roman" w:hAnsi="Times New Roman" w:cs="Times New Roman"/>
          <w:sz w:val="24"/>
          <w:szCs w:val="24"/>
        </w:rPr>
        <w:t>ISDA supports the</w:t>
      </w:r>
      <w:r w:rsidR="006D3EF7">
        <w:rPr>
          <w:rFonts w:ascii="Times New Roman" w:hAnsi="Times New Roman" w:cs="Times New Roman"/>
          <w:sz w:val="24"/>
          <w:szCs w:val="24"/>
        </w:rPr>
        <w:t xml:space="preserve"> Commission’s </w:t>
      </w:r>
      <w:r w:rsidR="00786C95" w:rsidRPr="006A2C0E">
        <w:rPr>
          <w:rFonts w:ascii="Times New Roman" w:hAnsi="Times New Roman" w:cs="Times New Roman"/>
          <w:sz w:val="24"/>
          <w:szCs w:val="24"/>
        </w:rPr>
        <w:t>Supplemental Proposal</w:t>
      </w:r>
      <w:r w:rsidR="00786C95">
        <w:rPr>
          <w:rFonts w:ascii="Times New Roman" w:hAnsi="Times New Roman" w:cs="Times New Roman"/>
          <w:sz w:val="24"/>
          <w:szCs w:val="24"/>
        </w:rPr>
        <w:t xml:space="preserve"> </w:t>
      </w:r>
      <w:r w:rsidR="006C11BD">
        <w:rPr>
          <w:rFonts w:ascii="Times New Roman" w:hAnsi="Times New Roman" w:cs="Times New Roman"/>
          <w:sz w:val="24"/>
          <w:szCs w:val="24"/>
        </w:rPr>
        <w:t>to permit</w:t>
      </w:r>
      <w:r w:rsidR="00DC62E8">
        <w:rPr>
          <w:rFonts w:ascii="Times New Roman" w:hAnsi="Times New Roman" w:cs="Times New Roman"/>
          <w:sz w:val="24"/>
          <w:szCs w:val="24"/>
        </w:rPr>
        <w:t xml:space="preserve"> exempt DCOs to clear swaps for U.S. customers </w:t>
      </w:r>
      <w:r w:rsidR="006C11BD">
        <w:rPr>
          <w:rFonts w:ascii="Times New Roman" w:hAnsi="Times New Roman" w:cs="Times New Roman"/>
          <w:sz w:val="24"/>
          <w:szCs w:val="24"/>
        </w:rPr>
        <w:t>through foreign intermediaries</w:t>
      </w:r>
      <w:r w:rsidRPr="008753E4">
        <w:rPr>
          <w:rFonts w:ascii="Times New Roman" w:hAnsi="Times New Roman" w:cs="Times New Roman"/>
          <w:sz w:val="24"/>
          <w:szCs w:val="24"/>
        </w:rPr>
        <w:t>.</w:t>
      </w:r>
      <w:r w:rsidR="00DC62E8">
        <w:rPr>
          <w:rStyle w:val="FootnoteReference"/>
          <w:rFonts w:ascii="Times New Roman" w:hAnsi="Times New Roman" w:cs="Times New Roman"/>
          <w:sz w:val="24"/>
          <w:szCs w:val="24"/>
        </w:rPr>
        <w:footnoteReference w:id="5"/>
      </w:r>
      <w:r w:rsidR="006C11BD">
        <w:rPr>
          <w:rFonts w:ascii="Times New Roman" w:hAnsi="Times New Roman" w:cs="Times New Roman"/>
          <w:sz w:val="24"/>
          <w:szCs w:val="24"/>
        </w:rPr>
        <w:t xml:space="preserve"> </w:t>
      </w:r>
      <w:r w:rsidR="00984C28">
        <w:rPr>
          <w:rFonts w:ascii="Times New Roman" w:hAnsi="Times New Roman" w:cs="Times New Roman"/>
          <w:sz w:val="24"/>
          <w:szCs w:val="24"/>
        </w:rPr>
        <w:t xml:space="preserve">The proposed </w:t>
      </w:r>
      <w:r w:rsidR="008A7B9A">
        <w:rPr>
          <w:rFonts w:ascii="Times New Roman" w:hAnsi="Times New Roman" w:cs="Times New Roman"/>
          <w:sz w:val="24"/>
          <w:szCs w:val="24"/>
        </w:rPr>
        <w:t xml:space="preserve">rules </w:t>
      </w:r>
      <w:r w:rsidR="00DC62E8">
        <w:rPr>
          <w:rFonts w:ascii="Times New Roman" w:hAnsi="Times New Roman" w:cs="Times New Roman"/>
          <w:sz w:val="24"/>
          <w:szCs w:val="24"/>
        </w:rPr>
        <w:t>would provide U.S. persons with more options with respect to clearing, and has the potential to reduce the concentration of U.S</w:t>
      </w:r>
      <w:r w:rsidR="00DC62E8" w:rsidRPr="00DE5DCA">
        <w:rPr>
          <w:rFonts w:ascii="Times New Roman" w:hAnsi="Times New Roman" w:cs="Times New Roman"/>
          <w:sz w:val="24"/>
          <w:szCs w:val="24"/>
        </w:rPr>
        <w:t>. customer funds</w:t>
      </w:r>
      <w:r w:rsidR="0028166A" w:rsidRPr="00DE5DCA">
        <w:rPr>
          <w:rFonts w:ascii="Times New Roman" w:hAnsi="Times New Roman" w:cs="Times New Roman"/>
          <w:sz w:val="24"/>
          <w:szCs w:val="24"/>
        </w:rPr>
        <w:t xml:space="preserve"> </w:t>
      </w:r>
      <w:r w:rsidR="00DC62E8" w:rsidRPr="00DE5DCA">
        <w:rPr>
          <w:rFonts w:ascii="Times New Roman" w:hAnsi="Times New Roman" w:cs="Times New Roman"/>
          <w:sz w:val="24"/>
          <w:szCs w:val="24"/>
        </w:rPr>
        <w:t>in a small number of Future Commission Merchants (</w:t>
      </w:r>
      <w:r w:rsidR="00DC62E8" w:rsidRPr="00DE5DCA">
        <w:rPr>
          <w:rFonts w:ascii="Times New Roman" w:hAnsi="Times New Roman" w:cs="Times New Roman"/>
          <w:b/>
          <w:sz w:val="24"/>
          <w:szCs w:val="24"/>
        </w:rPr>
        <w:t>“FCMs”</w:t>
      </w:r>
      <w:r w:rsidR="00DC62E8" w:rsidRPr="00DE5DCA">
        <w:rPr>
          <w:rFonts w:ascii="Times New Roman" w:hAnsi="Times New Roman" w:cs="Times New Roman"/>
          <w:sz w:val="24"/>
          <w:szCs w:val="24"/>
        </w:rPr>
        <w:t xml:space="preserve">). </w:t>
      </w:r>
      <w:r w:rsidR="00E53CB0" w:rsidRPr="00DE5DCA">
        <w:rPr>
          <w:rFonts w:ascii="Times New Roman" w:hAnsi="Times New Roman" w:cs="Times New Roman"/>
          <w:sz w:val="24"/>
          <w:szCs w:val="24"/>
        </w:rPr>
        <w:t xml:space="preserve">In this regard, </w:t>
      </w:r>
      <w:r w:rsidR="000704EA" w:rsidRPr="00DE5DCA">
        <w:rPr>
          <w:rFonts w:ascii="Times New Roman" w:hAnsi="Times New Roman" w:cs="Times New Roman"/>
          <w:sz w:val="24"/>
          <w:szCs w:val="24"/>
          <w:lang w:val="en-AU"/>
        </w:rPr>
        <w:t xml:space="preserve">to provide U.S. persons with greater flexibility and more clearing choices, we believe the Commission should also extend </w:t>
      </w:r>
      <w:r w:rsidR="00786C95">
        <w:rPr>
          <w:rFonts w:ascii="Times New Roman" w:hAnsi="Times New Roman" w:cs="Times New Roman"/>
          <w:sz w:val="24"/>
          <w:szCs w:val="24"/>
          <w:lang w:val="en-AU"/>
        </w:rPr>
        <w:t xml:space="preserve">the </w:t>
      </w:r>
      <w:r w:rsidR="007D09D5">
        <w:rPr>
          <w:rFonts w:ascii="Times New Roman" w:hAnsi="Times New Roman" w:cs="Times New Roman"/>
          <w:sz w:val="24"/>
          <w:szCs w:val="24"/>
          <w:lang w:val="en-AU"/>
        </w:rPr>
        <w:t xml:space="preserve">CFTC’s </w:t>
      </w:r>
      <w:r w:rsidR="000704EA" w:rsidRPr="00DE5DCA">
        <w:rPr>
          <w:rFonts w:ascii="Times New Roman" w:hAnsi="Times New Roman" w:cs="Times New Roman"/>
          <w:sz w:val="24"/>
          <w:szCs w:val="24"/>
          <w:lang w:val="en-AU"/>
        </w:rPr>
        <w:t xml:space="preserve">part-30 type regime </w:t>
      </w:r>
      <w:r w:rsidR="00FE4DB2">
        <w:rPr>
          <w:rFonts w:ascii="Times New Roman" w:hAnsi="Times New Roman" w:cs="Times New Roman"/>
          <w:sz w:val="24"/>
          <w:szCs w:val="24"/>
          <w:lang w:val="en-AU"/>
        </w:rPr>
        <w:t>to</w:t>
      </w:r>
      <w:r w:rsidR="000704EA" w:rsidRPr="00DE5DCA">
        <w:rPr>
          <w:rFonts w:ascii="Times New Roman" w:hAnsi="Times New Roman" w:cs="Times New Roman"/>
          <w:sz w:val="24"/>
          <w:szCs w:val="24"/>
          <w:lang w:val="en-AU"/>
        </w:rPr>
        <w:t xml:space="preserve"> swaps, enabling U.S. </w:t>
      </w:r>
      <w:r w:rsidR="000704EA" w:rsidRPr="00DE5DCA">
        <w:rPr>
          <w:rFonts w:ascii="Times New Roman" w:hAnsi="Times New Roman" w:cs="Times New Roman"/>
          <w:sz w:val="24"/>
          <w:szCs w:val="24"/>
          <w:lang w:val="en-AU"/>
        </w:rPr>
        <w:lastRenderedPageBreak/>
        <w:t xml:space="preserve">customers to access exempt DCOs for swaps clearing under an aligned framework. </w:t>
      </w:r>
      <w:r w:rsidR="00786C95">
        <w:rPr>
          <w:rFonts w:ascii="Times New Roman" w:hAnsi="Times New Roman" w:cs="Times New Roman"/>
          <w:sz w:val="24"/>
          <w:szCs w:val="24"/>
          <w:lang w:val="en-AU"/>
        </w:rPr>
        <w:t>P</w:t>
      </w:r>
      <w:r w:rsidR="000704EA" w:rsidRPr="00DE5DCA">
        <w:rPr>
          <w:rFonts w:ascii="Times New Roman" w:hAnsi="Times New Roman" w:cs="Times New Roman"/>
          <w:sz w:val="24"/>
          <w:szCs w:val="24"/>
          <w:lang w:val="en-AU"/>
        </w:rPr>
        <w:t>ermitting FCMs to use an omnibus clearing structure for foreign cleared swaps similar to the one used in the futures markets</w:t>
      </w:r>
      <w:r w:rsidR="00786C95">
        <w:rPr>
          <w:rFonts w:ascii="Times New Roman" w:hAnsi="Times New Roman" w:cs="Times New Roman"/>
          <w:sz w:val="24"/>
          <w:szCs w:val="24"/>
          <w:lang w:val="en-AU"/>
        </w:rPr>
        <w:t xml:space="preserve"> would potentially eliminate the need for U.S. customers to enter into new or duplicative relationships with alternative non-U.S. affiliated clearing members</w:t>
      </w:r>
      <w:r w:rsidR="00E53CB0" w:rsidRPr="00DE5DCA">
        <w:rPr>
          <w:rFonts w:ascii="Times New Roman" w:hAnsi="Times New Roman" w:cs="Times New Roman"/>
          <w:sz w:val="24"/>
          <w:szCs w:val="24"/>
        </w:rPr>
        <w:t>.</w:t>
      </w:r>
      <w:r w:rsidR="00FD79C1" w:rsidRPr="00DE5DCA">
        <w:rPr>
          <w:rStyle w:val="FootnoteReference"/>
          <w:rFonts w:ascii="Times New Roman" w:hAnsi="Times New Roman" w:cs="Times New Roman"/>
          <w:sz w:val="24"/>
          <w:szCs w:val="24"/>
        </w:rPr>
        <w:footnoteReference w:id="6"/>
      </w:r>
      <w:r w:rsidR="00E53CB0" w:rsidRPr="00DE5DCA">
        <w:rPr>
          <w:rFonts w:ascii="Times New Roman" w:hAnsi="Times New Roman" w:cs="Times New Roman"/>
          <w:sz w:val="24"/>
          <w:szCs w:val="24"/>
        </w:rPr>
        <w:t xml:space="preserve"> </w:t>
      </w:r>
    </w:p>
    <w:p w14:paraId="09A180B7" w14:textId="77777777" w:rsidR="00A70E57" w:rsidRPr="00DE5DCA" w:rsidRDefault="00A70E57" w:rsidP="00115886">
      <w:pPr>
        <w:spacing w:after="0" w:line="240" w:lineRule="auto"/>
        <w:rPr>
          <w:rFonts w:ascii="Times New Roman" w:hAnsi="Times New Roman" w:cs="Times New Roman"/>
          <w:sz w:val="24"/>
          <w:szCs w:val="24"/>
        </w:rPr>
      </w:pPr>
    </w:p>
    <w:p w14:paraId="13D392B2" w14:textId="77777777" w:rsidR="00A70E57" w:rsidRDefault="00154269" w:rsidP="00115886">
      <w:pPr>
        <w:spacing w:after="0" w:line="240" w:lineRule="auto"/>
        <w:rPr>
          <w:rFonts w:ascii="Times New Roman" w:hAnsi="Times New Roman" w:cs="Times New Roman"/>
          <w:sz w:val="24"/>
          <w:szCs w:val="24"/>
        </w:rPr>
      </w:pPr>
      <w:r w:rsidRPr="00DE5DCA">
        <w:rPr>
          <w:rFonts w:ascii="Times New Roman" w:hAnsi="Times New Roman" w:cs="Times New Roman"/>
          <w:sz w:val="24"/>
          <w:szCs w:val="24"/>
        </w:rPr>
        <w:t xml:space="preserve">We </w:t>
      </w:r>
      <w:r w:rsidR="006C11BD" w:rsidRPr="00DE5DCA">
        <w:rPr>
          <w:rFonts w:ascii="Times New Roman" w:hAnsi="Times New Roman" w:cs="Times New Roman"/>
          <w:sz w:val="24"/>
          <w:szCs w:val="24"/>
        </w:rPr>
        <w:t xml:space="preserve">also </w:t>
      </w:r>
      <w:r w:rsidRPr="00DE5DCA">
        <w:rPr>
          <w:rFonts w:ascii="Times New Roman" w:hAnsi="Times New Roman" w:cs="Times New Roman"/>
          <w:sz w:val="24"/>
          <w:szCs w:val="24"/>
        </w:rPr>
        <w:t xml:space="preserve">support the </w:t>
      </w:r>
      <w:r w:rsidR="00434284" w:rsidRPr="00DE5DCA">
        <w:rPr>
          <w:rFonts w:ascii="Times New Roman" w:hAnsi="Times New Roman" w:cs="Times New Roman"/>
          <w:sz w:val="24"/>
          <w:szCs w:val="24"/>
        </w:rPr>
        <w:t xml:space="preserve">Commission’s reliance </w:t>
      </w:r>
      <w:r w:rsidRPr="00DE5DCA">
        <w:rPr>
          <w:rFonts w:ascii="Times New Roman" w:hAnsi="Times New Roman" w:cs="Times New Roman"/>
          <w:sz w:val="24"/>
          <w:szCs w:val="24"/>
        </w:rPr>
        <w:t xml:space="preserve">on the CPMI-IOSCO Principles for </w:t>
      </w:r>
      <w:r w:rsidR="006565D5">
        <w:rPr>
          <w:rFonts w:ascii="Times New Roman" w:hAnsi="Times New Roman" w:cs="Times New Roman"/>
          <w:sz w:val="24"/>
          <w:szCs w:val="24"/>
        </w:rPr>
        <w:t>F</w:t>
      </w:r>
      <w:r w:rsidRPr="00DE5DCA">
        <w:rPr>
          <w:rFonts w:ascii="Times New Roman" w:hAnsi="Times New Roman" w:cs="Times New Roman"/>
          <w:sz w:val="24"/>
          <w:szCs w:val="24"/>
        </w:rPr>
        <w:t xml:space="preserve">inancial </w:t>
      </w:r>
      <w:r w:rsidR="006565D5">
        <w:rPr>
          <w:rFonts w:ascii="Times New Roman" w:hAnsi="Times New Roman" w:cs="Times New Roman"/>
          <w:sz w:val="24"/>
          <w:szCs w:val="24"/>
        </w:rPr>
        <w:t>M</w:t>
      </w:r>
      <w:r w:rsidRPr="00DE5DCA">
        <w:rPr>
          <w:rFonts w:ascii="Times New Roman" w:hAnsi="Times New Roman" w:cs="Times New Roman"/>
          <w:sz w:val="24"/>
          <w:szCs w:val="24"/>
        </w:rPr>
        <w:t xml:space="preserve">arket </w:t>
      </w:r>
      <w:r w:rsidR="006565D5">
        <w:rPr>
          <w:rFonts w:ascii="Times New Roman" w:hAnsi="Times New Roman" w:cs="Times New Roman"/>
          <w:sz w:val="24"/>
          <w:szCs w:val="24"/>
        </w:rPr>
        <w:t>I</w:t>
      </w:r>
      <w:r w:rsidRPr="00DE5DCA">
        <w:rPr>
          <w:rFonts w:ascii="Times New Roman" w:hAnsi="Times New Roman" w:cs="Times New Roman"/>
          <w:sz w:val="24"/>
          <w:szCs w:val="24"/>
        </w:rPr>
        <w:t>nfrastructures (</w:t>
      </w:r>
      <w:r w:rsidRPr="00DE5DCA">
        <w:rPr>
          <w:rFonts w:ascii="Times New Roman" w:hAnsi="Times New Roman" w:cs="Times New Roman"/>
          <w:b/>
          <w:sz w:val="24"/>
          <w:szCs w:val="24"/>
        </w:rPr>
        <w:t>“PFMI”</w:t>
      </w:r>
      <w:r w:rsidRPr="00DE5DCA">
        <w:rPr>
          <w:rFonts w:ascii="Times New Roman" w:hAnsi="Times New Roman" w:cs="Times New Roman"/>
          <w:sz w:val="24"/>
          <w:szCs w:val="24"/>
        </w:rPr>
        <w:t xml:space="preserve">) as a framework for comparability determinations </w:t>
      </w:r>
      <w:r w:rsidR="007666B8" w:rsidRPr="00DE5DCA">
        <w:rPr>
          <w:rFonts w:ascii="Times New Roman" w:hAnsi="Times New Roman" w:cs="Times New Roman"/>
          <w:sz w:val="24"/>
          <w:szCs w:val="24"/>
        </w:rPr>
        <w:t xml:space="preserve">for non-U.S. </w:t>
      </w:r>
      <w:r w:rsidR="00820736" w:rsidRPr="00DE5DCA">
        <w:rPr>
          <w:rFonts w:ascii="Times New Roman" w:hAnsi="Times New Roman" w:cs="Times New Roman"/>
          <w:sz w:val="24"/>
          <w:szCs w:val="24"/>
        </w:rPr>
        <w:t>centra</w:t>
      </w:r>
      <w:r w:rsidR="00820736">
        <w:rPr>
          <w:rFonts w:ascii="Times New Roman" w:hAnsi="Times New Roman" w:cs="Times New Roman"/>
          <w:sz w:val="24"/>
          <w:szCs w:val="24"/>
        </w:rPr>
        <w:t>l clearing counterparties (</w:t>
      </w:r>
      <w:r w:rsidR="00820736" w:rsidRPr="00820736">
        <w:rPr>
          <w:rFonts w:ascii="Times New Roman" w:hAnsi="Times New Roman" w:cs="Times New Roman"/>
          <w:b/>
          <w:bCs/>
          <w:sz w:val="24"/>
          <w:szCs w:val="24"/>
        </w:rPr>
        <w:t>“CCPs”</w:t>
      </w:r>
      <w:r w:rsidR="00820736">
        <w:rPr>
          <w:rFonts w:ascii="Times New Roman" w:hAnsi="Times New Roman" w:cs="Times New Roman"/>
          <w:sz w:val="24"/>
          <w:szCs w:val="24"/>
        </w:rPr>
        <w:t>)</w:t>
      </w:r>
      <w:r w:rsidR="007666B8">
        <w:rPr>
          <w:rFonts w:ascii="Times New Roman" w:hAnsi="Times New Roman" w:cs="Times New Roman"/>
          <w:sz w:val="24"/>
          <w:szCs w:val="24"/>
        </w:rPr>
        <w:t xml:space="preserve"> and deference to </w:t>
      </w:r>
      <w:r w:rsidR="006C11BD">
        <w:rPr>
          <w:rFonts w:ascii="Times New Roman" w:hAnsi="Times New Roman" w:cs="Times New Roman"/>
          <w:sz w:val="24"/>
          <w:szCs w:val="24"/>
        </w:rPr>
        <w:t>foreign regulat</w:t>
      </w:r>
      <w:r w:rsidR="00A72C2B">
        <w:rPr>
          <w:rFonts w:ascii="Times New Roman" w:hAnsi="Times New Roman" w:cs="Times New Roman"/>
          <w:sz w:val="24"/>
          <w:szCs w:val="24"/>
        </w:rPr>
        <w:t>ory regimes.</w:t>
      </w:r>
      <w:r w:rsidR="00EA5E68">
        <w:rPr>
          <w:rStyle w:val="FootnoteReference"/>
          <w:rFonts w:ascii="Times New Roman" w:hAnsi="Times New Roman" w:cs="Times New Roman"/>
          <w:sz w:val="24"/>
          <w:szCs w:val="24"/>
        </w:rPr>
        <w:footnoteReference w:id="7"/>
      </w:r>
      <w:r w:rsidR="00A72C2B">
        <w:rPr>
          <w:rFonts w:ascii="Times New Roman" w:hAnsi="Times New Roman" w:cs="Times New Roman"/>
          <w:sz w:val="24"/>
          <w:szCs w:val="24"/>
        </w:rPr>
        <w:t xml:space="preserve"> </w:t>
      </w:r>
      <w:r w:rsidR="005D0C53">
        <w:rPr>
          <w:rFonts w:ascii="Times New Roman" w:hAnsi="Times New Roman" w:cs="Times New Roman"/>
          <w:sz w:val="24"/>
          <w:szCs w:val="24"/>
        </w:rPr>
        <w:t xml:space="preserve">As we stated in our comments to the Initial Proposal, </w:t>
      </w:r>
      <w:r w:rsidR="00A70E57" w:rsidRPr="00A70E57">
        <w:rPr>
          <w:rFonts w:ascii="Times New Roman" w:hAnsi="Times New Roman" w:cs="Times New Roman"/>
          <w:sz w:val="24"/>
          <w:szCs w:val="24"/>
        </w:rPr>
        <w:t>the European Commission</w:t>
      </w:r>
      <w:r w:rsidR="006E6F63">
        <w:rPr>
          <w:rFonts w:ascii="Times New Roman" w:hAnsi="Times New Roman" w:cs="Times New Roman"/>
          <w:sz w:val="24"/>
          <w:szCs w:val="24"/>
        </w:rPr>
        <w:t>’s</w:t>
      </w:r>
      <w:r w:rsidR="00A70E57" w:rsidRPr="00A70E57">
        <w:rPr>
          <w:rFonts w:ascii="Times New Roman" w:hAnsi="Times New Roman" w:cs="Times New Roman"/>
          <w:sz w:val="24"/>
          <w:szCs w:val="24"/>
        </w:rPr>
        <w:t xml:space="preserve"> amendments to the European Market Infrastructure Regulation </w:t>
      </w:r>
      <w:r w:rsidR="006315EC">
        <w:rPr>
          <w:rFonts w:ascii="Times New Roman" w:hAnsi="Times New Roman" w:cs="Times New Roman"/>
          <w:sz w:val="24"/>
          <w:szCs w:val="24"/>
        </w:rPr>
        <w:t>(</w:t>
      </w:r>
      <w:r w:rsidR="006315EC" w:rsidRPr="006315EC">
        <w:rPr>
          <w:rFonts w:ascii="Times New Roman" w:hAnsi="Times New Roman" w:cs="Times New Roman"/>
          <w:b/>
          <w:sz w:val="24"/>
          <w:szCs w:val="24"/>
        </w:rPr>
        <w:t>“EMIR”</w:t>
      </w:r>
      <w:r w:rsidR="006315EC">
        <w:rPr>
          <w:rFonts w:ascii="Times New Roman" w:hAnsi="Times New Roman" w:cs="Times New Roman"/>
          <w:sz w:val="24"/>
          <w:szCs w:val="24"/>
        </w:rPr>
        <w:t xml:space="preserve">) </w:t>
      </w:r>
      <w:r w:rsidR="00786C95" w:rsidRPr="00A70E57">
        <w:rPr>
          <w:rFonts w:ascii="Times New Roman" w:hAnsi="Times New Roman" w:cs="Times New Roman"/>
          <w:sz w:val="24"/>
          <w:szCs w:val="24"/>
        </w:rPr>
        <w:t>could</w:t>
      </w:r>
      <w:r w:rsidR="00786C95">
        <w:rPr>
          <w:rFonts w:ascii="Times New Roman" w:hAnsi="Times New Roman" w:cs="Times New Roman"/>
          <w:sz w:val="24"/>
          <w:szCs w:val="24"/>
        </w:rPr>
        <w:t>,</w:t>
      </w:r>
      <w:r w:rsidR="00786C95" w:rsidRPr="00A70E57">
        <w:rPr>
          <w:rFonts w:ascii="Times New Roman" w:hAnsi="Times New Roman" w:cs="Times New Roman"/>
          <w:sz w:val="24"/>
          <w:szCs w:val="24"/>
        </w:rPr>
        <w:t xml:space="preserve"> in</w:t>
      </w:r>
      <w:r w:rsidR="00A70E57" w:rsidRPr="00A70E57">
        <w:rPr>
          <w:rFonts w:ascii="Times New Roman" w:hAnsi="Times New Roman" w:cs="Times New Roman"/>
          <w:sz w:val="24"/>
          <w:szCs w:val="24"/>
        </w:rPr>
        <w:t xml:space="preserve"> certain instances</w:t>
      </w:r>
      <w:r w:rsidR="00AF59B0">
        <w:rPr>
          <w:rFonts w:ascii="Times New Roman" w:hAnsi="Times New Roman" w:cs="Times New Roman"/>
          <w:sz w:val="24"/>
          <w:szCs w:val="24"/>
        </w:rPr>
        <w:t>,</w:t>
      </w:r>
      <w:r w:rsidR="00A70E57" w:rsidRPr="00A70E57">
        <w:rPr>
          <w:rFonts w:ascii="Times New Roman" w:hAnsi="Times New Roman" w:cs="Times New Roman"/>
          <w:sz w:val="24"/>
          <w:szCs w:val="24"/>
        </w:rPr>
        <w:t xml:space="preserve"> apply parts of the EU clearing</w:t>
      </w:r>
      <w:r w:rsidR="00AF59B0">
        <w:rPr>
          <w:rFonts w:ascii="Times New Roman" w:hAnsi="Times New Roman" w:cs="Times New Roman"/>
          <w:sz w:val="24"/>
          <w:szCs w:val="24"/>
        </w:rPr>
        <w:t xml:space="preserve"> regulatory</w:t>
      </w:r>
      <w:r w:rsidR="00A70E57" w:rsidRPr="00A70E57">
        <w:rPr>
          <w:rFonts w:ascii="Times New Roman" w:hAnsi="Times New Roman" w:cs="Times New Roman"/>
          <w:sz w:val="24"/>
          <w:szCs w:val="24"/>
        </w:rPr>
        <w:t xml:space="preserve"> regime </w:t>
      </w:r>
      <w:r w:rsidR="0062559E">
        <w:rPr>
          <w:rFonts w:ascii="Times New Roman" w:hAnsi="Times New Roman" w:cs="Times New Roman"/>
          <w:sz w:val="24"/>
          <w:szCs w:val="24"/>
        </w:rPr>
        <w:t xml:space="preserve">directly </w:t>
      </w:r>
      <w:r w:rsidR="00A70E57" w:rsidRPr="00A70E57">
        <w:rPr>
          <w:rFonts w:ascii="Times New Roman" w:hAnsi="Times New Roman" w:cs="Times New Roman"/>
          <w:sz w:val="24"/>
          <w:szCs w:val="24"/>
        </w:rPr>
        <w:t xml:space="preserve">to U.S. CCPs. We </w:t>
      </w:r>
      <w:r w:rsidR="00283C59">
        <w:rPr>
          <w:rFonts w:ascii="Times New Roman" w:hAnsi="Times New Roman" w:cs="Times New Roman"/>
          <w:sz w:val="24"/>
          <w:szCs w:val="24"/>
        </w:rPr>
        <w:t>encourage</w:t>
      </w:r>
      <w:r w:rsidR="00A70E57" w:rsidRPr="00A70E57">
        <w:rPr>
          <w:rFonts w:ascii="Times New Roman" w:hAnsi="Times New Roman" w:cs="Times New Roman"/>
          <w:sz w:val="24"/>
          <w:szCs w:val="24"/>
        </w:rPr>
        <w:t xml:space="preserve"> the CFTC to continue </w:t>
      </w:r>
      <w:r w:rsidR="00377716">
        <w:rPr>
          <w:rFonts w:ascii="Times New Roman" w:hAnsi="Times New Roman" w:cs="Times New Roman"/>
          <w:sz w:val="24"/>
          <w:szCs w:val="24"/>
        </w:rPr>
        <w:t>its</w:t>
      </w:r>
      <w:r w:rsidR="00A70E57" w:rsidRPr="00A70E57">
        <w:rPr>
          <w:rFonts w:ascii="Times New Roman" w:hAnsi="Times New Roman" w:cs="Times New Roman"/>
          <w:sz w:val="24"/>
          <w:szCs w:val="24"/>
        </w:rPr>
        <w:t xml:space="preserve"> dialog</w:t>
      </w:r>
      <w:r w:rsidR="00377716">
        <w:rPr>
          <w:rFonts w:ascii="Times New Roman" w:hAnsi="Times New Roman" w:cs="Times New Roman"/>
          <w:sz w:val="24"/>
          <w:szCs w:val="24"/>
        </w:rPr>
        <w:t>ue</w:t>
      </w:r>
      <w:r w:rsidR="00A70E57" w:rsidRPr="00A70E57">
        <w:rPr>
          <w:rFonts w:ascii="Times New Roman" w:hAnsi="Times New Roman" w:cs="Times New Roman"/>
          <w:sz w:val="24"/>
          <w:szCs w:val="24"/>
        </w:rPr>
        <w:t xml:space="preserve"> with </w:t>
      </w:r>
      <w:r w:rsidR="00DC62E8">
        <w:rPr>
          <w:rFonts w:ascii="Times New Roman" w:hAnsi="Times New Roman" w:cs="Times New Roman"/>
          <w:sz w:val="24"/>
          <w:szCs w:val="24"/>
        </w:rPr>
        <w:t>foreign regulators</w:t>
      </w:r>
      <w:r w:rsidR="00A70E57" w:rsidRPr="00A70E57">
        <w:rPr>
          <w:rFonts w:ascii="Times New Roman" w:hAnsi="Times New Roman" w:cs="Times New Roman"/>
          <w:sz w:val="24"/>
          <w:szCs w:val="24"/>
        </w:rPr>
        <w:t xml:space="preserve"> in the EU </w:t>
      </w:r>
      <w:r w:rsidR="0062559E">
        <w:rPr>
          <w:rFonts w:ascii="Times New Roman" w:hAnsi="Times New Roman" w:cs="Times New Roman"/>
          <w:sz w:val="24"/>
          <w:szCs w:val="24"/>
        </w:rPr>
        <w:t xml:space="preserve">and </w:t>
      </w:r>
      <w:r w:rsidR="00775704">
        <w:rPr>
          <w:rFonts w:ascii="Times New Roman" w:hAnsi="Times New Roman" w:cs="Times New Roman"/>
          <w:sz w:val="24"/>
          <w:szCs w:val="24"/>
        </w:rPr>
        <w:t xml:space="preserve">other jurisdictions </w:t>
      </w:r>
      <w:r w:rsidR="0062559E">
        <w:rPr>
          <w:rFonts w:ascii="Times New Roman" w:hAnsi="Times New Roman" w:cs="Times New Roman"/>
          <w:sz w:val="24"/>
          <w:szCs w:val="24"/>
        </w:rPr>
        <w:t>to ensure that CCP supervision is based on deference to home country regulations and compliance with the PFMI.</w:t>
      </w:r>
      <w:r w:rsidR="00DC62E8">
        <w:rPr>
          <w:rFonts w:ascii="Times New Roman" w:hAnsi="Times New Roman" w:cs="Times New Roman"/>
          <w:sz w:val="24"/>
          <w:szCs w:val="24"/>
        </w:rPr>
        <w:t xml:space="preserve"> We note that</w:t>
      </w:r>
      <w:r w:rsidR="00AA0730">
        <w:rPr>
          <w:rFonts w:ascii="Times New Roman" w:hAnsi="Times New Roman" w:cs="Times New Roman"/>
          <w:sz w:val="24"/>
          <w:szCs w:val="24"/>
        </w:rPr>
        <w:t xml:space="preserve"> </w:t>
      </w:r>
      <w:r w:rsidR="00DC62E8">
        <w:rPr>
          <w:rFonts w:ascii="Times New Roman" w:hAnsi="Times New Roman" w:cs="Times New Roman"/>
          <w:sz w:val="24"/>
          <w:szCs w:val="24"/>
        </w:rPr>
        <w:t>appl</w:t>
      </w:r>
      <w:r w:rsidR="007D09D5">
        <w:rPr>
          <w:rFonts w:ascii="Times New Roman" w:hAnsi="Times New Roman" w:cs="Times New Roman"/>
          <w:sz w:val="24"/>
          <w:szCs w:val="24"/>
        </w:rPr>
        <w:t>ying</w:t>
      </w:r>
      <w:r w:rsidR="00DC62E8">
        <w:rPr>
          <w:rFonts w:ascii="Times New Roman" w:hAnsi="Times New Roman" w:cs="Times New Roman"/>
          <w:sz w:val="24"/>
          <w:szCs w:val="24"/>
        </w:rPr>
        <w:t xml:space="preserve"> inconsistent and duplicative regulatory frameworks</w:t>
      </w:r>
      <w:r w:rsidR="007D09D5">
        <w:rPr>
          <w:rFonts w:ascii="Times New Roman" w:hAnsi="Times New Roman" w:cs="Times New Roman"/>
          <w:sz w:val="24"/>
          <w:szCs w:val="24"/>
        </w:rPr>
        <w:t xml:space="preserve"> to</w:t>
      </w:r>
      <w:r w:rsidR="00DC62E8">
        <w:rPr>
          <w:rFonts w:ascii="Times New Roman" w:hAnsi="Times New Roman" w:cs="Times New Roman"/>
          <w:sz w:val="24"/>
          <w:szCs w:val="24"/>
        </w:rPr>
        <w:t xml:space="preserve"> CCPs will lead to the fragmentation of global cleared derivatives markets.</w:t>
      </w:r>
      <w:r w:rsidR="00DC62E8">
        <w:rPr>
          <w:rStyle w:val="FootnoteReference"/>
          <w:rFonts w:ascii="Times New Roman" w:hAnsi="Times New Roman" w:cs="Times New Roman"/>
          <w:sz w:val="24"/>
          <w:szCs w:val="24"/>
        </w:rPr>
        <w:footnoteReference w:id="8"/>
      </w:r>
      <w:r w:rsidR="00DC62E8">
        <w:rPr>
          <w:rFonts w:ascii="Times New Roman" w:hAnsi="Times New Roman" w:cs="Times New Roman"/>
          <w:sz w:val="24"/>
          <w:szCs w:val="24"/>
        </w:rPr>
        <w:t xml:space="preserve">  </w:t>
      </w:r>
    </w:p>
    <w:p w14:paraId="36AF8291" w14:textId="77777777" w:rsidR="008521F5" w:rsidRPr="00497E15" w:rsidRDefault="008521F5" w:rsidP="00115886">
      <w:pPr>
        <w:spacing w:after="0" w:line="240" w:lineRule="auto"/>
        <w:rPr>
          <w:rFonts w:ascii="Times New Roman" w:hAnsi="Times New Roman" w:cs="Times New Roman"/>
          <w:b/>
          <w:bCs/>
          <w:sz w:val="24"/>
          <w:szCs w:val="24"/>
        </w:rPr>
      </w:pPr>
    </w:p>
    <w:p w14:paraId="0630CE98" w14:textId="77777777" w:rsidR="00CF29CB" w:rsidRPr="00497E15" w:rsidRDefault="00497E15" w:rsidP="00115886">
      <w:pPr>
        <w:spacing w:after="0" w:line="240" w:lineRule="auto"/>
        <w:rPr>
          <w:rFonts w:ascii="Times New Roman" w:hAnsi="Times New Roman" w:cs="Times New Roman"/>
          <w:bCs/>
          <w:sz w:val="24"/>
          <w:szCs w:val="24"/>
        </w:rPr>
      </w:pPr>
      <w:r w:rsidRPr="00497E15">
        <w:rPr>
          <w:rFonts w:ascii="Times New Roman" w:hAnsi="Times New Roman" w:cs="Times New Roman"/>
          <w:bCs/>
          <w:sz w:val="24"/>
          <w:szCs w:val="24"/>
        </w:rPr>
        <w:t>Below we provide comments on three aspects of the Supplemental Proposal:</w:t>
      </w:r>
      <w:r>
        <w:rPr>
          <w:rFonts w:ascii="Times New Roman" w:hAnsi="Times New Roman" w:cs="Times New Roman"/>
          <w:bCs/>
          <w:sz w:val="24"/>
          <w:szCs w:val="24"/>
        </w:rPr>
        <w:t xml:space="preserve"> (1) </w:t>
      </w:r>
      <w:r w:rsidR="007F5E15">
        <w:rPr>
          <w:rFonts w:ascii="Times New Roman" w:hAnsi="Times New Roman" w:cs="Times New Roman"/>
          <w:bCs/>
          <w:sz w:val="24"/>
          <w:szCs w:val="24"/>
        </w:rPr>
        <w:t xml:space="preserve">the </w:t>
      </w:r>
      <w:r>
        <w:rPr>
          <w:rFonts w:ascii="Times New Roman" w:hAnsi="Times New Roman" w:cs="Times New Roman"/>
          <w:bCs/>
          <w:sz w:val="24"/>
          <w:szCs w:val="24"/>
        </w:rPr>
        <w:t>20/20 threshold test for</w:t>
      </w:r>
      <w:r w:rsidR="00E83D98">
        <w:rPr>
          <w:rFonts w:ascii="Times New Roman" w:hAnsi="Times New Roman" w:cs="Times New Roman"/>
          <w:bCs/>
          <w:sz w:val="24"/>
          <w:szCs w:val="24"/>
        </w:rPr>
        <w:t xml:space="preserve"> </w:t>
      </w:r>
      <w:r w:rsidR="00A72C2B">
        <w:rPr>
          <w:rFonts w:ascii="Times New Roman" w:hAnsi="Times New Roman" w:cs="Times New Roman"/>
          <w:bCs/>
          <w:sz w:val="24"/>
          <w:szCs w:val="24"/>
        </w:rPr>
        <w:t xml:space="preserve">determining </w:t>
      </w:r>
      <w:r w:rsidR="00E83D98">
        <w:rPr>
          <w:rFonts w:ascii="Times New Roman" w:hAnsi="Times New Roman" w:cs="Times New Roman"/>
          <w:bCs/>
          <w:sz w:val="24"/>
          <w:szCs w:val="24"/>
        </w:rPr>
        <w:t>substantial risk</w:t>
      </w:r>
      <w:r>
        <w:rPr>
          <w:rFonts w:ascii="Times New Roman" w:hAnsi="Times New Roman" w:cs="Times New Roman"/>
          <w:bCs/>
          <w:sz w:val="24"/>
          <w:szCs w:val="24"/>
        </w:rPr>
        <w:t xml:space="preserve">; (2) </w:t>
      </w:r>
      <w:r w:rsidR="006F72F2">
        <w:rPr>
          <w:rFonts w:ascii="Times New Roman" w:hAnsi="Times New Roman" w:cs="Times New Roman"/>
          <w:bCs/>
          <w:sz w:val="24"/>
          <w:szCs w:val="24"/>
        </w:rPr>
        <w:t xml:space="preserve">the </w:t>
      </w:r>
      <w:r w:rsidR="00A72C2B">
        <w:rPr>
          <w:rFonts w:ascii="Times New Roman" w:hAnsi="Times New Roman" w:cs="Times New Roman"/>
          <w:bCs/>
          <w:sz w:val="24"/>
          <w:szCs w:val="24"/>
        </w:rPr>
        <w:t xml:space="preserve">treatment of </w:t>
      </w:r>
      <w:r w:rsidR="000D4688">
        <w:rPr>
          <w:rFonts w:ascii="Times New Roman" w:hAnsi="Times New Roman" w:cs="Times New Roman"/>
          <w:bCs/>
          <w:sz w:val="24"/>
          <w:szCs w:val="24"/>
        </w:rPr>
        <w:t xml:space="preserve">swaps not subject to the CFTC’s clearing mandate; and (3) </w:t>
      </w:r>
      <w:r w:rsidR="007F5E15">
        <w:rPr>
          <w:rFonts w:ascii="Times New Roman" w:hAnsi="Times New Roman" w:cs="Times New Roman"/>
          <w:bCs/>
          <w:sz w:val="24"/>
          <w:szCs w:val="24"/>
        </w:rPr>
        <w:t xml:space="preserve">the </w:t>
      </w:r>
      <w:r w:rsidR="00E83D98">
        <w:rPr>
          <w:rFonts w:ascii="Times New Roman" w:hAnsi="Times New Roman" w:cs="Times New Roman"/>
          <w:bCs/>
          <w:sz w:val="24"/>
          <w:szCs w:val="24"/>
        </w:rPr>
        <w:t>CFTC’s authority regarding i</w:t>
      </w:r>
      <w:r w:rsidR="008E3F77">
        <w:rPr>
          <w:rFonts w:ascii="Times New Roman" w:hAnsi="Times New Roman" w:cs="Times New Roman"/>
          <w:bCs/>
          <w:sz w:val="24"/>
          <w:szCs w:val="24"/>
        </w:rPr>
        <w:t>nspections</w:t>
      </w:r>
      <w:r w:rsidR="00A72C2B">
        <w:rPr>
          <w:rFonts w:ascii="Times New Roman" w:hAnsi="Times New Roman" w:cs="Times New Roman"/>
          <w:bCs/>
          <w:sz w:val="24"/>
          <w:szCs w:val="24"/>
        </w:rPr>
        <w:t xml:space="preserve"> of exempt DCOs</w:t>
      </w:r>
      <w:r w:rsidR="008E3F77">
        <w:rPr>
          <w:rFonts w:ascii="Times New Roman" w:hAnsi="Times New Roman" w:cs="Times New Roman"/>
          <w:bCs/>
          <w:sz w:val="24"/>
          <w:szCs w:val="24"/>
        </w:rPr>
        <w:t xml:space="preserve">. </w:t>
      </w:r>
      <w:r w:rsidRPr="00497E15">
        <w:rPr>
          <w:rFonts w:ascii="Times New Roman" w:hAnsi="Times New Roman" w:cs="Times New Roman"/>
          <w:bCs/>
          <w:sz w:val="24"/>
          <w:szCs w:val="24"/>
        </w:rPr>
        <w:t xml:space="preserve"> </w:t>
      </w:r>
    </w:p>
    <w:p w14:paraId="19724F80" w14:textId="77777777" w:rsidR="00CF29CB" w:rsidRDefault="00CF29CB" w:rsidP="00115886">
      <w:pPr>
        <w:spacing w:after="0" w:line="240" w:lineRule="auto"/>
        <w:rPr>
          <w:rFonts w:ascii="Times New Roman" w:hAnsi="Times New Roman" w:cs="Times New Roman"/>
          <w:b/>
          <w:sz w:val="24"/>
          <w:szCs w:val="24"/>
        </w:rPr>
      </w:pPr>
    </w:p>
    <w:p w14:paraId="51609068" w14:textId="77777777" w:rsidR="008521F5" w:rsidRPr="005E58FE" w:rsidRDefault="008521F5" w:rsidP="005E58FE">
      <w:pPr>
        <w:pStyle w:val="ListParagraph"/>
        <w:numPr>
          <w:ilvl w:val="0"/>
          <w:numId w:val="7"/>
        </w:numPr>
        <w:spacing w:after="0" w:line="240" w:lineRule="auto"/>
        <w:rPr>
          <w:rFonts w:ascii="Times New Roman" w:hAnsi="Times New Roman" w:cs="Times New Roman"/>
          <w:b/>
          <w:sz w:val="24"/>
          <w:szCs w:val="24"/>
        </w:rPr>
      </w:pPr>
      <w:r w:rsidRPr="005E58FE">
        <w:rPr>
          <w:rFonts w:ascii="Times New Roman" w:hAnsi="Times New Roman" w:cs="Times New Roman"/>
          <w:b/>
          <w:sz w:val="24"/>
          <w:szCs w:val="24"/>
        </w:rPr>
        <w:t>20/20 Threshold Test for S</w:t>
      </w:r>
      <w:r w:rsidR="00E83D98" w:rsidRPr="005E58FE">
        <w:rPr>
          <w:rFonts w:ascii="Times New Roman" w:hAnsi="Times New Roman" w:cs="Times New Roman"/>
          <w:b/>
          <w:sz w:val="24"/>
          <w:szCs w:val="24"/>
        </w:rPr>
        <w:t>ubstantial Risk</w:t>
      </w:r>
      <w:r w:rsidR="00AF0801" w:rsidRPr="005E58FE">
        <w:rPr>
          <w:rFonts w:ascii="Times New Roman" w:hAnsi="Times New Roman" w:cs="Times New Roman"/>
          <w:b/>
          <w:sz w:val="24"/>
          <w:szCs w:val="24"/>
        </w:rPr>
        <w:t xml:space="preserve"> Should be Revised</w:t>
      </w:r>
    </w:p>
    <w:p w14:paraId="0090B463" w14:textId="77777777" w:rsidR="004833CC" w:rsidRDefault="004833CC" w:rsidP="00115886">
      <w:pPr>
        <w:spacing w:after="0" w:line="240" w:lineRule="auto"/>
        <w:rPr>
          <w:rFonts w:ascii="Times New Roman" w:hAnsi="Times New Roman" w:cs="Times New Roman"/>
          <w:b/>
          <w:sz w:val="24"/>
          <w:szCs w:val="24"/>
        </w:rPr>
      </w:pPr>
    </w:p>
    <w:p w14:paraId="4A64DBD5" w14:textId="77777777" w:rsidR="006315EC" w:rsidRDefault="001061C4" w:rsidP="001061C4">
      <w:pPr>
        <w:spacing w:after="0" w:line="240" w:lineRule="auto"/>
        <w:rPr>
          <w:rFonts w:ascii="Times New Roman" w:hAnsi="Times New Roman" w:cs="Times New Roman"/>
          <w:sz w:val="24"/>
          <w:szCs w:val="24"/>
        </w:rPr>
      </w:pPr>
      <w:r w:rsidRPr="004833CC">
        <w:rPr>
          <w:rFonts w:ascii="Times New Roman" w:hAnsi="Times New Roman" w:cs="Times New Roman"/>
          <w:sz w:val="24"/>
          <w:szCs w:val="24"/>
        </w:rPr>
        <w:t xml:space="preserve">We appreciate the </w:t>
      </w:r>
      <w:r>
        <w:rPr>
          <w:rFonts w:ascii="Times New Roman" w:hAnsi="Times New Roman" w:cs="Times New Roman"/>
          <w:sz w:val="24"/>
          <w:szCs w:val="24"/>
        </w:rPr>
        <w:t xml:space="preserve">Commission’s efforts to establish a bright-line test for eligibility for the exemption from DCO registration. </w:t>
      </w:r>
      <w:r w:rsidR="006315EC">
        <w:rPr>
          <w:rFonts w:ascii="Times New Roman" w:hAnsi="Times New Roman" w:cs="Times New Roman"/>
          <w:sz w:val="24"/>
          <w:szCs w:val="24"/>
        </w:rPr>
        <w:t>Under the Supplemental Proposal, t</w:t>
      </w:r>
      <w:r w:rsidR="006315EC" w:rsidRPr="00050972">
        <w:rPr>
          <w:rFonts w:ascii="Times New Roman" w:hAnsi="Times New Roman" w:cs="Times New Roman"/>
          <w:sz w:val="24"/>
          <w:szCs w:val="24"/>
        </w:rPr>
        <w:t>o be exempt</w:t>
      </w:r>
      <w:r w:rsidR="00A72C2B">
        <w:rPr>
          <w:rFonts w:ascii="Times New Roman" w:hAnsi="Times New Roman" w:cs="Times New Roman"/>
          <w:sz w:val="24"/>
          <w:szCs w:val="24"/>
        </w:rPr>
        <w:t xml:space="preserve"> from the CFTC registration regime</w:t>
      </w:r>
      <w:r w:rsidR="006315EC" w:rsidRPr="00050972">
        <w:rPr>
          <w:rFonts w:ascii="Times New Roman" w:hAnsi="Times New Roman" w:cs="Times New Roman"/>
          <w:sz w:val="24"/>
          <w:szCs w:val="24"/>
        </w:rPr>
        <w:t xml:space="preserve">, </w:t>
      </w:r>
      <w:r w:rsidR="00A72C2B">
        <w:rPr>
          <w:rFonts w:ascii="Times New Roman" w:hAnsi="Times New Roman" w:cs="Times New Roman"/>
          <w:sz w:val="24"/>
          <w:szCs w:val="24"/>
        </w:rPr>
        <w:t xml:space="preserve">the CFTC must determine that a non-U.S. CCP does </w:t>
      </w:r>
      <w:r w:rsidR="006315EC" w:rsidRPr="00050972">
        <w:rPr>
          <w:rFonts w:ascii="Times New Roman" w:hAnsi="Times New Roman" w:cs="Times New Roman"/>
          <w:sz w:val="24"/>
          <w:szCs w:val="24"/>
        </w:rPr>
        <w:t>not “pose substantial risk to the U.S. financial</w:t>
      </w:r>
      <w:r w:rsidR="006315EC">
        <w:rPr>
          <w:rFonts w:ascii="Times New Roman" w:hAnsi="Times New Roman" w:cs="Times New Roman"/>
          <w:sz w:val="24"/>
          <w:szCs w:val="24"/>
        </w:rPr>
        <w:t xml:space="preserve"> system.” A DCO is determined to pose “substantial risk” where: </w:t>
      </w:r>
      <w:r w:rsidR="006315EC" w:rsidRPr="007F5718">
        <w:rPr>
          <w:rFonts w:ascii="Times New Roman" w:hAnsi="Times New Roman" w:cs="Times New Roman"/>
          <w:sz w:val="24"/>
          <w:szCs w:val="24"/>
        </w:rPr>
        <w:t>(1) the DCO holds 20% or more of the required initial margin of U.S. clearing members for swaps across all registered or exempt DCOs; and/or (2) 20% or more of the initial margin requirements for swaps at that DCO is attributable to U.S. clearing members</w:t>
      </w:r>
      <w:r w:rsidR="006315EC">
        <w:rPr>
          <w:rFonts w:ascii="Times New Roman" w:hAnsi="Times New Roman" w:cs="Times New Roman"/>
          <w:sz w:val="24"/>
          <w:szCs w:val="24"/>
        </w:rPr>
        <w:t>.</w:t>
      </w:r>
      <w:r w:rsidR="006315EC">
        <w:rPr>
          <w:rStyle w:val="FootnoteReference"/>
          <w:rFonts w:ascii="Times New Roman" w:hAnsi="Times New Roman" w:cs="Times New Roman"/>
          <w:sz w:val="24"/>
          <w:szCs w:val="24"/>
        </w:rPr>
        <w:footnoteReference w:id="9"/>
      </w:r>
      <w:r w:rsidR="0044602C">
        <w:rPr>
          <w:rFonts w:ascii="Times New Roman" w:hAnsi="Times New Roman" w:cs="Times New Roman"/>
          <w:sz w:val="24"/>
          <w:szCs w:val="24"/>
        </w:rPr>
        <w:t xml:space="preserve"> </w:t>
      </w:r>
    </w:p>
    <w:p w14:paraId="1A52581E" w14:textId="77777777" w:rsidR="00A22BF9" w:rsidRDefault="00A22BF9" w:rsidP="00115886">
      <w:pPr>
        <w:spacing w:after="0" w:line="240" w:lineRule="auto"/>
        <w:rPr>
          <w:rFonts w:ascii="Times New Roman" w:hAnsi="Times New Roman" w:cs="Times New Roman"/>
          <w:sz w:val="24"/>
          <w:szCs w:val="24"/>
        </w:rPr>
      </w:pPr>
    </w:p>
    <w:p w14:paraId="640B3EC1" w14:textId="77777777" w:rsidR="00786C95" w:rsidRDefault="001061C4" w:rsidP="008B3C98">
      <w:pPr>
        <w:spacing w:after="0" w:line="240" w:lineRule="auto"/>
        <w:rPr>
          <w:rFonts w:ascii="Times New Roman" w:hAnsi="Times New Roman" w:cs="Times New Roman"/>
          <w:sz w:val="24"/>
          <w:szCs w:val="24"/>
        </w:rPr>
      </w:pPr>
      <w:r>
        <w:rPr>
          <w:rFonts w:ascii="Times New Roman" w:hAnsi="Times New Roman" w:cs="Times New Roman"/>
          <w:sz w:val="24"/>
          <w:szCs w:val="24"/>
        </w:rPr>
        <w:t>In addition, a</w:t>
      </w:r>
      <w:r w:rsidR="006315EC">
        <w:rPr>
          <w:rFonts w:ascii="Times New Roman" w:hAnsi="Times New Roman" w:cs="Times New Roman"/>
          <w:sz w:val="24"/>
          <w:szCs w:val="24"/>
        </w:rPr>
        <w:t xml:space="preserve">s we indicated </w:t>
      </w:r>
      <w:r w:rsidR="00311796">
        <w:rPr>
          <w:rFonts w:ascii="Times New Roman" w:hAnsi="Times New Roman" w:cs="Times New Roman"/>
          <w:sz w:val="24"/>
          <w:szCs w:val="24"/>
        </w:rPr>
        <w:t xml:space="preserve">in our response </w:t>
      </w:r>
      <w:r w:rsidR="006315EC">
        <w:rPr>
          <w:rFonts w:ascii="Times New Roman" w:hAnsi="Times New Roman" w:cs="Times New Roman"/>
          <w:sz w:val="24"/>
          <w:szCs w:val="24"/>
        </w:rPr>
        <w:t>to</w:t>
      </w:r>
      <w:r w:rsidR="006829A5">
        <w:rPr>
          <w:rFonts w:ascii="Times New Roman" w:hAnsi="Times New Roman" w:cs="Times New Roman"/>
          <w:sz w:val="24"/>
          <w:szCs w:val="24"/>
        </w:rPr>
        <w:t xml:space="preserve"> the</w:t>
      </w:r>
      <w:r w:rsidR="006315EC">
        <w:rPr>
          <w:rFonts w:ascii="Times New Roman" w:hAnsi="Times New Roman" w:cs="Times New Roman"/>
          <w:sz w:val="24"/>
          <w:szCs w:val="24"/>
        </w:rPr>
        <w:t xml:space="preserve"> E</w:t>
      </w:r>
      <w:r w:rsidR="006829A5">
        <w:rPr>
          <w:rFonts w:ascii="Times New Roman" w:hAnsi="Times New Roman" w:cs="Times New Roman"/>
          <w:sz w:val="24"/>
          <w:szCs w:val="24"/>
        </w:rPr>
        <w:t xml:space="preserve">uropean </w:t>
      </w:r>
      <w:r w:rsidR="006842B1">
        <w:rPr>
          <w:rFonts w:ascii="Times New Roman" w:hAnsi="Times New Roman" w:cs="Times New Roman"/>
          <w:sz w:val="24"/>
          <w:szCs w:val="24"/>
        </w:rPr>
        <w:t>S</w:t>
      </w:r>
      <w:r w:rsidR="006829A5">
        <w:rPr>
          <w:rFonts w:ascii="Times New Roman" w:hAnsi="Times New Roman" w:cs="Times New Roman"/>
          <w:sz w:val="24"/>
          <w:szCs w:val="24"/>
        </w:rPr>
        <w:t xml:space="preserve">ecurities and </w:t>
      </w:r>
      <w:r w:rsidR="006842B1">
        <w:rPr>
          <w:rFonts w:ascii="Times New Roman" w:hAnsi="Times New Roman" w:cs="Times New Roman"/>
          <w:sz w:val="24"/>
          <w:szCs w:val="24"/>
        </w:rPr>
        <w:t>M</w:t>
      </w:r>
      <w:r w:rsidR="006829A5">
        <w:rPr>
          <w:rFonts w:ascii="Times New Roman" w:hAnsi="Times New Roman" w:cs="Times New Roman"/>
          <w:sz w:val="24"/>
          <w:szCs w:val="24"/>
        </w:rPr>
        <w:t xml:space="preserve">arkets </w:t>
      </w:r>
      <w:r w:rsidR="006842B1">
        <w:rPr>
          <w:rFonts w:ascii="Times New Roman" w:hAnsi="Times New Roman" w:cs="Times New Roman"/>
          <w:sz w:val="24"/>
          <w:szCs w:val="24"/>
        </w:rPr>
        <w:t>A</w:t>
      </w:r>
      <w:r w:rsidR="006829A5">
        <w:rPr>
          <w:rFonts w:ascii="Times New Roman" w:hAnsi="Times New Roman" w:cs="Times New Roman"/>
          <w:sz w:val="24"/>
          <w:szCs w:val="24"/>
        </w:rPr>
        <w:t>uthority</w:t>
      </w:r>
      <w:r w:rsidR="00311796">
        <w:rPr>
          <w:rFonts w:ascii="Times New Roman" w:hAnsi="Times New Roman" w:cs="Times New Roman"/>
          <w:sz w:val="24"/>
          <w:szCs w:val="24"/>
        </w:rPr>
        <w:t>’s</w:t>
      </w:r>
      <w:r w:rsidR="006315EC">
        <w:rPr>
          <w:rFonts w:ascii="Times New Roman" w:hAnsi="Times New Roman" w:cs="Times New Roman"/>
          <w:sz w:val="24"/>
          <w:szCs w:val="24"/>
        </w:rPr>
        <w:t xml:space="preserve"> proposed </w:t>
      </w:r>
      <w:r w:rsidR="006842B1">
        <w:rPr>
          <w:rFonts w:ascii="Times New Roman" w:hAnsi="Times New Roman" w:cs="Times New Roman"/>
          <w:sz w:val="24"/>
          <w:szCs w:val="24"/>
        </w:rPr>
        <w:t xml:space="preserve">approach to determining the systemic importance </w:t>
      </w:r>
      <w:r w:rsidR="006315EC">
        <w:rPr>
          <w:rFonts w:ascii="Times New Roman" w:hAnsi="Times New Roman" w:cs="Times New Roman"/>
          <w:sz w:val="24"/>
          <w:szCs w:val="24"/>
        </w:rPr>
        <w:t xml:space="preserve">of third </w:t>
      </w:r>
      <w:r w:rsidR="006315EC">
        <w:rPr>
          <w:rFonts w:ascii="Times New Roman" w:hAnsi="Times New Roman" w:cs="Times New Roman"/>
          <w:sz w:val="24"/>
          <w:szCs w:val="24"/>
        </w:rPr>
        <w:lastRenderedPageBreak/>
        <w:t>country CCPs under EMIR,</w:t>
      </w:r>
      <w:r w:rsidR="006315EC">
        <w:rPr>
          <w:rStyle w:val="FootnoteReference"/>
          <w:rFonts w:ascii="Times New Roman" w:hAnsi="Times New Roman" w:cs="Times New Roman"/>
          <w:sz w:val="24"/>
          <w:szCs w:val="24"/>
        </w:rPr>
        <w:footnoteReference w:id="10"/>
      </w:r>
      <w:r w:rsidR="006315EC">
        <w:rPr>
          <w:rFonts w:ascii="Times New Roman" w:hAnsi="Times New Roman" w:cs="Times New Roman"/>
          <w:sz w:val="24"/>
          <w:szCs w:val="24"/>
        </w:rPr>
        <w:t xml:space="preserve"> </w:t>
      </w:r>
      <w:r w:rsidR="00311796">
        <w:rPr>
          <w:rFonts w:ascii="Times New Roman" w:hAnsi="Times New Roman" w:cs="Times New Roman"/>
          <w:sz w:val="24"/>
          <w:szCs w:val="24"/>
        </w:rPr>
        <w:t xml:space="preserve">it is important to establish </w:t>
      </w:r>
      <w:r w:rsidR="006315EC">
        <w:rPr>
          <w:rFonts w:ascii="Times New Roman" w:hAnsi="Times New Roman" w:cs="Times New Roman"/>
          <w:sz w:val="24"/>
          <w:szCs w:val="24"/>
        </w:rPr>
        <w:t>a consistent</w:t>
      </w:r>
      <w:r w:rsidR="00A26A1A">
        <w:rPr>
          <w:rFonts w:ascii="Times New Roman" w:hAnsi="Times New Roman" w:cs="Times New Roman"/>
          <w:sz w:val="24"/>
          <w:szCs w:val="24"/>
        </w:rPr>
        <w:t>,</w:t>
      </w:r>
      <w:r w:rsidR="006315EC">
        <w:rPr>
          <w:rFonts w:ascii="Times New Roman" w:hAnsi="Times New Roman" w:cs="Times New Roman"/>
          <w:sz w:val="24"/>
          <w:szCs w:val="24"/>
        </w:rPr>
        <w:t xml:space="preserve"> global approach</w:t>
      </w:r>
      <w:r w:rsidR="00A26A1A">
        <w:rPr>
          <w:rFonts w:ascii="Times New Roman" w:hAnsi="Times New Roman" w:cs="Times New Roman"/>
          <w:sz w:val="24"/>
          <w:szCs w:val="24"/>
        </w:rPr>
        <w:t xml:space="preserve"> </w:t>
      </w:r>
      <w:r w:rsidR="006315EC">
        <w:rPr>
          <w:rFonts w:ascii="Times New Roman" w:hAnsi="Times New Roman" w:cs="Times New Roman"/>
          <w:sz w:val="24"/>
          <w:szCs w:val="24"/>
        </w:rPr>
        <w:t xml:space="preserve">to assessing systemically important CCPs </w:t>
      </w:r>
      <w:r w:rsidR="00734488">
        <w:rPr>
          <w:rFonts w:ascii="Times New Roman" w:hAnsi="Times New Roman" w:cs="Times New Roman"/>
          <w:sz w:val="24"/>
          <w:szCs w:val="24"/>
        </w:rPr>
        <w:t xml:space="preserve">that </w:t>
      </w:r>
      <w:r w:rsidR="006842B1">
        <w:rPr>
          <w:rFonts w:ascii="Times New Roman" w:hAnsi="Times New Roman" w:cs="Times New Roman"/>
          <w:sz w:val="24"/>
          <w:szCs w:val="24"/>
        </w:rPr>
        <w:t xml:space="preserve">would </w:t>
      </w:r>
      <w:r w:rsidR="00192966">
        <w:rPr>
          <w:rFonts w:ascii="Times New Roman" w:hAnsi="Times New Roman" w:cs="Times New Roman"/>
          <w:sz w:val="24"/>
          <w:szCs w:val="24"/>
        </w:rPr>
        <w:t xml:space="preserve">ensure comparability across jurisdictions and </w:t>
      </w:r>
      <w:r w:rsidR="006842B1">
        <w:rPr>
          <w:rFonts w:ascii="Times New Roman" w:hAnsi="Times New Roman" w:cs="Times New Roman"/>
          <w:sz w:val="24"/>
          <w:szCs w:val="24"/>
        </w:rPr>
        <w:t xml:space="preserve">minimize the risk of divergences between </w:t>
      </w:r>
      <w:r w:rsidR="00192966">
        <w:rPr>
          <w:rFonts w:ascii="Times New Roman" w:hAnsi="Times New Roman" w:cs="Times New Roman"/>
          <w:sz w:val="24"/>
          <w:szCs w:val="24"/>
        </w:rPr>
        <w:t>various regimes</w:t>
      </w:r>
      <w:r w:rsidR="006842B1">
        <w:rPr>
          <w:rFonts w:ascii="Times New Roman" w:hAnsi="Times New Roman" w:cs="Times New Roman"/>
          <w:sz w:val="24"/>
          <w:szCs w:val="24"/>
        </w:rPr>
        <w:t xml:space="preserve"> in addressing CCP-related systemic risk concerns. </w:t>
      </w:r>
      <w:r w:rsidR="009219D7">
        <w:rPr>
          <w:rFonts w:ascii="Times New Roman" w:hAnsi="Times New Roman" w:cs="Times New Roman"/>
          <w:sz w:val="24"/>
          <w:szCs w:val="24"/>
        </w:rPr>
        <w:t>W</w:t>
      </w:r>
      <w:r w:rsidR="00D73B9C">
        <w:rPr>
          <w:rFonts w:ascii="Times New Roman" w:hAnsi="Times New Roman" w:cs="Times New Roman"/>
          <w:sz w:val="24"/>
          <w:szCs w:val="24"/>
        </w:rPr>
        <w:t xml:space="preserve">e </w:t>
      </w:r>
      <w:r w:rsidR="00330BE7">
        <w:rPr>
          <w:rFonts w:ascii="Times New Roman" w:hAnsi="Times New Roman" w:cs="Times New Roman"/>
          <w:sz w:val="24"/>
          <w:szCs w:val="24"/>
        </w:rPr>
        <w:t xml:space="preserve">are </w:t>
      </w:r>
      <w:r w:rsidR="00D73B9C">
        <w:rPr>
          <w:rFonts w:ascii="Times New Roman" w:hAnsi="Times New Roman" w:cs="Times New Roman"/>
          <w:sz w:val="24"/>
          <w:szCs w:val="24"/>
        </w:rPr>
        <w:t>concerned</w:t>
      </w:r>
      <w:r w:rsidR="009219D7">
        <w:rPr>
          <w:rFonts w:ascii="Times New Roman" w:hAnsi="Times New Roman" w:cs="Times New Roman"/>
          <w:sz w:val="24"/>
          <w:szCs w:val="24"/>
        </w:rPr>
        <w:t>, however,</w:t>
      </w:r>
      <w:r w:rsidR="00D73B9C">
        <w:rPr>
          <w:rFonts w:ascii="Times New Roman" w:hAnsi="Times New Roman" w:cs="Times New Roman"/>
          <w:sz w:val="24"/>
          <w:szCs w:val="24"/>
        </w:rPr>
        <w:t xml:space="preserve"> that the second prong of the test</w:t>
      </w:r>
      <w:r w:rsidR="006315EC">
        <w:rPr>
          <w:rFonts w:ascii="Times New Roman" w:hAnsi="Times New Roman" w:cs="Times New Roman"/>
          <w:sz w:val="24"/>
          <w:szCs w:val="24"/>
        </w:rPr>
        <w:t xml:space="preserve"> does not gauge the risk of the relevant CCP to the U.S. financial system, but rather signifies the importance of U.S. clearing members to</w:t>
      </w:r>
      <w:r w:rsidR="00BD46F1">
        <w:rPr>
          <w:rFonts w:ascii="Times New Roman" w:hAnsi="Times New Roman" w:cs="Times New Roman"/>
          <w:sz w:val="24"/>
          <w:szCs w:val="24"/>
        </w:rPr>
        <w:t xml:space="preserve"> a particular</w:t>
      </w:r>
      <w:r w:rsidR="006315EC">
        <w:rPr>
          <w:rFonts w:ascii="Times New Roman" w:hAnsi="Times New Roman" w:cs="Times New Roman"/>
          <w:sz w:val="24"/>
          <w:szCs w:val="24"/>
        </w:rPr>
        <w:t xml:space="preserve"> CCP.</w:t>
      </w:r>
      <w:r w:rsidR="0072605C">
        <w:rPr>
          <w:rFonts w:ascii="Times New Roman" w:hAnsi="Times New Roman" w:cs="Times New Roman"/>
          <w:sz w:val="24"/>
          <w:szCs w:val="24"/>
        </w:rPr>
        <w:t xml:space="preserve"> </w:t>
      </w:r>
      <w:r w:rsidR="00A03C55">
        <w:rPr>
          <w:rFonts w:ascii="Times New Roman" w:hAnsi="Times New Roman" w:cs="Times New Roman"/>
          <w:sz w:val="24"/>
          <w:szCs w:val="24"/>
        </w:rPr>
        <w:t>Therefore, it may</w:t>
      </w:r>
      <w:r w:rsidR="006315EC" w:rsidRPr="004833CC">
        <w:rPr>
          <w:rFonts w:ascii="Times New Roman" w:hAnsi="Times New Roman" w:cs="Times New Roman"/>
          <w:sz w:val="24"/>
          <w:szCs w:val="24"/>
        </w:rPr>
        <w:t xml:space="preserve"> capture smaller-sized exempt DCOs </w:t>
      </w:r>
      <w:r w:rsidR="00BD46F1">
        <w:rPr>
          <w:rFonts w:ascii="Times New Roman" w:hAnsi="Times New Roman" w:cs="Times New Roman"/>
          <w:sz w:val="24"/>
          <w:szCs w:val="24"/>
        </w:rPr>
        <w:t xml:space="preserve">due to </w:t>
      </w:r>
      <w:r w:rsidR="006315EC" w:rsidRPr="004833CC">
        <w:rPr>
          <w:rFonts w:ascii="Times New Roman" w:hAnsi="Times New Roman" w:cs="Times New Roman"/>
          <w:sz w:val="24"/>
          <w:szCs w:val="24"/>
        </w:rPr>
        <w:t xml:space="preserve">the large global presence </w:t>
      </w:r>
      <w:r w:rsidR="00A10D76">
        <w:rPr>
          <w:rFonts w:ascii="Times New Roman" w:hAnsi="Times New Roman" w:cs="Times New Roman"/>
          <w:sz w:val="24"/>
          <w:szCs w:val="24"/>
        </w:rPr>
        <w:t xml:space="preserve">of </w:t>
      </w:r>
      <w:r w:rsidR="006315EC" w:rsidRPr="004833CC">
        <w:rPr>
          <w:rFonts w:ascii="Times New Roman" w:hAnsi="Times New Roman" w:cs="Times New Roman"/>
          <w:sz w:val="24"/>
          <w:szCs w:val="24"/>
        </w:rPr>
        <w:t>U.S. banking groups</w:t>
      </w:r>
      <w:r w:rsidR="0062559E">
        <w:rPr>
          <w:rFonts w:ascii="Times New Roman" w:hAnsi="Times New Roman" w:cs="Times New Roman"/>
          <w:sz w:val="24"/>
          <w:szCs w:val="24"/>
        </w:rPr>
        <w:t>, including foreign branches of U.S. bank</w:t>
      </w:r>
      <w:r w:rsidR="004E6977">
        <w:rPr>
          <w:rFonts w:ascii="Times New Roman" w:hAnsi="Times New Roman" w:cs="Times New Roman"/>
          <w:sz w:val="24"/>
          <w:szCs w:val="24"/>
        </w:rPr>
        <w:t>ing groups</w:t>
      </w:r>
      <w:r w:rsidR="006315EC" w:rsidRPr="004833CC">
        <w:rPr>
          <w:rFonts w:ascii="Times New Roman" w:hAnsi="Times New Roman" w:cs="Times New Roman"/>
          <w:sz w:val="24"/>
          <w:szCs w:val="24"/>
        </w:rPr>
        <w:t>.</w:t>
      </w:r>
      <w:r w:rsidR="004833CC">
        <w:rPr>
          <w:rFonts w:ascii="Times New Roman" w:hAnsi="Times New Roman" w:cs="Times New Roman"/>
          <w:sz w:val="24"/>
          <w:szCs w:val="24"/>
        </w:rPr>
        <w:t xml:space="preserve"> </w:t>
      </w:r>
      <w:r w:rsidR="008B3C98">
        <w:rPr>
          <w:rFonts w:ascii="Times New Roman" w:hAnsi="Times New Roman" w:cs="Times New Roman"/>
          <w:sz w:val="24"/>
          <w:szCs w:val="24"/>
        </w:rPr>
        <w:t>A</w:t>
      </w:r>
      <w:r w:rsidR="00F71ECD" w:rsidRPr="004833CC">
        <w:rPr>
          <w:rFonts w:ascii="Times New Roman" w:hAnsi="Times New Roman" w:cs="Times New Roman"/>
          <w:sz w:val="24"/>
          <w:szCs w:val="24"/>
        </w:rPr>
        <w:t xml:space="preserve"> small CCP with very few clearing members and minimum exposure to the U</w:t>
      </w:r>
      <w:r w:rsidR="00F71ECD">
        <w:rPr>
          <w:rFonts w:ascii="Times New Roman" w:hAnsi="Times New Roman" w:cs="Times New Roman"/>
          <w:sz w:val="24"/>
          <w:szCs w:val="24"/>
        </w:rPr>
        <w:t>.</w:t>
      </w:r>
      <w:r w:rsidR="00F71ECD" w:rsidRPr="004833CC">
        <w:rPr>
          <w:rFonts w:ascii="Times New Roman" w:hAnsi="Times New Roman" w:cs="Times New Roman"/>
          <w:sz w:val="24"/>
          <w:szCs w:val="24"/>
        </w:rPr>
        <w:t>S</w:t>
      </w:r>
      <w:r w:rsidR="00F71ECD">
        <w:rPr>
          <w:rFonts w:ascii="Times New Roman" w:hAnsi="Times New Roman" w:cs="Times New Roman"/>
          <w:sz w:val="24"/>
          <w:szCs w:val="24"/>
        </w:rPr>
        <w:t>.</w:t>
      </w:r>
      <w:r w:rsidR="00F71ECD" w:rsidRPr="004833CC">
        <w:rPr>
          <w:rFonts w:ascii="Times New Roman" w:hAnsi="Times New Roman" w:cs="Times New Roman"/>
          <w:sz w:val="24"/>
          <w:szCs w:val="24"/>
        </w:rPr>
        <w:t xml:space="preserve"> financial system </w:t>
      </w:r>
      <w:r w:rsidR="00F71ECD">
        <w:rPr>
          <w:rFonts w:ascii="Times New Roman" w:hAnsi="Times New Roman" w:cs="Times New Roman"/>
          <w:sz w:val="24"/>
          <w:szCs w:val="24"/>
        </w:rPr>
        <w:t>may</w:t>
      </w:r>
      <w:r w:rsidR="00B00979">
        <w:rPr>
          <w:rFonts w:ascii="Times New Roman" w:hAnsi="Times New Roman" w:cs="Times New Roman"/>
          <w:sz w:val="24"/>
          <w:szCs w:val="24"/>
        </w:rPr>
        <w:t xml:space="preserve"> </w:t>
      </w:r>
      <w:r w:rsidR="00F71ECD">
        <w:rPr>
          <w:rFonts w:ascii="Times New Roman" w:hAnsi="Times New Roman" w:cs="Times New Roman"/>
          <w:sz w:val="24"/>
          <w:szCs w:val="24"/>
        </w:rPr>
        <w:t>be deemed as having “substantial risk” s</w:t>
      </w:r>
      <w:r w:rsidR="00F71ECD" w:rsidRPr="004833CC">
        <w:rPr>
          <w:rFonts w:ascii="Times New Roman" w:hAnsi="Times New Roman" w:cs="Times New Roman"/>
          <w:sz w:val="24"/>
          <w:szCs w:val="24"/>
        </w:rPr>
        <w:t>imply because</w:t>
      </w:r>
      <w:r w:rsidR="008B3C98">
        <w:rPr>
          <w:rFonts w:ascii="Times New Roman" w:hAnsi="Times New Roman" w:cs="Times New Roman"/>
          <w:sz w:val="24"/>
          <w:szCs w:val="24"/>
        </w:rPr>
        <w:t xml:space="preserve"> </w:t>
      </w:r>
      <w:r w:rsidR="008B3C98" w:rsidRPr="008B3C98">
        <w:rPr>
          <w:rFonts w:ascii="Times New Roman" w:hAnsi="Times New Roman" w:cs="Times New Roman"/>
          <w:sz w:val="24"/>
          <w:szCs w:val="24"/>
        </w:rPr>
        <w:t xml:space="preserve">20% or more of the initial margin </w:t>
      </w:r>
      <w:r w:rsidR="008B3C98">
        <w:rPr>
          <w:rFonts w:ascii="Times New Roman" w:hAnsi="Times New Roman" w:cs="Times New Roman"/>
          <w:sz w:val="24"/>
          <w:szCs w:val="24"/>
        </w:rPr>
        <w:t>collected is</w:t>
      </w:r>
      <w:r w:rsidR="008B3C98" w:rsidRPr="008B3C98">
        <w:rPr>
          <w:rFonts w:ascii="Times New Roman" w:hAnsi="Times New Roman" w:cs="Times New Roman"/>
          <w:sz w:val="24"/>
          <w:szCs w:val="24"/>
        </w:rPr>
        <w:t xml:space="preserve"> attributed to U.S. clearing members</w:t>
      </w:r>
      <w:r w:rsidR="008B3C98">
        <w:rPr>
          <w:rFonts w:ascii="Times New Roman" w:hAnsi="Times New Roman" w:cs="Times New Roman"/>
          <w:sz w:val="24"/>
          <w:szCs w:val="24"/>
        </w:rPr>
        <w:t>.</w:t>
      </w:r>
      <w:r w:rsidR="00AF0801">
        <w:rPr>
          <w:rStyle w:val="FootnoteReference"/>
          <w:rFonts w:ascii="Times New Roman" w:hAnsi="Times New Roman" w:cs="Times New Roman"/>
          <w:sz w:val="24"/>
          <w:szCs w:val="24"/>
        </w:rPr>
        <w:footnoteReference w:id="11"/>
      </w:r>
      <w:r w:rsidR="008B3C98">
        <w:rPr>
          <w:rFonts w:ascii="Times New Roman" w:hAnsi="Times New Roman" w:cs="Times New Roman"/>
          <w:sz w:val="24"/>
          <w:szCs w:val="24"/>
        </w:rPr>
        <w:t xml:space="preserve"> </w:t>
      </w:r>
    </w:p>
    <w:p w14:paraId="1E73535F" w14:textId="77777777" w:rsidR="00786C95" w:rsidRDefault="00786C95" w:rsidP="008B3C98">
      <w:pPr>
        <w:spacing w:after="0" w:line="240" w:lineRule="auto"/>
        <w:rPr>
          <w:rFonts w:ascii="Times New Roman" w:hAnsi="Times New Roman" w:cs="Times New Roman"/>
          <w:sz w:val="24"/>
          <w:szCs w:val="24"/>
        </w:rPr>
      </w:pPr>
    </w:p>
    <w:p w14:paraId="49523482" w14:textId="77777777" w:rsidR="008B3C98" w:rsidRPr="008B3C98" w:rsidRDefault="008B3C98" w:rsidP="008B3C98">
      <w:pPr>
        <w:spacing w:after="0" w:line="240" w:lineRule="auto"/>
        <w:rPr>
          <w:rFonts w:ascii="Times New Roman" w:hAnsi="Times New Roman" w:cs="Times New Roman"/>
          <w:sz w:val="24"/>
          <w:szCs w:val="24"/>
          <w:lang w:eastAsia="ja-JP"/>
        </w:rPr>
      </w:pPr>
      <w:r w:rsidRPr="008B3C98">
        <w:rPr>
          <w:rFonts w:ascii="Times New Roman" w:hAnsi="Times New Roman" w:cs="Times New Roman"/>
          <w:sz w:val="24"/>
          <w:szCs w:val="24"/>
        </w:rPr>
        <w:t>For example</w:t>
      </w:r>
      <w:r>
        <w:rPr>
          <w:rFonts w:ascii="Times New Roman" w:hAnsi="Times New Roman" w:cs="Times New Roman"/>
          <w:sz w:val="24"/>
          <w:szCs w:val="24"/>
        </w:rPr>
        <w:t>,</w:t>
      </w:r>
      <w:r w:rsidRPr="008B3C98">
        <w:rPr>
          <w:rFonts w:ascii="Times New Roman" w:hAnsi="Times New Roman" w:cs="Times New Roman"/>
          <w:sz w:val="24"/>
          <w:szCs w:val="24"/>
        </w:rPr>
        <w:t xml:space="preserve"> a DCO </w:t>
      </w:r>
      <w:r>
        <w:rPr>
          <w:rFonts w:ascii="Times New Roman" w:hAnsi="Times New Roman" w:cs="Times New Roman"/>
          <w:sz w:val="24"/>
          <w:szCs w:val="24"/>
        </w:rPr>
        <w:t>may have a</w:t>
      </w:r>
      <w:r w:rsidRPr="008B3C98">
        <w:rPr>
          <w:rFonts w:ascii="Times New Roman" w:hAnsi="Times New Roman" w:cs="Times New Roman"/>
          <w:sz w:val="24"/>
          <w:szCs w:val="24"/>
        </w:rPr>
        <w:t xml:space="preserve"> total of $100</w:t>
      </w:r>
      <w:r>
        <w:rPr>
          <w:rFonts w:ascii="Times New Roman" w:hAnsi="Times New Roman" w:cs="Times New Roman"/>
          <w:sz w:val="24"/>
          <w:szCs w:val="24"/>
        </w:rPr>
        <w:t xml:space="preserve"> million</w:t>
      </w:r>
      <w:r w:rsidRPr="008B3C98">
        <w:rPr>
          <w:rFonts w:ascii="Times New Roman" w:hAnsi="Times New Roman" w:cs="Times New Roman"/>
          <w:sz w:val="24"/>
          <w:szCs w:val="24"/>
        </w:rPr>
        <w:t xml:space="preserve"> in initial margin with $2</w:t>
      </w:r>
      <w:r>
        <w:rPr>
          <w:rFonts w:ascii="Times New Roman" w:hAnsi="Times New Roman" w:cs="Times New Roman"/>
          <w:sz w:val="24"/>
          <w:szCs w:val="24"/>
        </w:rPr>
        <w:t>1 million</w:t>
      </w:r>
      <w:r w:rsidRPr="008B3C98">
        <w:rPr>
          <w:rFonts w:ascii="Times New Roman" w:hAnsi="Times New Roman" w:cs="Times New Roman"/>
          <w:sz w:val="24"/>
          <w:szCs w:val="24"/>
        </w:rPr>
        <w:t xml:space="preserve"> initial margin attributed to a U.S. clearing member</w:t>
      </w:r>
      <w:r>
        <w:rPr>
          <w:rFonts w:ascii="Times New Roman" w:hAnsi="Times New Roman" w:cs="Times New Roman"/>
          <w:sz w:val="24"/>
          <w:szCs w:val="24"/>
        </w:rPr>
        <w:t>.</w:t>
      </w:r>
      <w:r w:rsidRPr="008B3C98">
        <w:rPr>
          <w:rFonts w:ascii="Times New Roman" w:hAnsi="Times New Roman" w:cs="Times New Roman"/>
          <w:sz w:val="24"/>
          <w:szCs w:val="24"/>
        </w:rPr>
        <w:t xml:space="preserve"> In this case, the U.S. clearing member’s position does not pose systemic risk to U.S. </w:t>
      </w:r>
      <w:r w:rsidRPr="008B3C98">
        <w:rPr>
          <w:rFonts w:ascii="Times New Roman" w:hAnsi="Times New Roman" w:cs="Times New Roman"/>
          <w:sz w:val="24"/>
          <w:szCs w:val="24"/>
        </w:rPr>
        <w:t>markets</w:t>
      </w:r>
      <w:r w:rsidR="007D09D5">
        <w:rPr>
          <w:rFonts w:ascii="Times New Roman" w:hAnsi="Times New Roman" w:cs="Times New Roman"/>
          <w:sz w:val="24"/>
          <w:szCs w:val="24"/>
        </w:rPr>
        <w:t>, but</w:t>
      </w:r>
      <w:r w:rsidR="00CE6FDE">
        <w:rPr>
          <w:rFonts w:ascii="Times New Roman" w:hAnsi="Times New Roman" w:cs="Times New Roman"/>
          <w:sz w:val="24"/>
          <w:szCs w:val="24"/>
        </w:rPr>
        <w:t xml:space="preserve"> may incentivize </w:t>
      </w:r>
      <w:r w:rsidR="00CE6FDE">
        <w:rPr>
          <w:rFonts w:ascii="Times New Roman" w:hAnsi="Times New Roman" w:cs="Times New Roman"/>
          <w:sz w:val="24"/>
          <w:szCs w:val="24"/>
        </w:rPr>
        <w:t xml:space="preserve">non-U.S. CCPs </w:t>
      </w:r>
      <w:r w:rsidR="00CE6FDE" w:rsidRPr="00CE6FDE">
        <w:rPr>
          <w:rFonts w:ascii="Times New Roman" w:hAnsi="Times New Roman" w:cs="Times New Roman"/>
          <w:sz w:val="24"/>
          <w:szCs w:val="24"/>
        </w:rPr>
        <w:t>to limit</w:t>
      </w:r>
      <w:r w:rsidR="00CE6FDE">
        <w:rPr>
          <w:rFonts w:ascii="Times New Roman" w:hAnsi="Times New Roman" w:cs="Times New Roman"/>
          <w:sz w:val="24"/>
          <w:szCs w:val="24"/>
        </w:rPr>
        <w:t>,</w:t>
      </w:r>
      <w:r w:rsidR="00CE6FDE" w:rsidRPr="00CE6FDE">
        <w:rPr>
          <w:rFonts w:ascii="Times New Roman" w:hAnsi="Times New Roman" w:cs="Times New Roman"/>
          <w:sz w:val="24"/>
          <w:szCs w:val="24"/>
        </w:rPr>
        <w:t xml:space="preserve"> or </w:t>
      </w:r>
      <w:r w:rsidR="00CE6FDE">
        <w:rPr>
          <w:rFonts w:ascii="Times New Roman" w:hAnsi="Times New Roman" w:cs="Times New Roman"/>
          <w:sz w:val="24"/>
          <w:szCs w:val="24"/>
        </w:rPr>
        <w:t>put a</w:t>
      </w:r>
      <w:r w:rsidR="00CE6FDE" w:rsidRPr="00CE6FDE">
        <w:rPr>
          <w:rFonts w:ascii="Times New Roman" w:hAnsi="Times New Roman" w:cs="Times New Roman"/>
          <w:sz w:val="24"/>
          <w:szCs w:val="24"/>
        </w:rPr>
        <w:t xml:space="preserve"> cap </w:t>
      </w:r>
      <w:r w:rsidR="00CE6FDE">
        <w:rPr>
          <w:rFonts w:ascii="Times New Roman" w:hAnsi="Times New Roman" w:cs="Times New Roman"/>
          <w:sz w:val="24"/>
          <w:szCs w:val="24"/>
        </w:rPr>
        <w:t xml:space="preserve">on, </w:t>
      </w:r>
      <w:r w:rsidR="00CE6FDE" w:rsidRPr="00CE6FDE">
        <w:rPr>
          <w:rFonts w:ascii="Times New Roman" w:hAnsi="Times New Roman" w:cs="Times New Roman"/>
          <w:sz w:val="24"/>
          <w:szCs w:val="24"/>
        </w:rPr>
        <w:t>clearing for U</w:t>
      </w:r>
      <w:r w:rsidR="00CE6FDE">
        <w:rPr>
          <w:rFonts w:ascii="Times New Roman" w:hAnsi="Times New Roman" w:cs="Times New Roman"/>
          <w:sz w:val="24"/>
          <w:szCs w:val="24"/>
        </w:rPr>
        <w:t>.</w:t>
      </w:r>
      <w:r w:rsidR="00CE6FDE" w:rsidRPr="00CE6FDE">
        <w:rPr>
          <w:rFonts w:ascii="Times New Roman" w:hAnsi="Times New Roman" w:cs="Times New Roman"/>
          <w:sz w:val="24"/>
          <w:szCs w:val="24"/>
        </w:rPr>
        <w:t>S</w:t>
      </w:r>
      <w:r w:rsidR="00CE6FDE">
        <w:rPr>
          <w:rFonts w:ascii="Times New Roman" w:hAnsi="Times New Roman" w:cs="Times New Roman"/>
          <w:sz w:val="24"/>
          <w:szCs w:val="24"/>
        </w:rPr>
        <w:t>.</w:t>
      </w:r>
      <w:r w:rsidR="00CE6FDE" w:rsidRPr="00CE6FDE">
        <w:rPr>
          <w:rFonts w:ascii="Times New Roman" w:hAnsi="Times New Roman" w:cs="Times New Roman"/>
          <w:sz w:val="24"/>
          <w:szCs w:val="24"/>
        </w:rPr>
        <w:t xml:space="preserve"> persons</w:t>
      </w:r>
      <w:r w:rsidR="00CE6FDE">
        <w:rPr>
          <w:rFonts w:ascii="Times New Roman" w:hAnsi="Times New Roman" w:cs="Times New Roman"/>
          <w:sz w:val="24"/>
          <w:szCs w:val="24"/>
        </w:rPr>
        <w:t xml:space="preserve"> for fear of being designated as posing significant risk </w:t>
      </w:r>
      <w:r w:rsidR="001421C7">
        <w:rPr>
          <w:rFonts w:ascii="Times New Roman" w:hAnsi="Times New Roman" w:cs="Times New Roman"/>
          <w:sz w:val="24"/>
          <w:szCs w:val="24"/>
        </w:rPr>
        <w:t xml:space="preserve">to the U.S. financial </w:t>
      </w:r>
      <w:r w:rsidR="006565D5">
        <w:rPr>
          <w:rFonts w:ascii="Times New Roman" w:hAnsi="Times New Roman" w:cs="Times New Roman"/>
          <w:sz w:val="24"/>
          <w:szCs w:val="24"/>
        </w:rPr>
        <w:t xml:space="preserve">system </w:t>
      </w:r>
      <w:r w:rsidR="00CE6FDE">
        <w:rPr>
          <w:rFonts w:ascii="Times New Roman" w:hAnsi="Times New Roman" w:cs="Times New Roman"/>
          <w:sz w:val="24"/>
          <w:szCs w:val="24"/>
        </w:rPr>
        <w:t xml:space="preserve">and thus coming into full scope of the DCO regime. </w:t>
      </w:r>
      <w:r w:rsidR="0014442D" w:rsidRPr="0014442D">
        <w:rPr>
          <w:rFonts w:ascii="Times New Roman" w:hAnsi="Times New Roman" w:cs="Times New Roman"/>
          <w:sz w:val="24"/>
          <w:szCs w:val="24"/>
          <w:lang w:eastAsia="ja-JP"/>
        </w:rPr>
        <w:t xml:space="preserve">This situation would be disadvantageous for U.S. banking groups, and could be </w:t>
      </w:r>
      <w:r w:rsidR="006565D5">
        <w:rPr>
          <w:rFonts w:ascii="Times New Roman" w:hAnsi="Times New Roman" w:cs="Times New Roman"/>
          <w:sz w:val="24"/>
          <w:szCs w:val="24"/>
          <w:lang w:eastAsia="ja-JP"/>
        </w:rPr>
        <w:t>viewed as</w:t>
      </w:r>
      <w:r w:rsidR="0014442D" w:rsidRPr="0014442D">
        <w:rPr>
          <w:rFonts w:ascii="Times New Roman" w:hAnsi="Times New Roman" w:cs="Times New Roman"/>
          <w:sz w:val="24"/>
          <w:szCs w:val="24"/>
          <w:lang w:eastAsia="ja-JP"/>
        </w:rPr>
        <w:t xml:space="preserve"> violati</w:t>
      </w:r>
      <w:r w:rsidR="006565D5">
        <w:rPr>
          <w:rFonts w:ascii="Times New Roman" w:hAnsi="Times New Roman" w:cs="Times New Roman"/>
          <w:sz w:val="24"/>
          <w:szCs w:val="24"/>
          <w:lang w:eastAsia="ja-JP"/>
        </w:rPr>
        <w:t xml:space="preserve">ng </w:t>
      </w:r>
      <w:r w:rsidR="0014442D" w:rsidRPr="0014442D">
        <w:rPr>
          <w:rFonts w:ascii="Times New Roman" w:hAnsi="Times New Roman" w:cs="Times New Roman"/>
          <w:sz w:val="24"/>
          <w:szCs w:val="24"/>
          <w:lang w:eastAsia="ja-JP"/>
        </w:rPr>
        <w:t xml:space="preserve">the spirit of the PFMI requirement </w:t>
      </w:r>
      <w:r w:rsidR="00786C95">
        <w:rPr>
          <w:rFonts w:ascii="Times New Roman" w:hAnsi="Times New Roman" w:cs="Times New Roman"/>
          <w:sz w:val="24"/>
          <w:szCs w:val="24"/>
          <w:lang w:eastAsia="ja-JP"/>
        </w:rPr>
        <w:t xml:space="preserve">to provide </w:t>
      </w:r>
      <w:r w:rsidR="0014442D" w:rsidRPr="0014442D">
        <w:rPr>
          <w:rFonts w:ascii="Times New Roman" w:hAnsi="Times New Roman" w:cs="Times New Roman"/>
          <w:sz w:val="24"/>
          <w:szCs w:val="24"/>
          <w:lang w:eastAsia="ja-JP"/>
        </w:rPr>
        <w:t xml:space="preserve">non-discriminative treatment </w:t>
      </w:r>
      <w:r w:rsidR="005A03BD">
        <w:rPr>
          <w:rFonts w:ascii="Times New Roman" w:hAnsi="Times New Roman" w:cs="Times New Roman"/>
          <w:sz w:val="24"/>
          <w:szCs w:val="24"/>
          <w:lang w:eastAsia="ja-JP"/>
        </w:rPr>
        <w:t>toward</w:t>
      </w:r>
      <w:r w:rsidR="0014442D" w:rsidRPr="0014442D">
        <w:rPr>
          <w:rFonts w:ascii="Times New Roman" w:hAnsi="Times New Roman" w:cs="Times New Roman"/>
          <w:sz w:val="24"/>
          <w:szCs w:val="24"/>
          <w:lang w:eastAsia="ja-JP"/>
        </w:rPr>
        <w:t xml:space="preserve"> all clearing members.</w:t>
      </w:r>
      <w:r w:rsidR="004168D9">
        <w:rPr>
          <w:rStyle w:val="FootnoteReference"/>
          <w:rFonts w:ascii="Times New Roman" w:hAnsi="Times New Roman" w:cs="Times New Roman"/>
          <w:sz w:val="24"/>
          <w:szCs w:val="24"/>
          <w:lang w:eastAsia="ja-JP"/>
        </w:rPr>
        <w:footnoteReference w:id="12"/>
      </w:r>
    </w:p>
    <w:p w14:paraId="71B546A0" w14:textId="77777777" w:rsidR="004833CC" w:rsidRDefault="004833CC" w:rsidP="00115886">
      <w:pPr>
        <w:spacing w:after="0" w:line="240" w:lineRule="auto"/>
        <w:rPr>
          <w:rFonts w:ascii="Times New Roman" w:hAnsi="Times New Roman" w:cs="Times New Roman"/>
          <w:b/>
          <w:sz w:val="24"/>
          <w:szCs w:val="24"/>
        </w:rPr>
      </w:pPr>
    </w:p>
    <w:p w14:paraId="52635B70" w14:textId="77777777" w:rsidR="004833CC" w:rsidRDefault="006565D5" w:rsidP="00F71ECD">
      <w:pPr>
        <w:spacing w:after="0" w:line="240" w:lineRule="auto"/>
        <w:rPr>
          <w:rFonts w:ascii="Times New Roman" w:hAnsi="Times New Roman" w:cs="Times New Roman"/>
          <w:sz w:val="24"/>
          <w:szCs w:val="24"/>
        </w:rPr>
      </w:pPr>
      <w:r>
        <w:rPr>
          <w:rFonts w:ascii="Times New Roman" w:hAnsi="Times New Roman" w:cs="Times New Roman"/>
          <w:sz w:val="24"/>
          <w:szCs w:val="24"/>
        </w:rPr>
        <w:t>For these reasons</w:t>
      </w:r>
      <w:r w:rsidR="00F71ECD" w:rsidRPr="00F71ECD">
        <w:rPr>
          <w:rFonts w:ascii="Times New Roman" w:hAnsi="Times New Roman" w:cs="Times New Roman"/>
          <w:sz w:val="24"/>
          <w:szCs w:val="24"/>
        </w:rPr>
        <w:t xml:space="preserve">, </w:t>
      </w:r>
      <w:r w:rsidR="00F71ECD">
        <w:rPr>
          <w:rFonts w:ascii="Times New Roman" w:hAnsi="Times New Roman" w:cs="Times New Roman"/>
          <w:sz w:val="24"/>
          <w:szCs w:val="24"/>
        </w:rPr>
        <w:t xml:space="preserve">the second prong of the test should be eliminated. </w:t>
      </w:r>
      <w:r w:rsidR="004833CC" w:rsidRPr="00F71ECD">
        <w:rPr>
          <w:rFonts w:ascii="Times New Roman" w:hAnsi="Times New Roman" w:cs="Times New Roman"/>
          <w:sz w:val="24"/>
          <w:szCs w:val="24"/>
        </w:rPr>
        <w:t xml:space="preserve">At a minimum, the test should permit the Commission to determine whether a CCP poses “substantial risk” only if both of the two thresholds </w:t>
      </w:r>
      <w:r w:rsidR="00A03C55">
        <w:rPr>
          <w:rFonts w:ascii="Times New Roman" w:hAnsi="Times New Roman" w:cs="Times New Roman"/>
          <w:sz w:val="24"/>
          <w:szCs w:val="24"/>
        </w:rPr>
        <w:t>exceed</w:t>
      </w:r>
      <w:r w:rsidR="004833CC" w:rsidRPr="00F71ECD">
        <w:rPr>
          <w:rFonts w:ascii="Times New Roman" w:hAnsi="Times New Roman" w:cs="Times New Roman"/>
          <w:sz w:val="24"/>
          <w:szCs w:val="24"/>
        </w:rPr>
        <w:t xml:space="preserve"> 20%. This would more accurately capture the risks to the U.S. financial system and the CFTC’s intent</w:t>
      </w:r>
      <w:r w:rsidR="00F71ECD">
        <w:rPr>
          <w:rFonts w:ascii="Times New Roman" w:hAnsi="Times New Roman" w:cs="Times New Roman"/>
          <w:sz w:val="24"/>
          <w:szCs w:val="24"/>
        </w:rPr>
        <w:t xml:space="preserve"> to provide U.S. persons with more options for clearing.  </w:t>
      </w:r>
    </w:p>
    <w:p w14:paraId="48B7C682" w14:textId="77777777" w:rsidR="00192966" w:rsidRDefault="00192966" w:rsidP="00F71ECD">
      <w:pPr>
        <w:spacing w:after="0" w:line="240" w:lineRule="auto"/>
        <w:rPr>
          <w:rFonts w:ascii="Times New Roman" w:hAnsi="Times New Roman" w:cs="Times New Roman"/>
          <w:sz w:val="24"/>
          <w:szCs w:val="24"/>
        </w:rPr>
      </w:pPr>
    </w:p>
    <w:p w14:paraId="4D473581" w14:textId="77777777" w:rsidR="00734488" w:rsidRDefault="00192966" w:rsidP="00734488">
      <w:pPr>
        <w:spacing w:after="0" w:line="240" w:lineRule="auto"/>
        <w:rPr>
          <w:rFonts w:ascii="Times New Roman" w:hAnsi="Times New Roman" w:cs="Times New Roman"/>
          <w:sz w:val="24"/>
          <w:szCs w:val="24"/>
        </w:rPr>
      </w:pPr>
      <w:r>
        <w:rPr>
          <w:rFonts w:ascii="Times New Roman" w:hAnsi="Times New Roman" w:cs="Times New Roman"/>
          <w:sz w:val="24"/>
          <w:szCs w:val="24"/>
        </w:rPr>
        <w:t>In addition</w:t>
      </w:r>
      <w:r w:rsidR="009A0AF7">
        <w:rPr>
          <w:rFonts w:ascii="Times New Roman" w:hAnsi="Times New Roman" w:cs="Times New Roman"/>
          <w:sz w:val="24"/>
          <w:szCs w:val="24"/>
        </w:rPr>
        <w:t>,</w:t>
      </w:r>
      <w:r>
        <w:rPr>
          <w:rFonts w:ascii="Times New Roman" w:hAnsi="Times New Roman" w:cs="Times New Roman"/>
          <w:sz w:val="24"/>
          <w:szCs w:val="24"/>
        </w:rPr>
        <w:t xml:space="preserve"> we believe that the </w:t>
      </w:r>
      <w:r w:rsidR="00734488">
        <w:rPr>
          <w:rFonts w:ascii="Times New Roman" w:hAnsi="Times New Roman" w:cs="Times New Roman"/>
          <w:sz w:val="24"/>
          <w:szCs w:val="24"/>
        </w:rPr>
        <w:t xml:space="preserve">final rule should be revised to exclude </w:t>
      </w:r>
      <w:r w:rsidR="00734488" w:rsidRPr="00F01A2C">
        <w:rPr>
          <w:rFonts w:ascii="Times New Roman" w:hAnsi="Times New Roman" w:cs="Times New Roman"/>
          <w:sz w:val="24"/>
          <w:szCs w:val="24"/>
        </w:rPr>
        <w:t xml:space="preserve">foreign subsidiaries of U.S. </w:t>
      </w:r>
      <w:r w:rsidR="00734488">
        <w:rPr>
          <w:rFonts w:ascii="Times New Roman" w:hAnsi="Times New Roman" w:cs="Times New Roman"/>
          <w:sz w:val="24"/>
          <w:szCs w:val="24"/>
        </w:rPr>
        <w:t>swap dealers</w:t>
      </w:r>
      <w:r w:rsidR="00734488" w:rsidRPr="00F01A2C">
        <w:rPr>
          <w:rFonts w:ascii="Times New Roman" w:hAnsi="Times New Roman" w:cs="Times New Roman"/>
          <w:sz w:val="24"/>
          <w:szCs w:val="24"/>
        </w:rPr>
        <w:t xml:space="preserve"> </w:t>
      </w:r>
      <w:r w:rsidR="00734488">
        <w:rPr>
          <w:rFonts w:ascii="Times New Roman" w:hAnsi="Times New Roman" w:cs="Times New Roman"/>
          <w:sz w:val="24"/>
          <w:szCs w:val="24"/>
        </w:rPr>
        <w:t xml:space="preserve">from the </w:t>
      </w:r>
      <w:r>
        <w:rPr>
          <w:rFonts w:ascii="Times New Roman" w:hAnsi="Times New Roman" w:cs="Times New Roman"/>
          <w:sz w:val="24"/>
          <w:szCs w:val="24"/>
        </w:rPr>
        <w:t>definition of U.S. clearing member</w:t>
      </w:r>
      <w:r w:rsidR="00734488">
        <w:rPr>
          <w:rFonts w:ascii="Times New Roman" w:hAnsi="Times New Roman" w:cs="Times New Roman"/>
          <w:sz w:val="24"/>
          <w:szCs w:val="24"/>
        </w:rPr>
        <w:t>s</w:t>
      </w:r>
      <w:r w:rsidR="00D41E65">
        <w:rPr>
          <w:rFonts w:ascii="Times New Roman" w:hAnsi="Times New Roman" w:cs="Times New Roman"/>
          <w:sz w:val="24"/>
          <w:szCs w:val="24"/>
        </w:rPr>
        <w:t xml:space="preserve"> to align with the treatment of foreign subsidiaries under the CFTC </w:t>
      </w:r>
      <w:r w:rsidR="006565D5">
        <w:rPr>
          <w:rFonts w:ascii="Times New Roman" w:hAnsi="Times New Roman" w:cs="Times New Roman"/>
          <w:sz w:val="24"/>
          <w:szCs w:val="24"/>
        </w:rPr>
        <w:t>C</w:t>
      </w:r>
      <w:r w:rsidR="00D41E65">
        <w:rPr>
          <w:rFonts w:ascii="Times New Roman" w:hAnsi="Times New Roman" w:cs="Times New Roman"/>
          <w:sz w:val="24"/>
          <w:szCs w:val="24"/>
        </w:rPr>
        <w:t>ross-</w:t>
      </w:r>
      <w:r w:rsidR="006565D5">
        <w:rPr>
          <w:rFonts w:ascii="Times New Roman" w:hAnsi="Times New Roman" w:cs="Times New Roman"/>
          <w:sz w:val="24"/>
          <w:szCs w:val="24"/>
        </w:rPr>
        <w:t>b</w:t>
      </w:r>
      <w:r w:rsidR="00D41E65">
        <w:rPr>
          <w:rFonts w:ascii="Times New Roman" w:hAnsi="Times New Roman" w:cs="Times New Roman"/>
          <w:sz w:val="24"/>
          <w:szCs w:val="24"/>
        </w:rPr>
        <w:t xml:space="preserve">order </w:t>
      </w:r>
      <w:r w:rsidR="006565D5">
        <w:rPr>
          <w:rFonts w:ascii="Times New Roman" w:hAnsi="Times New Roman" w:cs="Times New Roman"/>
          <w:sz w:val="24"/>
          <w:szCs w:val="24"/>
        </w:rPr>
        <w:t>G</w:t>
      </w:r>
      <w:r w:rsidR="00D41E65">
        <w:rPr>
          <w:rFonts w:ascii="Times New Roman" w:hAnsi="Times New Roman" w:cs="Times New Roman"/>
          <w:sz w:val="24"/>
          <w:szCs w:val="24"/>
        </w:rPr>
        <w:t>uidance.</w:t>
      </w:r>
      <w:r w:rsidR="00D41E65">
        <w:rPr>
          <w:rStyle w:val="FootnoteReference"/>
          <w:rFonts w:ascii="Times New Roman" w:hAnsi="Times New Roman" w:cs="Times New Roman"/>
          <w:sz w:val="24"/>
          <w:szCs w:val="24"/>
        </w:rPr>
        <w:footnoteReference w:id="13"/>
      </w:r>
      <w:r w:rsidR="00D41E65">
        <w:rPr>
          <w:rFonts w:ascii="Times New Roman" w:hAnsi="Times New Roman" w:cs="Times New Roman"/>
          <w:sz w:val="24"/>
          <w:szCs w:val="24"/>
        </w:rPr>
        <w:t xml:space="preserve"> </w:t>
      </w:r>
      <w:r w:rsidR="00734488">
        <w:rPr>
          <w:rFonts w:ascii="Times New Roman" w:hAnsi="Times New Roman" w:cs="Times New Roman"/>
          <w:sz w:val="24"/>
          <w:szCs w:val="24"/>
        </w:rPr>
        <w:t xml:space="preserve">U.S. clearing members are defined in the Supplemental Proposal as </w:t>
      </w:r>
      <w:r w:rsidR="00734488" w:rsidRPr="0044602C">
        <w:rPr>
          <w:rFonts w:ascii="Times New Roman" w:hAnsi="Times New Roman" w:cs="Times New Roman"/>
          <w:sz w:val="24"/>
          <w:szCs w:val="24"/>
        </w:rPr>
        <w:t>“clearing member</w:t>
      </w:r>
      <w:r w:rsidR="00734488">
        <w:rPr>
          <w:rFonts w:ascii="Times New Roman" w:hAnsi="Times New Roman" w:cs="Times New Roman"/>
          <w:sz w:val="24"/>
          <w:szCs w:val="24"/>
        </w:rPr>
        <w:t>[s]</w:t>
      </w:r>
      <w:r w:rsidR="00734488" w:rsidRPr="0044602C">
        <w:rPr>
          <w:rFonts w:ascii="Times New Roman" w:hAnsi="Times New Roman" w:cs="Times New Roman"/>
          <w:sz w:val="24"/>
          <w:szCs w:val="24"/>
        </w:rPr>
        <w:t xml:space="preserve"> organized in the United States or whose ultimate parent company is organized in the United States, or an FCM.”</w:t>
      </w:r>
      <w:r w:rsidR="00786C95">
        <w:rPr>
          <w:rStyle w:val="FootnoteReference"/>
          <w:rFonts w:ascii="Times New Roman" w:hAnsi="Times New Roman" w:cs="Times New Roman"/>
          <w:sz w:val="24"/>
          <w:szCs w:val="24"/>
        </w:rPr>
        <w:footnoteReference w:id="14"/>
      </w:r>
      <w:r w:rsidR="00734488">
        <w:rPr>
          <w:rFonts w:ascii="Times New Roman" w:hAnsi="Times New Roman" w:cs="Times New Roman"/>
          <w:sz w:val="24"/>
          <w:szCs w:val="24"/>
        </w:rPr>
        <w:t xml:space="preserve"> </w:t>
      </w:r>
      <w:r w:rsidR="00D41E65">
        <w:rPr>
          <w:rFonts w:ascii="Times New Roman" w:hAnsi="Times New Roman" w:cs="Times New Roman"/>
          <w:sz w:val="24"/>
          <w:szCs w:val="24"/>
        </w:rPr>
        <w:t xml:space="preserve">Under CFTC Cross-border Guidance, </w:t>
      </w:r>
      <w:r w:rsidR="00D41E65">
        <w:rPr>
          <w:rFonts w:ascii="Times New Roman" w:hAnsi="Times New Roman" w:cs="Times New Roman"/>
          <w:sz w:val="24"/>
          <w:szCs w:val="24"/>
        </w:rPr>
        <w:lastRenderedPageBreak/>
        <w:t xml:space="preserve">however, subsidiaries of U.S. swap dealers </w:t>
      </w:r>
      <w:r w:rsidRPr="00F01A2C">
        <w:rPr>
          <w:rFonts w:ascii="Times New Roman" w:hAnsi="Times New Roman" w:cs="Times New Roman"/>
          <w:sz w:val="24"/>
          <w:szCs w:val="24"/>
        </w:rPr>
        <w:t xml:space="preserve">are not considered U.S. persons </w:t>
      </w:r>
      <w:r w:rsidRPr="00F01A2C">
        <w:rPr>
          <w:rFonts w:ascii="Times New Roman" w:hAnsi="Times New Roman" w:cs="Times New Roman" w:hint="eastAsia"/>
          <w:sz w:val="24"/>
          <w:szCs w:val="24"/>
        </w:rPr>
        <w:t xml:space="preserve">simply </w:t>
      </w:r>
      <w:r w:rsidRPr="00F01A2C">
        <w:rPr>
          <w:rFonts w:ascii="Times New Roman" w:hAnsi="Times New Roman" w:cs="Times New Roman"/>
          <w:sz w:val="24"/>
          <w:szCs w:val="24"/>
        </w:rPr>
        <w:t>by virtue of</w:t>
      </w:r>
      <w:r w:rsidRPr="00F01A2C">
        <w:rPr>
          <w:rFonts w:ascii="Times New Roman" w:hAnsi="Times New Roman" w:cs="Times New Roman" w:hint="eastAsia"/>
          <w:sz w:val="24"/>
          <w:szCs w:val="24"/>
        </w:rPr>
        <w:t xml:space="preserve"> </w:t>
      </w:r>
      <w:r w:rsidRPr="00F01A2C">
        <w:rPr>
          <w:rFonts w:ascii="Times New Roman" w:hAnsi="Times New Roman" w:cs="Times New Roman"/>
          <w:sz w:val="24"/>
          <w:szCs w:val="24"/>
        </w:rPr>
        <w:t>being a part of a</w:t>
      </w:r>
      <w:r w:rsidRPr="00F01A2C">
        <w:rPr>
          <w:rFonts w:ascii="Times New Roman" w:hAnsi="Times New Roman" w:cs="Times New Roman" w:hint="eastAsia"/>
          <w:sz w:val="24"/>
          <w:szCs w:val="24"/>
        </w:rPr>
        <w:t xml:space="preserve"> U.S. banking group</w:t>
      </w:r>
      <w:r w:rsidRPr="00F01A2C">
        <w:rPr>
          <w:rFonts w:ascii="Times New Roman" w:hAnsi="Times New Roman" w:cs="Times New Roman"/>
          <w:sz w:val="24"/>
          <w:szCs w:val="24"/>
        </w:rPr>
        <w:t>.</w:t>
      </w:r>
      <w:r w:rsidRPr="00192966">
        <w:rPr>
          <w:rStyle w:val="FootnoteReference"/>
          <w:rFonts w:ascii="Times New Roman" w:hAnsi="Times New Roman" w:cs="Times New Roman"/>
          <w:sz w:val="24"/>
          <w:szCs w:val="24"/>
        </w:rPr>
        <w:t xml:space="preserve"> </w:t>
      </w:r>
    </w:p>
    <w:p w14:paraId="3FDC6C42" w14:textId="77777777" w:rsidR="001061C4" w:rsidRDefault="001061C4" w:rsidP="00F71ECD">
      <w:pPr>
        <w:spacing w:after="0" w:line="240" w:lineRule="auto"/>
        <w:rPr>
          <w:rFonts w:ascii="Times New Roman" w:hAnsi="Times New Roman" w:cs="Times New Roman"/>
          <w:sz w:val="24"/>
          <w:szCs w:val="24"/>
        </w:rPr>
      </w:pPr>
    </w:p>
    <w:p w14:paraId="0631E404" w14:textId="77777777" w:rsidR="00192966" w:rsidRDefault="001061C4" w:rsidP="00F71ECD">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9A0AF7">
        <w:rPr>
          <w:rFonts w:ascii="Times New Roman" w:hAnsi="Times New Roman" w:cs="Times New Roman"/>
          <w:sz w:val="24"/>
          <w:szCs w:val="24"/>
        </w:rPr>
        <w:t>ncluding</w:t>
      </w:r>
      <w:r w:rsidR="009A0AF7" w:rsidRPr="009A0AF7">
        <w:rPr>
          <w:rFonts w:ascii="Times New Roman" w:hAnsi="Times New Roman" w:cs="Times New Roman"/>
          <w:sz w:val="24"/>
          <w:szCs w:val="24"/>
        </w:rPr>
        <w:t xml:space="preserve"> subsidiaries </w:t>
      </w:r>
      <w:r w:rsidR="00B64BDA">
        <w:rPr>
          <w:rFonts w:ascii="Times New Roman" w:hAnsi="Times New Roman" w:cs="Times New Roman"/>
          <w:sz w:val="24"/>
          <w:szCs w:val="24"/>
        </w:rPr>
        <w:t xml:space="preserve">in the definition </w:t>
      </w:r>
      <w:r w:rsidR="009A0AF7">
        <w:rPr>
          <w:rFonts w:ascii="Times New Roman" w:hAnsi="Times New Roman" w:cs="Times New Roman"/>
          <w:sz w:val="24"/>
          <w:szCs w:val="24"/>
        </w:rPr>
        <w:t>w</w:t>
      </w:r>
      <w:r w:rsidR="009A0AF7" w:rsidRPr="009A0AF7">
        <w:rPr>
          <w:rFonts w:ascii="Times New Roman" w:hAnsi="Times New Roman" w:cs="Times New Roman"/>
          <w:sz w:val="24"/>
          <w:szCs w:val="24"/>
        </w:rPr>
        <w:t xml:space="preserve">ould </w:t>
      </w:r>
      <w:proofErr w:type="spellStart"/>
      <w:r w:rsidR="009A0AF7" w:rsidRPr="009A0AF7">
        <w:rPr>
          <w:rFonts w:ascii="Times New Roman" w:hAnsi="Times New Roman" w:cs="Times New Roman"/>
          <w:sz w:val="24"/>
          <w:szCs w:val="24"/>
        </w:rPr>
        <w:t>disincentivize</w:t>
      </w:r>
      <w:proofErr w:type="spellEnd"/>
      <w:r w:rsidR="009A0AF7" w:rsidRPr="009A0AF7">
        <w:rPr>
          <w:rFonts w:ascii="Times New Roman" w:hAnsi="Times New Roman" w:cs="Times New Roman"/>
          <w:sz w:val="24"/>
          <w:szCs w:val="24"/>
        </w:rPr>
        <w:t xml:space="preserve"> non-U</w:t>
      </w:r>
      <w:r w:rsidR="009A0AF7">
        <w:rPr>
          <w:rFonts w:ascii="Times New Roman" w:hAnsi="Times New Roman" w:cs="Times New Roman"/>
          <w:sz w:val="24"/>
          <w:szCs w:val="24"/>
        </w:rPr>
        <w:t>.</w:t>
      </w:r>
      <w:r w:rsidR="009A0AF7" w:rsidRPr="009A0AF7">
        <w:rPr>
          <w:rFonts w:ascii="Times New Roman" w:hAnsi="Times New Roman" w:cs="Times New Roman"/>
          <w:sz w:val="24"/>
          <w:szCs w:val="24"/>
        </w:rPr>
        <w:t>S</w:t>
      </w:r>
      <w:r w:rsidR="009A0AF7">
        <w:rPr>
          <w:rFonts w:ascii="Times New Roman" w:hAnsi="Times New Roman" w:cs="Times New Roman"/>
          <w:sz w:val="24"/>
          <w:szCs w:val="24"/>
        </w:rPr>
        <w:t>.</w:t>
      </w:r>
      <w:r w:rsidR="009A0AF7" w:rsidRPr="009A0AF7">
        <w:rPr>
          <w:rFonts w:ascii="Times New Roman" w:hAnsi="Times New Roman" w:cs="Times New Roman"/>
          <w:sz w:val="24"/>
          <w:szCs w:val="24"/>
        </w:rPr>
        <w:t xml:space="preserve"> DCOs from accepting significant levels of business from such subsidiaries in order to remain below the threshold</w:t>
      </w:r>
      <w:r w:rsidR="006A2C0E">
        <w:rPr>
          <w:rFonts w:ascii="Times New Roman" w:hAnsi="Times New Roman" w:cs="Times New Roman"/>
          <w:sz w:val="24"/>
          <w:szCs w:val="24"/>
        </w:rPr>
        <w:t xml:space="preserve">, thus, </w:t>
      </w:r>
      <w:r w:rsidR="001D4D27">
        <w:rPr>
          <w:rFonts w:ascii="Times New Roman" w:hAnsi="Times New Roman" w:cs="Times New Roman"/>
          <w:sz w:val="24"/>
          <w:szCs w:val="24"/>
          <w:lang w:eastAsia="ja-JP"/>
        </w:rPr>
        <w:t>a</w:t>
      </w:r>
      <w:r w:rsidR="0014442D" w:rsidRPr="0014442D">
        <w:rPr>
          <w:rFonts w:ascii="Times New Roman" w:hAnsi="Times New Roman" w:cs="Times New Roman"/>
          <w:sz w:val="24"/>
          <w:szCs w:val="24"/>
          <w:lang w:eastAsia="ja-JP"/>
        </w:rPr>
        <w:t>s stated above, put</w:t>
      </w:r>
      <w:r w:rsidR="006A2C0E">
        <w:rPr>
          <w:rFonts w:ascii="Times New Roman" w:hAnsi="Times New Roman" w:cs="Times New Roman"/>
          <w:sz w:val="24"/>
          <w:szCs w:val="24"/>
          <w:lang w:eastAsia="ja-JP"/>
        </w:rPr>
        <w:t>ting</w:t>
      </w:r>
      <w:r w:rsidR="0014442D" w:rsidRPr="0014442D">
        <w:rPr>
          <w:rFonts w:ascii="Times New Roman" w:hAnsi="Times New Roman" w:cs="Times New Roman"/>
          <w:sz w:val="24"/>
          <w:szCs w:val="24"/>
          <w:lang w:eastAsia="ja-JP"/>
        </w:rPr>
        <w:t xml:space="preserve"> U.S. banking groups at a competitive disadvantage. </w:t>
      </w:r>
      <w:r w:rsidR="00B64BDA">
        <w:rPr>
          <w:rFonts w:ascii="Times New Roman" w:hAnsi="Times New Roman" w:cs="Times New Roman"/>
          <w:sz w:val="24"/>
          <w:szCs w:val="24"/>
        </w:rPr>
        <w:t>T</w:t>
      </w:r>
      <w:r w:rsidR="00F66CF9">
        <w:rPr>
          <w:rFonts w:ascii="Times New Roman" w:hAnsi="Times New Roman" w:cs="Times New Roman"/>
          <w:sz w:val="24"/>
          <w:szCs w:val="24"/>
        </w:rPr>
        <w:t xml:space="preserve">o ensure </w:t>
      </w:r>
      <w:r w:rsidR="00CF0FFE">
        <w:rPr>
          <w:rFonts w:ascii="Times New Roman" w:hAnsi="Times New Roman" w:cs="Times New Roman"/>
          <w:sz w:val="24"/>
          <w:szCs w:val="24"/>
        </w:rPr>
        <w:t xml:space="preserve">a </w:t>
      </w:r>
      <w:r w:rsidR="00F66CF9">
        <w:rPr>
          <w:rFonts w:ascii="Times New Roman" w:hAnsi="Times New Roman" w:cs="Times New Roman"/>
          <w:sz w:val="24"/>
          <w:szCs w:val="24"/>
        </w:rPr>
        <w:t xml:space="preserve">consistent regulatory approach to the cross-border treatment of foreign subsidiaries and </w:t>
      </w:r>
      <w:r w:rsidR="00CF0FFE">
        <w:rPr>
          <w:rFonts w:ascii="Times New Roman" w:hAnsi="Times New Roman" w:cs="Times New Roman"/>
          <w:sz w:val="24"/>
          <w:szCs w:val="24"/>
        </w:rPr>
        <w:t xml:space="preserve">allow market participants continued access to global liquidity pools, the Commission should amend the </w:t>
      </w:r>
      <w:r w:rsidR="006F72F2">
        <w:rPr>
          <w:rFonts w:ascii="Times New Roman" w:hAnsi="Times New Roman" w:cs="Times New Roman"/>
          <w:sz w:val="24"/>
          <w:szCs w:val="24"/>
        </w:rPr>
        <w:t xml:space="preserve">proposed </w:t>
      </w:r>
      <w:r w:rsidR="00CF0FFE">
        <w:rPr>
          <w:rFonts w:ascii="Times New Roman" w:hAnsi="Times New Roman" w:cs="Times New Roman"/>
          <w:sz w:val="24"/>
          <w:szCs w:val="24"/>
        </w:rPr>
        <w:t xml:space="preserve">definition of U.S. clearing members to exclude foreign subsidiaries of U.S. swap dealers.   </w:t>
      </w:r>
    </w:p>
    <w:p w14:paraId="43051E3B" w14:textId="77777777" w:rsidR="0062559E" w:rsidRDefault="0062559E" w:rsidP="00F71ECD">
      <w:pPr>
        <w:spacing w:after="0" w:line="240" w:lineRule="auto"/>
        <w:rPr>
          <w:rFonts w:ascii="Times New Roman" w:hAnsi="Times New Roman" w:cs="Times New Roman"/>
          <w:sz w:val="24"/>
          <w:szCs w:val="24"/>
        </w:rPr>
      </w:pPr>
    </w:p>
    <w:p w14:paraId="3665A0CA" w14:textId="77777777" w:rsidR="007646C9" w:rsidRDefault="00B64BDA" w:rsidP="00F71E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Another concern with respect to the proposed “substantial risk” test </w:t>
      </w:r>
      <w:r w:rsidR="0075299A">
        <w:rPr>
          <w:rFonts w:ascii="Times New Roman" w:hAnsi="Times New Roman" w:cs="Times New Roman"/>
          <w:sz w:val="24"/>
          <w:szCs w:val="24"/>
        </w:rPr>
        <w:t xml:space="preserve">relates to </w:t>
      </w:r>
      <w:r>
        <w:rPr>
          <w:rFonts w:ascii="Times New Roman" w:hAnsi="Times New Roman" w:cs="Times New Roman"/>
          <w:sz w:val="24"/>
          <w:szCs w:val="24"/>
        </w:rPr>
        <w:t xml:space="preserve">the CFTC’s intent </w:t>
      </w:r>
      <w:r>
        <w:rPr>
          <w:rFonts w:ascii="Times New Roman" w:hAnsi="Times New Roman" w:cs="Times New Roman"/>
          <w:sz w:val="24"/>
          <w:szCs w:val="24"/>
          <w:lang w:val="en-GB"/>
        </w:rPr>
        <w:t xml:space="preserve">to </w:t>
      </w:r>
      <w:r w:rsidR="007646C9" w:rsidRPr="007646C9">
        <w:rPr>
          <w:rFonts w:ascii="Times New Roman" w:hAnsi="Times New Roman" w:cs="Times New Roman"/>
          <w:sz w:val="24"/>
          <w:szCs w:val="24"/>
          <w:lang w:val="en-GB"/>
        </w:rPr>
        <w:t>“retain discretion in determining whether a non-U.S. DCO poses substantial risk to the U.S. financial system, particularly where the DCO is close to 20 percent on both prongs of the test. In these cases, in making its determination, the Commission may look at other factors that may reduce or mitigate the DCO’s risk to the U.S. financial system or provide a better indication of the DCO’s risk to the U.S. financial system.”</w:t>
      </w:r>
      <w:r w:rsidR="00C540FA">
        <w:rPr>
          <w:rStyle w:val="FootnoteReference"/>
          <w:rFonts w:ascii="Times New Roman" w:hAnsi="Times New Roman" w:cs="Times New Roman"/>
          <w:sz w:val="24"/>
          <w:szCs w:val="24"/>
          <w:lang w:val="en-GB"/>
        </w:rPr>
        <w:footnoteReference w:id="15"/>
      </w:r>
      <w:r w:rsidR="007646C9">
        <w:rPr>
          <w:rFonts w:ascii="Times New Roman" w:hAnsi="Times New Roman" w:cs="Times New Roman"/>
          <w:sz w:val="24"/>
          <w:szCs w:val="24"/>
          <w:lang w:val="en-GB"/>
        </w:rPr>
        <w:t xml:space="preserve"> We </w:t>
      </w:r>
      <w:r w:rsidR="0075299A">
        <w:rPr>
          <w:rFonts w:ascii="Times New Roman" w:hAnsi="Times New Roman" w:cs="Times New Roman"/>
          <w:sz w:val="24"/>
          <w:szCs w:val="24"/>
          <w:lang w:val="en-GB"/>
        </w:rPr>
        <w:t xml:space="preserve">believe </w:t>
      </w:r>
      <w:r w:rsidR="007646C9">
        <w:rPr>
          <w:rFonts w:ascii="Times New Roman" w:hAnsi="Times New Roman" w:cs="Times New Roman"/>
          <w:sz w:val="24"/>
          <w:szCs w:val="24"/>
          <w:lang w:val="en-GB"/>
        </w:rPr>
        <w:t xml:space="preserve">that </w:t>
      </w:r>
      <w:r w:rsidR="00D37C28">
        <w:rPr>
          <w:rFonts w:ascii="Times New Roman" w:hAnsi="Times New Roman" w:cs="Times New Roman"/>
          <w:sz w:val="24"/>
          <w:szCs w:val="24"/>
          <w:lang w:val="en-GB"/>
        </w:rPr>
        <w:t>the Commission’s intent to rely on other factors</w:t>
      </w:r>
      <w:r w:rsidR="007646C9">
        <w:rPr>
          <w:rFonts w:ascii="Times New Roman" w:hAnsi="Times New Roman" w:cs="Times New Roman"/>
          <w:sz w:val="24"/>
          <w:szCs w:val="24"/>
          <w:lang w:val="en-GB"/>
        </w:rPr>
        <w:t xml:space="preserve"> </w:t>
      </w:r>
      <w:r w:rsidR="00D37C28">
        <w:rPr>
          <w:rFonts w:ascii="Times New Roman" w:hAnsi="Times New Roman" w:cs="Times New Roman"/>
          <w:sz w:val="24"/>
          <w:szCs w:val="24"/>
          <w:lang w:val="en-GB"/>
        </w:rPr>
        <w:t xml:space="preserve">in making its determination undermines </w:t>
      </w:r>
      <w:r w:rsidR="007646C9">
        <w:rPr>
          <w:rFonts w:ascii="Times New Roman" w:hAnsi="Times New Roman" w:cs="Times New Roman"/>
          <w:sz w:val="24"/>
          <w:szCs w:val="24"/>
          <w:lang w:val="en-GB"/>
        </w:rPr>
        <w:t xml:space="preserve">the Commission’s </w:t>
      </w:r>
      <w:r w:rsidR="0075299A">
        <w:rPr>
          <w:rFonts w:ascii="Times New Roman" w:hAnsi="Times New Roman" w:cs="Times New Roman"/>
          <w:sz w:val="24"/>
          <w:szCs w:val="24"/>
          <w:lang w:val="en-GB"/>
        </w:rPr>
        <w:t xml:space="preserve">objective </w:t>
      </w:r>
      <w:r w:rsidR="007646C9">
        <w:rPr>
          <w:rFonts w:ascii="Times New Roman" w:hAnsi="Times New Roman" w:cs="Times New Roman"/>
          <w:sz w:val="24"/>
          <w:szCs w:val="24"/>
          <w:lang w:val="en-GB"/>
        </w:rPr>
        <w:t xml:space="preserve">to provide a bright-line test and </w:t>
      </w:r>
      <w:r w:rsidR="00D37C28">
        <w:rPr>
          <w:rFonts w:ascii="Times New Roman" w:hAnsi="Times New Roman" w:cs="Times New Roman"/>
          <w:sz w:val="24"/>
          <w:szCs w:val="24"/>
          <w:lang w:val="en-GB"/>
        </w:rPr>
        <w:t xml:space="preserve">may lead </w:t>
      </w:r>
      <w:r w:rsidR="007646C9">
        <w:rPr>
          <w:rFonts w:ascii="Times New Roman" w:hAnsi="Times New Roman" w:cs="Times New Roman"/>
          <w:sz w:val="24"/>
          <w:szCs w:val="24"/>
          <w:lang w:val="en-GB"/>
        </w:rPr>
        <w:t xml:space="preserve">to legal and compliance </w:t>
      </w:r>
      <w:r w:rsidR="0075299A">
        <w:rPr>
          <w:rFonts w:ascii="Times New Roman" w:hAnsi="Times New Roman" w:cs="Times New Roman"/>
          <w:sz w:val="24"/>
          <w:szCs w:val="24"/>
          <w:lang w:val="en-GB"/>
        </w:rPr>
        <w:t>un</w:t>
      </w:r>
      <w:r w:rsidR="007646C9">
        <w:rPr>
          <w:rFonts w:ascii="Times New Roman" w:hAnsi="Times New Roman" w:cs="Times New Roman"/>
          <w:sz w:val="24"/>
          <w:szCs w:val="24"/>
          <w:lang w:val="en-GB"/>
        </w:rPr>
        <w:t>certainty.</w:t>
      </w:r>
      <w:r w:rsidR="00B73B1E">
        <w:rPr>
          <w:rFonts w:ascii="Times New Roman" w:hAnsi="Times New Roman" w:cs="Times New Roman"/>
          <w:sz w:val="24"/>
          <w:szCs w:val="24"/>
          <w:lang w:val="en-GB"/>
        </w:rPr>
        <w:t xml:space="preserve"> </w:t>
      </w:r>
      <w:r w:rsidR="0075299A">
        <w:rPr>
          <w:rFonts w:ascii="Times New Roman" w:hAnsi="Times New Roman" w:cs="Times New Roman"/>
          <w:sz w:val="24"/>
          <w:szCs w:val="24"/>
          <w:lang w:val="en-GB"/>
        </w:rPr>
        <w:t>W</w:t>
      </w:r>
      <w:r w:rsidR="007646C9">
        <w:rPr>
          <w:rFonts w:ascii="Times New Roman" w:hAnsi="Times New Roman" w:cs="Times New Roman"/>
          <w:sz w:val="24"/>
          <w:szCs w:val="24"/>
          <w:lang w:val="en-GB"/>
        </w:rPr>
        <w:t xml:space="preserve">e </w:t>
      </w:r>
      <w:r w:rsidR="0075299A">
        <w:rPr>
          <w:rFonts w:ascii="Times New Roman" w:hAnsi="Times New Roman" w:cs="Times New Roman"/>
          <w:sz w:val="24"/>
          <w:szCs w:val="24"/>
          <w:lang w:val="en-GB"/>
        </w:rPr>
        <w:t xml:space="preserve">therefore </w:t>
      </w:r>
      <w:r w:rsidR="007646C9">
        <w:rPr>
          <w:rFonts w:ascii="Times New Roman" w:hAnsi="Times New Roman" w:cs="Times New Roman"/>
          <w:sz w:val="24"/>
          <w:szCs w:val="24"/>
          <w:lang w:val="en-GB"/>
        </w:rPr>
        <w:t xml:space="preserve">ask the Commission to </w:t>
      </w:r>
      <w:r w:rsidR="009E6D69">
        <w:rPr>
          <w:rFonts w:ascii="Times New Roman" w:hAnsi="Times New Roman" w:cs="Times New Roman"/>
          <w:sz w:val="24"/>
          <w:szCs w:val="24"/>
          <w:lang w:val="en-GB"/>
        </w:rPr>
        <w:t>identify</w:t>
      </w:r>
      <w:r w:rsidR="007646C9">
        <w:rPr>
          <w:rFonts w:ascii="Times New Roman" w:hAnsi="Times New Roman" w:cs="Times New Roman"/>
          <w:sz w:val="24"/>
          <w:szCs w:val="24"/>
          <w:lang w:val="en-GB"/>
        </w:rPr>
        <w:t xml:space="preserve"> </w:t>
      </w:r>
      <w:r w:rsidR="00B73B1E">
        <w:rPr>
          <w:rFonts w:ascii="Times New Roman" w:hAnsi="Times New Roman" w:cs="Times New Roman"/>
          <w:sz w:val="24"/>
          <w:szCs w:val="24"/>
          <w:lang w:val="en-GB"/>
        </w:rPr>
        <w:t xml:space="preserve">what “other factors” might reduce or </w:t>
      </w:r>
      <w:r w:rsidR="009E6D69">
        <w:rPr>
          <w:rFonts w:ascii="Times New Roman" w:hAnsi="Times New Roman" w:cs="Times New Roman"/>
          <w:sz w:val="24"/>
          <w:szCs w:val="24"/>
          <w:lang w:val="en-GB"/>
        </w:rPr>
        <w:t xml:space="preserve">increase </w:t>
      </w:r>
      <w:r w:rsidR="00B73B1E">
        <w:rPr>
          <w:rFonts w:ascii="Times New Roman" w:hAnsi="Times New Roman" w:cs="Times New Roman"/>
          <w:sz w:val="24"/>
          <w:szCs w:val="24"/>
          <w:lang w:val="en-GB"/>
        </w:rPr>
        <w:t>a DCO’s risk to the U.S. financial system.</w:t>
      </w:r>
      <w:r w:rsidR="00475B41">
        <w:rPr>
          <w:rStyle w:val="FootnoteReference"/>
          <w:rFonts w:ascii="Times New Roman" w:hAnsi="Times New Roman" w:cs="Times New Roman"/>
          <w:sz w:val="24"/>
          <w:szCs w:val="24"/>
          <w:lang w:val="en-GB"/>
        </w:rPr>
        <w:footnoteReference w:id="16"/>
      </w:r>
      <w:r w:rsidR="00B73B1E">
        <w:rPr>
          <w:rFonts w:ascii="Times New Roman" w:hAnsi="Times New Roman" w:cs="Times New Roman"/>
          <w:sz w:val="24"/>
          <w:szCs w:val="24"/>
          <w:lang w:val="en-GB"/>
        </w:rPr>
        <w:t xml:space="preserve">   </w:t>
      </w:r>
      <w:r w:rsidR="007646C9">
        <w:rPr>
          <w:rFonts w:ascii="Times New Roman" w:hAnsi="Times New Roman" w:cs="Times New Roman"/>
          <w:sz w:val="24"/>
          <w:szCs w:val="24"/>
          <w:lang w:val="en-GB"/>
        </w:rPr>
        <w:t xml:space="preserve"> </w:t>
      </w:r>
    </w:p>
    <w:p w14:paraId="73D639AD" w14:textId="77777777" w:rsidR="007646C9" w:rsidRDefault="007646C9" w:rsidP="00F71ECD">
      <w:pPr>
        <w:spacing w:after="0" w:line="240" w:lineRule="auto"/>
        <w:rPr>
          <w:rFonts w:ascii="Times New Roman" w:hAnsi="Times New Roman" w:cs="Times New Roman"/>
          <w:sz w:val="24"/>
          <w:szCs w:val="24"/>
        </w:rPr>
      </w:pPr>
    </w:p>
    <w:p w14:paraId="7C6F88F2" w14:textId="77777777" w:rsidR="003079B2" w:rsidRDefault="000F71A5" w:rsidP="004833CC">
      <w:pPr>
        <w:spacing w:after="0" w:line="240" w:lineRule="auto"/>
        <w:rPr>
          <w:rFonts w:ascii="Times New Roman" w:hAnsi="Times New Roman" w:cs="Times New Roman"/>
          <w:sz w:val="24"/>
          <w:szCs w:val="24"/>
        </w:rPr>
      </w:pPr>
      <w:r>
        <w:rPr>
          <w:rFonts w:ascii="Times New Roman" w:hAnsi="Times New Roman" w:cs="Times New Roman"/>
          <w:sz w:val="24"/>
          <w:szCs w:val="24"/>
        </w:rPr>
        <w:t>Final</w:t>
      </w:r>
      <w:r w:rsidR="0062559E" w:rsidRPr="0062559E">
        <w:rPr>
          <w:rFonts w:ascii="Times New Roman" w:hAnsi="Times New Roman" w:cs="Times New Roman"/>
          <w:sz w:val="24"/>
          <w:szCs w:val="24"/>
        </w:rPr>
        <w:t xml:space="preserve">ly, we ask the Commission to </w:t>
      </w:r>
      <w:r w:rsidR="0075299A">
        <w:rPr>
          <w:rFonts w:ascii="Times New Roman" w:hAnsi="Times New Roman" w:cs="Times New Roman"/>
          <w:sz w:val="24"/>
          <w:szCs w:val="24"/>
        </w:rPr>
        <w:t xml:space="preserve">affirm </w:t>
      </w:r>
      <w:r w:rsidR="0062559E" w:rsidRPr="0062559E">
        <w:rPr>
          <w:rFonts w:ascii="Times New Roman" w:hAnsi="Times New Roman" w:cs="Times New Roman"/>
          <w:sz w:val="24"/>
          <w:szCs w:val="24"/>
        </w:rPr>
        <w:t xml:space="preserve">that the CFTC will monitor the 20% </w:t>
      </w:r>
      <w:r w:rsidR="002B25D8">
        <w:rPr>
          <w:rFonts w:ascii="Times New Roman" w:hAnsi="Times New Roman" w:cs="Times New Roman"/>
          <w:sz w:val="24"/>
          <w:szCs w:val="24"/>
        </w:rPr>
        <w:t>threshold test</w:t>
      </w:r>
      <w:r w:rsidR="0062559E" w:rsidRPr="0062559E">
        <w:rPr>
          <w:rFonts w:ascii="Times New Roman" w:hAnsi="Times New Roman" w:cs="Times New Roman"/>
          <w:sz w:val="24"/>
          <w:szCs w:val="24"/>
        </w:rPr>
        <w:t xml:space="preserve"> by analyzing the data required to be reported to the CFTC, and that the relevant exempt DCO has no other obligations with respect to </w:t>
      </w:r>
      <w:r w:rsidR="009A34EB">
        <w:rPr>
          <w:rFonts w:ascii="Times New Roman" w:hAnsi="Times New Roman" w:cs="Times New Roman"/>
          <w:sz w:val="24"/>
          <w:szCs w:val="24"/>
        </w:rPr>
        <w:t xml:space="preserve">the </w:t>
      </w:r>
      <w:r w:rsidR="0062559E" w:rsidRPr="0062559E">
        <w:rPr>
          <w:rFonts w:ascii="Times New Roman" w:hAnsi="Times New Roman" w:cs="Times New Roman"/>
          <w:sz w:val="24"/>
          <w:szCs w:val="24"/>
        </w:rPr>
        <w:t>monitoring of the 20% threshold apart from such reporting requirements.</w:t>
      </w:r>
    </w:p>
    <w:p w14:paraId="5DE5A9B8" w14:textId="77777777" w:rsidR="003079B2" w:rsidRDefault="003079B2" w:rsidP="004833CC">
      <w:pPr>
        <w:spacing w:after="0" w:line="240" w:lineRule="auto"/>
        <w:rPr>
          <w:rFonts w:ascii="Times New Roman" w:hAnsi="Times New Roman" w:cs="Times New Roman"/>
          <w:sz w:val="24"/>
          <w:szCs w:val="24"/>
        </w:rPr>
      </w:pPr>
    </w:p>
    <w:p w14:paraId="4EACD0C8" w14:textId="77777777" w:rsidR="001510EC" w:rsidRPr="005E58FE" w:rsidRDefault="00EA5E68" w:rsidP="005E58FE">
      <w:pPr>
        <w:pStyle w:val="ListParagraph"/>
        <w:numPr>
          <w:ilvl w:val="0"/>
          <w:numId w:val="7"/>
        </w:numPr>
        <w:spacing w:after="0" w:line="240" w:lineRule="auto"/>
        <w:rPr>
          <w:rFonts w:ascii="Times New Roman" w:hAnsi="Times New Roman" w:cs="Times New Roman"/>
          <w:b/>
          <w:sz w:val="24"/>
          <w:szCs w:val="24"/>
        </w:rPr>
      </w:pPr>
      <w:r w:rsidRPr="005E58FE">
        <w:rPr>
          <w:rFonts w:ascii="Times New Roman" w:hAnsi="Times New Roman" w:cs="Times New Roman"/>
          <w:b/>
          <w:sz w:val="24"/>
          <w:szCs w:val="24"/>
        </w:rPr>
        <w:t>U.S. Persons</w:t>
      </w:r>
      <w:r w:rsidR="008743A5" w:rsidRPr="005E58FE">
        <w:rPr>
          <w:rFonts w:ascii="Times New Roman" w:hAnsi="Times New Roman" w:cs="Times New Roman"/>
          <w:b/>
          <w:sz w:val="24"/>
          <w:szCs w:val="24"/>
        </w:rPr>
        <w:t xml:space="preserve">, </w:t>
      </w:r>
      <w:r w:rsidR="00D37C28">
        <w:rPr>
          <w:rFonts w:ascii="Times New Roman" w:hAnsi="Times New Roman" w:cs="Times New Roman"/>
          <w:b/>
          <w:sz w:val="24"/>
          <w:szCs w:val="24"/>
        </w:rPr>
        <w:t>I</w:t>
      </w:r>
      <w:r w:rsidR="008743A5" w:rsidRPr="005E58FE">
        <w:rPr>
          <w:rFonts w:ascii="Times New Roman" w:hAnsi="Times New Roman" w:cs="Times New Roman"/>
          <w:b/>
          <w:sz w:val="24"/>
          <w:szCs w:val="24"/>
        </w:rPr>
        <w:t>ncluding Foreign Branches of U.S. Persons,</w:t>
      </w:r>
      <w:r w:rsidRPr="005E58FE">
        <w:rPr>
          <w:rFonts w:ascii="Times New Roman" w:hAnsi="Times New Roman" w:cs="Times New Roman"/>
          <w:b/>
          <w:sz w:val="24"/>
          <w:szCs w:val="24"/>
        </w:rPr>
        <w:t xml:space="preserve"> Should be Allowed to Voluntarily Clear at Non-U.S. CCPs </w:t>
      </w:r>
    </w:p>
    <w:p w14:paraId="56D279CC" w14:textId="77777777" w:rsidR="001510EC" w:rsidRDefault="001510EC" w:rsidP="00115886">
      <w:pPr>
        <w:spacing w:after="0" w:line="240" w:lineRule="auto"/>
        <w:rPr>
          <w:rFonts w:ascii="Times New Roman" w:hAnsi="Times New Roman" w:cs="Times New Roman"/>
          <w:sz w:val="24"/>
          <w:szCs w:val="24"/>
        </w:rPr>
      </w:pPr>
    </w:p>
    <w:p w14:paraId="63976B96" w14:textId="77777777" w:rsidR="001510EC" w:rsidRDefault="001510EC" w:rsidP="001158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we stated in our comments to the </w:t>
      </w:r>
      <w:r w:rsidR="005D0C53">
        <w:rPr>
          <w:rFonts w:ascii="Times New Roman" w:hAnsi="Times New Roman" w:cs="Times New Roman"/>
          <w:sz w:val="24"/>
          <w:szCs w:val="24"/>
        </w:rPr>
        <w:t>I</w:t>
      </w:r>
      <w:r>
        <w:rPr>
          <w:rFonts w:ascii="Times New Roman" w:hAnsi="Times New Roman" w:cs="Times New Roman"/>
          <w:sz w:val="24"/>
          <w:szCs w:val="24"/>
        </w:rPr>
        <w:t xml:space="preserve">nitial </w:t>
      </w:r>
      <w:r w:rsidR="005D0C53">
        <w:rPr>
          <w:rFonts w:ascii="Times New Roman" w:hAnsi="Times New Roman" w:cs="Times New Roman"/>
          <w:sz w:val="24"/>
          <w:szCs w:val="24"/>
        </w:rPr>
        <w:t>P</w:t>
      </w:r>
      <w:r>
        <w:rPr>
          <w:rFonts w:ascii="Times New Roman" w:hAnsi="Times New Roman" w:cs="Times New Roman"/>
          <w:sz w:val="24"/>
          <w:szCs w:val="24"/>
        </w:rPr>
        <w:t>roposal,</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w:t>
      </w:r>
      <w:r w:rsidRPr="001510EC">
        <w:rPr>
          <w:rFonts w:ascii="Times New Roman" w:hAnsi="Times New Roman" w:cs="Times New Roman"/>
          <w:sz w:val="24"/>
          <w:szCs w:val="24"/>
        </w:rPr>
        <w:t xml:space="preserve">e believe that non-U.S. CCPs should not be required to </w:t>
      </w:r>
      <w:r>
        <w:rPr>
          <w:rFonts w:ascii="Times New Roman" w:hAnsi="Times New Roman" w:cs="Times New Roman"/>
          <w:sz w:val="24"/>
          <w:szCs w:val="24"/>
        </w:rPr>
        <w:t>r</w:t>
      </w:r>
      <w:r w:rsidRPr="001510EC">
        <w:rPr>
          <w:rFonts w:ascii="Times New Roman" w:hAnsi="Times New Roman" w:cs="Times New Roman"/>
          <w:sz w:val="24"/>
          <w:szCs w:val="24"/>
        </w:rPr>
        <w:t xml:space="preserve">egister </w:t>
      </w:r>
      <w:r>
        <w:rPr>
          <w:rFonts w:ascii="Times New Roman" w:hAnsi="Times New Roman" w:cs="Times New Roman"/>
          <w:sz w:val="24"/>
          <w:szCs w:val="24"/>
        </w:rPr>
        <w:t xml:space="preserve">as a DCO </w:t>
      </w:r>
      <w:r w:rsidRPr="001510EC">
        <w:rPr>
          <w:rFonts w:ascii="Times New Roman" w:hAnsi="Times New Roman" w:cs="Times New Roman"/>
          <w:sz w:val="24"/>
          <w:szCs w:val="24"/>
        </w:rPr>
        <w:t xml:space="preserve">or </w:t>
      </w:r>
      <w:r>
        <w:rPr>
          <w:rFonts w:ascii="Times New Roman" w:hAnsi="Times New Roman" w:cs="Times New Roman"/>
          <w:sz w:val="24"/>
          <w:szCs w:val="24"/>
        </w:rPr>
        <w:t xml:space="preserve">apply for an </w:t>
      </w:r>
      <w:r w:rsidRPr="001510EC">
        <w:rPr>
          <w:rFonts w:ascii="Times New Roman" w:hAnsi="Times New Roman" w:cs="Times New Roman"/>
          <w:sz w:val="24"/>
          <w:szCs w:val="24"/>
        </w:rPr>
        <w:t>exempt</w:t>
      </w:r>
      <w:r>
        <w:rPr>
          <w:rFonts w:ascii="Times New Roman" w:hAnsi="Times New Roman" w:cs="Times New Roman"/>
          <w:sz w:val="24"/>
          <w:szCs w:val="24"/>
        </w:rPr>
        <w:t>ion</w:t>
      </w:r>
      <w:r w:rsidRPr="001510EC">
        <w:rPr>
          <w:rFonts w:ascii="Times New Roman" w:hAnsi="Times New Roman" w:cs="Times New Roman"/>
          <w:sz w:val="24"/>
          <w:szCs w:val="24"/>
        </w:rPr>
        <w:t xml:space="preserve"> </w:t>
      </w:r>
      <w:r>
        <w:rPr>
          <w:rFonts w:ascii="Times New Roman" w:hAnsi="Times New Roman" w:cs="Times New Roman"/>
          <w:sz w:val="24"/>
          <w:szCs w:val="24"/>
        </w:rPr>
        <w:t xml:space="preserve">from </w:t>
      </w:r>
      <w:r w:rsidRPr="001510EC">
        <w:rPr>
          <w:rFonts w:ascii="Times New Roman" w:hAnsi="Times New Roman" w:cs="Times New Roman"/>
          <w:sz w:val="24"/>
          <w:szCs w:val="24"/>
        </w:rPr>
        <w:t xml:space="preserve">registration solely </w:t>
      </w:r>
      <w:r>
        <w:rPr>
          <w:rFonts w:ascii="Times New Roman" w:hAnsi="Times New Roman" w:cs="Times New Roman"/>
          <w:sz w:val="24"/>
          <w:szCs w:val="24"/>
        </w:rPr>
        <w:t>because</w:t>
      </w:r>
      <w:r w:rsidRPr="001510EC">
        <w:rPr>
          <w:rFonts w:ascii="Times New Roman" w:hAnsi="Times New Roman" w:cs="Times New Roman"/>
          <w:sz w:val="24"/>
          <w:szCs w:val="24"/>
        </w:rPr>
        <w:t xml:space="preserve"> they permit clearing members that are U.S. persons</w:t>
      </w:r>
      <w:r>
        <w:rPr>
          <w:rFonts w:ascii="Times New Roman" w:hAnsi="Times New Roman" w:cs="Times New Roman"/>
          <w:sz w:val="24"/>
          <w:szCs w:val="24"/>
        </w:rPr>
        <w:t>, including foreign branches of U.S. persons,</w:t>
      </w:r>
      <w:r w:rsidRPr="001510EC">
        <w:rPr>
          <w:rFonts w:ascii="Times New Roman" w:hAnsi="Times New Roman" w:cs="Times New Roman"/>
          <w:sz w:val="24"/>
          <w:szCs w:val="24"/>
        </w:rPr>
        <w:t xml:space="preserve"> to clear swaps that are not subject to the CFTC’s clearing mandate. </w:t>
      </w:r>
      <w:r>
        <w:rPr>
          <w:rFonts w:ascii="Times New Roman" w:hAnsi="Times New Roman" w:cs="Times New Roman"/>
          <w:sz w:val="24"/>
          <w:szCs w:val="24"/>
        </w:rPr>
        <w:t>Such</w:t>
      </w:r>
      <w:r w:rsidRPr="001510EC">
        <w:rPr>
          <w:rFonts w:ascii="Times New Roman" w:hAnsi="Times New Roman" w:cs="Times New Roman"/>
          <w:sz w:val="24"/>
          <w:szCs w:val="24"/>
        </w:rPr>
        <w:t xml:space="preserve"> clearing is voluntary</w:t>
      </w:r>
      <w:r>
        <w:rPr>
          <w:rFonts w:ascii="Times New Roman" w:hAnsi="Times New Roman" w:cs="Times New Roman"/>
          <w:sz w:val="24"/>
          <w:szCs w:val="24"/>
        </w:rPr>
        <w:t>; thus,</w:t>
      </w:r>
      <w:r w:rsidRPr="001510EC">
        <w:rPr>
          <w:rFonts w:ascii="Times New Roman" w:hAnsi="Times New Roman" w:cs="Times New Roman"/>
          <w:sz w:val="24"/>
          <w:szCs w:val="24"/>
        </w:rPr>
        <w:t xml:space="preserve"> U.S. persons should </w:t>
      </w:r>
      <w:r w:rsidR="00DF7CFC">
        <w:rPr>
          <w:rFonts w:ascii="Times New Roman" w:hAnsi="Times New Roman" w:cs="Times New Roman"/>
          <w:sz w:val="24"/>
          <w:szCs w:val="24"/>
        </w:rPr>
        <w:t xml:space="preserve">have </w:t>
      </w:r>
      <w:r w:rsidRPr="001510EC">
        <w:rPr>
          <w:rFonts w:ascii="Times New Roman" w:hAnsi="Times New Roman" w:cs="Times New Roman"/>
          <w:sz w:val="24"/>
          <w:szCs w:val="24"/>
        </w:rPr>
        <w:t xml:space="preserve">more flexibility with regard to the CCP they select. </w:t>
      </w:r>
    </w:p>
    <w:p w14:paraId="43074996" w14:textId="77777777" w:rsidR="001510EC" w:rsidRDefault="001510EC" w:rsidP="00115886">
      <w:pPr>
        <w:spacing w:after="0" w:line="240" w:lineRule="auto"/>
        <w:rPr>
          <w:rFonts w:ascii="Times New Roman" w:hAnsi="Times New Roman" w:cs="Times New Roman"/>
          <w:sz w:val="24"/>
          <w:szCs w:val="24"/>
        </w:rPr>
      </w:pPr>
    </w:p>
    <w:p w14:paraId="099ECF25" w14:textId="77777777" w:rsidR="001510EC" w:rsidRDefault="001510EC" w:rsidP="0011588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Allowing U.S. persons</w:t>
      </w:r>
      <w:r w:rsidR="003079B2">
        <w:rPr>
          <w:rFonts w:ascii="Times New Roman" w:hAnsi="Times New Roman" w:cs="Times New Roman"/>
          <w:sz w:val="24"/>
          <w:szCs w:val="24"/>
        </w:rPr>
        <w:t>, including foreign branches of U.S. person</w:t>
      </w:r>
      <w:r w:rsidR="003079B2">
        <w:rPr>
          <w:rFonts w:ascii="Times New Roman" w:hAnsi="Times New Roman" w:cs="Times New Roman"/>
          <w:sz w:val="24"/>
          <w:szCs w:val="24"/>
        </w:rPr>
        <w:t>s,</w:t>
      </w:r>
      <w:r w:rsidR="003079B2">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to </w:t>
      </w:r>
      <w:r w:rsidR="00BE05CD">
        <w:rPr>
          <w:rFonts w:ascii="Times New Roman" w:hAnsi="Times New Roman" w:cs="Times New Roman"/>
          <w:sz w:val="24"/>
          <w:szCs w:val="24"/>
        </w:rPr>
        <w:t xml:space="preserve">voluntarily </w:t>
      </w:r>
      <w:r>
        <w:rPr>
          <w:rFonts w:ascii="Times New Roman" w:hAnsi="Times New Roman" w:cs="Times New Roman"/>
          <w:sz w:val="24"/>
          <w:szCs w:val="24"/>
        </w:rPr>
        <w:t xml:space="preserve">clear products </w:t>
      </w:r>
      <w:r w:rsidR="003C6549">
        <w:rPr>
          <w:rFonts w:ascii="Times New Roman" w:hAnsi="Times New Roman" w:cs="Times New Roman"/>
          <w:sz w:val="24"/>
          <w:szCs w:val="24"/>
        </w:rPr>
        <w:t xml:space="preserve">at non-U.S. CCPs </w:t>
      </w:r>
      <w:r>
        <w:rPr>
          <w:rFonts w:ascii="Times New Roman" w:hAnsi="Times New Roman" w:cs="Times New Roman"/>
          <w:sz w:val="24"/>
          <w:szCs w:val="24"/>
        </w:rPr>
        <w:t xml:space="preserve">would </w:t>
      </w:r>
      <w:r w:rsidR="00BE05CD">
        <w:rPr>
          <w:rFonts w:ascii="Times New Roman" w:hAnsi="Times New Roman" w:cs="Times New Roman"/>
          <w:sz w:val="24"/>
          <w:szCs w:val="24"/>
        </w:rPr>
        <w:t xml:space="preserve">allow </w:t>
      </w:r>
      <w:r>
        <w:rPr>
          <w:rFonts w:ascii="Times New Roman" w:hAnsi="Times New Roman" w:cs="Times New Roman"/>
          <w:sz w:val="24"/>
          <w:szCs w:val="24"/>
        </w:rPr>
        <w:t xml:space="preserve">U.S. persons wider access to clearing for more products, </w:t>
      </w:r>
      <w:r w:rsidR="00D37C28">
        <w:rPr>
          <w:rFonts w:ascii="Times New Roman" w:hAnsi="Times New Roman" w:cs="Times New Roman"/>
          <w:sz w:val="24"/>
          <w:szCs w:val="24"/>
        </w:rPr>
        <w:t xml:space="preserve">thus </w:t>
      </w:r>
      <w:r>
        <w:rPr>
          <w:rFonts w:ascii="Times New Roman" w:hAnsi="Times New Roman" w:cs="Times New Roman"/>
          <w:sz w:val="24"/>
          <w:szCs w:val="24"/>
        </w:rPr>
        <w:t>increasing their ability to diversify risk. T</w:t>
      </w:r>
      <w:r w:rsidRPr="001510EC">
        <w:rPr>
          <w:rFonts w:ascii="Times New Roman" w:hAnsi="Times New Roman" w:cs="Times New Roman"/>
          <w:sz w:val="24"/>
          <w:szCs w:val="24"/>
        </w:rPr>
        <w:t xml:space="preserve">hese </w:t>
      </w:r>
      <w:r w:rsidRPr="001510EC">
        <w:rPr>
          <w:rFonts w:ascii="Times New Roman" w:hAnsi="Times New Roman" w:cs="Times New Roman"/>
          <w:sz w:val="24"/>
          <w:szCs w:val="24"/>
        </w:rPr>
        <w:t xml:space="preserve">benefits </w:t>
      </w:r>
      <w:r w:rsidR="00E83D98">
        <w:rPr>
          <w:rFonts w:ascii="Times New Roman" w:hAnsi="Times New Roman" w:cs="Times New Roman"/>
          <w:sz w:val="24"/>
          <w:szCs w:val="24"/>
        </w:rPr>
        <w:t xml:space="preserve">are consistent with the Commission’s intent </w:t>
      </w:r>
      <w:r w:rsidR="0043050E">
        <w:rPr>
          <w:rFonts w:ascii="Times New Roman" w:hAnsi="Times New Roman" w:cs="Times New Roman"/>
          <w:sz w:val="24"/>
          <w:szCs w:val="24"/>
        </w:rPr>
        <w:t xml:space="preserve">to promote central clearing in an efficient and scalable manner </w:t>
      </w:r>
      <w:r w:rsidR="00E83D98">
        <w:rPr>
          <w:rFonts w:ascii="Times New Roman" w:hAnsi="Times New Roman" w:cs="Times New Roman"/>
          <w:sz w:val="24"/>
          <w:szCs w:val="24"/>
        </w:rPr>
        <w:t xml:space="preserve">and </w:t>
      </w:r>
      <w:r w:rsidRPr="001510EC">
        <w:rPr>
          <w:rFonts w:ascii="Times New Roman" w:hAnsi="Times New Roman" w:cs="Times New Roman"/>
          <w:sz w:val="24"/>
          <w:szCs w:val="24"/>
        </w:rPr>
        <w:t>outweigh any</w:t>
      </w:r>
      <w:r w:rsidR="0043050E">
        <w:rPr>
          <w:rFonts w:ascii="Times New Roman" w:hAnsi="Times New Roman" w:cs="Times New Roman"/>
          <w:sz w:val="24"/>
          <w:szCs w:val="24"/>
        </w:rPr>
        <w:t xml:space="preserve"> potential</w:t>
      </w:r>
      <w:r w:rsidRPr="001510EC">
        <w:rPr>
          <w:rFonts w:ascii="Times New Roman" w:hAnsi="Times New Roman" w:cs="Times New Roman"/>
          <w:sz w:val="24"/>
          <w:szCs w:val="24"/>
        </w:rPr>
        <w:t xml:space="preserve"> consequences of allowing U.S. persons to clear these products at CCPs that are not registered or exempt from </w:t>
      </w:r>
      <w:r w:rsidR="00B21608">
        <w:rPr>
          <w:rFonts w:ascii="Times New Roman" w:hAnsi="Times New Roman" w:cs="Times New Roman"/>
          <w:sz w:val="24"/>
          <w:szCs w:val="24"/>
        </w:rPr>
        <w:t xml:space="preserve">DCO </w:t>
      </w:r>
      <w:r w:rsidRPr="001510EC">
        <w:rPr>
          <w:rFonts w:ascii="Times New Roman" w:hAnsi="Times New Roman" w:cs="Times New Roman"/>
          <w:sz w:val="24"/>
          <w:szCs w:val="24"/>
        </w:rPr>
        <w:t>registration.</w:t>
      </w:r>
      <w:r w:rsidR="00D37C28">
        <w:rPr>
          <w:rFonts w:ascii="Times New Roman" w:hAnsi="Times New Roman" w:cs="Times New Roman"/>
          <w:sz w:val="24"/>
          <w:szCs w:val="24"/>
        </w:rPr>
        <w:t xml:space="preserve"> Sep</w:t>
      </w:r>
      <w:r w:rsidR="00AA0730">
        <w:rPr>
          <w:rFonts w:ascii="Times New Roman" w:hAnsi="Times New Roman" w:cs="Times New Roman"/>
          <w:sz w:val="24"/>
          <w:szCs w:val="24"/>
        </w:rPr>
        <w:t>a</w:t>
      </w:r>
      <w:r w:rsidR="00D37C28">
        <w:rPr>
          <w:rFonts w:ascii="Times New Roman" w:hAnsi="Times New Roman" w:cs="Times New Roman"/>
          <w:sz w:val="24"/>
          <w:szCs w:val="24"/>
        </w:rPr>
        <w:t>rate</w:t>
      </w:r>
      <w:r w:rsidR="00AA0730">
        <w:rPr>
          <w:rFonts w:ascii="Times New Roman" w:hAnsi="Times New Roman" w:cs="Times New Roman"/>
          <w:sz w:val="24"/>
          <w:szCs w:val="24"/>
        </w:rPr>
        <w:t>l</w:t>
      </w:r>
      <w:r w:rsidR="00D37C28">
        <w:rPr>
          <w:rFonts w:ascii="Times New Roman" w:hAnsi="Times New Roman" w:cs="Times New Roman"/>
          <w:sz w:val="24"/>
          <w:szCs w:val="24"/>
        </w:rPr>
        <w:t>y</w:t>
      </w:r>
      <w:r w:rsidRPr="00EA5E68">
        <w:rPr>
          <w:rFonts w:ascii="Times New Roman" w:hAnsi="Times New Roman" w:cs="Times New Roman"/>
          <w:sz w:val="24"/>
          <w:szCs w:val="24"/>
        </w:rPr>
        <w:t>,</w:t>
      </w:r>
      <w:r w:rsidR="00F137DC">
        <w:rPr>
          <w:rFonts w:ascii="Times New Roman" w:hAnsi="Times New Roman" w:cs="Times New Roman"/>
          <w:sz w:val="24"/>
          <w:szCs w:val="24"/>
        </w:rPr>
        <w:t xml:space="preserve"> </w:t>
      </w:r>
      <w:r w:rsidR="00BA7190">
        <w:rPr>
          <w:rFonts w:ascii="Times New Roman" w:hAnsi="Times New Roman" w:cs="Times New Roman"/>
          <w:sz w:val="24"/>
          <w:szCs w:val="24"/>
        </w:rPr>
        <w:t>i</w:t>
      </w:r>
      <w:r w:rsidR="00F137DC">
        <w:rPr>
          <w:rFonts w:ascii="Times New Roman" w:hAnsi="Times New Roman" w:cs="Times New Roman"/>
          <w:sz w:val="24"/>
          <w:szCs w:val="24"/>
        </w:rPr>
        <w:t>n order to encourage more centralized clearing, the Commission should not dictate where voluntarily cleared contracts must be cleared.</w:t>
      </w:r>
      <w:r w:rsidR="008521F5">
        <w:rPr>
          <w:rStyle w:val="FootnoteReference"/>
          <w:rFonts w:ascii="Times New Roman" w:hAnsi="Times New Roman" w:cs="Times New Roman"/>
          <w:sz w:val="24"/>
          <w:szCs w:val="24"/>
        </w:rPr>
        <w:footnoteReference w:id="19"/>
      </w:r>
      <w:r w:rsidR="00721CD3">
        <w:rPr>
          <w:rFonts w:ascii="Times New Roman" w:hAnsi="Times New Roman" w:cs="Times New Roman"/>
          <w:sz w:val="24"/>
          <w:szCs w:val="24"/>
        </w:rPr>
        <w:t xml:space="preserve"> </w:t>
      </w:r>
      <w:r w:rsidR="00E83D98">
        <w:rPr>
          <w:rFonts w:ascii="Times New Roman" w:hAnsi="Times New Roman" w:cs="Times New Roman"/>
          <w:sz w:val="24"/>
          <w:szCs w:val="24"/>
        </w:rPr>
        <w:t xml:space="preserve"> </w:t>
      </w:r>
      <w:r w:rsidRPr="001510EC">
        <w:rPr>
          <w:rFonts w:ascii="Times New Roman" w:hAnsi="Times New Roman" w:cs="Times New Roman"/>
          <w:sz w:val="24"/>
          <w:szCs w:val="24"/>
        </w:rPr>
        <w:t xml:space="preserve"> </w:t>
      </w:r>
    </w:p>
    <w:p w14:paraId="2C7D7524" w14:textId="77777777" w:rsidR="00192966" w:rsidRDefault="00192966" w:rsidP="00115886">
      <w:pPr>
        <w:spacing w:after="0" w:line="240" w:lineRule="auto"/>
        <w:rPr>
          <w:rFonts w:ascii="Times New Roman" w:hAnsi="Times New Roman" w:cs="Times New Roman"/>
          <w:sz w:val="24"/>
          <w:szCs w:val="24"/>
        </w:rPr>
      </w:pPr>
    </w:p>
    <w:p w14:paraId="6403B07B" w14:textId="77777777" w:rsidR="00574B43" w:rsidRDefault="00B94335" w:rsidP="00115886">
      <w:pPr>
        <w:spacing w:after="0" w:line="240" w:lineRule="auto"/>
        <w:rPr>
          <w:rFonts w:ascii="Times New Roman" w:hAnsi="Times New Roman" w:cs="Times New Roman"/>
          <w:sz w:val="24"/>
          <w:szCs w:val="24"/>
        </w:rPr>
      </w:pPr>
      <w:r>
        <w:rPr>
          <w:rFonts w:ascii="Times New Roman" w:hAnsi="Times New Roman" w:cs="Times New Roman"/>
          <w:sz w:val="24"/>
          <w:szCs w:val="24"/>
        </w:rPr>
        <w:t>In this same vein, w</w:t>
      </w:r>
      <w:r w:rsidR="009A0AF7">
        <w:rPr>
          <w:rFonts w:ascii="Times New Roman" w:hAnsi="Times New Roman" w:cs="Times New Roman"/>
          <w:sz w:val="24"/>
          <w:szCs w:val="24"/>
        </w:rPr>
        <w:t xml:space="preserve">e </w:t>
      </w:r>
      <w:r>
        <w:rPr>
          <w:rFonts w:ascii="Times New Roman" w:hAnsi="Times New Roman" w:cs="Times New Roman"/>
          <w:sz w:val="24"/>
          <w:szCs w:val="24"/>
        </w:rPr>
        <w:t>also ask</w:t>
      </w:r>
      <w:r w:rsidR="009A0AF7">
        <w:rPr>
          <w:rFonts w:ascii="Times New Roman" w:hAnsi="Times New Roman" w:cs="Times New Roman"/>
          <w:sz w:val="24"/>
          <w:szCs w:val="24"/>
        </w:rPr>
        <w:t xml:space="preserve"> th</w:t>
      </w:r>
      <w:r>
        <w:rPr>
          <w:rFonts w:ascii="Times New Roman" w:hAnsi="Times New Roman" w:cs="Times New Roman"/>
          <w:sz w:val="24"/>
          <w:szCs w:val="24"/>
        </w:rPr>
        <w:t>e Commission to allow</w:t>
      </w:r>
      <w:r w:rsidR="009A0AF7">
        <w:rPr>
          <w:rFonts w:ascii="Times New Roman" w:hAnsi="Times New Roman" w:cs="Times New Roman"/>
          <w:sz w:val="24"/>
          <w:szCs w:val="24"/>
        </w:rPr>
        <w:t xml:space="preserve"> n</w:t>
      </w:r>
      <w:r w:rsidR="00192966" w:rsidRPr="00F01A2C">
        <w:rPr>
          <w:rFonts w:ascii="Times New Roman" w:hAnsi="Times New Roman" w:cs="Times New Roman"/>
          <w:sz w:val="24"/>
          <w:szCs w:val="24"/>
        </w:rPr>
        <w:t xml:space="preserve">on-U.S. </w:t>
      </w:r>
      <w:r w:rsidR="009A0AF7">
        <w:rPr>
          <w:rFonts w:ascii="Times New Roman" w:hAnsi="Times New Roman" w:cs="Times New Roman"/>
          <w:sz w:val="24"/>
          <w:szCs w:val="24"/>
        </w:rPr>
        <w:t>CCPs</w:t>
      </w:r>
      <w:r w:rsidR="00192966" w:rsidRPr="00F01A2C">
        <w:rPr>
          <w:rFonts w:ascii="Times New Roman" w:hAnsi="Times New Roman" w:cs="Times New Roman"/>
          <w:sz w:val="24"/>
          <w:szCs w:val="24"/>
        </w:rPr>
        <w:t xml:space="preserve"> to accept foreign branches of U.S. bank swap dealers as members</w:t>
      </w:r>
      <w:r w:rsidR="00192966">
        <w:rPr>
          <w:rFonts w:ascii="Times New Roman" w:hAnsi="Times New Roman" w:cs="Times New Roman"/>
          <w:sz w:val="24"/>
          <w:szCs w:val="24"/>
        </w:rPr>
        <w:t xml:space="preserve">, for the purposes of clearing </w:t>
      </w:r>
      <w:r w:rsidR="009A0AF7">
        <w:rPr>
          <w:rFonts w:ascii="Times New Roman" w:hAnsi="Times New Roman" w:cs="Times New Roman"/>
          <w:sz w:val="24"/>
          <w:szCs w:val="24"/>
        </w:rPr>
        <w:t>proprietary accounts</w:t>
      </w:r>
      <w:r w:rsidR="00192966">
        <w:rPr>
          <w:rFonts w:ascii="Times New Roman" w:hAnsi="Times New Roman" w:cs="Times New Roman"/>
          <w:sz w:val="24"/>
          <w:szCs w:val="24"/>
        </w:rPr>
        <w:t xml:space="preserve"> or </w:t>
      </w:r>
      <w:r w:rsidR="009A0AF7">
        <w:rPr>
          <w:rFonts w:ascii="Times New Roman" w:hAnsi="Times New Roman" w:cs="Times New Roman"/>
          <w:sz w:val="24"/>
          <w:szCs w:val="24"/>
        </w:rPr>
        <w:t xml:space="preserve">on behalf of </w:t>
      </w:r>
      <w:r w:rsidR="00192966">
        <w:rPr>
          <w:rFonts w:ascii="Times New Roman" w:hAnsi="Times New Roman" w:cs="Times New Roman"/>
          <w:sz w:val="24"/>
          <w:szCs w:val="24"/>
        </w:rPr>
        <w:t>non-US client</w:t>
      </w:r>
      <w:r w:rsidR="009A0AF7">
        <w:rPr>
          <w:rFonts w:ascii="Times New Roman" w:hAnsi="Times New Roman" w:cs="Times New Roman"/>
          <w:sz w:val="24"/>
          <w:szCs w:val="24"/>
        </w:rPr>
        <w:t>s</w:t>
      </w:r>
      <w:r w:rsidR="00192966">
        <w:rPr>
          <w:rFonts w:ascii="Times New Roman" w:hAnsi="Times New Roman" w:cs="Times New Roman"/>
          <w:sz w:val="24"/>
          <w:szCs w:val="24"/>
        </w:rPr>
        <w:t>,</w:t>
      </w:r>
      <w:r w:rsidR="00192966" w:rsidRPr="00F01A2C">
        <w:rPr>
          <w:rFonts w:ascii="Times New Roman" w:hAnsi="Times New Roman" w:cs="Times New Roman"/>
          <w:sz w:val="24"/>
          <w:szCs w:val="24"/>
        </w:rPr>
        <w:t xml:space="preserve"> without requiring </w:t>
      </w:r>
      <w:r>
        <w:rPr>
          <w:rFonts w:ascii="Times New Roman" w:hAnsi="Times New Roman" w:cs="Times New Roman"/>
          <w:sz w:val="24"/>
          <w:szCs w:val="24"/>
        </w:rPr>
        <w:t>such</w:t>
      </w:r>
      <w:r w:rsidR="00192966" w:rsidRPr="00F01A2C">
        <w:rPr>
          <w:rFonts w:ascii="Times New Roman" w:hAnsi="Times New Roman" w:cs="Times New Roman"/>
          <w:sz w:val="24"/>
          <w:szCs w:val="24"/>
        </w:rPr>
        <w:t xml:space="preserve"> non-U.S. </w:t>
      </w:r>
      <w:r w:rsidR="009A0AF7">
        <w:rPr>
          <w:rFonts w:ascii="Times New Roman" w:hAnsi="Times New Roman" w:cs="Times New Roman"/>
          <w:sz w:val="24"/>
          <w:szCs w:val="24"/>
        </w:rPr>
        <w:t>CCP</w:t>
      </w:r>
      <w:r>
        <w:rPr>
          <w:rFonts w:ascii="Times New Roman" w:hAnsi="Times New Roman" w:cs="Times New Roman"/>
          <w:sz w:val="24"/>
          <w:szCs w:val="24"/>
        </w:rPr>
        <w:t xml:space="preserve">s </w:t>
      </w:r>
      <w:r w:rsidR="00192966" w:rsidRPr="00F01A2C">
        <w:rPr>
          <w:rFonts w:ascii="Times New Roman" w:hAnsi="Times New Roman" w:cs="Times New Roman"/>
          <w:sz w:val="24"/>
          <w:szCs w:val="24"/>
        </w:rPr>
        <w:t>to register with</w:t>
      </w:r>
      <w:r>
        <w:rPr>
          <w:rFonts w:ascii="Times New Roman" w:hAnsi="Times New Roman" w:cs="Times New Roman"/>
          <w:sz w:val="24"/>
          <w:szCs w:val="24"/>
        </w:rPr>
        <w:t xml:space="preserve"> the Commission or obtain an exemption from registration.</w:t>
      </w:r>
      <w:r w:rsidR="00192966">
        <w:rPr>
          <w:rFonts w:ascii="Times New Roman" w:hAnsi="Times New Roman" w:cs="Times New Roman"/>
          <w:sz w:val="24"/>
          <w:szCs w:val="24"/>
        </w:rPr>
        <w:t xml:space="preserve"> </w:t>
      </w:r>
      <w:r w:rsidR="00574B43">
        <w:rPr>
          <w:rFonts w:ascii="Times New Roman" w:hAnsi="Times New Roman" w:cs="Times New Roman"/>
          <w:sz w:val="24"/>
          <w:szCs w:val="24"/>
        </w:rPr>
        <w:t>This would bring the treatment of foreign branches of U.S. banks in line with that of foreign subsidiaries</w:t>
      </w:r>
      <w:r w:rsidR="0086530B">
        <w:rPr>
          <w:rFonts w:ascii="Times New Roman" w:hAnsi="Times New Roman" w:cs="Times New Roman"/>
          <w:sz w:val="24"/>
          <w:szCs w:val="24"/>
        </w:rPr>
        <w:t xml:space="preserve"> and eliminate existing</w:t>
      </w:r>
      <w:r w:rsidR="0086530B" w:rsidRPr="00D43126">
        <w:rPr>
          <w:rFonts w:asciiTheme="majorBidi" w:hAnsiTheme="majorBidi" w:cstheme="majorBidi"/>
          <w:sz w:val="24"/>
          <w:szCs w:val="24"/>
        </w:rPr>
        <w:t xml:space="preserve"> competitive disadvantage</w:t>
      </w:r>
      <w:r w:rsidR="0086530B">
        <w:rPr>
          <w:rFonts w:asciiTheme="majorBidi" w:hAnsiTheme="majorBidi" w:cstheme="majorBidi"/>
          <w:sz w:val="24"/>
          <w:szCs w:val="24"/>
        </w:rPr>
        <w:t>s between foreign branches and sub</w:t>
      </w:r>
      <w:r w:rsidR="008743A5">
        <w:rPr>
          <w:rFonts w:asciiTheme="majorBidi" w:hAnsiTheme="majorBidi" w:cstheme="majorBidi"/>
          <w:sz w:val="24"/>
          <w:szCs w:val="24"/>
        </w:rPr>
        <w:t>sidiaries of U.S. banking groups</w:t>
      </w:r>
      <w:r w:rsidR="0086530B">
        <w:rPr>
          <w:rFonts w:asciiTheme="majorBidi" w:hAnsiTheme="majorBidi" w:cstheme="majorBidi"/>
          <w:sz w:val="24"/>
          <w:szCs w:val="24"/>
        </w:rPr>
        <w:t>.</w:t>
      </w:r>
      <w:r w:rsidR="008743A5">
        <w:rPr>
          <w:rFonts w:asciiTheme="majorBidi" w:hAnsiTheme="majorBidi" w:cstheme="majorBidi"/>
          <w:sz w:val="24"/>
          <w:szCs w:val="24"/>
        </w:rPr>
        <w:t xml:space="preserve"> We note that this is particularly important now that other jurisdictions have implemented local clearing mandates. U.S. banks operating overseas have an increased need to access non-U.S. CCPs in order to comply with </w:t>
      </w:r>
      <w:r w:rsidR="003D22FB">
        <w:rPr>
          <w:rFonts w:asciiTheme="majorBidi" w:hAnsiTheme="majorBidi" w:cstheme="majorBidi"/>
          <w:sz w:val="24"/>
          <w:szCs w:val="24"/>
        </w:rPr>
        <w:t xml:space="preserve">local jurisdictions’ </w:t>
      </w:r>
      <w:r w:rsidR="008743A5">
        <w:rPr>
          <w:rFonts w:asciiTheme="majorBidi" w:hAnsiTheme="majorBidi" w:cstheme="majorBidi"/>
          <w:sz w:val="24"/>
          <w:szCs w:val="24"/>
        </w:rPr>
        <w:t xml:space="preserve">clearing mandates.  </w:t>
      </w:r>
      <w:r w:rsidR="0086530B">
        <w:rPr>
          <w:rFonts w:asciiTheme="majorBidi" w:hAnsiTheme="majorBidi" w:cstheme="majorBidi"/>
          <w:sz w:val="24"/>
          <w:szCs w:val="24"/>
        </w:rPr>
        <w:t xml:space="preserve"> </w:t>
      </w:r>
    </w:p>
    <w:p w14:paraId="7C9646AE" w14:textId="77777777" w:rsidR="002F5AE2" w:rsidRDefault="002F5AE2" w:rsidP="00115886">
      <w:pPr>
        <w:spacing w:after="0" w:line="240" w:lineRule="auto"/>
        <w:rPr>
          <w:rFonts w:ascii="Times New Roman" w:hAnsi="Times New Roman" w:cs="Times New Roman"/>
          <w:b/>
          <w:bCs/>
          <w:sz w:val="24"/>
          <w:szCs w:val="24"/>
        </w:rPr>
      </w:pPr>
    </w:p>
    <w:p w14:paraId="2C2285E9" w14:textId="77777777" w:rsidR="00AC1ABB" w:rsidRPr="005E58FE" w:rsidRDefault="00CD1F45" w:rsidP="005E58FE">
      <w:pPr>
        <w:pStyle w:val="ListParagraph"/>
        <w:numPr>
          <w:ilvl w:val="0"/>
          <w:numId w:val="7"/>
        </w:numPr>
        <w:spacing w:after="0" w:line="240" w:lineRule="auto"/>
        <w:rPr>
          <w:rFonts w:ascii="Times New Roman" w:hAnsi="Times New Roman" w:cs="Times New Roman"/>
          <w:b/>
          <w:bCs/>
          <w:sz w:val="24"/>
          <w:szCs w:val="24"/>
        </w:rPr>
      </w:pPr>
      <w:r w:rsidRPr="005E58FE">
        <w:rPr>
          <w:rFonts w:ascii="Times New Roman" w:hAnsi="Times New Roman" w:cs="Times New Roman"/>
          <w:b/>
          <w:bCs/>
          <w:sz w:val="24"/>
          <w:szCs w:val="24"/>
        </w:rPr>
        <w:t xml:space="preserve">CFTC Should </w:t>
      </w:r>
      <w:r w:rsidR="006F49C2" w:rsidRPr="005E58FE">
        <w:rPr>
          <w:rFonts w:ascii="Times New Roman" w:hAnsi="Times New Roman" w:cs="Times New Roman"/>
          <w:b/>
          <w:bCs/>
          <w:sz w:val="24"/>
          <w:szCs w:val="24"/>
        </w:rPr>
        <w:t>Revise its</w:t>
      </w:r>
      <w:r w:rsidRPr="005E58FE">
        <w:rPr>
          <w:rFonts w:ascii="Times New Roman" w:hAnsi="Times New Roman" w:cs="Times New Roman"/>
          <w:b/>
          <w:bCs/>
          <w:sz w:val="24"/>
          <w:szCs w:val="24"/>
        </w:rPr>
        <w:t xml:space="preserve"> Authority to </w:t>
      </w:r>
      <w:r w:rsidR="00AC1ABB" w:rsidRPr="005E58FE">
        <w:rPr>
          <w:rFonts w:ascii="Times New Roman" w:hAnsi="Times New Roman" w:cs="Times New Roman"/>
          <w:b/>
          <w:bCs/>
          <w:sz w:val="24"/>
          <w:szCs w:val="24"/>
        </w:rPr>
        <w:t>Inspect</w:t>
      </w:r>
      <w:r w:rsidRPr="005E58FE">
        <w:rPr>
          <w:rFonts w:ascii="Times New Roman" w:hAnsi="Times New Roman" w:cs="Times New Roman"/>
          <w:b/>
          <w:bCs/>
          <w:sz w:val="24"/>
          <w:szCs w:val="24"/>
        </w:rPr>
        <w:t xml:space="preserve"> Exempt DCOs</w:t>
      </w:r>
      <w:r w:rsidR="005F2DDF" w:rsidRPr="005E58FE">
        <w:rPr>
          <w:rFonts w:ascii="Times New Roman" w:hAnsi="Times New Roman" w:cs="Times New Roman"/>
          <w:b/>
          <w:bCs/>
          <w:sz w:val="24"/>
          <w:szCs w:val="24"/>
        </w:rPr>
        <w:t xml:space="preserve"> and Clarify its Expectations regarding Memorandums of Understanding (MOUs)</w:t>
      </w:r>
    </w:p>
    <w:p w14:paraId="4378097F" w14:textId="77777777" w:rsidR="00097792" w:rsidRDefault="00097792" w:rsidP="00115886">
      <w:pPr>
        <w:spacing w:after="0" w:line="240" w:lineRule="auto"/>
        <w:rPr>
          <w:rFonts w:ascii="Times New Roman" w:hAnsi="Times New Roman" w:cs="Times New Roman"/>
          <w:b/>
          <w:bCs/>
          <w:sz w:val="24"/>
          <w:szCs w:val="24"/>
        </w:rPr>
      </w:pPr>
    </w:p>
    <w:p w14:paraId="6F111C69" w14:textId="77777777" w:rsidR="009F7274" w:rsidRDefault="005D1458" w:rsidP="001158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continue to believe that the proposed inspection requirement is overly broad. </w:t>
      </w:r>
      <w:r>
        <w:rPr>
          <w:rFonts w:ascii="Times New Roman" w:hAnsi="Times New Roman" w:cs="Times New Roman"/>
          <w:bCs/>
          <w:sz w:val="24"/>
          <w:szCs w:val="24"/>
        </w:rPr>
        <w:t xml:space="preserve">Under both </w:t>
      </w:r>
      <w:r w:rsidR="002264BB">
        <w:rPr>
          <w:rFonts w:ascii="Times New Roman" w:hAnsi="Times New Roman" w:cs="Times New Roman"/>
          <w:bCs/>
          <w:sz w:val="24"/>
          <w:szCs w:val="24"/>
        </w:rPr>
        <w:t>t</w:t>
      </w:r>
      <w:r w:rsidR="00F9749F">
        <w:rPr>
          <w:rFonts w:ascii="Times New Roman" w:hAnsi="Times New Roman" w:cs="Times New Roman"/>
          <w:bCs/>
          <w:sz w:val="24"/>
          <w:szCs w:val="24"/>
        </w:rPr>
        <w:t xml:space="preserve">he </w:t>
      </w:r>
      <w:r w:rsidR="00F9749F" w:rsidRPr="006A2C0E">
        <w:rPr>
          <w:rFonts w:ascii="Times New Roman" w:hAnsi="Times New Roman" w:cs="Times New Roman"/>
          <w:bCs/>
          <w:sz w:val="24"/>
          <w:szCs w:val="24"/>
        </w:rPr>
        <w:t>Initial</w:t>
      </w:r>
      <w:r w:rsidRPr="006A2C0E">
        <w:rPr>
          <w:rFonts w:ascii="Times New Roman" w:hAnsi="Times New Roman" w:cs="Times New Roman"/>
          <w:bCs/>
          <w:sz w:val="24"/>
          <w:szCs w:val="24"/>
        </w:rPr>
        <w:t xml:space="preserve"> and Supplemental</w:t>
      </w:r>
      <w:r w:rsidR="00F9749F" w:rsidRPr="006A2C0E">
        <w:rPr>
          <w:rFonts w:ascii="Times New Roman" w:hAnsi="Times New Roman" w:cs="Times New Roman"/>
          <w:bCs/>
          <w:sz w:val="24"/>
          <w:szCs w:val="24"/>
        </w:rPr>
        <w:t xml:space="preserve"> Proposal</w:t>
      </w:r>
      <w:r w:rsidRPr="006A2C0E">
        <w:rPr>
          <w:rFonts w:ascii="Times New Roman" w:hAnsi="Times New Roman" w:cs="Times New Roman"/>
          <w:bCs/>
          <w:sz w:val="24"/>
          <w:szCs w:val="24"/>
        </w:rPr>
        <w:t>s</w:t>
      </w:r>
      <w:r>
        <w:rPr>
          <w:rFonts w:ascii="Times New Roman" w:hAnsi="Times New Roman" w:cs="Times New Roman"/>
          <w:bCs/>
          <w:sz w:val="24"/>
          <w:szCs w:val="24"/>
        </w:rPr>
        <w:t xml:space="preserve">, </w:t>
      </w:r>
      <w:r>
        <w:rPr>
          <w:rFonts w:ascii="Times New Roman" w:hAnsi="Times New Roman" w:cs="Times New Roman"/>
          <w:sz w:val="24"/>
          <w:szCs w:val="24"/>
        </w:rPr>
        <w:t xml:space="preserve">an </w:t>
      </w:r>
      <w:r w:rsidR="00F9749F" w:rsidRPr="00F9749F">
        <w:rPr>
          <w:rFonts w:ascii="Times New Roman" w:hAnsi="Times New Roman" w:cs="Times New Roman"/>
          <w:sz w:val="24"/>
          <w:szCs w:val="24"/>
        </w:rPr>
        <w:t xml:space="preserve">exempt DCO </w:t>
      </w:r>
      <w:r>
        <w:rPr>
          <w:rFonts w:ascii="Times New Roman" w:hAnsi="Times New Roman" w:cs="Times New Roman"/>
          <w:sz w:val="24"/>
          <w:szCs w:val="24"/>
        </w:rPr>
        <w:t xml:space="preserve">is </w:t>
      </w:r>
      <w:r w:rsidR="006A2C0E">
        <w:rPr>
          <w:rFonts w:ascii="Times New Roman" w:hAnsi="Times New Roman" w:cs="Times New Roman"/>
          <w:sz w:val="24"/>
          <w:szCs w:val="24"/>
        </w:rPr>
        <w:t xml:space="preserve">generally </w:t>
      </w:r>
      <w:r>
        <w:rPr>
          <w:rFonts w:ascii="Times New Roman" w:hAnsi="Times New Roman" w:cs="Times New Roman"/>
          <w:sz w:val="24"/>
          <w:szCs w:val="24"/>
        </w:rPr>
        <w:t xml:space="preserve">expected </w:t>
      </w:r>
      <w:r w:rsidR="00F9749F" w:rsidRPr="00F9749F">
        <w:rPr>
          <w:rFonts w:ascii="Times New Roman" w:hAnsi="Times New Roman" w:cs="Times New Roman"/>
          <w:sz w:val="24"/>
          <w:szCs w:val="24"/>
        </w:rPr>
        <w:t xml:space="preserve">to </w:t>
      </w:r>
      <w:r>
        <w:rPr>
          <w:rFonts w:ascii="Times New Roman" w:hAnsi="Times New Roman" w:cs="Times New Roman"/>
          <w:sz w:val="24"/>
          <w:szCs w:val="24"/>
        </w:rPr>
        <w:t xml:space="preserve">(1) </w:t>
      </w:r>
      <w:r w:rsidR="00F9749F" w:rsidRPr="00F9749F">
        <w:rPr>
          <w:rFonts w:ascii="Times New Roman" w:hAnsi="Times New Roman" w:cs="Times New Roman"/>
          <w:sz w:val="24"/>
          <w:szCs w:val="24"/>
        </w:rPr>
        <w:t>make all documents</w:t>
      </w:r>
      <w:r w:rsidR="006A2C0E">
        <w:rPr>
          <w:rFonts w:ascii="Times New Roman" w:hAnsi="Times New Roman" w:cs="Times New Roman"/>
          <w:sz w:val="24"/>
          <w:szCs w:val="24"/>
        </w:rPr>
        <w:t xml:space="preserve"> and </w:t>
      </w:r>
      <w:r w:rsidR="00F9749F" w:rsidRPr="00F9749F">
        <w:rPr>
          <w:rFonts w:ascii="Times New Roman" w:hAnsi="Times New Roman" w:cs="Times New Roman"/>
          <w:sz w:val="24"/>
          <w:szCs w:val="24"/>
        </w:rPr>
        <w:t xml:space="preserve">records related to its operation as an exempt DCO open to inspection by any CFTC representative, and </w:t>
      </w:r>
      <w:r>
        <w:rPr>
          <w:rFonts w:ascii="Times New Roman" w:hAnsi="Times New Roman" w:cs="Times New Roman"/>
          <w:sz w:val="24"/>
          <w:szCs w:val="24"/>
        </w:rPr>
        <w:t xml:space="preserve">(2) </w:t>
      </w:r>
      <w:r w:rsidR="00F9749F" w:rsidRPr="00F9749F">
        <w:rPr>
          <w:rFonts w:ascii="Times New Roman" w:hAnsi="Times New Roman" w:cs="Times New Roman"/>
          <w:sz w:val="24"/>
          <w:szCs w:val="24"/>
        </w:rPr>
        <w:t>promptly make its books and records available to CFTC representatives, upon the request of a CFTC representative.</w:t>
      </w:r>
      <w:r w:rsidR="00F9749F">
        <w:rPr>
          <w:rFonts w:ascii="Times New Roman" w:hAnsi="Times New Roman" w:cs="Times New Roman"/>
          <w:sz w:val="24"/>
          <w:szCs w:val="24"/>
        </w:rPr>
        <w:t xml:space="preserve"> As we </w:t>
      </w:r>
      <w:r w:rsidR="00BA7190">
        <w:rPr>
          <w:rFonts w:ascii="Times New Roman" w:hAnsi="Times New Roman" w:cs="Times New Roman"/>
          <w:sz w:val="24"/>
          <w:szCs w:val="24"/>
        </w:rPr>
        <w:t>noted</w:t>
      </w:r>
      <w:r w:rsidR="00F9749F">
        <w:rPr>
          <w:rFonts w:ascii="Times New Roman" w:hAnsi="Times New Roman" w:cs="Times New Roman"/>
          <w:sz w:val="24"/>
          <w:szCs w:val="24"/>
        </w:rPr>
        <w:t xml:space="preserve"> in our comments to the Initial Proposal, the Commission should </w:t>
      </w:r>
      <w:r>
        <w:rPr>
          <w:rFonts w:ascii="Times New Roman" w:hAnsi="Times New Roman" w:cs="Times New Roman"/>
          <w:sz w:val="24"/>
          <w:szCs w:val="24"/>
        </w:rPr>
        <w:t xml:space="preserve">specify </w:t>
      </w:r>
      <w:r w:rsidR="00F9749F" w:rsidRPr="00F9749F">
        <w:rPr>
          <w:rFonts w:ascii="Times New Roman" w:hAnsi="Times New Roman" w:cs="Times New Roman"/>
          <w:sz w:val="24"/>
          <w:szCs w:val="24"/>
        </w:rPr>
        <w:t>how and when it would undertake inspections of exempt DCOs</w:t>
      </w:r>
      <w:r w:rsidR="00F9749F">
        <w:rPr>
          <w:rFonts w:ascii="Times New Roman" w:hAnsi="Times New Roman" w:cs="Times New Roman"/>
          <w:sz w:val="24"/>
          <w:szCs w:val="24"/>
        </w:rPr>
        <w:t xml:space="preserve">. </w:t>
      </w:r>
      <w:r w:rsidR="009F7274">
        <w:rPr>
          <w:rFonts w:ascii="Times New Roman" w:hAnsi="Times New Roman" w:cs="Times New Roman"/>
          <w:sz w:val="24"/>
          <w:szCs w:val="24"/>
        </w:rPr>
        <w:t xml:space="preserve"> </w:t>
      </w:r>
    </w:p>
    <w:p w14:paraId="7E7BC8B9" w14:textId="77777777" w:rsidR="009F7274" w:rsidRDefault="009F7274" w:rsidP="00115886">
      <w:pPr>
        <w:spacing w:after="0" w:line="240" w:lineRule="auto"/>
        <w:rPr>
          <w:rFonts w:ascii="Times New Roman" w:hAnsi="Times New Roman" w:cs="Times New Roman"/>
          <w:sz w:val="24"/>
          <w:szCs w:val="24"/>
        </w:rPr>
      </w:pPr>
    </w:p>
    <w:p w14:paraId="6DD066A7" w14:textId="77777777" w:rsidR="004D16AD" w:rsidRDefault="009F7274" w:rsidP="00115886">
      <w:pPr>
        <w:spacing w:after="0" w:line="240" w:lineRule="auto"/>
        <w:rPr>
          <w:rFonts w:ascii="Times New Roman" w:hAnsi="Times New Roman" w:cs="Times New Roman"/>
          <w:sz w:val="24"/>
          <w:szCs w:val="24"/>
        </w:rPr>
      </w:pPr>
      <w:r>
        <w:rPr>
          <w:rFonts w:ascii="Times New Roman" w:hAnsi="Times New Roman" w:cs="Times New Roman"/>
          <w:sz w:val="24"/>
          <w:szCs w:val="24"/>
        </w:rPr>
        <w:t>Furthermore, t</w:t>
      </w:r>
      <w:r w:rsidR="005D1458">
        <w:rPr>
          <w:rFonts w:ascii="Times New Roman" w:hAnsi="Times New Roman" w:cs="Times New Roman"/>
          <w:sz w:val="24"/>
          <w:szCs w:val="24"/>
        </w:rPr>
        <w:t xml:space="preserve">o foster cross-border </w:t>
      </w:r>
      <w:r w:rsidR="004D16AD">
        <w:rPr>
          <w:rFonts w:ascii="Times New Roman" w:hAnsi="Times New Roman" w:cs="Times New Roman"/>
          <w:sz w:val="24"/>
          <w:szCs w:val="24"/>
        </w:rPr>
        <w:t>regulatory</w:t>
      </w:r>
      <w:r w:rsidR="005D1458">
        <w:rPr>
          <w:rFonts w:ascii="Times New Roman" w:hAnsi="Times New Roman" w:cs="Times New Roman"/>
          <w:sz w:val="24"/>
          <w:szCs w:val="24"/>
        </w:rPr>
        <w:t xml:space="preserve"> cooperation, </w:t>
      </w:r>
      <w:r w:rsidR="00F9749F">
        <w:rPr>
          <w:rFonts w:ascii="Times New Roman" w:hAnsi="Times New Roman" w:cs="Times New Roman"/>
          <w:sz w:val="24"/>
          <w:szCs w:val="24"/>
        </w:rPr>
        <w:t xml:space="preserve">the CFTC should </w:t>
      </w:r>
      <w:r>
        <w:rPr>
          <w:rFonts w:ascii="Times New Roman" w:hAnsi="Times New Roman" w:cs="Times New Roman"/>
          <w:sz w:val="24"/>
          <w:szCs w:val="24"/>
        </w:rPr>
        <w:t xml:space="preserve">consider </w:t>
      </w:r>
      <w:r w:rsidR="00F9749F">
        <w:rPr>
          <w:rFonts w:ascii="Times New Roman" w:hAnsi="Times New Roman" w:cs="Times New Roman"/>
          <w:sz w:val="24"/>
          <w:szCs w:val="24"/>
        </w:rPr>
        <w:t>obtain</w:t>
      </w:r>
      <w:r>
        <w:rPr>
          <w:rFonts w:ascii="Times New Roman" w:hAnsi="Times New Roman" w:cs="Times New Roman"/>
          <w:sz w:val="24"/>
          <w:szCs w:val="24"/>
        </w:rPr>
        <w:t>ing</w:t>
      </w:r>
      <w:r w:rsidR="00F9749F">
        <w:rPr>
          <w:rFonts w:ascii="Times New Roman" w:hAnsi="Times New Roman" w:cs="Times New Roman"/>
          <w:sz w:val="24"/>
          <w:szCs w:val="24"/>
        </w:rPr>
        <w:t xml:space="preserve"> consent for inspections from an exempt DCO’s home country regulator</w:t>
      </w:r>
      <w:r w:rsidR="005D1458">
        <w:rPr>
          <w:rFonts w:ascii="Times New Roman" w:hAnsi="Times New Roman" w:cs="Times New Roman"/>
          <w:sz w:val="24"/>
          <w:szCs w:val="24"/>
        </w:rPr>
        <w:t xml:space="preserve"> prior to conducting on-site inspections</w:t>
      </w:r>
      <w:r w:rsidR="00F9749F">
        <w:rPr>
          <w:rFonts w:ascii="Times New Roman" w:hAnsi="Times New Roman" w:cs="Times New Roman"/>
          <w:sz w:val="24"/>
          <w:szCs w:val="24"/>
        </w:rPr>
        <w:t>. At a minimum, the CFTC should provide prior notice t</w:t>
      </w:r>
      <w:r w:rsidR="00F9749F" w:rsidRPr="00F9749F">
        <w:rPr>
          <w:rFonts w:ascii="Times New Roman" w:hAnsi="Times New Roman" w:cs="Times New Roman"/>
          <w:sz w:val="24"/>
          <w:szCs w:val="24"/>
        </w:rPr>
        <w:t>o an exempt DCO’s home country regulator in connection with any inspections of the exempt DCO</w:t>
      </w:r>
      <w:r w:rsidR="00737178">
        <w:rPr>
          <w:rFonts w:ascii="Times New Roman" w:hAnsi="Times New Roman" w:cs="Times New Roman"/>
          <w:sz w:val="24"/>
          <w:szCs w:val="24"/>
        </w:rPr>
        <w:t xml:space="preserve"> or ask the home country regulator for the required information</w:t>
      </w:r>
      <w:r w:rsidR="00F9749F">
        <w:rPr>
          <w:rFonts w:ascii="Times New Roman" w:hAnsi="Times New Roman" w:cs="Times New Roman"/>
          <w:sz w:val="24"/>
          <w:szCs w:val="24"/>
        </w:rPr>
        <w:t xml:space="preserve">. </w:t>
      </w:r>
      <w:r w:rsidR="004D16AD">
        <w:rPr>
          <w:rFonts w:ascii="Times New Roman" w:hAnsi="Times New Roman" w:cs="Times New Roman"/>
          <w:sz w:val="24"/>
          <w:szCs w:val="24"/>
        </w:rPr>
        <w:t xml:space="preserve">Not only would this promote comity and coordination, but </w:t>
      </w:r>
      <w:r w:rsidR="00EB26AB">
        <w:rPr>
          <w:rFonts w:ascii="Times New Roman" w:hAnsi="Times New Roman" w:cs="Times New Roman"/>
          <w:sz w:val="24"/>
          <w:szCs w:val="24"/>
        </w:rPr>
        <w:t xml:space="preserve">it </w:t>
      </w:r>
      <w:r w:rsidR="00F9749F">
        <w:rPr>
          <w:rFonts w:ascii="Times New Roman" w:hAnsi="Times New Roman" w:cs="Times New Roman"/>
          <w:sz w:val="24"/>
          <w:szCs w:val="24"/>
        </w:rPr>
        <w:t>would</w:t>
      </w:r>
      <w:r w:rsidR="00F9749F" w:rsidRPr="00F9749F">
        <w:rPr>
          <w:rFonts w:ascii="Times New Roman" w:hAnsi="Times New Roman" w:cs="Times New Roman"/>
          <w:sz w:val="24"/>
          <w:szCs w:val="24"/>
        </w:rPr>
        <w:t xml:space="preserve"> </w:t>
      </w:r>
      <w:r w:rsidR="004D16AD">
        <w:rPr>
          <w:rFonts w:ascii="Times New Roman" w:hAnsi="Times New Roman" w:cs="Times New Roman"/>
          <w:sz w:val="24"/>
          <w:szCs w:val="24"/>
        </w:rPr>
        <w:t xml:space="preserve">also </w:t>
      </w:r>
      <w:r w:rsidR="00F9749F" w:rsidRPr="00F9749F">
        <w:rPr>
          <w:rFonts w:ascii="Times New Roman" w:hAnsi="Times New Roman" w:cs="Times New Roman"/>
          <w:sz w:val="24"/>
          <w:szCs w:val="24"/>
        </w:rPr>
        <w:t xml:space="preserve">ensure that such inspections </w:t>
      </w:r>
      <w:r w:rsidR="004D16AD">
        <w:rPr>
          <w:rFonts w:ascii="Times New Roman" w:hAnsi="Times New Roman" w:cs="Times New Roman"/>
          <w:sz w:val="24"/>
          <w:szCs w:val="24"/>
        </w:rPr>
        <w:t xml:space="preserve">are </w:t>
      </w:r>
      <w:r w:rsidR="00F9749F" w:rsidRPr="00F9749F">
        <w:rPr>
          <w:rFonts w:ascii="Times New Roman" w:hAnsi="Times New Roman" w:cs="Times New Roman"/>
          <w:sz w:val="24"/>
          <w:szCs w:val="24"/>
        </w:rPr>
        <w:t>not overly burdensome or in violation of local laws</w:t>
      </w:r>
      <w:r w:rsidR="00F9749F">
        <w:rPr>
          <w:rFonts w:ascii="Times New Roman" w:hAnsi="Times New Roman" w:cs="Times New Roman"/>
          <w:sz w:val="24"/>
          <w:szCs w:val="24"/>
        </w:rPr>
        <w:t xml:space="preserve">. </w:t>
      </w:r>
    </w:p>
    <w:p w14:paraId="6EFF01D6" w14:textId="77777777" w:rsidR="004D16AD" w:rsidRDefault="004D16AD" w:rsidP="00115886">
      <w:pPr>
        <w:spacing w:after="0" w:line="240" w:lineRule="auto"/>
        <w:rPr>
          <w:rFonts w:ascii="Times New Roman" w:hAnsi="Times New Roman" w:cs="Times New Roman"/>
          <w:sz w:val="24"/>
          <w:szCs w:val="24"/>
        </w:rPr>
      </w:pPr>
    </w:p>
    <w:p w14:paraId="47F6619B" w14:textId="77777777" w:rsidR="00F9749F" w:rsidRDefault="003D22FB" w:rsidP="00115886">
      <w:pPr>
        <w:spacing w:after="0" w:line="240" w:lineRule="auto"/>
        <w:rPr>
          <w:rFonts w:ascii="Times New Roman" w:hAnsi="Times New Roman" w:cs="Times New Roman"/>
          <w:sz w:val="24"/>
          <w:szCs w:val="24"/>
        </w:rPr>
      </w:pPr>
      <w:r>
        <w:rPr>
          <w:rFonts w:ascii="Times New Roman" w:hAnsi="Times New Roman" w:cs="Times New Roman"/>
          <w:sz w:val="24"/>
          <w:szCs w:val="24"/>
        </w:rPr>
        <w:t>In addition</w:t>
      </w:r>
      <w:r w:rsidR="00F9749F">
        <w:rPr>
          <w:rFonts w:ascii="Times New Roman" w:hAnsi="Times New Roman" w:cs="Times New Roman"/>
          <w:sz w:val="24"/>
          <w:szCs w:val="24"/>
        </w:rPr>
        <w:t xml:space="preserve">, in the spirit of supervisory cooperation, we believe the CFTC </w:t>
      </w:r>
      <w:r w:rsidR="00F9749F" w:rsidRPr="00F9749F">
        <w:rPr>
          <w:rFonts w:ascii="Times New Roman" w:hAnsi="Times New Roman" w:cs="Times New Roman"/>
          <w:sz w:val="24"/>
          <w:szCs w:val="24"/>
        </w:rPr>
        <w:t xml:space="preserve">should consider including an exempt DCO’s home country regulator </w:t>
      </w:r>
      <w:r w:rsidR="00986A69">
        <w:rPr>
          <w:rFonts w:ascii="Times New Roman" w:hAnsi="Times New Roman" w:cs="Times New Roman"/>
          <w:sz w:val="24"/>
          <w:szCs w:val="24"/>
        </w:rPr>
        <w:t>during</w:t>
      </w:r>
      <w:r w:rsidR="00F9749F" w:rsidRPr="00F9749F">
        <w:rPr>
          <w:rFonts w:ascii="Times New Roman" w:hAnsi="Times New Roman" w:cs="Times New Roman"/>
          <w:sz w:val="24"/>
          <w:szCs w:val="24"/>
        </w:rPr>
        <w:t xml:space="preserve"> inspections</w:t>
      </w:r>
      <w:r w:rsidR="00986A69">
        <w:rPr>
          <w:rFonts w:ascii="Times New Roman" w:hAnsi="Times New Roman" w:cs="Times New Roman"/>
          <w:sz w:val="24"/>
          <w:szCs w:val="24"/>
        </w:rPr>
        <w:t xml:space="preserve">. This would </w:t>
      </w:r>
      <w:r w:rsidR="00F9749F" w:rsidRPr="00F9749F">
        <w:rPr>
          <w:rFonts w:ascii="Times New Roman" w:hAnsi="Times New Roman" w:cs="Times New Roman"/>
          <w:sz w:val="24"/>
          <w:szCs w:val="24"/>
        </w:rPr>
        <w:t>assist</w:t>
      </w:r>
      <w:r w:rsidR="00986A69">
        <w:rPr>
          <w:rFonts w:ascii="Times New Roman" w:hAnsi="Times New Roman" w:cs="Times New Roman"/>
          <w:sz w:val="24"/>
          <w:szCs w:val="24"/>
        </w:rPr>
        <w:t xml:space="preserve"> the CFTC</w:t>
      </w:r>
      <w:r w:rsidR="00F9749F" w:rsidRPr="00F9749F">
        <w:rPr>
          <w:rFonts w:ascii="Times New Roman" w:hAnsi="Times New Roman" w:cs="Times New Roman"/>
          <w:sz w:val="24"/>
          <w:szCs w:val="24"/>
        </w:rPr>
        <w:t xml:space="preserve"> in interpreting and analyzing the </w:t>
      </w:r>
      <w:r w:rsidR="004D16AD">
        <w:rPr>
          <w:rFonts w:ascii="Times New Roman" w:hAnsi="Times New Roman" w:cs="Times New Roman"/>
          <w:sz w:val="24"/>
          <w:szCs w:val="24"/>
        </w:rPr>
        <w:t xml:space="preserve">exempt DCO’s books and </w:t>
      </w:r>
      <w:r w:rsidR="00CD1F45">
        <w:rPr>
          <w:rFonts w:ascii="Times New Roman" w:hAnsi="Times New Roman" w:cs="Times New Roman"/>
          <w:sz w:val="24"/>
          <w:szCs w:val="24"/>
        </w:rPr>
        <w:t xml:space="preserve">records </w:t>
      </w:r>
      <w:r w:rsidR="004D16AD">
        <w:rPr>
          <w:rFonts w:ascii="Times New Roman" w:hAnsi="Times New Roman" w:cs="Times New Roman"/>
          <w:sz w:val="24"/>
          <w:szCs w:val="24"/>
        </w:rPr>
        <w:t xml:space="preserve">in the context of </w:t>
      </w:r>
      <w:r w:rsidR="00B21608">
        <w:rPr>
          <w:rFonts w:ascii="Times New Roman" w:hAnsi="Times New Roman" w:cs="Times New Roman"/>
          <w:sz w:val="24"/>
          <w:szCs w:val="24"/>
        </w:rPr>
        <w:t xml:space="preserve">the </w:t>
      </w:r>
      <w:r w:rsidR="004D16AD">
        <w:rPr>
          <w:rFonts w:ascii="Times New Roman" w:hAnsi="Times New Roman" w:cs="Times New Roman"/>
          <w:sz w:val="24"/>
          <w:szCs w:val="24"/>
        </w:rPr>
        <w:t xml:space="preserve">regulatory requirements </w:t>
      </w:r>
      <w:r w:rsidR="00CD1F45">
        <w:rPr>
          <w:rFonts w:ascii="Times New Roman" w:hAnsi="Times New Roman" w:cs="Times New Roman"/>
          <w:sz w:val="24"/>
          <w:szCs w:val="24"/>
        </w:rPr>
        <w:t xml:space="preserve">of a particular jurisdiction. </w:t>
      </w:r>
    </w:p>
    <w:p w14:paraId="520B62AE" w14:textId="77777777" w:rsidR="008743A5" w:rsidRPr="00A7713F" w:rsidRDefault="008743A5" w:rsidP="00115886">
      <w:pPr>
        <w:spacing w:after="0" w:line="240" w:lineRule="auto"/>
        <w:rPr>
          <w:rFonts w:ascii="Times New Roman" w:hAnsi="Times New Roman" w:cs="Times New Roman"/>
          <w:bCs/>
          <w:sz w:val="24"/>
          <w:szCs w:val="24"/>
        </w:rPr>
      </w:pPr>
    </w:p>
    <w:p w14:paraId="19D59238" w14:textId="77777777" w:rsidR="008743A5" w:rsidRPr="00A7713F" w:rsidRDefault="003D22FB" w:rsidP="00115886">
      <w:pPr>
        <w:spacing w:after="0" w:line="240" w:lineRule="auto"/>
        <w:rPr>
          <w:rFonts w:ascii="Times New Roman" w:hAnsi="Times New Roman" w:cs="Times New Roman"/>
          <w:bCs/>
          <w:sz w:val="24"/>
          <w:szCs w:val="24"/>
        </w:rPr>
      </w:pPr>
      <w:r>
        <w:rPr>
          <w:rFonts w:ascii="Times New Roman" w:hAnsi="Times New Roman" w:cs="Times New Roman"/>
          <w:bCs/>
          <w:sz w:val="24"/>
          <w:szCs w:val="24"/>
        </w:rPr>
        <w:t>Finally</w:t>
      </w:r>
      <w:r w:rsidR="008743A5" w:rsidRPr="00A7713F">
        <w:rPr>
          <w:rFonts w:ascii="Times New Roman" w:hAnsi="Times New Roman" w:cs="Times New Roman"/>
          <w:bCs/>
          <w:sz w:val="24"/>
          <w:szCs w:val="24"/>
        </w:rPr>
        <w:t>,</w:t>
      </w:r>
      <w:r w:rsidR="005F2DDF">
        <w:rPr>
          <w:rFonts w:ascii="Times New Roman" w:hAnsi="Times New Roman" w:cs="Times New Roman"/>
          <w:bCs/>
          <w:sz w:val="24"/>
          <w:szCs w:val="24"/>
        </w:rPr>
        <w:t xml:space="preserve"> </w:t>
      </w:r>
      <w:r w:rsidR="00BA7190">
        <w:rPr>
          <w:rFonts w:ascii="Times New Roman" w:hAnsi="Times New Roman" w:cs="Times New Roman"/>
          <w:bCs/>
          <w:sz w:val="24"/>
          <w:szCs w:val="24"/>
        </w:rPr>
        <w:t>w</w:t>
      </w:r>
      <w:r w:rsidR="00BA7190" w:rsidRPr="005F2DDF">
        <w:rPr>
          <w:rFonts w:ascii="Times New Roman" w:hAnsi="Times New Roman" w:cs="Times New Roman"/>
          <w:bCs/>
          <w:sz w:val="24"/>
          <w:szCs w:val="24"/>
        </w:rPr>
        <w:t xml:space="preserve">e believe that </w:t>
      </w:r>
      <w:r w:rsidR="00BA7190">
        <w:rPr>
          <w:rFonts w:ascii="Times New Roman" w:hAnsi="Times New Roman" w:cs="Times New Roman"/>
          <w:bCs/>
          <w:sz w:val="24"/>
          <w:szCs w:val="24"/>
        </w:rPr>
        <w:t xml:space="preserve">Commission should </w:t>
      </w:r>
      <w:r w:rsidR="00BA7190">
        <w:rPr>
          <w:rFonts w:ascii="Times New Roman" w:hAnsi="Times New Roman" w:cs="Times New Roman"/>
          <w:bCs/>
          <w:iCs/>
          <w:sz w:val="24"/>
          <w:szCs w:val="24"/>
        </w:rPr>
        <w:t xml:space="preserve">identify </w:t>
      </w:r>
      <w:r w:rsidR="00BA7190" w:rsidRPr="00BD1BBE">
        <w:rPr>
          <w:rFonts w:ascii="Times New Roman" w:hAnsi="Times New Roman" w:cs="Times New Roman"/>
          <w:bCs/>
          <w:iCs/>
          <w:sz w:val="24"/>
          <w:szCs w:val="24"/>
        </w:rPr>
        <w:t>the type of information that the CFTC expects to require</w:t>
      </w:r>
      <w:r w:rsidR="00BA7190">
        <w:rPr>
          <w:rFonts w:ascii="Times New Roman" w:hAnsi="Times New Roman" w:cs="Times New Roman"/>
          <w:bCs/>
          <w:iCs/>
          <w:sz w:val="24"/>
          <w:szCs w:val="24"/>
        </w:rPr>
        <w:t xml:space="preserve"> under </w:t>
      </w:r>
      <w:r w:rsidR="00273872">
        <w:rPr>
          <w:rFonts w:ascii="Times New Roman" w:hAnsi="Times New Roman" w:cs="Times New Roman"/>
          <w:bCs/>
          <w:iCs/>
          <w:sz w:val="24"/>
          <w:szCs w:val="24"/>
        </w:rPr>
        <w:t>MOUs</w:t>
      </w:r>
      <w:r w:rsidR="00BA7190">
        <w:rPr>
          <w:rFonts w:ascii="Times New Roman" w:hAnsi="Times New Roman" w:cs="Times New Roman"/>
          <w:bCs/>
          <w:iCs/>
          <w:sz w:val="24"/>
          <w:szCs w:val="24"/>
        </w:rPr>
        <w:t>.</w:t>
      </w:r>
      <w:r w:rsidR="00BA7190">
        <w:rPr>
          <w:rFonts w:ascii="Times New Roman" w:hAnsi="Times New Roman" w:cs="Times New Roman"/>
          <w:bCs/>
          <w:sz w:val="24"/>
          <w:szCs w:val="24"/>
        </w:rPr>
        <w:t xml:space="preserve"> A</w:t>
      </w:r>
      <w:r w:rsidR="005F2DDF">
        <w:rPr>
          <w:rFonts w:ascii="Times New Roman" w:hAnsi="Times New Roman" w:cs="Times New Roman"/>
          <w:bCs/>
          <w:sz w:val="24"/>
          <w:szCs w:val="24"/>
        </w:rPr>
        <w:t xml:space="preserve">s we stated in our comments to the Initial Proposal, </w:t>
      </w:r>
      <w:r w:rsidR="00BA7190">
        <w:rPr>
          <w:rFonts w:ascii="Times New Roman" w:hAnsi="Times New Roman" w:cs="Times New Roman"/>
          <w:bCs/>
          <w:sz w:val="24"/>
          <w:szCs w:val="24"/>
        </w:rPr>
        <w:t xml:space="preserve">it is important for </w:t>
      </w:r>
      <w:r w:rsidR="005F2DDF">
        <w:rPr>
          <w:rFonts w:ascii="Times New Roman" w:hAnsi="Times New Roman" w:cs="Times New Roman"/>
          <w:bCs/>
          <w:sz w:val="24"/>
          <w:szCs w:val="24"/>
        </w:rPr>
        <w:t xml:space="preserve">the Commission </w:t>
      </w:r>
      <w:r w:rsidR="00BA7190">
        <w:rPr>
          <w:rFonts w:ascii="Times New Roman" w:hAnsi="Times New Roman" w:cs="Times New Roman"/>
          <w:bCs/>
          <w:sz w:val="24"/>
          <w:szCs w:val="24"/>
        </w:rPr>
        <w:t>to</w:t>
      </w:r>
      <w:r w:rsidR="005F2DDF">
        <w:rPr>
          <w:rFonts w:ascii="Times New Roman" w:hAnsi="Times New Roman" w:cs="Times New Roman"/>
          <w:bCs/>
          <w:sz w:val="24"/>
          <w:szCs w:val="24"/>
        </w:rPr>
        <w:t xml:space="preserve"> provide additional clarity regarding what specific information the CFTC </w:t>
      </w:r>
      <w:r w:rsidR="00184A43">
        <w:rPr>
          <w:rFonts w:ascii="Times New Roman" w:hAnsi="Times New Roman" w:cs="Times New Roman"/>
          <w:bCs/>
          <w:sz w:val="24"/>
          <w:szCs w:val="24"/>
        </w:rPr>
        <w:t xml:space="preserve">will </w:t>
      </w:r>
      <w:r w:rsidR="005F2DDF">
        <w:rPr>
          <w:rFonts w:ascii="Times New Roman" w:hAnsi="Times New Roman" w:cs="Times New Roman"/>
          <w:bCs/>
          <w:sz w:val="24"/>
          <w:szCs w:val="24"/>
        </w:rPr>
        <w:t xml:space="preserve">require to evaluate the CCP’s initial and continued eligibility for the DCO exemption </w:t>
      </w:r>
      <w:r>
        <w:rPr>
          <w:rFonts w:ascii="Times New Roman" w:hAnsi="Times New Roman" w:cs="Times New Roman"/>
          <w:bCs/>
          <w:sz w:val="24"/>
          <w:szCs w:val="24"/>
        </w:rPr>
        <w:t xml:space="preserve">to </w:t>
      </w:r>
      <w:r w:rsidR="005F2DDF" w:rsidRPr="005F2DDF">
        <w:rPr>
          <w:rFonts w:ascii="Times New Roman" w:hAnsi="Times New Roman" w:cs="Times New Roman"/>
          <w:bCs/>
          <w:sz w:val="24"/>
          <w:szCs w:val="24"/>
        </w:rPr>
        <w:t xml:space="preserve">ensure that providing </w:t>
      </w:r>
      <w:r w:rsidR="00184A43">
        <w:rPr>
          <w:rFonts w:ascii="Times New Roman" w:hAnsi="Times New Roman" w:cs="Times New Roman"/>
          <w:bCs/>
          <w:sz w:val="24"/>
          <w:szCs w:val="24"/>
        </w:rPr>
        <w:t>such</w:t>
      </w:r>
      <w:r w:rsidR="005F2DDF" w:rsidRPr="005F2DDF">
        <w:rPr>
          <w:rFonts w:ascii="Times New Roman" w:hAnsi="Times New Roman" w:cs="Times New Roman"/>
          <w:bCs/>
          <w:sz w:val="24"/>
          <w:szCs w:val="24"/>
        </w:rPr>
        <w:t xml:space="preserve"> information would not violate any local laws.</w:t>
      </w:r>
      <w:r w:rsidR="00684DF5">
        <w:rPr>
          <w:rFonts w:ascii="Times New Roman" w:hAnsi="Times New Roman" w:cs="Times New Roman"/>
          <w:bCs/>
          <w:iCs/>
          <w:sz w:val="24"/>
          <w:szCs w:val="24"/>
        </w:rPr>
        <w:t xml:space="preserve"> </w:t>
      </w:r>
      <w:r w:rsidR="00BA7190">
        <w:rPr>
          <w:rFonts w:ascii="Times New Roman" w:hAnsi="Times New Roman" w:cs="Times New Roman"/>
          <w:bCs/>
          <w:iCs/>
          <w:sz w:val="24"/>
          <w:szCs w:val="24"/>
        </w:rPr>
        <w:t>Doing so</w:t>
      </w:r>
      <w:r>
        <w:rPr>
          <w:rFonts w:ascii="Times New Roman" w:hAnsi="Times New Roman" w:cs="Times New Roman"/>
          <w:bCs/>
          <w:iCs/>
          <w:sz w:val="24"/>
          <w:szCs w:val="24"/>
        </w:rPr>
        <w:t xml:space="preserve"> </w:t>
      </w:r>
      <w:r w:rsidR="005F2DDF" w:rsidRPr="00A7713F">
        <w:rPr>
          <w:rFonts w:ascii="Times New Roman" w:hAnsi="Times New Roman" w:cs="Times New Roman"/>
          <w:bCs/>
          <w:iCs/>
          <w:sz w:val="24"/>
          <w:szCs w:val="24"/>
        </w:rPr>
        <w:t xml:space="preserve">would </w:t>
      </w:r>
      <w:r w:rsidR="00BA7190">
        <w:rPr>
          <w:rFonts w:ascii="Times New Roman" w:hAnsi="Times New Roman" w:cs="Times New Roman"/>
          <w:bCs/>
          <w:iCs/>
          <w:sz w:val="24"/>
          <w:szCs w:val="24"/>
        </w:rPr>
        <w:t>allow</w:t>
      </w:r>
      <w:r>
        <w:rPr>
          <w:rFonts w:ascii="Times New Roman" w:hAnsi="Times New Roman" w:cs="Times New Roman"/>
          <w:bCs/>
          <w:iCs/>
          <w:sz w:val="24"/>
          <w:szCs w:val="24"/>
        </w:rPr>
        <w:t xml:space="preserve"> the CFTC</w:t>
      </w:r>
      <w:r w:rsidR="00BA7190">
        <w:rPr>
          <w:rFonts w:ascii="Times New Roman" w:hAnsi="Times New Roman" w:cs="Times New Roman"/>
          <w:bCs/>
          <w:iCs/>
          <w:sz w:val="24"/>
          <w:szCs w:val="24"/>
        </w:rPr>
        <w:t xml:space="preserve"> to</w:t>
      </w:r>
      <w:r>
        <w:rPr>
          <w:rFonts w:ascii="Times New Roman" w:hAnsi="Times New Roman" w:cs="Times New Roman"/>
          <w:bCs/>
          <w:iCs/>
          <w:sz w:val="24"/>
          <w:szCs w:val="24"/>
        </w:rPr>
        <w:t xml:space="preserve"> access </w:t>
      </w:r>
      <w:r w:rsidR="00BA7190">
        <w:rPr>
          <w:rFonts w:ascii="Times New Roman" w:hAnsi="Times New Roman" w:cs="Times New Roman"/>
          <w:bCs/>
          <w:iCs/>
          <w:sz w:val="24"/>
          <w:szCs w:val="24"/>
        </w:rPr>
        <w:t>necessary</w:t>
      </w:r>
      <w:r>
        <w:rPr>
          <w:rFonts w:ascii="Times New Roman" w:hAnsi="Times New Roman" w:cs="Times New Roman"/>
          <w:bCs/>
          <w:iCs/>
          <w:sz w:val="24"/>
          <w:szCs w:val="24"/>
        </w:rPr>
        <w:t xml:space="preserve"> information, while, at the same time, </w:t>
      </w:r>
      <w:r w:rsidR="00FE0F68">
        <w:rPr>
          <w:rFonts w:ascii="Times New Roman" w:hAnsi="Times New Roman" w:cs="Times New Roman"/>
          <w:bCs/>
          <w:iCs/>
          <w:sz w:val="24"/>
          <w:szCs w:val="24"/>
        </w:rPr>
        <w:t>tak</w:t>
      </w:r>
      <w:r w:rsidR="00BA7190">
        <w:rPr>
          <w:rFonts w:ascii="Times New Roman" w:hAnsi="Times New Roman" w:cs="Times New Roman"/>
          <w:bCs/>
          <w:iCs/>
          <w:sz w:val="24"/>
          <w:szCs w:val="24"/>
        </w:rPr>
        <w:t>e</w:t>
      </w:r>
      <w:r w:rsidR="00FE0F68">
        <w:rPr>
          <w:rFonts w:ascii="Times New Roman" w:hAnsi="Times New Roman" w:cs="Times New Roman"/>
          <w:bCs/>
          <w:iCs/>
          <w:sz w:val="24"/>
          <w:szCs w:val="24"/>
        </w:rPr>
        <w:t xml:space="preserve"> into account </w:t>
      </w:r>
      <w:r w:rsidR="005F2DDF" w:rsidRPr="00A7713F">
        <w:rPr>
          <w:rFonts w:ascii="Times New Roman" w:hAnsi="Times New Roman" w:cs="Times New Roman"/>
          <w:bCs/>
          <w:iCs/>
          <w:sz w:val="24"/>
          <w:szCs w:val="24"/>
        </w:rPr>
        <w:t>any prohibitions on providing certain types of information under local laws.</w:t>
      </w:r>
    </w:p>
    <w:p w14:paraId="31571C20" w14:textId="77777777" w:rsidR="00CF29CB" w:rsidRDefault="00CF29CB" w:rsidP="00115886">
      <w:pPr>
        <w:spacing w:after="0" w:line="240" w:lineRule="auto"/>
        <w:rPr>
          <w:rFonts w:ascii="Times New Roman" w:hAnsi="Times New Roman" w:cs="Times New Roman"/>
          <w:b/>
          <w:bCs/>
          <w:sz w:val="24"/>
          <w:szCs w:val="24"/>
        </w:rPr>
      </w:pPr>
    </w:p>
    <w:p w14:paraId="75DED0C9" w14:textId="77777777" w:rsidR="007A3D81" w:rsidRDefault="007A3D81" w:rsidP="00EA5E68">
      <w:pPr>
        <w:jc w:val="center"/>
        <w:rPr>
          <w:rFonts w:ascii="Times New Roman" w:hAnsi="Times New Roman" w:cs="Times New Roman"/>
          <w:b/>
          <w:bCs/>
          <w:sz w:val="24"/>
          <w:szCs w:val="24"/>
        </w:rPr>
      </w:pPr>
    </w:p>
    <w:p w14:paraId="7FFCB510" w14:textId="77777777" w:rsidR="00EA5E68" w:rsidRDefault="00EA5E68" w:rsidP="00EA5E68">
      <w:pPr>
        <w:jc w:val="center"/>
      </w:pPr>
      <w:r>
        <w:rPr>
          <w:rFonts w:ascii="Times New Roman" w:hAnsi="Times New Roman" w:cs="Times New Roman"/>
          <w:b/>
          <w:bCs/>
          <w:sz w:val="24"/>
          <w:szCs w:val="24"/>
        </w:rPr>
        <w:t>*********</w:t>
      </w:r>
    </w:p>
    <w:p w14:paraId="1CBB255E" w14:textId="77777777" w:rsidR="00411269" w:rsidRDefault="00411269" w:rsidP="00D82AAE">
      <w:pPr>
        <w:spacing w:after="0" w:line="240" w:lineRule="auto"/>
        <w:rPr>
          <w:rFonts w:ascii="Times New Roman" w:hAnsi="Times New Roman" w:cs="Times New Roman"/>
          <w:sz w:val="24"/>
          <w:szCs w:val="24"/>
        </w:rPr>
      </w:pPr>
    </w:p>
    <w:p w14:paraId="5295590B" w14:textId="77777777" w:rsidR="007A3D81" w:rsidRDefault="007A3D81" w:rsidP="00D82AAE">
      <w:pPr>
        <w:spacing w:after="0" w:line="240" w:lineRule="auto"/>
        <w:rPr>
          <w:rFonts w:ascii="Times New Roman" w:hAnsi="Times New Roman" w:cs="Times New Roman"/>
          <w:sz w:val="24"/>
          <w:szCs w:val="24"/>
        </w:rPr>
      </w:pPr>
    </w:p>
    <w:p w14:paraId="4685E94A" w14:textId="77777777" w:rsidR="007A3D81" w:rsidRDefault="007A3D81" w:rsidP="00D82AAE">
      <w:pPr>
        <w:spacing w:after="0" w:line="240" w:lineRule="auto"/>
        <w:rPr>
          <w:rFonts w:ascii="Times New Roman" w:hAnsi="Times New Roman" w:cs="Times New Roman"/>
          <w:sz w:val="24"/>
          <w:szCs w:val="24"/>
        </w:rPr>
      </w:pPr>
    </w:p>
    <w:p w14:paraId="1A53A41C" w14:textId="77777777" w:rsidR="007A3D81" w:rsidRDefault="007A3D81" w:rsidP="00D82AAE">
      <w:pPr>
        <w:spacing w:after="0" w:line="240" w:lineRule="auto"/>
        <w:rPr>
          <w:rFonts w:ascii="Times New Roman" w:hAnsi="Times New Roman" w:cs="Times New Roman"/>
          <w:sz w:val="24"/>
          <w:szCs w:val="24"/>
        </w:rPr>
      </w:pPr>
    </w:p>
    <w:p w14:paraId="15CB930D" w14:textId="77777777" w:rsidR="007A3D81" w:rsidRDefault="007A3D81" w:rsidP="00D82AAE">
      <w:pPr>
        <w:spacing w:after="0" w:line="240" w:lineRule="auto"/>
        <w:rPr>
          <w:rFonts w:ascii="Times New Roman" w:hAnsi="Times New Roman" w:cs="Times New Roman"/>
          <w:sz w:val="24"/>
          <w:szCs w:val="24"/>
        </w:rPr>
      </w:pPr>
    </w:p>
    <w:p w14:paraId="3DD51B23" w14:textId="77777777" w:rsidR="007A3D81" w:rsidRDefault="007A3D81" w:rsidP="00D82AAE">
      <w:pPr>
        <w:spacing w:after="0" w:line="240" w:lineRule="auto"/>
        <w:rPr>
          <w:rFonts w:ascii="Times New Roman" w:hAnsi="Times New Roman" w:cs="Times New Roman"/>
          <w:sz w:val="24"/>
          <w:szCs w:val="24"/>
        </w:rPr>
      </w:pPr>
    </w:p>
    <w:p w14:paraId="337ED725" w14:textId="77777777" w:rsidR="007A3D81" w:rsidRDefault="007A3D81" w:rsidP="00D82AAE">
      <w:pPr>
        <w:spacing w:after="0" w:line="240" w:lineRule="auto"/>
        <w:rPr>
          <w:rFonts w:ascii="Times New Roman" w:hAnsi="Times New Roman" w:cs="Times New Roman"/>
          <w:sz w:val="24"/>
          <w:szCs w:val="24"/>
        </w:rPr>
      </w:pPr>
      <w:bookmarkStart w:id="0" w:name="_GoBack"/>
      <w:bookmarkEnd w:id="0"/>
    </w:p>
    <w:p w14:paraId="24108095" w14:textId="77777777" w:rsidR="00D82AAE" w:rsidRDefault="00D82AAE" w:rsidP="00D82A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support the Commission’s efforts to amend its rules for exempt DCOs </w:t>
      </w:r>
      <w:r w:rsidR="004D16AD">
        <w:rPr>
          <w:rFonts w:ascii="Times New Roman" w:hAnsi="Times New Roman" w:cs="Times New Roman"/>
          <w:sz w:val="24"/>
          <w:szCs w:val="24"/>
        </w:rPr>
        <w:t xml:space="preserve">and </w:t>
      </w:r>
      <w:r w:rsidR="002264BB">
        <w:rPr>
          <w:rFonts w:ascii="Times New Roman" w:hAnsi="Times New Roman" w:cs="Times New Roman"/>
          <w:sz w:val="24"/>
          <w:szCs w:val="24"/>
        </w:rPr>
        <w:t xml:space="preserve">address </w:t>
      </w:r>
      <w:r>
        <w:rPr>
          <w:rFonts w:ascii="Times New Roman" w:hAnsi="Times New Roman" w:cs="Times New Roman"/>
          <w:sz w:val="24"/>
          <w:szCs w:val="24"/>
        </w:rPr>
        <w:t xml:space="preserve">longstanding concerns regarding the availability of clearing </w:t>
      </w:r>
      <w:r w:rsidR="004D16AD">
        <w:rPr>
          <w:rFonts w:ascii="Times New Roman" w:hAnsi="Times New Roman" w:cs="Times New Roman"/>
          <w:sz w:val="24"/>
          <w:szCs w:val="24"/>
        </w:rPr>
        <w:t xml:space="preserve">options </w:t>
      </w:r>
      <w:r>
        <w:rPr>
          <w:rFonts w:ascii="Times New Roman" w:hAnsi="Times New Roman" w:cs="Times New Roman"/>
          <w:sz w:val="24"/>
          <w:szCs w:val="24"/>
        </w:rPr>
        <w:t xml:space="preserve">for U.S. persons. </w:t>
      </w:r>
      <w:r w:rsidRPr="001965E6">
        <w:rPr>
          <w:rFonts w:ascii="Times New Roman" w:hAnsi="Times New Roman" w:cs="Times New Roman"/>
          <w:sz w:val="24"/>
          <w:szCs w:val="24"/>
        </w:rPr>
        <w:t xml:space="preserve">Our members are strongly committed to maintaining the safety and efficiency of </w:t>
      </w:r>
      <w:r>
        <w:rPr>
          <w:rFonts w:ascii="Times New Roman" w:hAnsi="Times New Roman" w:cs="Times New Roman"/>
          <w:sz w:val="24"/>
          <w:szCs w:val="24"/>
        </w:rPr>
        <w:t xml:space="preserve">global </w:t>
      </w:r>
      <w:r w:rsidRPr="001965E6">
        <w:rPr>
          <w:rFonts w:ascii="Times New Roman" w:hAnsi="Times New Roman" w:cs="Times New Roman"/>
          <w:sz w:val="24"/>
          <w:szCs w:val="24"/>
        </w:rPr>
        <w:t xml:space="preserve">derivatives markets and hope that the Commission will consider our </w:t>
      </w:r>
      <w:r>
        <w:rPr>
          <w:rFonts w:ascii="Times New Roman" w:hAnsi="Times New Roman" w:cs="Times New Roman"/>
          <w:sz w:val="24"/>
          <w:szCs w:val="24"/>
        </w:rPr>
        <w:t>recommendations</w:t>
      </w:r>
      <w:r w:rsidRPr="001965E6">
        <w:rPr>
          <w:rFonts w:ascii="Times New Roman" w:hAnsi="Times New Roman" w:cs="Times New Roman"/>
          <w:sz w:val="24"/>
          <w:szCs w:val="24"/>
        </w:rPr>
        <w:t>, as they reflect the extensive know</w:t>
      </w:r>
      <w:r>
        <w:rPr>
          <w:rFonts w:ascii="Times New Roman" w:hAnsi="Times New Roman" w:cs="Times New Roman"/>
          <w:sz w:val="24"/>
          <w:szCs w:val="24"/>
        </w:rPr>
        <w:t xml:space="preserve">ledge and experience of </w:t>
      </w:r>
      <w:r w:rsidR="006F49C2">
        <w:rPr>
          <w:rFonts w:ascii="Times New Roman" w:hAnsi="Times New Roman" w:cs="Times New Roman"/>
          <w:sz w:val="24"/>
          <w:szCs w:val="24"/>
        </w:rPr>
        <w:t xml:space="preserve">industry </w:t>
      </w:r>
      <w:r w:rsidRPr="001965E6">
        <w:rPr>
          <w:rFonts w:ascii="Times New Roman" w:hAnsi="Times New Roman" w:cs="Times New Roman"/>
          <w:sz w:val="24"/>
          <w:szCs w:val="24"/>
        </w:rPr>
        <w:t>professionals within our membership.</w:t>
      </w:r>
      <w:r>
        <w:rPr>
          <w:rFonts w:ascii="Times New Roman" w:hAnsi="Times New Roman" w:cs="Times New Roman"/>
          <w:sz w:val="24"/>
          <w:szCs w:val="24"/>
        </w:rPr>
        <w:t xml:space="preserve">  </w:t>
      </w:r>
    </w:p>
    <w:p w14:paraId="28219B50" w14:textId="77777777" w:rsidR="00D82AAE" w:rsidRDefault="00D82AAE" w:rsidP="00D82AAE">
      <w:pPr>
        <w:spacing w:after="0" w:line="240" w:lineRule="auto"/>
        <w:rPr>
          <w:rFonts w:ascii="Times New Roman" w:hAnsi="Times New Roman" w:cs="Times New Roman"/>
          <w:sz w:val="24"/>
          <w:szCs w:val="24"/>
        </w:rPr>
      </w:pPr>
    </w:p>
    <w:p w14:paraId="2C5014F8" w14:textId="77777777" w:rsidR="00D82AAE" w:rsidRDefault="00D82AAE" w:rsidP="00D82A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feel free reach out to Bella Rozenberg, Senior Counsel and Head of Regulatory and Legal Practice Group, (202)-683-9334, if you have questions. </w:t>
      </w:r>
    </w:p>
    <w:p w14:paraId="17413DD2" w14:textId="77777777" w:rsidR="00CF29CB" w:rsidRDefault="00CF29CB" w:rsidP="00115886">
      <w:pPr>
        <w:spacing w:after="0" w:line="240" w:lineRule="auto"/>
        <w:rPr>
          <w:rFonts w:ascii="Times New Roman" w:hAnsi="Times New Roman" w:cs="Times New Roman"/>
          <w:b/>
          <w:bCs/>
          <w:sz w:val="24"/>
          <w:szCs w:val="24"/>
        </w:rPr>
      </w:pPr>
    </w:p>
    <w:p w14:paraId="3CED5EF5" w14:textId="77777777" w:rsidR="006565D5" w:rsidRDefault="006565D5" w:rsidP="00115886">
      <w:pPr>
        <w:spacing w:after="0" w:line="240" w:lineRule="auto"/>
        <w:rPr>
          <w:rFonts w:ascii="Times New Roman" w:hAnsi="Times New Roman" w:cs="Times New Roman"/>
          <w:b/>
          <w:bCs/>
          <w:sz w:val="24"/>
          <w:szCs w:val="24"/>
        </w:rPr>
      </w:pPr>
    </w:p>
    <w:p w14:paraId="7960A349" w14:textId="77777777" w:rsidR="006565D5" w:rsidRDefault="001F5990" w:rsidP="00115886">
      <w:pPr>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3855265" wp14:editId="6CB6CB19">
            <wp:extent cx="2977896" cy="8869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lla's e.Signature-20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7896" cy="886968"/>
                    </a:xfrm>
                    <a:prstGeom prst="rect">
                      <a:avLst/>
                    </a:prstGeom>
                  </pic:spPr>
                </pic:pic>
              </a:graphicData>
            </a:graphic>
          </wp:inline>
        </w:drawing>
      </w:r>
    </w:p>
    <w:p w14:paraId="0B650FE6" w14:textId="77777777" w:rsidR="005E58FE" w:rsidRDefault="005E58FE" w:rsidP="00115886">
      <w:pPr>
        <w:spacing w:after="0" w:line="240" w:lineRule="auto"/>
        <w:rPr>
          <w:rFonts w:ascii="Times New Roman" w:hAnsi="Times New Roman" w:cs="Times New Roman"/>
          <w:b/>
          <w:bCs/>
          <w:sz w:val="24"/>
          <w:szCs w:val="24"/>
        </w:rPr>
      </w:pPr>
    </w:p>
    <w:p w14:paraId="3F1F9F14" w14:textId="77777777" w:rsidR="005E58FE" w:rsidRDefault="005E58FE" w:rsidP="005E58FE">
      <w:pPr>
        <w:spacing w:after="0" w:line="240" w:lineRule="auto"/>
        <w:rPr>
          <w:rFonts w:ascii="Times New Roman" w:hAnsi="Times New Roman" w:cs="Times New Roman"/>
          <w:bCs/>
          <w:sz w:val="24"/>
          <w:szCs w:val="24"/>
        </w:rPr>
      </w:pPr>
      <w:r>
        <w:rPr>
          <w:rFonts w:ascii="Times New Roman" w:hAnsi="Times New Roman" w:cs="Times New Roman"/>
          <w:bCs/>
          <w:sz w:val="24"/>
          <w:szCs w:val="24"/>
        </w:rPr>
        <w:t>Bella Rozenberg</w:t>
      </w:r>
    </w:p>
    <w:p w14:paraId="3B26A8C5" w14:textId="77777777" w:rsidR="005E58FE" w:rsidRDefault="005E58FE" w:rsidP="005E58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Senior </w:t>
      </w:r>
      <w:proofErr w:type="gramStart"/>
      <w:r w:rsidR="009F7274">
        <w:rPr>
          <w:rFonts w:ascii="Times New Roman" w:hAnsi="Times New Roman" w:cs="Times New Roman"/>
          <w:sz w:val="24"/>
          <w:szCs w:val="24"/>
        </w:rPr>
        <w:t>Counsel &amp;</w:t>
      </w:r>
      <w:proofErr w:type="gramEnd"/>
      <w:r>
        <w:rPr>
          <w:rFonts w:ascii="Times New Roman" w:hAnsi="Times New Roman" w:cs="Times New Roman"/>
          <w:sz w:val="24"/>
          <w:szCs w:val="24"/>
        </w:rPr>
        <w:t xml:space="preserve"> Head of Regulatory and Legal Practice Group</w:t>
      </w:r>
    </w:p>
    <w:p w14:paraId="552553A0" w14:textId="77777777" w:rsidR="005E58FE" w:rsidRPr="00C33A84" w:rsidRDefault="005E58FE" w:rsidP="005E58FE">
      <w:pPr>
        <w:spacing w:after="0" w:line="240" w:lineRule="auto"/>
        <w:rPr>
          <w:rFonts w:ascii="Times New Roman" w:hAnsi="Times New Roman" w:cs="Times New Roman"/>
          <w:b/>
          <w:bCs/>
          <w:sz w:val="24"/>
          <w:szCs w:val="24"/>
        </w:rPr>
      </w:pPr>
      <w:r>
        <w:rPr>
          <w:rFonts w:ascii="Times New Roman" w:hAnsi="Times New Roman" w:cs="Times New Roman"/>
          <w:sz w:val="24"/>
          <w:szCs w:val="24"/>
        </w:rPr>
        <w:t>ISDA</w:t>
      </w:r>
    </w:p>
    <w:p w14:paraId="1405F499" w14:textId="77777777" w:rsidR="006565D5" w:rsidRPr="00C33A84" w:rsidRDefault="006565D5" w:rsidP="00115886">
      <w:pPr>
        <w:spacing w:after="0" w:line="240" w:lineRule="auto"/>
        <w:rPr>
          <w:rFonts w:ascii="Times New Roman" w:hAnsi="Times New Roman" w:cs="Times New Roman"/>
          <w:b/>
          <w:bCs/>
          <w:sz w:val="24"/>
          <w:szCs w:val="24"/>
        </w:rPr>
      </w:pPr>
    </w:p>
    <w:sectPr w:rsidR="006565D5" w:rsidRPr="00C33A84">
      <w:headerReference w:type="default" r:id="rId12"/>
      <w:footerReference w:type="default" r:id="rId1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72A3F7" w16cid:durableId="2104FC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16134" w14:textId="77777777" w:rsidR="00C12157" w:rsidRDefault="00C12157" w:rsidP="001E5B92">
      <w:pPr>
        <w:spacing w:after="0" w:line="240" w:lineRule="auto"/>
      </w:pPr>
      <w:r>
        <w:separator/>
      </w:r>
    </w:p>
  </w:endnote>
  <w:endnote w:type="continuationSeparator" w:id="0">
    <w:p w14:paraId="259879B5" w14:textId="77777777" w:rsidR="00C12157" w:rsidRDefault="00C12157" w:rsidP="001E5B92">
      <w:pPr>
        <w:spacing w:after="0" w:line="240" w:lineRule="auto"/>
      </w:pPr>
      <w:r>
        <w:continuationSeparator/>
      </w:r>
    </w:p>
  </w:endnote>
  <w:endnote w:type="continuationNotice" w:id="1">
    <w:p w14:paraId="429FE66E" w14:textId="77777777" w:rsidR="00C12157" w:rsidRDefault="00C121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964898"/>
      <w:docPartObj>
        <w:docPartGallery w:val="Page Numbers (Bottom of Page)"/>
        <w:docPartUnique/>
      </w:docPartObj>
    </w:sdtPr>
    <w:sdtEndPr>
      <w:rPr>
        <w:rFonts w:ascii="Times New Roman" w:hAnsi="Times New Roman" w:cs="Times New Roman"/>
        <w:noProof/>
      </w:rPr>
    </w:sdtEndPr>
    <w:sdtContent>
      <w:p w14:paraId="0C79E6C1" w14:textId="77777777" w:rsidR="00A70E57" w:rsidRPr="00A70E57" w:rsidRDefault="00A70E57">
        <w:pPr>
          <w:pStyle w:val="Footer"/>
          <w:jc w:val="center"/>
          <w:rPr>
            <w:rFonts w:ascii="Times New Roman" w:hAnsi="Times New Roman" w:cs="Times New Roman"/>
          </w:rPr>
        </w:pPr>
        <w:r w:rsidRPr="00A70E57">
          <w:rPr>
            <w:rFonts w:ascii="Times New Roman" w:hAnsi="Times New Roman" w:cs="Times New Roman"/>
          </w:rPr>
          <w:fldChar w:fldCharType="begin"/>
        </w:r>
        <w:r w:rsidRPr="00A70E57">
          <w:rPr>
            <w:rFonts w:ascii="Times New Roman" w:hAnsi="Times New Roman" w:cs="Times New Roman"/>
          </w:rPr>
          <w:instrText xml:space="preserve"> PAGE   \* MERGEFORMAT </w:instrText>
        </w:r>
        <w:r w:rsidRPr="00A70E57">
          <w:rPr>
            <w:rFonts w:ascii="Times New Roman" w:hAnsi="Times New Roman" w:cs="Times New Roman"/>
          </w:rPr>
          <w:fldChar w:fldCharType="separate"/>
        </w:r>
        <w:r w:rsidR="007A3D81">
          <w:rPr>
            <w:rFonts w:ascii="Times New Roman" w:hAnsi="Times New Roman" w:cs="Times New Roman"/>
            <w:noProof/>
          </w:rPr>
          <w:t>2</w:t>
        </w:r>
        <w:r w:rsidRPr="00A70E5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7E267" w14:textId="77777777" w:rsidR="00C12157" w:rsidRDefault="00C12157" w:rsidP="001E5B92">
      <w:pPr>
        <w:spacing w:after="0" w:line="240" w:lineRule="auto"/>
      </w:pPr>
      <w:r>
        <w:separator/>
      </w:r>
    </w:p>
  </w:footnote>
  <w:footnote w:type="continuationSeparator" w:id="0">
    <w:p w14:paraId="6354E5DA" w14:textId="77777777" w:rsidR="00C12157" w:rsidRDefault="00C12157" w:rsidP="001E5B92">
      <w:pPr>
        <w:spacing w:after="0" w:line="240" w:lineRule="auto"/>
      </w:pPr>
      <w:r>
        <w:continuationSeparator/>
      </w:r>
    </w:p>
  </w:footnote>
  <w:footnote w:type="continuationNotice" w:id="1">
    <w:p w14:paraId="43CBD4E5" w14:textId="77777777" w:rsidR="00C12157" w:rsidRDefault="00C12157">
      <w:pPr>
        <w:spacing w:after="0" w:line="240" w:lineRule="auto"/>
      </w:pPr>
    </w:p>
  </w:footnote>
  <w:footnote w:id="2">
    <w:p w14:paraId="48272810" w14:textId="77777777" w:rsidR="005346F8" w:rsidRPr="00EA5E68" w:rsidRDefault="005346F8">
      <w:pPr>
        <w:pStyle w:val="FootnoteText"/>
        <w:rPr>
          <w:rFonts w:ascii="Times New Roman" w:hAnsi="Times New Roman" w:cs="Times New Roman"/>
        </w:rPr>
      </w:pPr>
      <w:r w:rsidRPr="005346F8">
        <w:rPr>
          <w:rStyle w:val="FootnoteReference"/>
          <w:rFonts w:ascii="Times New Roman" w:hAnsi="Times New Roman" w:cs="Times New Roman"/>
        </w:rPr>
        <w:footnoteRef/>
      </w:r>
      <w:r w:rsidRPr="005346F8">
        <w:rPr>
          <w:rFonts w:ascii="Times New Roman" w:hAnsi="Times New Roman" w:cs="Times New Roman"/>
        </w:rPr>
        <w:t xml:space="preserve"> Since 1985, ISDA has worked to make the global derivatives markets safer and more efficient. Today, ISDA has </w:t>
      </w:r>
      <w:r w:rsidRPr="00EA5E68">
        <w:rPr>
          <w:rFonts w:ascii="Times New Roman" w:hAnsi="Times New Roman" w:cs="Times New Roman"/>
        </w:rPr>
        <w:t xml:space="preserve">more than 900 member institutions from 70 countries. These members comprise a broad range of derivatives market participants, including corporations, investment managers, government and supranational entities, insurance companies, energy and commodities firms, and international and regional banks. In addition to market participants, members also include key components of the derivatives market infrastructure, such as exchanges, intermediaries, clearing houses and depositories, as well as law firms, accounting firms and other service providers. Additional information on ISDA is available at </w:t>
      </w:r>
      <w:hyperlink r:id="rId1" w:history="1">
        <w:r w:rsidRPr="00EA5E68">
          <w:rPr>
            <w:rStyle w:val="Hyperlink"/>
            <w:rFonts w:ascii="Times New Roman" w:hAnsi="Times New Roman" w:cs="Times New Roman"/>
          </w:rPr>
          <w:t>http://www.isda.org</w:t>
        </w:r>
      </w:hyperlink>
      <w:r w:rsidRPr="00EA5E68">
        <w:rPr>
          <w:rFonts w:ascii="Times New Roman" w:hAnsi="Times New Roman" w:cs="Times New Roman"/>
        </w:rPr>
        <w:t>.</w:t>
      </w:r>
    </w:p>
  </w:footnote>
  <w:footnote w:id="3">
    <w:p w14:paraId="2138C7A7" w14:textId="77777777" w:rsidR="00DC62E8" w:rsidRPr="00EA5E68" w:rsidRDefault="00DC62E8" w:rsidP="00A7713F">
      <w:pPr>
        <w:pStyle w:val="FootnoteText"/>
        <w:rPr>
          <w:rFonts w:ascii="Times New Roman" w:hAnsi="Times New Roman" w:cs="Times New Roman"/>
        </w:rPr>
      </w:pPr>
      <w:r w:rsidRPr="00EA5E68">
        <w:rPr>
          <w:rStyle w:val="FootnoteReference"/>
          <w:rFonts w:ascii="Times New Roman" w:hAnsi="Times New Roman" w:cs="Times New Roman"/>
        </w:rPr>
        <w:footnoteRef/>
      </w:r>
      <w:r w:rsidR="00A7713F">
        <w:rPr>
          <w:rFonts w:ascii="Times New Roman" w:hAnsi="Times New Roman" w:cs="Times New Roman"/>
        </w:rPr>
        <w:t xml:space="preserve"> </w:t>
      </w:r>
      <w:r w:rsidR="00A7713F" w:rsidRPr="00A7713F">
        <w:rPr>
          <w:rFonts w:ascii="Times New Roman" w:hAnsi="Times New Roman" w:cs="Times New Roman"/>
        </w:rPr>
        <w:t>Exem</w:t>
      </w:r>
      <w:r w:rsidR="00A7713F">
        <w:rPr>
          <w:rFonts w:ascii="Times New Roman" w:hAnsi="Times New Roman" w:cs="Times New Roman"/>
        </w:rPr>
        <w:t xml:space="preserve">ption </w:t>
      </w:r>
      <w:r w:rsidR="00B17CB0">
        <w:rPr>
          <w:rFonts w:ascii="Times New Roman" w:hAnsi="Times New Roman" w:cs="Times New Roman"/>
        </w:rPr>
        <w:t>f</w:t>
      </w:r>
      <w:r w:rsidR="00A7713F">
        <w:rPr>
          <w:rFonts w:ascii="Times New Roman" w:hAnsi="Times New Roman" w:cs="Times New Roman"/>
        </w:rPr>
        <w:t xml:space="preserve">rom Derivatives Clearing </w:t>
      </w:r>
      <w:r w:rsidR="00A7713F" w:rsidRPr="00A7713F">
        <w:rPr>
          <w:rFonts w:ascii="Times New Roman" w:hAnsi="Times New Roman" w:cs="Times New Roman"/>
        </w:rPr>
        <w:t>Organization Registration</w:t>
      </w:r>
      <w:r w:rsidR="00A7713F">
        <w:rPr>
          <w:rFonts w:ascii="Times New Roman" w:hAnsi="Times New Roman" w:cs="Times New Roman"/>
        </w:rPr>
        <w:t xml:space="preserve">, Supplemental notice of </w:t>
      </w:r>
      <w:r w:rsidR="00A7713F" w:rsidRPr="00A7713F">
        <w:rPr>
          <w:rFonts w:ascii="Times New Roman" w:hAnsi="Times New Roman" w:cs="Times New Roman"/>
        </w:rPr>
        <w:t>proposed rulemaking</w:t>
      </w:r>
      <w:r w:rsidR="00A7713F">
        <w:rPr>
          <w:rFonts w:ascii="Times New Roman" w:hAnsi="Times New Roman" w:cs="Times New Roman"/>
        </w:rPr>
        <w:t xml:space="preserve">, </w:t>
      </w:r>
      <w:r w:rsidR="00D41470">
        <w:rPr>
          <w:rFonts w:ascii="Times New Roman" w:hAnsi="Times New Roman" w:cs="Times New Roman"/>
        </w:rPr>
        <w:t xml:space="preserve">84 Fed. Reg. 35456 (July 23, 2019), </w:t>
      </w:r>
      <w:hyperlink r:id="rId2" w:history="1">
        <w:r w:rsidR="00872342" w:rsidRPr="00F11C0E">
          <w:rPr>
            <w:rStyle w:val="Hyperlink"/>
            <w:rFonts w:ascii="Times New Roman" w:hAnsi="Times New Roman" w:cs="Times New Roman"/>
          </w:rPr>
          <w:t>https://www.govinfo.gov/content/pkg/FR-2019-07-23/pdf/2019-15258.pdf</w:t>
        </w:r>
      </w:hyperlink>
      <w:r w:rsidR="00872342">
        <w:rPr>
          <w:rFonts w:ascii="Times New Roman" w:hAnsi="Times New Roman" w:cs="Times New Roman"/>
        </w:rPr>
        <w:t xml:space="preserve">. </w:t>
      </w:r>
    </w:p>
  </w:footnote>
  <w:footnote w:id="4">
    <w:p w14:paraId="1A502358" w14:textId="77777777" w:rsidR="00596090" w:rsidRPr="0068271E" w:rsidRDefault="00596090">
      <w:pPr>
        <w:pStyle w:val="FootnoteText"/>
        <w:rPr>
          <w:rFonts w:ascii="Times New Roman" w:hAnsi="Times New Roman" w:cs="Times New Roman"/>
        </w:rPr>
      </w:pPr>
      <w:r w:rsidRPr="00EA5E68">
        <w:rPr>
          <w:rStyle w:val="FootnoteReference"/>
          <w:rFonts w:ascii="Times New Roman" w:hAnsi="Times New Roman" w:cs="Times New Roman"/>
        </w:rPr>
        <w:footnoteRef/>
      </w:r>
      <w:r w:rsidRPr="00EA5E68">
        <w:rPr>
          <w:rFonts w:ascii="Times New Roman" w:hAnsi="Times New Roman" w:cs="Times New Roman"/>
        </w:rPr>
        <w:t xml:space="preserve"> </w:t>
      </w:r>
      <w:r w:rsidR="00702750" w:rsidRPr="00702750">
        <w:rPr>
          <w:rFonts w:ascii="Times New Roman" w:hAnsi="Times New Roman" w:cs="Times New Roman"/>
        </w:rPr>
        <w:t>Ex</w:t>
      </w:r>
      <w:r w:rsidR="00702750" w:rsidRPr="0068271E">
        <w:rPr>
          <w:rFonts w:ascii="Times New Roman" w:hAnsi="Times New Roman" w:cs="Times New Roman"/>
        </w:rPr>
        <w:t>emption from Derivatives Clearing Organization Registration, Notice of proposed rulemaking, 83 Fed. Reg. 39923 (Aug. 13, 2018)</w:t>
      </w:r>
      <w:r w:rsidR="00DC62E8" w:rsidRPr="0068271E">
        <w:rPr>
          <w:rFonts w:ascii="Times New Roman" w:hAnsi="Times New Roman" w:cs="Times New Roman"/>
        </w:rPr>
        <w:t xml:space="preserve">; </w:t>
      </w:r>
      <w:r w:rsidRPr="0068271E">
        <w:rPr>
          <w:rFonts w:ascii="Times New Roman" w:hAnsi="Times New Roman" w:cs="Times New Roman"/>
        </w:rPr>
        <w:t xml:space="preserve">ISDA filed a comment letter in response to such proposal, available at: </w:t>
      </w:r>
      <w:hyperlink r:id="rId3" w:history="1">
        <w:r w:rsidR="009A3D53" w:rsidRPr="0068271E">
          <w:rPr>
            <w:rStyle w:val="Hyperlink"/>
            <w:rFonts w:ascii="Times New Roman" w:hAnsi="Times New Roman" w:cs="Times New Roman"/>
          </w:rPr>
          <w:t>https://comments.cftc.gov/PublicComments/CommentList.aspx?id=3009</w:t>
        </w:r>
      </w:hyperlink>
      <w:r w:rsidRPr="0068271E">
        <w:rPr>
          <w:rFonts w:ascii="Times New Roman" w:hAnsi="Times New Roman" w:cs="Times New Roman"/>
        </w:rPr>
        <w:t xml:space="preserve">. We </w:t>
      </w:r>
      <w:r w:rsidR="007D5AAA" w:rsidRPr="0068271E">
        <w:rPr>
          <w:rFonts w:ascii="Times New Roman" w:hAnsi="Times New Roman" w:cs="Times New Roman"/>
        </w:rPr>
        <w:t xml:space="preserve">note </w:t>
      </w:r>
      <w:r w:rsidR="009A3D53" w:rsidRPr="0068271E">
        <w:rPr>
          <w:rFonts w:ascii="Times New Roman" w:hAnsi="Times New Roman" w:cs="Times New Roman"/>
        </w:rPr>
        <w:t xml:space="preserve">that the Supplemental Proposal does not alter the Initial Proposal in many respects and </w:t>
      </w:r>
      <w:r w:rsidR="00A80894" w:rsidRPr="0068271E">
        <w:rPr>
          <w:rFonts w:ascii="Times New Roman" w:hAnsi="Times New Roman" w:cs="Times New Roman"/>
        </w:rPr>
        <w:t xml:space="preserve">thus </w:t>
      </w:r>
      <w:r w:rsidR="001200DC" w:rsidRPr="0068271E">
        <w:rPr>
          <w:rFonts w:ascii="Times New Roman" w:hAnsi="Times New Roman" w:cs="Times New Roman"/>
        </w:rPr>
        <w:t>many of the issues raised in such comment letter continue to exist with respect to the Supplemental Proposal</w:t>
      </w:r>
      <w:r w:rsidR="00A80894" w:rsidRPr="0068271E">
        <w:rPr>
          <w:rFonts w:ascii="Times New Roman" w:hAnsi="Times New Roman" w:cs="Times New Roman"/>
        </w:rPr>
        <w:t xml:space="preserve">. </w:t>
      </w:r>
    </w:p>
  </w:footnote>
  <w:footnote w:id="5">
    <w:p w14:paraId="0F689A00" w14:textId="77777777" w:rsidR="00DC62E8" w:rsidRPr="0068271E" w:rsidRDefault="00DC62E8">
      <w:pPr>
        <w:pStyle w:val="FootnoteText"/>
        <w:rPr>
          <w:rFonts w:ascii="Times New Roman" w:hAnsi="Times New Roman" w:cs="Times New Roman"/>
        </w:rPr>
      </w:pPr>
      <w:r w:rsidRPr="0068271E">
        <w:rPr>
          <w:rStyle w:val="FootnoteReference"/>
          <w:rFonts w:ascii="Times New Roman" w:hAnsi="Times New Roman" w:cs="Times New Roman"/>
        </w:rPr>
        <w:footnoteRef/>
      </w:r>
      <w:r w:rsidRPr="0068271E">
        <w:rPr>
          <w:rFonts w:ascii="Times New Roman" w:hAnsi="Times New Roman" w:cs="Times New Roman"/>
        </w:rPr>
        <w:t xml:space="preserve"> Supplemental Proposal at 35457. </w:t>
      </w:r>
    </w:p>
  </w:footnote>
  <w:footnote w:id="6">
    <w:p w14:paraId="3AE899DD" w14:textId="77777777" w:rsidR="00FD79C1" w:rsidRDefault="00FD79C1">
      <w:pPr>
        <w:pStyle w:val="FootnoteText"/>
      </w:pPr>
      <w:r w:rsidRPr="00DE5DCA">
        <w:rPr>
          <w:rStyle w:val="FootnoteReference"/>
          <w:rFonts w:ascii="Times New Roman" w:hAnsi="Times New Roman" w:cs="Times New Roman"/>
        </w:rPr>
        <w:footnoteRef/>
      </w:r>
      <w:r w:rsidRPr="00DE5DCA">
        <w:rPr>
          <w:rFonts w:ascii="Times New Roman" w:hAnsi="Times New Roman" w:cs="Times New Roman"/>
        </w:rPr>
        <w:t xml:space="preserve"> 17 CFR Part 30</w:t>
      </w:r>
      <w:r w:rsidR="0068271E" w:rsidRPr="00DE5DCA">
        <w:rPr>
          <w:rFonts w:ascii="Times New Roman" w:hAnsi="Times New Roman" w:cs="Times New Roman"/>
        </w:rPr>
        <w:t>. We note however that any changes to Part 30</w:t>
      </w:r>
      <w:r w:rsidR="004636A5">
        <w:rPr>
          <w:rFonts w:ascii="Times New Roman" w:hAnsi="Times New Roman" w:cs="Times New Roman"/>
        </w:rPr>
        <w:t>, including changes to the clearing structure of FCMs for foreign cleared swaps,</w:t>
      </w:r>
      <w:r w:rsidR="0068271E" w:rsidRPr="00DE5DCA">
        <w:rPr>
          <w:rFonts w:ascii="Times New Roman" w:hAnsi="Times New Roman" w:cs="Times New Roman"/>
        </w:rPr>
        <w:t xml:space="preserve"> should not delay the</w:t>
      </w:r>
      <w:r w:rsidR="0068271E">
        <w:rPr>
          <w:rFonts w:ascii="Times New Roman" w:hAnsi="Times New Roman" w:cs="Times New Roman"/>
        </w:rPr>
        <w:t xml:space="preserve"> finalization of the </w:t>
      </w:r>
      <w:r w:rsidR="006565D5">
        <w:rPr>
          <w:rFonts w:ascii="Times New Roman" w:hAnsi="Times New Roman" w:cs="Times New Roman"/>
        </w:rPr>
        <w:t xml:space="preserve">Supplemental </w:t>
      </w:r>
      <w:r w:rsidR="0068271E">
        <w:rPr>
          <w:rFonts w:ascii="Times New Roman" w:hAnsi="Times New Roman" w:cs="Times New Roman"/>
        </w:rPr>
        <w:t xml:space="preserve">Proposal. </w:t>
      </w:r>
    </w:p>
  </w:footnote>
  <w:footnote w:id="7">
    <w:p w14:paraId="08637F0B" w14:textId="77777777" w:rsidR="00EA5E68" w:rsidRPr="00C540FA" w:rsidRDefault="00EA5E68">
      <w:pPr>
        <w:pStyle w:val="FootnoteText"/>
        <w:rPr>
          <w:rFonts w:ascii="Times New Roman" w:hAnsi="Times New Roman" w:cs="Times New Roman"/>
        </w:rPr>
      </w:pPr>
      <w:r w:rsidRPr="0062559E">
        <w:rPr>
          <w:rStyle w:val="FootnoteReference"/>
          <w:rFonts w:ascii="Times New Roman" w:hAnsi="Times New Roman" w:cs="Times New Roman"/>
        </w:rPr>
        <w:footnoteRef/>
      </w:r>
      <w:r w:rsidRPr="0062559E">
        <w:rPr>
          <w:rFonts w:ascii="Times New Roman" w:hAnsi="Times New Roman" w:cs="Times New Roman"/>
        </w:rPr>
        <w:t xml:space="preserve"> We believe that the Commission should take a similar territorial, risk-based approach with respect to other aspects of the CFTC’s</w:t>
      </w:r>
      <w:r w:rsidR="00937A65">
        <w:rPr>
          <w:rFonts w:ascii="Times New Roman" w:hAnsi="Times New Roman" w:cs="Times New Roman"/>
        </w:rPr>
        <w:t xml:space="preserve"> cross-border regime. </w:t>
      </w:r>
      <w:r w:rsidR="00937A65">
        <w:rPr>
          <w:rFonts w:ascii="Times New Roman" w:hAnsi="Times New Roman" w:cs="Times New Roman"/>
          <w:i/>
        </w:rPr>
        <w:t>See</w:t>
      </w:r>
      <w:r w:rsidRPr="0062559E">
        <w:rPr>
          <w:rFonts w:ascii="Times New Roman" w:hAnsi="Times New Roman" w:cs="Times New Roman"/>
        </w:rPr>
        <w:t xml:space="preserve"> </w:t>
      </w:r>
      <w:r w:rsidR="00781606">
        <w:rPr>
          <w:rFonts w:ascii="Times New Roman" w:hAnsi="Times New Roman" w:cs="Times New Roman"/>
        </w:rPr>
        <w:t xml:space="preserve">the </w:t>
      </w:r>
      <w:r w:rsidRPr="0062559E">
        <w:rPr>
          <w:rFonts w:ascii="Times New Roman" w:hAnsi="Times New Roman" w:cs="Times New Roman"/>
        </w:rPr>
        <w:t xml:space="preserve">ISDA Cross-Border Harmonization White Paper, </w:t>
      </w:r>
      <w:hyperlink r:id="rId4" w:history="1">
        <w:r w:rsidRPr="00C540FA">
          <w:rPr>
            <w:rStyle w:val="Hyperlink"/>
            <w:rFonts w:ascii="Times New Roman" w:hAnsi="Times New Roman" w:cs="Times New Roman"/>
          </w:rPr>
          <w:t>https://www.isda.org/a/9SKDE/ISDA-Cross-Border-Harmonization-FINAL2.pdf</w:t>
        </w:r>
      </w:hyperlink>
      <w:r w:rsidRPr="00C540FA">
        <w:rPr>
          <w:rFonts w:ascii="Times New Roman" w:hAnsi="Times New Roman" w:cs="Times New Roman"/>
        </w:rPr>
        <w:t xml:space="preserve">.  </w:t>
      </w:r>
    </w:p>
  </w:footnote>
  <w:footnote w:id="8">
    <w:p w14:paraId="6C0D6E9C" w14:textId="77777777" w:rsidR="00DC62E8" w:rsidRPr="00C540FA" w:rsidRDefault="00DC62E8">
      <w:pPr>
        <w:pStyle w:val="FootnoteText"/>
        <w:rPr>
          <w:rFonts w:ascii="Times New Roman" w:hAnsi="Times New Roman" w:cs="Times New Roman"/>
        </w:rPr>
      </w:pPr>
      <w:r w:rsidRPr="00C540FA">
        <w:rPr>
          <w:rStyle w:val="FootnoteReference"/>
          <w:rFonts w:ascii="Times New Roman" w:hAnsi="Times New Roman" w:cs="Times New Roman"/>
        </w:rPr>
        <w:footnoteRef/>
      </w:r>
      <w:r w:rsidRPr="00C540FA">
        <w:rPr>
          <w:rFonts w:ascii="Times New Roman" w:hAnsi="Times New Roman" w:cs="Times New Roman"/>
        </w:rPr>
        <w:t xml:space="preserve"> </w:t>
      </w:r>
      <w:r w:rsidR="00C540FA" w:rsidRPr="00C540FA">
        <w:rPr>
          <w:rFonts w:ascii="Times New Roman" w:hAnsi="Times New Roman" w:cs="Times New Roman"/>
        </w:rPr>
        <w:t xml:space="preserve">Regulatory-Driven Market Fragmentation (Jan. 2019), </w:t>
      </w:r>
      <w:hyperlink r:id="rId5" w:history="1">
        <w:r w:rsidR="00C540FA" w:rsidRPr="00377DE0">
          <w:rPr>
            <w:rStyle w:val="Hyperlink"/>
            <w:rFonts w:ascii="Times New Roman" w:hAnsi="Times New Roman" w:cs="Times New Roman"/>
          </w:rPr>
          <w:t>https://www.isda.org/2019/01/30/regulatory-driven-market-fragmentation/</w:t>
        </w:r>
      </w:hyperlink>
      <w:r w:rsidR="00275FD1" w:rsidRPr="00275FD1">
        <w:rPr>
          <w:rStyle w:val="Hyperlink"/>
          <w:rFonts w:ascii="Times New Roman" w:hAnsi="Times New Roman" w:cs="Times New Roman"/>
          <w:color w:val="auto"/>
          <w:u w:val="none"/>
        </w:rPr>
        <w:t>.</w:t>
      </w:r>
      <w:r w:rsidR="00C540FA" w:rsidRPr="00C540FA">
        <w:rPr>
          <w:rFonts w:ascii="Times New Roman" w:hAnsi="Times New Roman" w:cs="Times New Roman"/>
        </w:rPr>
        <w:t xml:space="preserve"> </w:t>
      </w:r>
    </w:p>
  </w:footnote>
  <w:footnote w:id="9">
    <w:p w14:paraId="5A59378E" w14:textId="77777777" w:rsidR="006315EC" w:rsidRPr="00C540FA" w:rsidRDefault="006315EC">
      <w:pPr>
        <w:pStyle w:val="FootnoteText"/>
        <w:rPr>
          <w:rFonts w:ascii="Times New Roman" w:hAnsi="Times New Roman" w:cs="Times New Roman"/>
        </w:rPr>
      </w:pPr>
      <w:r w:rsidRPr="00C540FA">
        <w:rPr>
          <w:rStyle w:val="FootnoteReference"/>
          <w:rFonts w:ascii="Times New Roman" w:hAnsi="Times New Roman" w:cs="Times New Roman"/>
        </w:rPr>
        <w:footnoteRef/>
      </w:r>
      <w:r w:rsidRPr="00C540FA">
        <w:rPr>
          <w:rFonts w:ascii="Times New Roman" w:hAnsi="Times New Roman" w:cs="Times New Roman"/>
        </w:rPr>
        <w:t xml:space="preserve"> Supplemental Proposal at 35460. </w:t>
      </w:r>
    </w:p>
  </w:footnote>
  <w:footnote w:id="10">
    <w:p w14:paraId="2BB5172E" w14:textId="77777777" w:rsidR="006315EC" w:rsidRPr="00C540FA" w:rsidRDefault="006315EC">
      <w:pPr>
        <w:pStyle w:val="FootnoteText"/>
        <w:rPr>
          <w:rFonts w:ascii="Times New Roman" w:hAnsi="Times New Roman" w:cs="Times New Roman"/>
        </w:rPr>
      </w:pPr>
      <w:r w:rsidRPr="00C540FA">
        <w:rPr>
          <w:rStyle w:val="FootnoteReference"/>
          <w:rFonts w:ascii="Times New Roman" w:hAnsi="Times New Roman" w:cs="Times New Roman"/>
        </w:rPr>
        <w:footnoteRef/>
      </w:r>
      <w:r w:rsidR="00A26A1A" w:rsidRPr="00C540FA">
        <w:rPr>
          <w:rFonts w:ascii="Times New Roman" w:hAnsi="Times New Roman" w:cs="Times New Roman"/>
        </w:rPr>
        <w:t xml:space="preserve"> </w:t>
      </w:r>
      <w:r w:rsidR="00A26A1A" w:rsidRPr="00C540FA">
        <w:rPr>
          <w:rFonts w:ascii="Times New Roman" w:hAnsi="Times New Roman" w:cs="Times New Roman"/>
          <w:i/>
        </w:rPr>
        <w:t>See</w:t>
      </w:r>
      <w:r w:rsidR="00A26A1A" w:rsidRPr="00C540FA">
        <w:rPr>
          <w:rFonts w:ascii="Times New Roman" w:hAnsi="Times New Roman" w:cs="Times New Roman"/>
        </w:rPr>
        <w:t xml:space="preserve"> ISDA’s response to the EMIR consultation</w:t>
      </w:r>
      <w:r w:rsidR="00F42AD4">
        <w:rPr>
          <w:rFonts w:ascii="Times New Roman" w:hAnsi="Times New Roman" w:cs="Times New Roman"/>
        </w:rPr>
        <w:t xml:space="preserve">, </w:t>
      </w:r>
      <w:r w:rsidR="00F42AD4" w:rsidRPr="009702B7">
        <w:rPr>
          <w:rFonts w:ascii="Times New Roman" w:hAnsi="Times New Roman" w:cs="Times New Roman"/>
          <w:i/>
        </w:rPr>
        <w:t>available</w:t>
      </w:r>
      <w:r w:rsidR="00A26A1A" w:rsidRPr="009702B7">
        <w:rPr>
          <w:rFonts w:ascii="Times New Roman" w:hAnsi="Times New Roman" w:cs="Times New Roman"/>
          <w:i/>
        </w:rPr>
        <w:t xml:space="preserve"> at</w:t>
      </w:r>
      <w:r w:rsidRPr="00C540FA">
        <w:rPr>
          <w:rFonts w:ascii="Times New Roman" w:hAnsi="Times New Roman" w:cs="Times New Roman"/>
        </w:rPr>
        <w:t xml:space="preserve"> </w:t>
      </w:r>
      <w:hyperlink r:id="rId6" w:history="1">
        <w:r w:rsidR="00A26A1A" w:rsidRPr="00C540FA">
          <w:rPr>
            <w:rStyle w:val="Hyperlink"/>
            <w:rFonts w:ascii="Times New Roman" w:hAnsi="Times New Roman" w:cs="Times New Roman"/>
          </w:rPr>
          <w:t>https://www.isda.org/2019/07/31/final-response-to-tiering-and-comparable-compliance-esma/</w:t>
        </w:r>
      </w:hyperlink>
      <w:r w:rsidR="00A26A1A" w:rsidRPr="00C540FA">
        <w:rPr>
          <w:rFonts w:ascii="Times New Roman" w:hAnsi="Times New Roman" w:cs="Times New Roman"/>
        </w:rPr>
        <w:t>.</w:t>
      </w:r>
    </w:p>
  </w:footnote>
  <w:footnote w:id="11">
    <w:p w14:paraId="5D471C52" w14:textId="77777777" w:rsidR="00AF0801" w:rsidRPr="008C0B55" w:rsidRDefault="00AF0801">
      <w:pPr>
        <w:pStyle w:val="FootnoteText"/>
        <w:rPr>
          <w:rFonts w:ascii="Times New Roman" w:hAnsi="Times New Roman" w:cs="Times New Roman"/>
        </w:rPr>
      </w:pPr>
      <w:r w:rsidRPr="00C540FA">
        <w:rPr>
          <w:rStyle w:val="FootnoteReference"/>
          <w:rFonts w:ascii="Times New Roman" w:hAnsi="Times New Roman" w:cs="Times New Roman"/>
        </w:rPr>
        <w:footnoteRef/>
      </w:r>
      <w:r w:rsidRPr="00C540FA">
        <w:rPr>
          <w:rFonts w:ascii="Times New Roman" w:hAnsi="Times New Roman" w:cs="Times New Roman"/>
        </w:rPr>
        <w:t xml:space="preserve"> We provide similar comments to the Commission’s Alternative Compliance Proposal</w:t>
      </w:r>
      <w:r w:rsidR="006565D5">
        <w:rPr>
          <w:rFonts w:ascii="Times New Roman" w:hAnsi="Times New Roman" w:cs="Times New Roman"/>
        </w:rPr>
        <w:t>,</w:t>
      </w:r>
      <w:r w:rsidR="00105189" w:rsidRPr="00105189">
        <w:rPr>
          <w:rFonts w:ascii="Times New Roman" w:hAnsi="Times New Roman" w:cs="Times New Roman"/>
        </w:rPr>
        <w:t xml:space="preserve"> </w:t>
      </w:r>
      <w:r w:rsidR="00105189">
        <w:rPr>
          <w:rFonts w:ascii="Times New Roman" w:hAnsi="Times New Roman" w:cs="Times New Roman"/>
        </w:rPr>
        <w:t xml:space="preserve">Registration with Alternative </w:t>
      </w:r>
      <w:r w:rsidR="00105189" w:rsidRPr="002B5DD3">
        <w:rPr>
          <w:rFonts w:ascii="Times New Roman" w:hAnsi="Times New Roman" w:cs="Times New Roman"/>
        </w:rPr>
        <w:t>Comp</w:t>
      </w:r>
      <w:r w:rsidR="00105189">
        <w:rPr>
          <w:rFonts w:ascii="Times New Roman" w:hAnsi="Times New Roman" w:cs="Times New Roman"/>
        </w:rPr>
        <w:t xml:space="preserve">liance for Non-U.S. Derivatives </w:t>
      </w:r>
      <w:r w:rsidR="00105189" w:rsidRPr="002B5DD3">
        <w:rPr>
          <w:rFonts w:ascii="Times New Roman" w:hAnsi="Times New Roman" w:cs="Times New Roman"/>
        </w:rPr>
        <w:t>Clearing Organizations</w:t>
      </w:r>
      <w:r w:rsidR="00105189">
        <w:rPr>
          <w:rFonts w:ascii="Times New Roman" w:hAnsi="Times New Roman" w:cs="Times New Roman"/>
        </w:rPr>
        <w:t xml:space="preserve">, Notice of Proposed Rulemaking, </w:t>
      </w:r>
      <w:proofErr w:type="gramStart"/>
      <w:r w:rsidR="00105189">
        <w:rPr>
          <w:rFonts w:ascii="Times New Roman" w:hAnsi="Times New Roman" w:cs="Times New Roman"/>
        </w:rPr>
        <w:t>84</w:t>
      </w:r>
      <w:proofErr w:type="gramEnd"/>
      <w:r w:rsidR="00105189">
        <w:rPr>
          <w:rFonts w:ascii="Times New Roman" w:hAnsi="Times New Roman" w:cs="Times New Roman"/>
        </w:rPr>
        <w:t xml:space="preserve"> Fed. Reg. 34819 (July 19, 2019), </w:t>
      </w:r>
      <w:hyperlink r:id="rId7" w:history="1">
        <w:r w:rsidR="00105189" w:rsidRPr="00747309">
          <w:rPr>
            <w:rStyle w:val="Hyperlink"/>
            <w:rFonts w:ascii="Times New Roman" w:hAnsi="Times New Roman" w:cs="Times New Roman"/>
          </w:rPr>
          <w:t>https://www.govinfo.gov/content/pkg/FR-2019-07-19/pdf/2019-15262.pdf</w:t>
        </w:r>
      </w:hyperlink>
      <w:r w:rsidR="00105189">
        <w:rPr>
          <w:rFonts w:ascii="Times New Roman" w:hAnsi="Times New Roman" w:cs="Times New Roman"/>
        </w:rPr>
        <w:t xml:space="preserve">. </w:t>
      </w:r>
      <w:r w:rsidR="00EB26AB" w:rsidRPr="008C0B55">
        <w:rPr>
          <w:rFonts w:ascii="Times New Roman" w:hAnsi="Times New Roman" w:cs="Times New Roman"/>
        </w:rPr>
        <w:t xml:space="preserve"> </w:t>
      </w:r>
    </w:p>
  </w:footnote>
  <w:footnote w:id="12">
    <w:p w14:paraId="0C16631D" w14:textId="77777777" w:rsidR="004168D9" w:rsidRPr="004168D9" w:rsidRDefault="004168D9">
      <w:pPr>
        <w:pStyle w:val="FootnoteText"/>
        <w:rPr>
          <w:rFonts w:ascii="Times New Roman" w:hAnsi="Times New Roman" w:cs="Times New Roman"/>
          <w:lang w:eastAsia="ja-JP"/>
        </w:rPr>
      </w:pPr>
      <w:r w:rsidRPr="004168D9">
        <w:rPr>
          <w:rStyle w:val="FootnoteReference"/>
          <w:rFonts w:ascii="Times New Roman" w:hAnsi="Times New Roman" w:cs="Times New Roman"/>
        </w:rPr>
        <w:footnoteRef/>
      </w:r>
      <w:r w:rsidRPr="004168D9">
        <w:rPr>
          <w:rFonts w:ascii="Times New Roman" w:hAnsi="Times New Roman" w:cs="Times New Roman"/>
        </w:rPr>
        <w:t xml:space="preserve"> Principle 18</w:t>
      </w:r>
      <w:r w:rsidR="006E359C">
        <w:rPr>
          <w:rFonts w:ascii="Times New Roman" w:hAnsi="Times New Roman" w:cs="Times New Roman"/>
        </w:rPr>
        <w:t xml:space="preserve"> </w:t>
      </w:r>
      <w:r>
        <w:rPr>
          <w:rFonts w:ascii="Times New Roman" w:hAnsi="Times New Roman" w:cs="Times New Roman" w:hint="eastAsia"/>
          <w:lang w:eastAsia="ja-JP"/>
        </w:rPr>
        <w:t>(</w:t>
      </w:r>
      <w:r w:rsidR="000704EA">
        <w:rPr>
          <w:rFonts w:ascii="Times New Roman" w:hAnsi="Times New Roman" w:cs="Times New Roman"/>
        </w:rPr>
        <w:t>a</w:t>
      </w:r>
      <w:r w:rsidRPr="004168D9">
        <w:rPr>
          <w:rFonts w:ascii="Times New Roman" w:hAnsi="Times New Roman" w:cs="Times New Roman"/>
        </w:rPr>
        <w:t>ccess and participation requirements</w:t>
      </w:r>
      <w:r>
        <w:rPr>
          <w:rFonts w:ascii="Times New Roman" w:hAnsi="Times New Roman" w:cs="Times New Roman" w:hint="eastAsia"/>
          <w:lang w:eastAsia="ja-JP"/>
        </w:rPr>
        <w:t>)</w:t>
      </w:r>
      <w:r w:rsidRPr="004168D9">
        <w:rPr>
          <w:rFonts w:ascii="Times New Roman" w:hAnsi="Times New Roman" w:cs="Times New Roman"/>
          <w:lang w:eastAsia="ja-JP"/>
        </w:rPr>
        <w:t xml:space="preserve"> of the PFMI</w:t>
      </w:r>
      <w:r w:rsidR="000704EA">
        <w:rPr>
          <w:rFonts w:ascii="Times New Roman" w:hAnsi="Times New Roman" w:cs="Times New Roman"/>
          <w:lang w:eastAsia="ja-JP"/>
        </w:rPr>
        <w:t>.</w:t>
      </w:r>
    </w:p>
  </w:footnote>
  <w:footnote w:id="13">
    <w:p w14:paraId="51E50389" w14:textId="77777777" w:rsidR="00D41E65" w:rsidRDefault="00D41E65">
      <w:pPr>
        <w:pStyle w:val="FootnoteText"/>
      </w:pPr>
      <w:r>
        <w:rPr>
          <w:rStyle w:val="FootnoteReference"/>
        </w:rPr>
        <w:footnoteRef/>
      </w:r>
      <w:r>
        <w:t xml:space="preserve"> </w:t>
      </w:r>
      <w:r w:rsidRPr="0034679F">
        <w:rPr>
          <w:rFonts w:ascii="Times New Roman" w:hAnsi="Times New Roman" w:cs="Times New Roman"/>
          <w:i/>
        </w:rPr>
        <w:t>See</w:t>
      </w:r>
      <w:r w:rsidRPr="0034679F">
        <w:rPr>
          <w:rFonts w:ascii="Times New Roman" w:hAnsi="Times New Roman" w:cs="Times New Roman"/>
        </w:rPr>
        <w:t xml:space="preserve"> Interpretive Guidance and Policy Statement Regarding Compliance with </w:t>
      </w:r>
      <w:r w:rsidRPr="00C540FA">
        <w:rPr>
          <w:rFonts w:ascii="Times New Roman" w:hAnsi="Times New Roman" w:cs="Times New Roman"/>
        </w:rPr>
        <w:t xml:space="preserve">Certain Swap Regulations; Rule (July 26, 2013), </w:t>
      </w:r>
      <w:r w:rsidRPr="00C540FA">
        <w:rPr>
          <w:rFonts w:ascii="Times New Roman" w:hAnsi="Times New Roman" w:cs="Times New Roman"/>
          <w:i/>
        </w:rPr>
        <w:t>available at</w:t>
      </w:r>
      <w:r w:rsidRPr="00C540FA">
        <w:rPr>
          <w:rFonts w:ascii="Times New Roman" w:hAnsi="Times New Roman" w:cs="Times New Roman"/>
        </w:rPr>
        <w:t xml:space="preserve"> </w:t>
      </w:r>
      <w:hyperlink r:id="rId8" w:history="1">
        <w:r w:rsidRPr="00C540FA">
          <w:rPr>
            <w:rStyle w:val="Hyperlink"/>
            <w:rFonts w:ascii="Times New Roman" w:hAnsi="Times New Roman" w:cs="Times New Roman"/>
          </w:rPr>
          <w:t>https://www.cftc.gov/sites/default/files/idc/groups/public/@lrfederalregister/documents/file/2013-17958a.pdf</w:t>
        </w:r>
      </w:hyperlink>
    </w:p>
  </w:footnote>
  <w:footnote w:id="14">
    <w:p w14:paraId="59C57ADB" w14:textId="77777777" w:rsidR="00786C95" w:rsidRPr="005E58FE" w:rsidRDefault="00786C95">
      <w:pPr>
        <w:pStyle w:val="FootnoteText"/>
        <w:rPr>
          <w:rFonts w:ascii="Times New Roman" w:hAnsi="Times New Roman" w:cs="Times New Roman"/>
        </w:rPr>
      </w:pPr>
      <w:r w:rsidRPr="005E58FE">
        <w:rPr>
          <w:rStyle w:val="FootnoteReference"/>
          <w:rFonts w:ascii="Times New Roman" w:hAnsi="Times New Roman" w:cs="Times New Roman"/>
        </w:rPr>
        <w:footnoteRef/>
      </w:r>
      <w:r w:rsidRPr="005E58FE">
        <w:rPr>
          <w:rFonts w:ascii="Times New Roman" w:hAnsi="Times New Roman" w:cs="Times New Roman"/>
        </w:rPr>
        <w:t xml:space="preserve"> </w:t>
      </w:r>
      <w:r w:rsidR="00142CDD" w:rsidRPr="00142CDD">
        <w:rPr>
          <w:rFonts w:ascii="Times New Roman" w:hAnsi="Times New Roman" w:cs="Times New Roman"/>
        </w:rPr>
        <w:t xml:space="preserve"> </w:t>
      </w:r>
      <w:r w:rsidR="00142CDD" w:rsidRPr="00A7713F">
        <w:rPr>
          <w:rFonts w:ascii="Times New Roman" w:hAnsi="Times New Roman" w:cs="Times New Roman"/>
        </w:rPr>
        <w:t>Exem</w:t>
      </w:r>
      <w:r w:rsidR="00142CDD">
        <w:rPr>
          <w:rFonts w:ascii="Times New Roman" w:hAnsi="Times New Roman" w:cs="Times New Roman"/>
        </w:rPr>
        <w:t xml:space="preserve">ption from Derivatives Clearing </w:t>
      </w:r>
      <w:r w:rsidR="00142CDD" w:rsidRPr="00A7713F">
        <w:rPr>
          <w:rFonts w:ascii="Times New Roman" w:hAnsi="Times New Roman" w:cs="Times New Roman"/>
        </w:rPr>
        <w:t>Organization Registration</w:t>
      </w:r>
      <w:r w:rsidR="00142CDD">
        <w:rPr>
          <w:rFonts w:ascii="Times New Roman" w:hAnsi="Times New Roman" w:cs="Times New Roman"/>
        </w:rPr>
        <w:t xml:space="preserve">, Supplemental notice of </w:t>
      </w:r>
      <w:r w:rsidR="00142CDD" w:rsidRPr="00A7713F">
        <w:rPr>
          <w:rFonts w:ascii="Times New Roman" w:hAnsi="Times New Roman" w:cs="Times New Roman"/>
        </w:rPr>
        <w:t>proposed rulemaking</w:t>
      </w:r>
      <w:r w:rsidR="00142CDD">
        <w:rPr>
          <w:rFonts w:ascii="Times New Roman" w:hAnsi="Times New Roman" w:cs="Times New Roman"/>
        </w:rPr>
        <w:t xml:space="preserve">, 84 Fed. Reg. 35456 (July 23, 2019), </w:t>
      </w:r>
      <w:hyperlink r:id="rId9" w:history="1">
        <w:r w:rsidR="00142CDD" w:rsidRPr="00F11C0E">
          <w:rPr>
            <w:rStyle w:val="Hyperlink"/>
            <w:rFonts w:ascii="Times New Roman" w:hAnsi="Times New Roman" w:cs="Times New Roman"/>
          </w:rPr>
          <w:t>https://www.govinfo.gov/content/pkg/FR-2019-07-23/pdf/2019-15258.pdf</w:t>
        </w:r>
      </w:hyperlink>
      <w:r w:rsidR="00142CDD">
        <w:rPr>
          <w:rFonts w:ascii="Times New Roman" w:hAnsi="Times New Roman" w:cs="Times New Roman"/>
        </w:rPr>
        <w:t xml:space="preserve">. </w:t>
      </w:r>
    </w:p>
  </w:footnote>
  <w:footnote w:id="15">
    <w:p w14:paraId="08070678" w14:textId="77777777" w:rsidR="00C540FA" w:rsidRDefault="00C540FA">
      <w:pPr>
        <w:pStyle w:val="FootnoteText"/>
      </w:pPr>
      <w:r w:rsidRPr="00377DE0">
        <w:rPr>
          <w:rStyle w:val="FootnoteReference"/>
          <w:rFonts w:ascii="Times New Roman" w:hAnsi="Times New Roman" w:cs="Times New Roman"/>
        </w:rPr>
        <w:footnoteRef/>
      </w:r>
      <w:r w:rsidRPr="00377DE0">
        <w:rPr>
          <w:rFonts w:ascii="Times New Roman" w:hAnsi="Times New Roman" w:cs="Times New Roman"/>
        </w:rPr>
        <w:t xml:space="preserve"> </w:t>
      </w:r>
      <w:r w:rsidR="00E0341B">
        <w:rPr>
          <w:rFonts w:ascii="Times New Roman" w:hAnsi="Times New Roman" w:cs="Times New Roman"/>
        </w:rPr>
        <w:t xml:space="preserve">Supplemental </w:t>
      </w:r>
      <w:r w:rsidRPr="00377DE0">
        <w:rPr>
          <w:rFonts w:ascii="Times New Roman" w:hAnsi="Times New Roman" w:cs="Times New Roman"/>
        </w:rPr>
        <w:t xml:space="preserve">Proposal at 35460. </w:t>
      </w:r>
    </w:p>
  </w:footnote>
  <w:footnote w:id="16">
    <w:p w14:paraId="108FD415" w14:textId="77777777" w:rsidR="00475B41" w:rsidRDefault="00475B41" w:rsidP="00DE5DCA">
      <w:pPr>
        <w:pStyle w:val="CommentText"/>
        <w:spacing w:after="0"/>
      </w:pPr>
      <w:r w:rsidRPr="00A7713F">
        <w:rPr>
          <w:rStyle w:val="FootnoteReference"/>
          <w:rFonts w:ascii="Times New Roman" w:hAnsi="Times New Roman" w:cs="Times New Roman"/>
        </w:rPr>
        <w:footnoteRef/>
      </w:r>
      <w:r w:rsidRPr="00A7713F">
        <w:rPr>
          <w:rFonts w:ascii="Times New Roman" w:hAnsi="Times New Roman" w:cs="Times New Roman"/>
        </w:rPr>
        <w:t xml:space="preserve"> We also ask the Commission to </w:t>
      </w:r>
      <w:r w:rsidR="0075299A">
        <w:rPr>
          <w:rFonts w:ascii="Times New Roman" w:hAnsi="Times New Roman" w:cs="Times New Roman"/>
        </w:rPr>
        <w:t xml:space="preserve">provide </w:t>
      </w:r>
      <w:r w:rsidRPr="00A7713F">
        <w:rPr>
          <w:rFonts w:ascii="Times New Roman" w:hAnsi="Times New Roman" w:cs="Times New Roman"/>
        </w:rPr>
        <w:t xml:space="preserve">transitional relief to </w:t>
      </w:r>
      <w:r w:rsidR="0075299A">
        <w:rPr>
          <w:rFonts w:ascii="Times New Roman" w:hAnsi="Times New Roman" w:cs="Times New Roman"/>
        </w:rPr>
        <w:t xml:space="preserve">foreign CCPs that </w:t>
      </w:r>
      <w:r w:rsidRPr="00A7713F">
        <w:rPr>
          <w:rFonts w:ascii="Times New Roman" w:hAnsi="Times New Roman" w:cs="Times New Roman"/>
        </w:rPr>
        <w:t xml:space="preserve">currently </w:t>
      </w:r>
      <w:r w:rsidR="009366B8">
        <w:rPr>
          <w:rFonts w:ascii="Times New Roman" w:hAnsi="Times New Roman" w:cs="Times New Roman"/>
        </w:rPr>
        <w:t xml:space="preserve">operate under the CFTC’s no-action relief to allow these clearing organizations to continue to clear </w:t>
      </w:r>
      <w:r w:rsidR="009366B8" w:rsidRPr="009366B8">
        <w:rPr>
          <w:rFonts w:ascii="Times New Roman" w:hAnsi="Times New Roman" w:cs="Times New Roman"/>
        </w:rPr>
        <w:t>proprietary trades of U.S. clearing members</w:t>
      </w:r>
      <w:r w:rsidR="009366B8">
        <w:rPr>
          <w:rFonts w:ascii="Times New Roman" w:hAnsi="Times New Roman" w:cs="Times New Roman"/>
        </w:rPr>
        <w:t>.</w:t>
      </w:r>
      <w:r w:rsidRPr="00A7713F">
        <w:rPr>
          <w:rFonts w:ascii="Times New Roman" w:hAnsi="Times New Roman" w:cs="Times New Roman"/>
        </w:rPr>
        <w:t xml:space="preserve"> In the</w:t>
      </w:r>
      <w:r w:rsidR="009366B8">
        <w:rPr>
          <w:rFonts w:ascii="Times New Roman" w:hAnsi="Times New Roman" w:cs="Times New Roman"/>
        </w:rPr>
        <w:t xml:space="preserve"> event of an </w:t>
      </w:r>
      <w:r w:rsidRPr="00A7713F">
        <w:rPr>
          <w:rFonts w:ascii="Times New Roman" w:hAnsi="Times New Roman" w:cs="Times New Roman"/>
        </w:rPr>
        <w:t xml:space="preserve">exempt DCO </w:t>
      </w:r>
      <w:r w:rsidR="009366B8">
        <w:rPr>
          <w:rFonts w:ascii="Times New Roman" w:hAnsi="Times New Roman" w:cs="Times New Roman"/>
        </w:rPr>
        <w:t xml:space="preserve">exceeding </w:t>
      </w:r>
      <w:r w:rsidRPr="00A7713F">
        <w:rPr>
          <w:rFonts w:ascii="Times New Roman" w:hAnsi="Times New Roman" w:cs="Times New Roman"/>
        </w:rPr>
        <w:t xml:space="preserve">the threshold, we believe </w:t>
      </w:r>
      <w:r w:rsidR="009366B8">
        <w:rPr>
          <w:rFonts w:ascii="Times New Roman" w:hAnsi="Times New Roman" w:cs="Times New Roman"/>
        </w:rPr>
        <w:t xml:space="preserve">time-limited </w:t>
      </w:r>
      <w:r w:rsidRPr="00A7713F">
        <w:rPr>
          <w:rFonts w:ascii="Times New Roman" w:hAnsi="Times New Roman" w:cs="Times New Roman"/>
        </w:rPr>
        <w:t xml:space="preserve">relief should be provided to allow market participants to take the necessary steps to migrate their business and operations. </w:t>
      </w:r>
    </w:p>
  </w:footnote>
  <w:footnote w:id="17">
    <w:p w14:paraId="78C7DCBA" w14:textId="77777777" w:rsidR="001510EC" w:rsidRPr="003079B2" w:rsidRDefault="001510EC" w:rsidP="00DE5DCA">
      <w:pPr>
        <w:pStyle w:val="FootnoteText"/>
        <w:rPr>
          <w:rFonts w:ascii="Times New Roman" w:hAnsi="Times New Roman" w:cs="Times New Roman"/>
        </w:rPr>
      </w:pPr>
      <w:r w:rsidRPr="00DC62E8">
        <w:rPr>
          <w:rStyle w:val="FootnoteReference"/>
          <w:rFonts w:ascii="Times New Roman" w:hAnsi="Times New Roman" w:cs="Times New Roman"/>
        </w:rPr>
        <w:footnoteRef/>
      </w:r>
      <w:r w:rsidRPr="00DC62E8">
        <w:rPr>
          <w:rFonts w:ascii="Times New Roman" w:hAnsi="Times New Roman" w:cs="Times New Roman"/>
        </w:rPr>
        <w:t xml:space="preserve"> ISDA Letter to the CFTC (Oct. 12, 2018), </w:t>
      </w:r>
      <w:r w:rsidRPr="00DC62E8">
        <w:rPr>
          <w:rFonts w:ascii="Times New Roman" w:hAnsi="Times New Roman" w:cs="Times New Roman"/>
          <w:i/>
        </w:rPr>
        <w:t xml:space="preserve">available at </w:t>
      </w:r>
      <w:hyperlink r:id="rId10" w:history="1">
        <w:r w:rsidRPr="003079B2">
          <w:rPr>
            <w:rStyle w:val="Hyperlink"/>
            <w:rFonts w:ascii="Times New Roman" w:hAnsi="Times New Roman" w:cs="Times New Roman"/>
          </w:rPr>
          <w:t>https://comments.cftc.gov/PublicComments/CommentList.aspx?id=3009</w:t>
        </w:r>
      </w:hyperlink>
      <w:r w:rsidRPr="003079B2">
        <w:rPr>
          <w:rFonts w:ascii="Times New Roman" w:hAnsi="Times New Roman" w:cs="Times New Roman"/>
        </w:rPr>
        <w:t xml:space="preserve">. </w:t>
      </w:r>
    </w:p>
  </w:footnote>
  <w:footnote w:id="18">
    <w:p w14:paraId="266BC721" w14:textId="77777777" w:rsidR="003079B2" w:rsidRPr="00377DE0" w:rsidRDefault="003079B2" w:rsidP="00DE5DCA">
      <w:pPr>
        <w:pStyle w:val="FootnoteText"/>
        <w:rPr>
          <w:rFonts w:ascii="Times New Roman" w:hAnsi="Times New Roman" w:cs="Times New Roman"/>
        </w:rPr>
      </w:pPr>
      <w:r w:rsidRPr="00377DE0">
        <w:rPr>
          <w:rStyle w:val="FootnoteReference"/>
          <w:rFonts w:ascii="Times New Roman" w:hAnsi="Times New Roman" w:cs="Times New Roman"/>
        </w:rPr>
        <w:footnoteRef/>
      </w:r>
      <w:r w:rsidRPr="00377DE0">
        <w:rPr>
          <w:rFonts w:ascii="Times New Roman" w:hAnsi="Times New Roman" w:cs="Times New Roman"/>
        </w:rPr>
        <w:t xml:space="preserve"> </w:t>
      </w:r>
      <w:r w:rsidRPr="00781606">
        <w:rPr>
          <w:rFonts w:ascii="Times New Roman" w:hAnsi="Times New Roman" w:cs="Times New Roman"/>
        </w:rPr>
        <w:t>In the case of foreign bra</w:t>
      </w:r>
      <w:r w:rsidR="00C540FA" w:rsidRPr="00781606">
        <w:rPr>
          <w:rFonts w:ascii="Times New Roman" w:hAnsi="Times New Roman" w:cs="Times New Roman"/>
        </w:rPr>
        <w:t xml:space="preserve">nches of U.S. banks, </w:t>
      </w:r>
      <w:r w:rsidR="00A04622" w:rsidRPr="00781606">
        <w:rPr>
          <w:rFonts w:ascii="Times New Roman" w:hAnsi="Times New Roman" w:cs="Times New Roman"/>
        </w:rPr>
        <w:t>prohibiting</w:t>
      </w:r>
      <w:r w:rsidR="00C540FA" w:rsidRPr="00781606">
        <w:rPr>
          <w:rFonts w:ascii="Times New Roman" w:hAnsi="Times New Roman" w:cs="Times New Roman"/>
        </w:rPr>
        <w:t xml:space="preserve"> such entities to access non-U.S. CCPs for voluntarily cleared swaps creates competitive disadvantages vis-a-vis non-U.S. subsidiaries of U.S. banks.   </w:t>
      </w:r>
    </w:p>
  </w:footnote>
  <w:footnote w:id="19">
    <w:p w14:paraId="0FC304B3" w14:textId="77777777" w:rsidR="008521F5" w:rsidRPr="00377DE0" w:rsidRDefault="008521F5">
      <w:pPr>
        <w:pStyle w:val="FootnoteText"/>
        <w:rPr>
          <w:rFonts w:ascii="Times New Roman" w:hAnsi="Times New Roman" w:cs="Times New Roman"/>
        </w:rPr>
      </w:pPr>
      <w:r w:rsidRPr="00781606">
        <w:rPr>
          <w:rStyle w:val="FootnoteReference"/>
          <w:rFonts w:ascii="Times New Roman" w:hAnsi="Times New Roman" w:cs="Times New Roman"/>
        </w:rPr>
        <w:footnoteRef/>
      </w:r>
      <w:r w:rsidRPr="00781606">
        <w:rPr>
          <w:rFonts w:ascii="Times New Roman" w:hAnsi="Times New Roman" w:cs="Times New Roman"/>
        </w:rPr>
        <w:t xml:space="preserve"> Should the CFTC expand its clearing mandate to cover more products, we believe that non-U.S. CCPs should not be required to register or obtain an exemption from registration as a DCO because they cleared such products before the mandate was expanded; however, we understand that such CCPs would no longer be able to clear new transactions in the products for U.S. persons once the expanded mandate takes effect.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49FAA" w14:textId="77777777" w:rsidR="001E5B92" w:rsidRDefault="001E5B92">
    <w:pPr>
      <w:pStyle w:val="Header"/>
    </w:pPr>
    <w:r w:rsidRPr="003E328E">
      <w:rPr>
        <w:noProof/>
      </w:rPr>
      <w:drawing>
        <wp:inline distT="0" distB="0" distL="0" distR="0" wp14:anchorId="6EDEB2D0" wp14:editId="707EB65E">
          <wp:extent cx="1552129" cy="3860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5885" cy="39447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F516B"/>
    <w:multiLevelType w:val="hybridMultilevel"/>
    <w:tmpl w:val="142C59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C14AFE"/>
    <w:multiLevelType w:val="hybridMultilevel"/>
    <w:tmpl w:val="C1B012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3A3C79"/>
    <w:multiLevelType w:val="hybridMultilevel"/>
    <w:tmpl w:val="55C8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2477E"/>
    <w:multiLevelType w:val="hybridMultilevel"/>
    <w:tmpl w:val="BF38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E4B6E"/>
    <w:multiLevelType w:val="hybridMultilevel"/>
    <w:tmpl w:val="E396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62204"/>
    <w:multiLevelType w:val="hybridMultilevel"/>
    <w:tmpl w:val="6B503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3C6F11"/>
    <w:multiLevelType w:val="hybridMultilevel"/>
    <w:tmpl w:val="6716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E4"/>
    <w:rsid w:val="00006DD3"/>
    <w:rsid w:val="00017BEB"/>
    <w:rsid w:val="00033C79"/>
    <w:rsid w:val="00052218"/>
    <w:rsid w:val="00052DD3"/>
    <w:rsid w:val="000704EA"/>
    <w:rsid w:val="00070EBE"/>
    <w:rsid w:val="00094C0E"/>
    <w:rsid w:val="00097792"/>
    <w:rsid w:val="00097F04"/>
    <w:rsid w:val="000B253F"/>
    <w:rsid w:val="000D07B9"/>
    <w:rsid w:val="000D0A27"/>
    <w:rsid w:val="000D0D63"/>
    <w:rsid w:val="000D4688"/>
    <w:rsid w:val="000F71A5"/>
    <w:rsid w:val="00101683"/>
    <w:rsid w:val="00105189"/>
    <w:rsid w:val="001061C4"/>
    <w:rsid w:val="0011239B"/>
    <w:rsid w:val="00115886"/>
    <w:rsid w:val="001200DC"/>
    <w:rsid w:val="00122E73"/>
    <w:rsid w:val="001421C7"/>
    <w:rsid w:val="00142CDD"/>
    <w:rsid w:val="00142CDF"/>
    <w:rsid w:val="0014442D"/>
    <w:rsid w:val="0015005D"/>
    <w:rsid w:val="0015027A"/>
    <w:rsid w:val="001510EC"/>
    <w:rsid w:val="00154269"/>
    <w:rsid w:val="00155353"/>
    <w:rsid w:val="00184A43"/>
    <w:rsid w:val="0018683A"/>
    <w:rsid w:val="00192966"/>
    <w:rsid w:val="00195501"/>
    <w:rsid w:val="00195AFC"/>
    <w:rsid w:val="001B0CB5"/>
    <w:rsid w:val="001B6DC3"/>
    <w:rsid w:val="001D2C44"/>
    <w:rsid w:val="001D4D27"/>
    <w:rsid w:val="001E4474"/>
    <w:rsid w:val="001E5B92"/>
    <w:rsid w:val="001F2D81"/>
    <w:rsid w:val="001F40F0"/>
    <w:rsid w:val="001F5990"/>
    <w:rsid w:val="0020402D"/>
    <w:rsid w:val="002141B6"/>
    <w:rsid w:val="002230B2"/>
    <w:rsid w:val="002264BB"/>
    <w:rsid w:val="002277FA"/>
    <w:rsid w:val="00232B28"/>
    <w:rsid w:val="00242D1F"/>
    <w:rsid w:val="00244D30"/>
    <w:rsid w:val="00251020"/>
    <w:rsid w:val="00257F21"/>
    <w:rsid w:val="00264C55"/>
    <w:rsid w:val="00271C4A"/>
    <w:rsid w:val="00273872"/>
    <w:rsid w:val="00275FD1"/>
    <w:rsid w:val="0028166A"/>
    <w:rsid w:val="00283C59"/>
    <w:rsid w:val="00295375"/>
    <w:rsid w:val="002B25D8"/>
    <w:rsid w:val="002B4375"/>
    <w:rsid w:val="002D7EA4"/>
    <w:rsid w:val="002E6D1B"/>
    <w:rsid w:val="002F5AE2"/>
    <w:rsid w:val="002F7418"/>
    <w:rsid w:val="002F7B6E"/>
    <w:rsid w:val="003079B2"/>
    <w:rsid w:val="00311796"/>
    <w:rsid w:val="00330BE7"/>
    <w:rsid w:val="003362CB"/>
    <w:rsid w:val="00340B15"/>
    <w:rsid w:val="00343011"/>
    <w:rsid w:val="0034679F"/>
    <w:rsid w:val="00353E54"/>
    <w:rsid w:val="00366B0B"/>
    <w:rsid w:val="003755CF"/>
    <w:rsid w:val="00377716"/>
    <w:rsid w:val="00377DE0"/>
    <w:rsid w:val="003A33CB"/>
    <w:rsid w:val="003C0C58"/>
    <w:rsid w:val="003C3E8E"/>
    <w:rsid w:val="003C6549"/>
    <w:rsid w:val="003D22FB"/>
    <w:rsid w:val="003E189C"/>
    <w:rsid w:val="003E465A"/>
    <w:rsid w:val="003F4377"/>
    <w:rsid w:val="00411269"/>
    <w:rsid w:val="00415726"/>
    <w:rsid w:val="004168D9"/>
    <w:rsid w:val="00426049"/>
    <w:rsid w:val="0043050E"/>
    <w:rsid w:val="00434284"/>
    <w:rsid w:val="00443882"/>
    <w:rsid w:val="0044557E"/>
    <w:rsid w:val="0044602C"/>
    <w:rsid w:val="00450F17"/>
    <w:rsid w:val="00454485"/>
    <w:rsid w:val="00454A16"/>
    <w:rsid w:val="00454FD4"/>
    <w:rsid w:val="00462DCA"/>
    <w:rsid w:val="00463286"/>
    <w:rsid w:val="004636A5"/>
    <w:rsid w:val="00475B41"/>
    <w:rsid w:val="004833CC"/>
    <w:rsid w:val="00486839"/>
    <w:rsid w:val="00497E15"/>
    <w:rsid w:val="004A04D1"/>
    <w:rsid w:val="004A085B"/>
    <w:rsid w:val="004A7DDC"/>
    <w:rsid w:val="004B15B0"/>
    <w:rsid w:val="004D16AD"/>
    <w:rsid w:val="004D333D"/>
    <w:rsid w:val="004E0FCB"/>
    <w:rsid w:val="004E6977"/>
    <w:rsid w:val="0050406C"/>
    <w:rsid w:val="00517122"/>
    <w:rsid w:val="005235D3"/>
    <w:rsid w:val="00527943"/>
    <w:rsid w:val="005316C9"/>
    <w:rsid w:val="005346F8"/>
    <w:rsid w:val="00565E07"/>
    <w:rsid w:val="005701D9"/>
    <w:rsid w:val="005719AE"/>
    <w:rsid w:val="00574B43"/>
    <w:rsid w:val="00596090"/>
    <w:rsid w:val="005974B9"/>
    <w:rsid w:val="00597802"/>
    <w:rsid w:val="005A03BD"/>
    <w:rsid w:val="005B2C68"/>
    <w:rsid w:val="005D0C53"/>
    <w:rsid w:val="005D1458"/>
    <w:rsid w:val="005D6A59"/>
    <w:rsid w:val="005E58FE"/>
    <w:rsid w:val="005F2DDF"/>
    <w:rsid w:val="005F2E98"/>
    <w:rsid w:val="005F42D5"/>
    <w:rsid w:val="006004F9"/>
    <w:rsid w:val="006068E8"/>
    <w:rsid w:val="0062559E"/>
    <w:rsid w:val="006315EC"/>
    <w:rsid w:val="00631A42"/>
    <w:rsid w:val="0063238B"/>
    <w:rsid w:val="00633FF4"/>
    <w:rsid w:val="00644FFA"/>
    <w:rsid w:val="006463C3"/>
    <w:rsid w:val="00650D30"/>
    <w:rsid w:val="006527AC"/>
    <w:rsid w:val="006565D5"/>
    <w:rsid w:val="00667196"/>
    <w:rsid w:val="00672C8F"/>
    <w:rsid w:val="00673AFA"/>
    <w:rsid w:val="006773B9"/>
    <w:rsid w:val="0068271E"/>
    <w:rsid w:val="006829A5"/>
    <w:rsid w:val="006842B1"/>
    <w:rsid w:val="00684DF5"/>
    <w:rsid w:val="006A2C0E"/>
    <w:rsid w:val="006B1CB4"/>
    <w:rsid w:val="006B4B5B"/>
    <w:rsid w:val="006C11BD"/>
    <w:rsid w:val="006C4292"/>
    <w:rsid w:val="006D1C1F"/>
    <w:rsid w:val="006D3EF7"/>
    <w:rsid w:val="006E359C"/>
    <w:rsid w:val="006E6F63"/>
    <w:rsid w:val="006F49C2"/>
    <w:rsid w:val="006F72F2"/>
    <w:rsid w:val="00702750"/>
    <w:rsid w:val="00721CD3"/>
    <w:rsid w:val="0072605C"/>
    <w:rsid w:val="007277D7"/>
    <w:rsid w:val="00727945"/>
    <w:rsid w:val="007322BF"/>
    <w:rsid w:val="00734488"/>
    <w:rsid w:val="00737178"/>
    <w:rsid w:val="0075299A"/>
    <w:rsid w:val="007646C9"/>
    <w:rsid w:val="007666B8"/>
    <w:rsid w:val="00771933"/>
    <w:rsid w:val="00775704"/>
    <w:rsid w:val="00781606"/>
    <w:rsid w:val="007847B1"/>
    <w:rsid w:val="00786C95"/>
    <w:rsid w:val="00787F3E"/>
    <w:rsid w:val="007972F4"/>
    <w:rsid w:val="007A3D81"/>
    <w:rsid w:val="007A71CD"/>
    <w:rsid w:val="007B2588"/>
    <w:rsid w:val="007B7BC7"/>
    <w:rsid w:val="007D08DC"/>
    <w:rsid w:val="007D09D5"/>
    <w:rsid w:val="007D5AAA"/>
    <w:rsid w:val="007F0D7B"/>
    <w:rsid w:val="007F10A6"/>
    <w:rsid w:val="007F5E15"/>
    <w:rsid w:val="00807E1D"/>
    <w:rsid w:val="00811B26"/>
    <w:rsid w:val="00814747"/>
    <w:rsid w:val="00816B0F"/>
    <w:rsid w:val="00817279"/>
    <w:rsid w:val="00820736"/>
    <w:rsid w:val="00842A99"/>
    <w:rsid w:val="008521F5"/>
    <w:rsid w:val="008600E4"/>
    <w:rsid w:val="0086530B"/>
    <w:rsid w:val="00872342"/>
    <w:rsid w:val="008743A5"/>
    <w:rsid w:val="008753E4"/>
    <w:rsid w:val="008772B7"/>
    <w:rsid w:val="008777F8"/>
    <w:rsid w:val="008969C4"/>
    <w:rsid w:val="008A7B9A"/>
    <w:rsid w:val="008B09A9"/>
    <w:rsid w:val="008B3C98"/>
    <w:rsid w:val="008B5D4C"/>
    <w:rsid w:val="008C0B55"/>
    <w:rsid w:val="008C2A83"/>
    <w:rsid w:val="008C42E3"/>
    <w:rsid w:val="008E3F77"/>
    <w:rsid w:val="00900396"/>
    <w:rsid w:val="009040A9"/>
    <w:rsid w:val="00917088"/>
    <w:rsid w:val="009219D7"/>
    <w:rsid w:val="00936090"/>
    <w:rsid w:val="009366B8"/>
    <w:rsid w:val="00937A65"/>
    <w:rsid w:val="00945359"/>
    <w:rsid w:val="009571C9"/>
    <w:rsid w:val="0096362E"/>
    <w:rsid w:val="009702B7"/>
    <w:rsid w:val="00982F59"/>
    <w:rsid w:val="00984C28"/>
    <w:rsid w:val="009867A9"/>
    <w:rsid w:val="00986A69"/>
    <w:rsid w:val="009911E0"/>
    <w:rsid w:val="00995458"/>
    <w:rsid w:val="00995FDF"/>
    <w:rsid w:val="009970CE"/>
    <w:rsid w:val="009A0AF7"/>
    <w:rsid w:val="009A34EB"/>
    <w:rsid w:val="009A3D53"/>
    <w:rsid w:val="009A4059"/>
    <w:rsid w:val="009A6505"/>
    <w:rsid w:val="009B0B58"/>
    <w:rsid w:val="009E17C6"/>
    <w:rsid w:val="009E4B45"/>
    <w:rsid w:val="009E6D69"/>
    <w:rsid w:val="009F7274"/>
    <w:rsid w:val="00A0026E"/>
    <w:rsid w:val="00A0378A"/>
    <w:rsid w:val="00A03C55"/>
    <w:rsid w:val="00A04622"/>
    <w:rsid w:val="00A051B0"/>
    <w:rsid w:val="00A10D76"/>
    <w:rsid w:val="00A13F7F"/>
    <w:rsid w:val="00A22BF9"/>
    <w:rsid w:val="00A26A1A"/>
    <w:rsid w:val="00A46F19"/>
    <w:rsid w:val="00A477CF"/>
    <w:rsid w:val="00A67E4D"/>
    <w:rsid w:val="00A70E57"/>
    <w:rsid w:val="00A72C2B"/>
    <w:rsid w:val="00A75988"/>
    <w:rsid w:val="00A7713F"/>
    <w:rsid w:val="00A80894"/>
    <w:rsid w:val="00AA04D2"/>
    <w:rsid w:val="00AA0730"/>
    <w:rsid w:val="00AB1760"/>
    <w:rsid w:val="00AC1ABB"/>
    <w:rsid w:val="00AE1595"/>
    <w:rsid w:val="00AF0801"/>
    <w:rsid w:val="00AF59B0"/>
    <w:rsid w:val="00B00979"/>
    <w:rsid w:val="00B1786D"/>
    <w:rsid w:val="00B17CB0"/>
    <w:rsid w:val="00B21608"/>
    <w:rsid w:val="00B21CC2"/>
    <w:rsid w:val="00B373B1"/>
    <w:rsid w:val="00B43239"/>
    <w:rsid w:val="00B52BAE"/>
    <w:rsid w:val="00B64139"/>
    <w:rsid w:val="00B64BDA"/>
    <w:rsid w:val="00B73B1E"/>
    <w:rsid w:val="00B94335"/>
    <w:rsid w:val="00B95411"/>
    <w:rsid w:val="00B96B2A"/>
    <w:rsid w:val="00BA7190"/>
    <w:rsid w:val="00BC498F"/>
    <w:rsid w:val="00BC5E26"/>
    <w:rsid w:val="00BC7EBF"/>
    <w:rsid w:val="00BD46F1"/>
    <w:rsid w:val="00BE05CD"/>
    <w:rsid w:val="00BF0012"/>
    <w:rsid w:val="00C12157"/>
    <w:rsid w:val="00C17B3C"/>
    <w:rsid w:val="00C268BA"/>
    <w:rsid w:val="00C272D7"/>
    <w:rsid w:val="00C30FEB"/>
    <w:rsid w:val="00C3277B"/>
    <w:rsid w:val="00C33A84"/>
    <w:rsid w:val="00C44B62"/>
    <w:rsid w:val="00C51E05"/>
    <w:rsid w:val="00C540FA"/>
    <w:rsid w:val="00C57356"/>
    <w:rsid w:val="00C62F0E"/>
    <w:rsid w:val="00C7719A"/>
    <w:rsid w:val="00C8197D"/>
    <w:rsid w:val="00C82EE7"/>
    <w:rsid w:val="00C94A69"/>
    <w:rsid w:val="00C96AFA"/>
    <w:rsid w:val="00C96FAA"/>
    <w:rsid w:val="00CA48A1"/>
    <w:rsid w:val="00CB2A93"/>
    <w:rsid w:val="00CC6F34"/>
    <w:rsid w:val="00CD1F45"/>
    <w:rsid w:val="00CD1FA1"/>
    <w:rsid w:val="00CE10C1"/>
    <w:rsid w:val="00CE6FDE"/>
    <w:rsid w:val="00CF0FFE"/>
    <w:rsid w:val="00CF29CB"/>
    <w:rsid w:val="00D0245C"/>
    <w:rsid w:val="00D134DF"/>
    <w:rsid w:val="00D36781"/>
    <w:rsid w:val="00D37C28"/>
    <w:rsid w:val="00D41470"/>
    <w:rsid w:val="00D41E65"/>
    <w:rsid w:val="00D52857"/>
    <w:rsid w:val="00D52D74"/>
    <w:rsid w:val="00D57369"/>
    <w:rsid w:val="00D60F7B"/>
    <w:rsid w:val="00D7164B"/>
    <w:rsid w:val="00D73B9C"/>
    <w:rsid w:val="00D80449"/>
    <w:rsid w:val="00D82AAE"/>
    <w:rsid w:val="00DC62E8"/>
    <w:rsid w:val="00DC6323"/>
    <w:rsid w:val="00DD5013"/>
    <w:rsid w:val="00DE17EC"/>
    <w:rsid w:val="00DE2C3A"/>
    <w:rsid w:val="00DE4F97"/>
    <w:rsid w:val="00DE5DCA"/>
    <w:rsid w:val="00DF7CFC"/>
    <w:rsid w:val="00E0341B"/>
    <w:rsid w:val="00E041BF"/>
    <w:rsid w:val="00E10981"/>
    <w:rsid w:val="00E27567"/>
    <w:rsid w:val="00E53CB0"/>
    <w:rsid w:val="00E5780C"/>
    <w:rsid w:val="00E6052C"/>
    <w:rsid w:val="00E61BBF"/>
    <w:rsid w:val="00E71104"/>
    <w:rsid w:val="00E83D98"/>
    <w:rsid w:val="00EA214C"/>
    <w:rsid w:val="00EA3AEB"/>
    <w:rsid w:val="00EA5E68"/>
    <w:rsid w:val="00EB26AB"/>
    <w:rsid w:val="00EB4D36"/>
    <w:rsid w:val="00ED3A37"/>
    <w:rsid w:val="00EE0D13"/>
    <w:rsid w:val="00EE1351"/>
    <w:rsid w:val="00EE25CB"/>
    <w:rsid w:val="00EF1A3A"/>
    <w:rsid w:val="00F01A2C"/>
    <w:rsid w:val="00F137DC"/>
    <w:rsid w:val="00F35167"/>
    <w:rsid w:val="00F370AC"/>
    <w:rsid w:val="00F42AD4"/>
    <w:rsid w:val="00F44462"/>
    <w:rsid w:val="00F56412"/>
    <w:rsid w:val="00F64879"/>
    <w:rsid w:val="00F66CF9"/>
    <w:rsid w:val="00F67824"/>
    <w:rsid w:val="00F71ECD"/>
    <w:rsid w:val="00F9749F"/>
    <w:rsid w:val="00FA53D5"/>
    <w:rsid w:val="00FB3BE0"/>
    <w:rsid w:val="00FB5F14"/>
    <w:rsid w:val="00FC3591"/>
    <w:rsid w:val="00FD79C1"/>
    <w:rsid w:val="00FE0F68"/>
    <w:rsid w:val="00FE4DB2"/>
    <w:rsid w:val="00FF6A42"/>
    <w:rsid w:val="00FF7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24A366"/>
  <w15:docId w15:val="{23BC50A8-56E7-44CD-975A-E190E99F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B92"/>
  </w:style>
  <w:style w:type="paragraph" w:styleId="Footer">
    <w:name w:val="footer"/>
    <w:basedOn w:val="Normal"/>
    <w:link w:val="FooterChar"/>
    <w:uiPriority w:val="99"/>
    <w:unhideWhenUsed/>
    <w:rsid w:val="001E5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B92"/>
  </w:style>
  <w:style w:type="paragraph" w:styleId="FootnoteText">
    <w:name w:val="footnote text"/>
    <w:basedOn w:val="Normal"/>
    <w:link w:val="FootnoteTextChar"/>
    <w:uiPriority w:val="99"/>
    <w:semiHidden/>
    <w:unhideWhenUsed/>
    <w:rsid w:val="001510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0EC"/>
    <w:rPr>
      <w:sz w:val="20"/>
      <w:szCs w:val="20"/>
    </w:rPr>
  </w:style>
  <w:style w:type="character" w:styleId="FootnoteReference">
    <w:name w:val="footnote reference"/>
    <w:basedOn w:val="DefaultParagraphFont"/>
    <w:uiPriority w:val="99"/>
    <w:semiHidden/>
    <w:unhideWhenUsed/>
    <w:rsid w:val="001510EC"/>
    <w:rPr>
      <w:vertAlign w:val="superscript"/>
    </w:rPr>
  </w:style>
  <w:style w:type="character" w:styleId="Hyperlink">
    <w:name w:val="Hyperlink"/>
    <w:basedOn w:val="DefaultParagraphFont"/>
    <w:uiPriority w:val="99"/>
    <w:unhideWhenUsed/>
    <w:rsid w:val="001510EC"/>
    <w:rPr>
      <w:color w:val="0000FF"/>
      <w:u w:val="single"/>
    </w:rPr>
  </w:style>
  <w:style w:type="character" w:styleId="CommentReference">
    <w:name w:val="annotation reference"/>
    <w:basedOn w:val="DefaultParagraphFont"/>
    <w:uiPriority w:val="99"/>
    <w:semiHidden/>
    <w:unhideWhenUsed/>
    <w:rsid w:val="007322BF"/>
    <w:rPr>
      <w:sz w:val="16"/>
      <w:szCs w:val="16"/>
    </w:rPr>
  </w:style>
  <w:style w:type="paragraph" w:styleId="CommentText">
    <w:name w:val="annotation text"/>
    <w:basedOn w:val="Normal"/>
    <w:link w:val="CommentTextChar"/>
    <w:uiPriority w:val="99"/>
    <w:unhideWhenUsed/>
    <w:rsid w:val="007322BF"/>
    <w:pPr>
      <w:spacing w:line="240" w:lineRule="auto"/>
    </w:pPr>
    <w:rPr>
      <w:sz w:val="20"/>
      <w:szCs w:val="20"/>
    </w:rPr>
  </w:style>
  <w:style w:type="character" w:customStyle="1" w:styleId="CommentTextChar">
    <w:name w:val="Comment Text Char"/>
    <w:basedOn w:val="DefaultParagraphFont"/>
    <w:link w:val="CommentText"/>
    <w:uiPriority w:val="99"/>
    <w:rsid w:val="007322BF"/>
    <w:rPr>
      <w:sz w:val="20"/>
      <w:szCs w:val="20"/>
    </w:rPr>
  </w:style>
  <w:style w:type="paragraph" w:styleId="CommentSubject">
    <w:name w:val="annotation subject"/>
    <w:basedOn w:val="CommentText"/>
    <w:next w:val="CommentText"/>
    <w:link w:val="CommentSubjectChar"/>
    <w:uiPriority w:val="99"/>
    <w:semiHidden/>
    <w:unhideWhenUsed/>
    <w:rsid w:val="007322BF"/>
    <w:rPr>
      <w:b/>
      <w:bCs/>
    </w:rPr>
  </w:style>
  <w:style w:type="character" w:customStyle="1" w:styleId="CommentSubjectChar">
    <w:name w:val="Comment Subject Char"/>
    <w:basedOn w:val="CommentTextChar"/>
    <w:link w:val="CommentSubject"/>
    <w:uiPriority w:val="99"/>
    <w:semiHidden/>
    <w:rsid w:val="007322BF"/>
    <w:rPr>
      <w:b/>
      <w:bCs/>
      <w:sz w:val="20"/>
      <w:szCs w:val="20"/>
    </w:rPr>
  </w:style>
  <w:style w:type="paragraph" w:styleId="BalloonText">
    <w:name w:val="Balloon Text"/>
    <w:basedOn w:val="Normal"/>
    <w:link w:val="BalloonTextChar"/>
    <w:uiPriority w:val="99"/>
    <w:semiHidden/>
    <w:unhideWhenUsed/>
    <w:rsid w:val="00732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BF"/>
    <w:rPr>
      <w:rFonts w:ascii="Segoe UI" w:hAnsi="Segoe UI" w:cs="Segoe UI"/>
      <w:sz w:val="18"/>
      <w:szCs w:val="18"/>
    </w:rPr>
  </w:style>
  <w:style w:type="paragraph" w:styleId="ListParagraph">
    <w:name w:val="List Paragraph"/>
    <w:basedOn w:val="Normal"/>
    <w:uiPriority w:val="34"/>
    <w:qFormat/>
    <w:rsid w:val="002277FA"/>
    <w:pPr>
      <w:ind w:left="720"/>
      <w:contextualSpacing/>
    </w:pPr>
  </w:style>
  <w:style w:type="character" w:customStyle="1" w:styleId="UnresolvedMention1">
    <w:name w:val="Unresolved Mention1"/>
    <w:basedOn w:val="DefaultParagraphFont"/>
    <w:uiPriority w:val="99"/>
    <w:semiHidden/>
    <w:unhideWhenUsed/>
    <w:rsid w:val="009A3D53"/>
    <w:rPr>
      <w:color w:val="605E5C"/>
      <w:shd w:val="clear" w:color="auto" w:fill="E1DFDD"/>
    </w:rPr>
  </w:style>
  <w:style w:type="character" w:styleId="FollowedHyperlink">
    <w:name w:val="FollowedHyperlink"/>
    <w:basedOn w:val="DefaultParagraphFont"/>
    <w:uiPriority w:val="99"/>
    <w:semiHidden/>
    <w:unhideWhenUsed/>
    <w:rsid w:val="006842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910275">
      <w:bodyDiv w:val="1"/>
      <w:marLeft w:val="0"/>
      <w:marRight w:val="0"/>
      <w:marTop w:val="0"/>
      <w:marBottom w:val="0"/>
      <w:divBdr>
        <w:top w:val="none" w:sz="0" w:space="0" w:color="auto"/>
        <w:left w:val="none" w:sz="0" w:space="0" w:color="auto"/>
        <w:bottom w:val="none" w:sz="0" w:space="0" w:color="auto"/>
        <w:right w:val="none" w:sz="0" w:space="0" w:color="auto"/>
      </w:divBdr>
    </w:div>
    <w:div w:id="892886090">
      <w:bodyDiv w:val="1"/>
      <w:marLeft w:val="0"/>
      <w:marRight w:val="0"/>
      <w:marTop w:val="0"/>
      <w:marBottom w:val="0"/>
      <w:divBdr>
        <w:top w:val="none" w:sz="0" w:space="0" w:color="auto"/>
        <w:left w:val="none" w:sz="0" w:space="0" w:color="auto"/>
        <w:bottom w:val="none" w:sz="0" w:space="0" w:color="auto"/>
        <w:right w:val="none" w:sz="0" w:space="0" w:color="auto"/>
      </w:divBdr>
    </w:div>
    <w:div w:id="921915766">
      <w:bodyDiv w:val="1"/>
      <w:marLeft w:val="0"/>
      <w:marRight w:val="0"/>
      <w:marTop w:val="0"/>
      <w:marBottom w:val="0"/>
      <w:divBdr>
        <w:top w:val="none" w:sz="0" w:space="0" w:color="auto"/>
        <w:left w:val="none" w:sz="0" w:space="0" w:color="auto"/>
        <w:bottom w:val="none" w:sz="0" w:space="0" w:color="auto"/>
        <w:right w:val="none" w:sz="0" w:space="0" w:color="auto"/>
      </w:divBdr>
    </w:div>
    <w:div w:id="128943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ftc.gov/sites/default/files/idc/groups/public/@lrfederalregister/documents/file/2013-17958a.pdf" TargetMode="External"/><Relationship Id="rId3" Type="http://schemas.openxmlformats.org/officeDocument/2006/relationships/hyperlink" Target="https://comments.cftc.gov/PublicComments/CommentList.aspx?id=3009" TargetMode="External"/><Relationship Id="rId7" Type="http://schemas.openxmlformats.org/officeDocument/2006/relationships/hyperlink" Target="https://www.govinfo.gov/content/pkg/FR-2019-07-19/pdf/2019-15262.pdf" TargetMode="External"/><Relationship Id="rId2" Type="http://schemas.openxmlformats.org/officeDocument/2006/relationships/hyperlink" Target="https://www.govinfo.gov/content/pkg/FR-2019-07-23/pdf/2019-15258.pdf" TargetMode="External"/><Relationship Id="rId1" Type="http://schemas.openxmlformats.org/officeDocument/2006/relationships/hyperlink" Target="http://www.isda.org" TargetMode="External"/><Relationship Id="rId6" Type="http://schemas.openxmlformats.org/officeDocument/2006/relationships/hyperlink" Target="https://www.isda.org/2019/07/31/final-response-to-tiering-and-comparable-compliance-esma/" TargetMode="External"/><Relationship Id="rId5" Type="http://schemas.openxmlformats.org/officeDocument/2006/relationships/hyperlink" Target="https://www.isda.org/2019/01/30/regulatory-driven-market-fragmentation/" TargetMode="External"/><Relationship Id="rId10" Type="http://schemas.openxmlformats.org/officeDocument/2006/relationships/hyperlink" Target="https://comments.cftc.gov/PublicComments/CommentList.aspx?id=3009" TargetMode="External"/><Relationship Id="rId4" Type="http://schemas.openxmlformats.org/officeDocument/2006/relationships/hyperlink" Target="https://www.isda.org/a/9SKDE/ISDA-Cross-Border-Harmonization-FINAL2.pdf" TargetMode="External"/><Relationship Id="rId9" Type="http://schemas.openxmlformats.org/officeDocument/2006/relationships/hyperlink" Target="https://www.govinfo.gov/content/pkg/FR-2019-07-23/pdf/2019-1525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2F254C3D445D47A0EB99B57CCE694E" ma:contentTypeVersion="9" ma:contentTypeDescription="Create a new document." ma:contentTypeScope="" ma:versionID="ad18f54dff120f18406b230044887439">
  <xsd:schema xmlns:xsd="http://www.w3.org/2001/XMLSchema" xmlns:xs="http://www.w3.org/2001/XMLSchema" xmlns:p="http://schemas.microsoft.com/office/2006/metadata/properties" xmlns:ns3="821f6d7c-384d-469d-ad94-8a46f9eb17e8" targetNamespace="http://schemas.microsoft.com/office/2006/metadata/properties" ma:root="true" ma:fieldsID="2e13da8eca3d8bd025a6451a23e50215" ns3:_="">
    <xsd:import namespace="821f6d7c-384d-469d-ad94-8a46f9eb17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f6d7c-384d-469d-ad94-8a46f9eb1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D20B2-E43E-4A1F-8B03-710720DA72C2}">
  <ds:schemaRefs>
    <ds:schemaRef ds:uri="http://purl.org/dc/terms/"/>
    <ds:schemaRef ds:uri="http://schemas.openxmlformats.org/package/2006/metadata/core-properties"/>
    <ds:schemaRef ds:uri="http://purl.org/dc/dcmitype/"/>
    <ds:schemaRef ds:uri="http://purl.org/dc/elements/1.1/"/>
    <ds:schemaRef ds:uri="821f6d7c-384d-469d-ad94-8a46f9eb17e8"/>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8B35CCE-86B2-437D-9A4A-A6818A6CA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f6d7c-384d-469d-ad94-8a46f9eb1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38803-C452-4CC7-98E4-69A5812AFDD0}">
  <ds:schemaRefs>
    <ds:schemaRef ds:uri="http://schemas.microsoft.com/sharepoint/v3/contenttype/forms"/>
  </ds:schemaRefs>
</ds:datastoreItem>
</file>

<file path=customXml/itemProps4.xml><?xml version="1.0" encoding="utf-8"?>
<ds:datastoreItem xmlns:ds="http://schemas.openxmlformats.org/officeDocument/2006/customXml" ds:itemID="{3A9153CF-55E6-4FC3-A03E-B2E9B844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1957</Words>
  <Characters>11159</Characters>
  <Application>Microsoft Office Word</Application>
  <DocSecurity>4</DocSecurity>
  <Lines>92</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Otashiro, Tetsuo (太田代 哲男)</dc:creator>
  <cp:lastModifiedBy>Nicolette Cone</cp:lastModifiedBy>
  <cp:revision>2</cp:revision>
  <cp:lastPrinted>2019-11-18T17:32:00Z</cp:lastPrinted>
  <dcterms:created xsi:type="dcterms:W3CDTF">2019-11-22T10:45:00Z</dcterms:created>
  <dcterms:modified xsi:type="dcterms:W3CDTF">2019-11-22T10:45:00Z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0x010100F22F254C3D445D47A0EB99B57CCE694E</vt:lpwstr>
  </property>
</Properties>
</file>