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B46DB" w14:textId="77777777" w:rsidR="003B5970" w:rsidRPr="002479D3" w:rsidRDefault="003B5970" w:rsidP="00C30609">
      <w:pPr>
        <w:pStyle w:val="Heading1"/>
        <w:numPr>
          <w:ilvl w:val="0"/>
          <w:numId w:val="0"/>
        </w:numPr>
        <w:spacing w:before="240"/>
        <w:jc w:val="right"/>
        <w:rPr>
          <w:b/>
          <w:bCs w:val="0"/>
          <w:sz w:val="22"/>
          <w:szCs w:val="22"/>
        </w:rPr>
      </w:pPr>
      <w:r w:rsidRPr="002479D3">
        <w:rPr>
          <w:b/>
          <w:sz w:val="22"/>
          <w:szCs w:val="22"/>
        </w:rPr>
        <w:t xml:space="preserve">EXHIBIT </w:t>
      </w:r>
      <w:bookmarkStart w:id="0" w:name="Exhibit_IIL"/>
      <w:r w:rsidRPr="002479D3">
        <w:rPr>
          <w:b/>
          <w:sz w:val="22"/>
          <w:szCs w:val="22"/>
        </w:rPr>
        <w:t>II-L</w:t>
      </w:r>
      <w:bookmarkEnd w:id="0"/>
      <w:r w:rsidRPr="002479D3">
        <w:rPr>
          <w:b/>
          <w:sz w:val="22"/>
          <w:szCs w:val="22"/>
        </w:rPr>
        <w:br/>
        <w:t>to 2021 ISDA Interest Rate Derivatives Definitions</w:t>
      </w:r>
    </w:p>
    <w:p w14:paraId="7FBA0F81" w14:textId="77777777" w:rsidR="003B5970" w:rsidRDefault="003B5970" w:rsidP="00C30609">
      <w:pPr>
        <w:pStyle w:val="Heading2"/>
        <w:numPr>
          <w:ilvl w:val="0"/>
          <w:numId w:val="0"/>
        </w:numPr>
        <w:spacing w:before="240"/>
        <w:ind w:left="425"/>
        <w:jc w:val="center"/>
        <w:rPr>
          <w:b/>
          <w:sz w:val="22"/>
          <w:szCs w:val="22"/>
        </w:rPr>
      </w:pPr>
      <w:bookmarkStart w:id="1" w:name="_Hlk69211795"/>
      <w:bookmarkStart w:id="2" w:name="Exhibit_IIL_text"/>
      <w:bookmarkStart w:id="3" w:name="_Toc70074688"/>
      <w:r w:rsidRPr="002479D3">
        <w:rPr>
          <w:b/>
          <w:sz w:val="22"/>
          <w:szCs w:val="22"/>
        </w:rPr>
        <w:t xml:space="preserve">Additional Provisions for a Confirmation of a </w:t>
      </w:r>
      <w:bookmarkEnd w:id="1"/>
      <w:r w:rsidRPr="002479D3">
        <w:rPr>
          <w:b/>
          <w:sz w:val="22"/>
          <w:szCs w:val="22"/>
        </w:rPr>
        <w:t>Transaction that is a Rate Swap Transaction or Cross-Currency Rate Swap Transaction applying Overnight Rate Compounding/Averaging or an Index Method</w:t>
      </w:r>
      <w:bookmarkEnd w:id="2"/>
      <w:bookmarkEnd w:id="3"/>
      <w:r w:rsidRPr="002F4343">
        <w:rPr>
          <w:rStyle w:val="FootnoteReference"/>
          <w:rFonts w:eastAsia="Arial" w:cs="Times New Roman"/>
          <w:b/>
          <w:kern w:val="2"/>
          <w:sz w:val="22"/>
          <w:lang w:val="en-US"/>
        </w:rPr>
        <w:footnoteReference w:id="1"/>
      </w:r>
    </w:p>
    <w:p w14:paraId="1FF1C0CD" w14:textId="08817B8A" w:rsidR="003B5970" w:rsidRPr="00102204" w:rsidRDefault="003B5970" w:rsidP="00D263DB">
      <w:pPr>
        <w:keepNext/>
        <w:spacing w:before="280"/>
        <w:jc w:val="both"/>
        <w:outlineLvl w:val="0"/>
        <w:rPr>
          <w:sz w:val="22"/>
          <w:szCs w:val="24"/>
        </w:rPr>
      </w:pPr>
      <w:bookmarkStart w:id="7" w:name="_BPDCI_8"/>
      <w:bookmarkStart w:id="8" w:name="_Hlk74854628"/>
      <w:r w:rsidRPr="001C11B0">
        <w:rPr>
          <w:rFonts w:eastAsia="Arial"/>
          <w:b/>
          <w:i/>
          <w:iCs/>
          <w:kern w:val="23"/>
          <w:sz w:val="22"/>
          <w:highlight w:val="yellow"/>
          <w:lang w:val="en-US"/>
        </w:rPr>
        <w:t>[</w:t>
      </w:r>
      <w:r w:rsidRPr="001D76A2">
        <w:rPr>
          <w:rFonts w:eastAsia="Arial"/>
          <w:b/>
          <w:bCs/>
          <w:i/>
          <w:iCs/>
          <w:sz w:val="22"/>
          <w:highlight w:val="yellow"/>
          <w:lang w:val="en-US"/>
        </w:rPr>
        <w:t xml:space="preserve">Note: </w:t>
      </w:r>
      <w:r w:rsidRPr="001D76A2">
        <w:rPr>
          <w:rFonts w:eastAsia="Arial"/>
          <w:b/>
          <w:i/>
          <w:iCs/>
          <w:kern w:val="23"/>
          <w:sz w:val="22"/>
          <w:highlight w:val="yellow"/>
          <w:lang w:val="en-US"/>
        </w:rPr>
        <w:t xml:space="preserve">This </w:t>
      </w:r>
      <w:r w:rsidRPr="00E811B1">
        <w:rPr>
          <w:rFonts w:eastAsia="Arial"/>
          <w:b/>
          <w:i/>
          <w:iCs/>
          <w:kern w:val="23"/>
          <w:sz w:val="22"/>
          <w:highlight w:val="yellow"/>
          <w:lang w:val="en-US"/>
        </w:rPr>
        <w:t xml:space="preserve">annotated form and the annexed comparison table </w:t>
      </w:r>
      <w:r w:rsidR="00E811B1" w:rsidRPr="00E811B1">
        <w:rPr>
          <w:rFonts w:eastAsia="Arial"/>
          <w:b/>
          <w:i/>
          <w:iCs/>
          <w:kern w:val="23"/>
          <w:sz w:val="22"/>
          <w:highlight w:val="yellow"/>
          <w:lang w:val="en-US"/>
        </w:rPr>
        <w:t xml:space="preserve">are </w:t>
      </w:r>
      <w:r w:rsidRPr="00E811B1">
        <w:rPr>
          <w:rFonts w:eastAsia="Arial"/>
          <w:b/>
          <w:i/>
          <w:iCs/>
          <w:kern w:val="23"/>
          <w:sz w:val="22"/>
          <w:highlight w:val="yellow"/>
          <w:lang w:val="en-US"/>
        </w:rPr>
        <w:t>based on</w:t>
      </w:r>
      <w:r w:rsidRPr="00E811B1">
        <w:rPr>
          <w:rFonts w:eastAsia="Arial"/>
          <w:b/>
          <w:bCs/>
          <w:i/>
          <w:iCs/>
          <w:kern w:val="23"/>
          <w:sz w:val="22"/>
          <w:highlight w:val="yellow"/>
          <w:lang w:val="en-US"/>
        </w:rPr>
        <w:t xml:space="preserve"> </w:t>
      </w:r>
      <w:r w:rsidR="00E811B1" w:rsidRPr="00E811B1">
        <w:rPr>
          <w:rFonts w:eastAsia="Arial"/>
          <w:b/>
          <w:bCs/>
          <w:i/>
          <w:iCs/>
          <w:kern w:val="23"/>
          <w:sz w:val="22"/>
          <w:highlight w:val="yellow"/>
          <w:lang w:val="en-US"/>
        </w:rPr>
        <w:t xml:space="preserve">Section 3.1.10 (Business Day Convention for Payment Dates), Section 3.1.12 (Business Day Convention for Period End Dates), Section 3.2.2 (Calculation Period), Section 7.2 (Certain Definitions Relating to Overnight Rate Averaging and Compounding) and Section 7.3.3 (Compounding with Observation Period Shift) of </w:t>
      </w:r>
      <w:r w:rsidRPr="00E811B1">
        <w:rPr>
          <w:rFonts w:eastAsia="Arial"/>
          <w:b/>
          <w:bCs/>
          <w:i/>
          <w:iCs/>
          <w:kern w:val="23"/>
          <w:sz w:val="22"/>
          <w:highlight w:val="yellow"/>
          <w:lang w:val="en-US"/>
        </w:rPr>
        <w:t>Version 3.0 of the</w:t>
      </w:r>
      <w:r w:rsidR="00E811B1" w:rsidRPr="00E811B1">
        <w:rPr>
          <w:rFonts w:eastAsia="Arial"/>
          <w:b/>
          <w:bCs/>
          <w:i/>
          <w:iCs/>
          <w:kern w:val="23"/>
          <w:sz w:val="22"/>
          <w:highlight w:val="yellow"/>
          <w:lang w:val="en-US"/>
        </w:rPr>
        <w:t xml:space="preserve"> Main Book of the</w:t>
      </w:r>
      <w:r w:rsidRPr="00E811B1">
        <w:rPr>
          <w:rFonts w:eastAsia="Arial"/>
          <w:b/>
          <w:bCs/>
          <w:i/>
          <w:iCs/>
          <w:kern w:val="23"/>
          <w:sz w:val="22"/>
          <w:highlight w:val="yellow"/>
          <w:lang w:val="en-US"/>
        </w:rPr>
        <w:t xml:space="preserve"> </w:t>
      </w:r>
      <w:r w:rsidRPr="00E811B1">
        <w:rPr>
          <w:b/>
          <w:bCs/>
          <w:i/>
          <w:iCs/>
          <w:sz w:val="22"/>
          <w:szCs w:val="24"/>
          <w:highlight w:val="yellow"/>
        </w:rPr>
        <w:t>2021 ISDA Interest Rate Derivative Definitions</w:t>
      </w:r>
      <w:bookmarkStart w:id="9" w:name="_Hlk88669389"/>
      <w:r w:rsidR="00AF123F" w:rsidRPr="00B222D0">
        <w:rPr>
          <w:b/>
          <w:bCs/>
          <w:i/>
          <w:iCs/>
          <w:sz w:val="22"/>
          <w:szCs w:val="24"/>
          <w:highlight w:val="yellow"/>
        </w:rPr>
        <w:t>,</w:t>
      </w:r>
      <w:r w:rsidR="00AF123F">
        <w:rPr>
          <w:b/>
          <w:bCs/>
          <w:i/>
          <w:iCs/>
          <w:sz w:val="22"/>
          <w:szCs w:val="24"/>
          <w:highlight w:val="yellow"/>
        </w:rPr>
        <w:t xml:space="preserve"> Version 3.0 of the </w:t>
      </w:r>
      <w:r w:rsidR="00AF123F" w:rsidRPr="00AF2B90">
        <w:rPr>
          <w:b/>
          <w:bCs/>
          <w:i/>
          <w:iCs/>
          <w:sz w:val="22"/>
          <w:szCs w:val="24"/>
          <w:highlight w:val="yellow"/>
        </w:rPr>
        <w:t>Floating Rate Matrix,</w:t>
      </w:r>
      <w:r w:rsidR="00AF123F" w:rsidRPr="00AF2B90">
        <w:rPr>
          <w:highlight w:val="yellow"/>
        </w:rPr>
        <w:t xml:space="preserve"> </w:t>
      </w:r>
      <w:r w:rsidR="00AF123F" w:rsidRPr="00AF2B90">
        <w:rPr>
          <w:b/>
          <w:bCs/>
          <w:i/>
          <w:iCs/>
          <w:sz w:val="22"/>
          <w:szCs w:val="24"/>
          <w:highlight w:val="yellow"/>
        </w:rPr>
        <w:t>Version 1.0 of the Compounding/Averaging Matrix</w:t>
      </w:r>
      <w:bookmarkEnd w:id="9"/>
      <w:r w:rsidR="00AF123F" w:rsidRPr="00AF2B90">
        <w:rPr>
          <w:b/>
          <w:bCs/>
          <w:i/>
          <w:iCs/>
          <w:sz w:val="22"/>
          <w:szCs w:val="24"/>
          <w:highlight w:val="yellow"/>
        </w:rPr>
        <w:t xml:space="preserve"> and Version 3.0 of </w:t>
      </w:r>
      <w:r w:rsidR="00AF123F">
        <w:rPr>
          <w:b/>
          <w:bCs/>
          <w:i/>
          <w:iCs/>
          <w:sz w:val="22"/>
          <w:szCs w:val="24"/>
          <w:highlight w:val="yellow"/>
        </w:rPr>
        <w:t xml:space="preserve">Exhibit II-L of </w:t>
      </w:r>
      <w:r w:rsidR="00AF123F" w:rsidRPr="00AF2B90">
        <w:rPr>
          <w:b/>
          <w:bCs/>
          <w:i/>
          <w:iCs/>
          <w:sz w:val="22"/>
          <w:szCs w:val="24"/>
          <w:highlight w:val="yellow"/>
        </w:rPr>
        <w:t>the Exhibits to the 2021 ISDA Interest Rate Derivatives Definitions. These have been produced</w:t>
      </w:r>
      <w:r w:rsidRPr="00E811B1">
        <w:rPr>
          <w:rFonts w:eastAsia="Arial"/>
          <w:b/>
          <w:i/>
          <w:iCs/>
          <w:kern w:val="23"/>
          <w:sz w:val="22"/>
          <w:highlight w:val="yellow"/>
          <w:lang w:val="en-US"/>
        </w:rPr>
        <w:t xml:space="preserve"> for use with loan facilities using the LMA Lookback </w:t>
      </w:r>
      <w:proofErr w:type="gramStart"/>
      <w:r w:rsidRPr="00E811B1">
        <w:rPr>
          <w:rFonts w:eastAsia="Arial"/>
          <w:b/>
          <w:i/>
          <w:iCs/>
          <w:kern w:val="23"/>
          <w:sz w:val="22"/>
          <w:highlight w:val="yellow"/>
          <w:lang w:val="en-US"/>
        </w:rPr>
        <w:t>With</w:t>
      </w:r>
      <w:proofErr w:type="gramEnd"/>
      <w:r w:rsidRPr="00E811B1">
        <w:rPr>
          <w:rFonts w:eastAsia="Arial"/>
          <w:b/>
          <w:i/>
          <w:iCs/>
          <w:kern w:val="23"/>
          <w:sz w:val="22"/>
          <w:highlight w:val="yellow"/>
          <w:lang w:val="en-US"/>
        </w:rPr>
        <w:t xml:space="preserve"> Observation Shift FA. While the “Cumulative Compounded RFR Rate” as set out in Schedule 15 of the LMA Lookback With Observation Shift FA is used only in relation to Market Disruption provisions (to the extent applicable), the economic result is the same as applying the “Daily Non-Cumulative </w:t>
      </w:r>
      <w:r w:rsidRPr="001D76A2">
        <w:rPr>
          <w:rFonts w:eastAsia="Arial"/>
          <w:b/>
          <w:i/>
          <w:iCs/>
          <w:kern w:val="23"/>
          <w:sz w:val="22"/>
          <w:highlight w:val="yellow"/>
          <w:lang w:val="en-US"/>
        </w:rPr>
        <w:t>Compounded RFR Rate” as set out in Schedule 14 to the full principal amount for the entire Interest Period (this being the mechanism by which interest is determined under the loan)</w:t>
      </w:r>
      <w:r>
        <w:rPr>
          <w:rFonts w:eastAsia="Arial"/>
          <w:b/>
          <w:i/>
          <w:iCs/>
          <w:kern w:val="23"/>
          <w:sz w:val="22"/>
          <w:highlight w:val="yellow"/>
          <w:lang w:val="en-US"/>
        </w:rPr>
        <w:t>,</w:t>
      </w:r>
      <w:r w:rsidRPr="001D76A2">
        <w:rPr>
          <w:rFonts w:eastAsia="Arial"/>
          <w:b/>
          <w:i/>
          <w:iCs/>
          <w:kern w:val="23"/>
          <w:sz w:val="22"/>
          <w:highlight w:val="yellow"/>
          <w:lang w:val="en-US"/>
        </w:rPr>
        <w:t xml:space="preserve"> and the Schedule 15 “Cumulative Compounded RFR Rate” is used in this annotated form and the annexed comparison table for ease of comparison. </w:t>
      </w:r>
      <w:r w:rsidRPr="001D76A2">
        <w:rPr>
          <w:rFonts w:eastAsia="Arial"/>
          <w:b/>
          <w:bCs/>
          <w:i/>
          <w:iCs/>
          <w:sz w:val="22"/>
          <w:highlight w:val="yellow"/>
          <w:lang w:val="en-US"/>
        </w:rPr>
        <w:t xml:space="preserve">Parties should </w:t>
      </w:r>
      <w:r w:rsidRPr="001C11B0">
        <w:rPr>
          <w:rFonts w:eastAsia="Arial"/>
          <w:b/>
          <w:bCs/>
          <w:i/>
          <w:iCs/>
          <w:sz w:val="22"/>
          <w:highlight w:val="yellow"/>
          <w:lang w:val="en-US"/>
        </w:rPr>
        <w:t>however check that there is no bespoke amendment to the facility agreement that needs to be reflected.</w:t>
      </w:r>
      <w:r w:rsidRPr="001C11B0">
        <w:rPr>
          <w:rFonts w:eastAsia="Arial"/>
          <w:b/>
          <w:bCs/>
          <w:i/>
          <w:iCs/>
          <w:kern w:val="23"/>
          <w:sz w:val="22"/>
          <w:highlight w:val="yellow"/>
          <w:lang w:val="en-US"/>
        </w:rPr>
        <w:t>]</w:t>
      </w:r>
      <w:bookmarkEnd w:id="7"/>
      <w:r w:rsidRPr="00516389">
        <w:rPr>
          <w:sz w:val="22"/>
          <w:szCs w:val="24"/>
        </w:rPr>
        <w:t xml:space="preserve"> </w:t>
      </w:r>
    </w:p>
    <w:bookmarkEnd w:id="8"/>
    <w:p w14:paraId="187E328B" w14:textId="77777777" w:rsidR="003B5970" w:rsidRPr="001463A4" w:rsidRDefault="003B5970" w:rsidP="009B4D1A">
      <w:pPr>
        <w:pStyle w:val="Body"/>
        <w:rPr>
          <w:sz w:val="22"/>
          <w:szCs w:val="24"/>
        </w:rPr>
      </w:pPr>
      <w:r w:rsidRPr="001463A4">
        <w:rPr>
          <w:sz w:val="22"/>
          <w:szCs w:val="24"/>
        </w:rPr>
        <w:t>THIS ANNOTATED TEMPLATE AND ANNEXED COMPARISON TABLE DO NOT PURPORT TO BE AND SHOULD NOT BE CONSIDERED A GUIDE TO, OR AN EXPLANATION OF, ALL RELEVANT ISSUES OR CONSIDERATIONS IN CONNECTION WITH USING</w:t>
      </w:r>
      <w:r>
        <w:rPr>
          <w:sz w:val="22"/>
          <w:szCs w:val="24"/>
        </w:rPr>
        <w:t xml:space="preserve"> </w:t>
      </w:r>
      <w:bookmarkStart w:id="10" w:name="_Hlk87264198"/>
      <w:r>
        <w:rPr>
          <w:sz w:val="22"/>
          <w:szCs w:val="24"/>
        </w:rPr>
        <w:t>THE OVERNIGHT RATE COMPOUNDING METHODS/OVERNIGHT RATE AVERAGING METHODS SET OUT IN</w:t>
      </w:r>
      <w:r w:rsidRPr="00D673DB">
        <w:rPr>
          <w:sz w:val="22"/>
          <w:szCs w:val="24"/>
        </w:rPr>
        <w:t xml:space="preserve"> </w:t>
      </w:r>
      <w:bookmarkEnd w:id="10"/>
      <w:r>
        <w:rPr>
          <w:sz w:val="22"/>
          <w:szCs w:val="24"/>
        </w:rPr>
        <w:t>THE 2021 ISDA INTEREST RATE DERIVATIVES DEFINITIONS</w:t>
      </w:r>
      <w:r w:rsidRPr="001463A4">
        <w:rPr>
          <w:sz w:val="22"/>
          <w:szCs w:val="24"/>
        </w:rPr>
        <w:t xml:space="preserve"> IN A SWAP HEDGING A LOAN FACILITY. PARTIES SHOULD CONSULT WITH THEIR LEGAL ADVISERS AND ANY OTHER ADVISER THEY DEEM APPROPRIATE PRIOR TO USING OR INCORPORATING </w:t>
      </w:r>
      <w:r>
        <w:rPr>
          <w:sz w:val="22"/>
          <w:szCs w:val="24"/>
        </w:rPr>
        <w:t xml:space="preserve">THE OVERNIGHT RATE COMPOUNDING METHODS/OVERNIGHT RATE AVERAGING METHODS SET OUT IN THE 2021 ISDA INTEREST RATE DERIVATIVES DEFINITIONS </w:t>
      </w:r>
      <w:r w:rsidRPr="001463A4">
        <w:rPr>
          <w:sz w:val="22"/>
          <w:szCs w:val="24"/>
        </w:rPr>
        <w:t>IN A SWAP HEDGING A LOAN FACILITY. NONE OF ISDA, ITS DIRECTORS, EMPLOYEES, AGENTS OR ADVISORS ACCEPT ANY RESPONSIBILITY FOR ANY LOSS OR DAMAGE ARISING DIRECTLY OR INDIRECTLY FROM ANY USE TO WHICH ANY OF ITS DOCUMENTATION OR OTHER DOCUMENTATION MAY BE PUT.</w:t>
      </w:r>
    </w:p>
    <w:p w14:paraId="571EC88C" w14:textId="77777777" w:rsidR="001C11B0" w:rsidRDefault="001C11B0">
      <w:pPr>
        <w:spacing w:after="160" w:line="259" w:lineRule="auto"/>
      </w:pPr>
      <w:r>
        <w:br w:type="page"/>
      </w:r>
    </w:p>
    <w:p w14:paraId="3C65CF92" w14:textId="2948562D" w:rsidR="003B5970" w:rsidRPr="001C11B0" w:rsidRDefault="003B5970" w:rsidP="00C30609">
      <w:pPr>
        <w:pStyle w:val="Body"/>
        <w:rPr>
          <w:sz w:val="22"/>
          <w:szCs w:val="22"/>
        </w:rPr>
      </w:pPr>
      <w:r w:rsidRPr="001C11B0">
        <w:rPr>
          <w:sz w:val="22"/>
          <w:szCs w:val="22"/>
        </w:rPr>
        <w:lastRenderedPageBreak/>
        <w:t>[See Exhibit I to the 2021 ISDA Interest Rate Derivatives Definitions for the introduction, standard paragraphs and closing for the Confirmation.]</w:t>
      </w:r>
    </w:p>
    <w:p w14:paraId="28D8DC0C" w14:textId="77777777" w:rsidR="003B5970" w:rsidRPr="001C11B0" w:rsidRDefault="003B5970" w:rsidP="00C30609">
      <w:pPr>
        <w:pStyle w:val="Arabic2-1"/>
        <w:numPr>
          <w:ilvl w:val="0"/>
          <w:numId w:val="0"/>
        </w:numPr>
        <w:rPr>
          <w:sz w:val="22"/>
          <w:szCs w:val="22"/>
        </w:rPr>
      </w:pPr>
      <w:r w:rsidRPr="001C11B0">
        <w:rPr>
          <w:sz w:val="22"/>
          <w:szCs w:val="22"/>
        </w:rPr>
        <w:t xml:space="preserve">The terms of the </w:t>
      </w:r>
      <w:proofErr w:type="gramStart"/>
      <w:r w:rsidRPr="001C11B0">
        <w:rPr>
          <w:sz w:val="22"/>
          <w:szCs w:val="22"/>
        </w:rPr>
        <w:t>particular Transaction</w:t>
      </w:r>
      <w:proofErr w:type="gramEnd"/>
      <w:r w:rsidRPr="001C11B0">
        <w:rPr>
          <w:sz w:val="22"/>
          <w:szCs w:val="22"/>
        </w:rPr>
        <w:t xml:space="preserve"> to which this Confirmation relates are as follows:</w:t>
      </w:r>
    </w:p>
    <w:p w14:paraId="227E8131" w14:textId="77777777" w:rsidR="003B5970" w:rsidRPr="001C11B0" w:rsidRDefault="003B5970" w:rsidP="00727209">
      <w:pPr>
        <w:pStyle w:val="Body"/>
        <w:numPr>
          <w:ilvl w:val="0"/>
          <w:numId w:val="54"/>
        </w:numPr>
        <w:rPr>
          <w:sz w:val="22"/>
          <w:szCs w:val="22"/>
        </w:rPr>
      </w:pPr>
      <w:r w:rsidRPr="001C11B0">
        <w:rPr>
          <w:sz w:val="22"/>
          <w:szCs w:val="22"/>
        </w:rPr>
        <w:t>General Terms:</w:t>
      </w:r>
      <w:r w:rsidRPr="001C11B0">
        <w:rPr>
          <w:sz w:val="22"/>
          <w:szCs w:val="22"/>
        </w:rPr>
        <w:tab/>
      </w:r>
    </w:p>
    <w:tbl>
      <w:tblPr>
        <w:tblStyle w:val="TableGrid"/>
        <w:tblW w:w="9045" w:type="dxa"/>
        <w:tblInd w:w="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
        <w:gridCol w:w="4005"/>
        <w:gridCol w:w="4518"/>
      </w:tblGrid>
      <w:tr w:rsidR="003B5970" w14:paraId="7DBD3692" w14:textId="77777777" w:rsidTr="00C079A2">
        <w:trPr>
          <w:cantSplit/>
        </w:trPr>
        <w:tc>
          <w:tcPr>
            <w:tcW w:w="522" w:type="dxa"/>
          </w:tcPr>
          <w:p w14:paraId="6A2EFD8E" w14:textId="77777777" w:rsidR="003B5970" w:rsidRDefault="003B5970" w:rsidP="002B0670">
            <w:pPr>
              <w:pStyle w:val="CellBody"/>
            </w:pPr>
          </w:p>
        </w:tc>
        <w:tc>
          <w:tcPr>
            <w:tcW w:w="4005" w:type="dxa"/>
          </w:tcPr>
          <w:p w14:paraId="27C218BD" w14:textId="77777777" w:rsidR="003B5970" w:rsidRDefault="003B5970" w:rsidP="002B0670">
            <w:pPr>
              <w:pStyle w:val="CellBody"/>
            </w:pPr>
            <w:r>
              <w:t>[Party A Legal Entity Identifier (LEI):]</w:t>
            </w:r>
          </w:p>
        </w:tc>
        <w:tc>
          <w:tcPr>
            <w:tcW w:w="4518" w:type="dxa"/>
            <w:shd w:val="clear" w:color="auto" w:fill="auto"/>
            <w:vAlign w:val="bottom"/>
          </w:tcPr>
          <w:p w14:paraId="5C3BD091" w14:textId="77777777" w:rsidR="003B5970" w:rsidRDefault="003B5970" w:rsidP="002B0670">
            <w:pPr>
              <w:pStyle w:val="CellBody"/>
            </w:pPr>
            <w:r>
              <w:t>[Party A LEI]</w:t>
            </w:r>
            <w:r>
              <w:rPr>
                <w:rStyle w:val="FootnoteReference"/>
              </w:rPr>
              <w:footnoteReference w:id="2"/>
            </w:r>
          </w:p>
        </w:tc>
      </w:tr>
      <w:tr w:rsidR="003B5970" w14:paraId="3FA16448" w14:textId="77777777" w:rsidTr="00C079A2">
        <w:trPr>
          <w:cantSplit/>
        </w:trPr>
        <w:tc>
          <w:tcPr>
            <w:tcW w:w="522" w:type="dxa"/>
          </w:tcPr>
          <w:p w14:paraId="5EE36E75" w14:textId="77777777" w:rsidR="003B5970" w:rsidRDefault="003B5970" w:rsidP="002B0670">
            <w:pPr>
              <w:pStyle w:val="CellBody"/>
            </w:pPr>
          </w:p>
        </w:tc>
        <w:tc>
          <w:tcPr>
            <w:tcW w:w="4005" w:type="dxa"/>
          </w:tcPr>
          <w:p w14:paraId="56115C3D" w14:textId="77777777" w:rsidR="003B5970" w:rsidRDefault="003B5970" w:rsidP="002B0670">
            <w:pPr>
              <w:pStyle w:val="CellBody"/>
            </w:pPr>
            <w:r>
              <w:t>[Party B Legal Entity Identifier (LEI):]</w:t>
            </w:r>
          </w:p>
        </w:tc>
        <w:tc>
          <w:tcPr>
            <w:tcW w:w="4518" w:type="dxa"/>
            <w:shd w:val="clear" w:color="auto" w:fill="auto"/>
            <w:vAlign w:val="bottom"/>
          </w:tcPr>
          <w:p w14:paraId="730C72EA" w14:textId="77777777" w:rsidR="003B5970" w:rsidRDefault="003B5970" w:rsidP="002B0670">
            <w:pPr>
              <w:pStyle w:val="CellBody"/>
            </w:pPr>
            <w:r>
              <w:t>[Party B LEI]</w:t>
            </w:r>
            <w:r>
              <w:rPr>
                <w:rStyle w:val="FootnoteReference"/>
              </w:rPr>
              <w:footnoteReference w:id="3"/>
            </w:r>
          </w:p>
        </w:tc>
      </w:tr>
      <w:tr w:rsidR="003B5970" w14:paraId="34878113" w14:textId="77777777" w:rsidTr="00C079A2">
        <w:trPr>
          <w:cantSplit/>
        </w:trPr>
        <w:tc>
          <w:tcPr>
            <w:tcW w:w="522" w:type="dxa"/>
          </w:tcPr>
          <w:p w14:paraId="2D90FFF0" w14:textId="77777777" w:rsidR="003B5970" w:rsidRDefault="003B5970" w:rsidP="002B0670">
            <w:pPr>
              <w:pStyle w:val="CellBody"/>
            </w:pPr>
          </w:p>
        </w:tc>
        <w:tc>
          <w:tcPr>
            <w:tcW w:w="4005" w:type="dxa"/>
          </w:tcPr>
          <w:p w14:paraId="2EB7759A" w14:textId="77777777" w:rsidR="003B5970" w:rsidRDefault="003B5970" w:rsidP="002B0670">
            <w:pPr>
              <w:pStyle w:val="CellBody"/>
            </w:pPr>
            <w:r>
              <w:t>Notional Amount:</w:t>
            </w:r>
          </w:p>
        </w:tc>
        <w:tc>
          <w:tcPr>
            <w:tcW w:w="4518" w:type="dxa"/>
            <w:shd w:val="clear" w:color="auto" w:fill="auto"/>
            <w:vAlign w:val="bottom"/>
          </w:tcPr>
          <w:p w14:paraId="4F275F80" w14:textId="77777777" w:rsidR="003B5970" w:rsidRDefault="003B5970" w:rsidP="002B0670">
            <w:pPr>
              <w:pStyle w:val="CellBody"/>
            </w:pPr>
            <w:r>
              <w:t>[                 </w:t>
            </w:r>
            <w:proofErr w:type="gramStart"/>
            <w:r>
              <w:t>  ]</w:t>
            </w:r>
            <w:proofErr w:type="gramEnd"/>
            <w:r>
              <w:t xml:space="preserve"> </w:t>
            </w:r>
            <w:r w:rsidRPr="001C11B0">
              <w:rPr>
                <w:rFonts w:eastAsia="Arial"/>
                <w:b/>
                <w:bCs/>
                <w:i/>
                <w:iCs/>
                <w:highlight w:val="yellow"/>
                <w:lang w:val="en-US"/>
              </w:rPr>
              <w:t xml:space="preserve">[Note: Parties to specify an amount corresponding to the principal of the facility agreement. Note that in the event of a prepayment in accordance with Clause 7 (Prepayment and Cancellation) of the LMA Lookback </w:t>
            </w:r>
            <w:proofErr w:type="gramStart"/>
            <w:r w:rsidRPr="001C11B0">
              <w:rPr>
                <w:rFonts w:eastAsia="Arial"/>
                <w:b/>
                <w:bCs/>
                <w:i/>
                <w:iCs/>
                <w:highlight w:val="yellow"/>
                <w:lang w:val="en-US"/>
              </w:rPr>
              <w:t>With</w:t>
            </w:r>
            <w:proofErr w:type="gramEnd"/>
            <w:r w:rsidRPr="001C11B0">
              <w:rPr>
                <w:rFonts w:eastAsia="Arial"/>
                <w:b/>
                <w:bCs/>
                <w:i/>
                <w:iCs/>
                <w:highlight w:val="yellow"/>
                <w:lang w:val="en-US"/>
              </w:rPr>
              <w:t xml:space="preserve"> Observation Shift FA, the Notional Amount of the swap will need to be amended accordingly.]</w:t>
            </w:r>
          </w:p>
        </w:tc>
      </w:tr>
      <w:tr w:rsidR="003B5970" w14:paraId="3E59D02C" w14:textId="77777777" w:rsidTr="00C079A2">
        <w:trPr>
          <w:cantSplit/>
        </w:trPr>
        <w:tc>
          <w:tcPr>
            <w:tcW w:w="522" w:type="dxa"/>
          </w:tcPr>
          <w:p w14:paraId="4D6F8BFF" w14:textId="77777777" w:rsidR="003B5970" w:rsidRDefault="003B5970" w:rsidP="002B0670">
            <w:pPr>
              <w:pStyle w:val="CellBody"/>
            </w:pPr>
          </w:p>
        </w:tc>
        <w:tc>
          <w:tcPr>
            <w:tcW w:w="4005" w:type="dxa"/>
          </w:tcPr>
          <w:p w14:paraId="4B5A8429" w14:textId="77777777" w:rsidR="003B5970" w:rsidRDefault="003B5970" w:rsidP="002B0670">
            <w:pPr>
              <w:pStyle w:val="CellBody"/>
            </w:pPr>
            <w:r>
              <w:t>Trade Date:</w:t>
            </w:r>
          </w:p>
        </w:tc>
        <w:tc>
          <w:tcPr>
            <w:tcW w:w="4518" w:type="dxa"/>
            <w:shd w:val="clear" w:color="auto" w:fill="auto"/>
            <w:vAlign w:val="bottom"/>
          </w:tcPr>
          <w:p w14:paraId="6A8D0085" w14:textId="77777777" w:rsidR="003B5970" w:rsidRDefault="003B5970" w:rsidP="002B0670">
            <w:pPr>
              <w:pStyle w:val="CellBody"/>
            </w:pPr>
            <w:r>
              <w:t>[                   ]</w:t>
            </w:r>
          </w:p>
        </w:tc>
      </w:tr>
      <w:tr w:rsidR="003B5970" w14:paraId="4562D3D6" w14:textId="77777777" w:rsidTr="00C079A2">
        <w:trPr>
          <w:cantSplit/>
        </w:trPr>
        <w:tc>
          <w:tcPr>
            <w:tcW w:w="522" w:type="dxa"/>
          </w:tcPr>
          <w:p w14:paraId="16940A5E" w14:textId="77777777" w:rsidR="003B5970" w:rsidRDefault="003B5970" w:rsidP="002B0670">
            <w:pPr>
              <w:pStyle w:val="CellBody"/>
            </w:pPr>
          </w:p>
        </w:tc>
        <w:tc>
          <w:tcPr>
            <w:tcW w:w="4005" w:type="dxa"/>
          </w:tcPr>
          <w:p w14:paraId="485E7E95" w14:textId="77777777" w:rsidR="003B5970" w:rsidRDefault="003B5970" w:rsidP="002B0670">
            <w:pPr>
              <w:pStyle w:val="CellBody"/>
            </w:pPr>
            <w:r>
              <w:t>Effective Date:</w:t>
            </w:r>
          </w:p>
        </w:tc>
        <w:tc>
          <w:tcPr>
            <w:tcW w:w="4518" w:type="dxa"/>
            <w:shd w:val="clear" w:color="auto" w:fill="auto"/>
            <w:vAlign w:val="bottom"/>
          </w:tcPr>
          <w:p w14:paraId="6C2AEA13" w14:textId="77777777" w:rsidR="003B5970" w:rsidRDefault="003B5970" w:rsidP="002B0670">
            <w:pPr>
              <w:pStyle w:val="CellBody"/>
            </w:pPr>
            <w:r>
              <w:t>[                   ]</w:t>
            </w:r>
          </w:p>
        </w:tc>
      </w:tr>
      <w:tr w:rsidR="003B5970" w14:paraId="08BDD219" w14:textId="77777777" w:rsidTr="00C079A2">
        <w:trPr>
          <w:cantSplit/>
        </w:trPr>
        <w:tc>
          <w:tcPr>
            <w:tcW w:w="522" w:type="dxa"/>
          </w:tcPr>
          <w:p w14:paraId="7B65992C" w14:textId="77777777" w:rsidR="003B5970" w:rsidRPr="004065AC" w:rsidRDefault="003B5970" w:rsidP="002B0670">
            <w:pPr>
              <w:pStyle w:val="CellBody"/>
            </w:pPr>
          </w:p>
        </w:tc>
        <w:tc>
          <w:tcPr>
            <w:tcW w:w="4005" w:type="dxa"/>
          </w:tcPr>
          <w:p w14:paraId="03B2246D" w14:textId="77777777" w:rsidR="003B5970" w:rsidRPr="004065AC" w:rsidRDefault="003B5970" w:rsidP="002B0670">
            <w:pPr>
              <w:pStyle w:val="CellBody"/>
            </w:pPr>
            <w:r w:rsidRPr="004065AC">
              <w:t>Termination Date:</w:t>
            </w:r>
          </w:p>
        </w:tc>
        <w:tc>
          <w:tcPr>
            <w:tcW w:w="4518" w:type="dxa"/>
            <w:shd w:val="clear" w:color="auto" w:fill="auto"/>
            <w:vAlign w:val="bottom"/>
          </w:tcPr>
          <w:p w14:paraId="642C0B63" w14:textId="77777777" w:rsidR="003B5970" w:rsidRPr="004065AC" w:rsidRDefault="003B5970" w:rsidP="002B0670">
            <w:pPr>
              <w:pStyle w:val="CellBody"/>
            </w:pPr>
            <w:r w:rsidRPr="002F4343">
              <w:rPr>
                <w:rFonts w:eastAsia="Arial"/>
                <w:lang w:val="en-US"/>
              </w:rPr>
              <w:t>[                 </w:t>
            </w:r>
            <w:proofErr w:type="gramStart"/>
            <w:r w:rsidRPr="002F4343">
              <w:rPr>
                <w:rFonts w:eastAsia="Arial"/>
                <w:lang w:val="en-US"/>
              </w:rPr>
              <w:t>  ]</w:t>
            </w:r>
            <w:proofErr w:type="gramEnd"/>
            <w:r w:rsidRPr="002F4343">
              <w:rPr>
                <w:rFonts w:eastAsia="Arial"/>
                <w:lang w:val="en-US"/>
              </w:rPr>
              <w:t xml:space="preserve"> </w:t>
            </w:r>
            <w:bookmarkStart w:id="11" w:name="_Hlk87883168"/>
            <w:r w:rsidRPr="001C11B0">
              <w:rPr>
                <w:rFonts w:eastAsia="Arial"/>
                <w:b/>
                <w:bCs/>
                <w:i/>
                <w:iCs/>
                <w:highlight w:val="yellow"/>
                <w:lang w:val="en-US"/>
              </w:rPr>
              <w:t>[Note: Parties to specify the date specified in the definition of “Termination Date” in the facility agreement.]</w:t>
            </w:r>
            <w:bookmarkEnd w:id="11"/>
          </w:p>
        </w:tc>
      </w:tr>
      <w:tr w:rsidR="003B5970" w14:paraId="573125AC" w14:textId="77777777" w:rsidTr="00C079A2">
        <w:trPr>
          <w:cantSplit/>
        </w:trPr>
        <w:tc>
          <w:tcPr>
            <w:tcW w:w="522" w:type="dxa"/>
          </w:tcPr>
          <w:p w14:paraId="7531C998" w14:textId="77777777" w:rsidR="003B5970" w:rsidRPr="004065AC" w:rsidRDefault="003B5970" w:rsidP="002B0670">
            <w:pPr>
              <w:pStyle w:val="CellBody"/>
            </w:pPr>
          </w:p>
        </w:tc>
        <w:tc>
          <w:tcPr>
            <w:tcW w:w="4005" w:type="dxa"/>
          </w:tcPr>
          <w:p w14:paraId="120FB51F" w14:textId="77777777" w:rsidR="003B5970" w:rsidRPr="004065AC" w:rsidRDefault="003B5970" w:rsidP="002B0670">
            <w:pPr>
              <w:pStyle w:val="CellBody"/>
            </w:pPr>
            <w:r w:rsidRPr="004065AC">
              <w:t>[Termination Date adjustment for Unscheduled Holiday:]</w:t>
            </w:r>
          </w:p>
        </w:tc>
        <w:tc>
          <w:tcPr>
            <w:tcW w:w="4518" w:type="dxa"/>
            <w:shd w:val="clear" w:color="auto" w:fill="auto"/>
            <w:vAlign w:val="bottom"/>
          </w:tcPr>
          <w:p w14:paraId="7FA4251F" w14:textId="77777777" w:rsidR="003B5970" w:rsidRPr="004065AC" w:rsidRDefault="003B5970" w:rsidP="002B0670">
            <w:pPr>
              <w:pStyle w:val="CellBody"/>
            </w:pPr>
            <w:r>
              <w:t>[</w:t>
            </w:r>
            <w:r w:rsidRPr="004065AC">
              <w:t>Inapplicable</w:t>
            </w:r>
            <w:r>
              <w:t>]</w:t>
            </w:r>
            <w:r w:rsidRPr="004065AC">
              <w:rPr>
                <w:rStyle w:val="FootnoteReference"/>
              </w:rPr>
              <w:footnoteReference w:id="4"/>
            </w:r>
            <w:r>
              <w:t xml:space="preserve"> </w:t>
            </w:r>
            <w:r w:rsidRPr="001C11B0">
              <w:rPr>
                <w:rFonts w:eastAsia="Arial"/>
                <w:b/>
                <w:bCs/>
                <w:i/>
                <w:iCs/>
                <w:highlight w:val="yellow"/>
                <w:lang w:val="en-US"/>
              </w:rPr>
              <w:t xml:space="preserve">[Note: The LMA Lookback </w:t>
            </w:r>
            <w:proofErr w:type="gramStart"/>
            <w:r w:rsidRPr="001C11B0">
              <w:rPr>
                <w:rFonts w:eastAsia="Arial"/>
                <w:b/>
                <w:bCs/>
                <w:i/>
                <w:iCs/>
                <w:highlight w:val="yellow"/>
                <w:lang w:val="en-US"/>
              </w:rPr>
              <w:t>With</w:t>
            </w:r>
            <w:proofErr w:type="gramEnd"/>
            <w:r w:rsidRPr="001C11B0">
              <w:rPr>
                <w:rFonts w:eastAsia="Arial"/>
                <w:b/>
                <w:bCs/>
                <w:i/>
                <w:iCs/>
                <w:highlight w:val="yellow"/>
                <w:lang w:val="en-US"/>
              </w:rPr>
              <w:t xml:space="preserve"> Observation Shift FA does not provide for the consequences of an Unscheduled Holiday, and so to avoid basis parties should consider specifying the Termination Date adjustment for Unscheduled Holiday as Inapplicable. As noted below, parties should consider deleting the language regarding a Period End Date as Delayed Payment and Early Payment are unlikely to be relevant.]</w:t>
            </w:r>
          </w:p>
        </w:tc>
      </w:tr>
      <w:tr w:rsidR="003B5970" w14:paraId="09F4EF2A" w14:textId="77777777" w:rsidTr="00C079A2">
        <w:trPr>
          <w:cantSplit/>
        </w:trPr>
        <w:tc>
          <w:tcPr>
            <w:tcW w:w="522" w:type="dxa"/>
          </w:tcPr>
          <w:p w14:paraId="137F2ACD" w14:textId="77777777" w:rsidR="003B5970" w:rsidRPr="004065AC" w:rsidRDefault="003B5970" w:rsidP="002B0670">
            <w:pPr>
              <w:pStyle w:val="CellBody"/>
            </w:pPr>
          </w:p>
        </w:tc>
        <w:tc>
          <w:tcPr>
            <w:tcW w:w="4005" w:type="dxa"/>
          </w:tcPr>
          <w:p w14:paraId="1099C2DB" w14:textId="77777777" w:rsidR="003B5970" w:rsidRPr="004065AC" w:rsidRDefault="003B5970" w:rsidP="002B0670">
            <w:pPr>
              <w:pStyle w:val="CellBody"/>
            </w:pPr>
            <w:r>
              <w:t>[</w:t>
            </w:r>
            <w:r w:rsidRPr="00933FF8">
              <w:t>Consequences of an Unscheduled Holiday</w:t>
            </w:r>
            <w:r>
              <w:t>:]</w:t>
            </w:r>
          </w:p>
        </w:tc>
        <w:tc>
          <w:tcPr>
            <w:tcW w:w="4518" w:type="dxa"/>
            <w:shd w:val="clear" w:color="auto" w:fill="auto"/>
            <w:vAlign w:val="bottom"/>
          </w:tcPr>
          <w:p w14:paraId="75D510DD" w14:textId="77777777" w:rsidR="003B5970" w:rsidRDefault="003B5970" w:rsidP="002B0670">
            <w:pPr>
              <w:pStyle w:val="CellBody"/>
            </w:pPr>
            <w:r>
              <w:t>[</w:t>
            </w:r>
            <w:r w:rsidRPr="00A34055">
              <w:t>The</w:t>
            </w:r>
            <w:r>
              <w:t xml:space="preserve"> provisions of </w:t>
            </w:r>
            <w:r w:rsidRPr="00A34055">
              <w:t>Section 2.3.6</w:t>
            </w:r>
            <w:r>
              <w:t xml:space="preserve"> (</w:t>
            </w:r>
            <w:r>
              <w:rPr>
                <w:i/>
                <w:iCs/>
              </w:rPr>
              <w:t>Consequences of an Unscheduled Holiday</w:t>
            </w:r>
            <w:r>
              <w:t xml:space="preserve">) and </w:t>
            </w:r>
            <w:r w:rsidRPr="00A34055">
              <w:t xml:space="preserve">Section </w:t>
            </w:r>
            <w:r>
              <w:t>2.3.7 (</w:t>
            </w:r>
            <w:r w:rsidRPr="00FF3202">
              <w:rPr>
                <w:i/>
                <w:iCs/>
              </w:rPr>
              <w:t>Unscheduled Holiday</w:t>
            </w:r>
            <w:r>
              <w:t xml:space="preserve">) </w:t>
            </w:r>
            <w:r w:rsidRPr="00A34055">
              <w:t xml:space="preserve">of the </w:t>
            </w:r>
            <w:r>
              <w:t xml:space="preserve">2021 ISDA Interest Rate Derivatives Definitions will not apply to this Transaction] </w:t>
            </w:r>
            <w:r w:rsidRPr="001C11B0">
              <w:rPr>
                <w:rFonts w:eastAsia="Arial"/>
                <w:b/>
                <w:bCs/>
                <w:i/>
                <w:iCs/>
                <w:highlight w:val="yellow"/>
                <w:lang w:val="en-US"/>
              </w:rPr>
              <w:t>[Note: The LMA Lookback With Observation Shift FA does not provide for the consequences of an Unscheduled Holiday, and so to avoid basis parties should consider amending the default position that an Unscheduled Holiday will result in a Payment Date falling on the first following day that is a Business Day.]</w:t>
            </w:r>
            <w:r>
              <w:rPr>
                <w:rFonts w:eastAsia="Arial"/>
                <w:lang w:val="en-US"/>
              </w:rPr>
              <w:t xml:space="preserve"> </w:t>
            </w:r>
          </w:p>
        </w:tc>
      </w:tr>
      <w:tr w:rsidR="003B5970" w14:paraId="4F06E012" w14:textId="77777777" w:rsidTr="00C079A2">
        <w:trPr>
          <w:cantSplit/>
        </w:trPr>
        <w:tc>
          <w:tcPr>
            <w:tcW w:w="522" w:type="dxa"/>
          </w:tcPr>
          <w:p w14:paraId="1487E1EC" w14:textId="77777777" w:rsidR="003B5970" w:rsidRPr="004065AC" w:rsidRDefault="003B5970" w:rsidP="002B0670">
            <w:pPr>
              <w:pStyle w:val="CellBody"/>
            </w:pPr>
          </w:p>
        </w:tc>
        <w:tc>
          <w:tcPr>
            <w:tcW w:w="4005" w:type="dxa"/>
          </w:tcPr>
          <w:p w14:paraId="3BF2CF09" w14:textId="77777777" w:rsidR="003B5970" w:rsidRPr="004065AC" w:rsidRDefault="003B5970" w:rsidP="002B0670">
            <w:pPr>
              <w:pStyle w:val="CellBody"/>
            </w:pPr>
            <w:r w:rsidRPr="004065AC">
              <w:t>Calculation Agent:</w:t>
            </w:r>
          </w:p>
        </w:tc>
        <w:tc>
          <w:tcPr>
            <w:tcW w:w="4518" w:type="dxa"/>
            <w:shd w:val="clear" w:color="auto" w:fill="auto"/>
          </w:tcPr>
          <w:p w14:paraId="6CFD5DDD" w14:textId="77777777" w:rsidR="003B5970" w:rsidRPr="004065AC" w:rsidRDefault="003B5970" w:rsidP="002B0670">
            <w:pPr>
              <w:pStyle w:val="CellBody"/>
            </w:pPr>
            <w:r w:rsidRPr="004065AC">
              <w:t>[                   ]</w:t>
            </w:r>
            <w:r w:rsidRPr="004065AC">
              <w:rPr>
                <w:rStyle w:val="FootnoteReference"/>
              </w:rPr>
              <w:footnoteReference w:id="5"/>
            </w:r>
          </w:p>
        </w:tc>
      </w:tr>
      <w:tr w:rsidR="003B5970" w14:paraId="42074D4B" w14:textId="77777777" w:rsidTr="00C079A2">
        <w:trPr>
          <w:cantSplit/>
        </w:trPr>
        <w:tc>
          <w:tcPr>
            <w:tcW w:w="522" w:type="dxa"/>
          </w:tcPr>
          <w:p w14:paraId="55CEE4E2" w14:textId="77777777" w:rsidR="003B5970" w:rsidRPr="004065AC" w:rsidRDefault="003B5970" w:rsidP="002B0670">
            <w:pPr>
              <w:pStyle w:val="CellBody"/>
            </w:pPr>
          </w:p>
        </w:tc>
        <w:tc>
          <w:tcPr>
            <w:tcW w:w="4005" w:type="dxa"/>
          </w:tcPr>
          <w:p w14:paraId="7D2FA3D7" w14:textId="77777777" w:rsidR="003B5970" w:rsidRPr="004065AC" w:rsidRDefault="003B5970" w:rsidP="002B0670">
            <w:pPr>
              <w:pStyle w:val="CellBody"/>
            </w:pPr>
            <w:r w:rsidRPr="004065AC">
              <w:t>[Notification Deadline:]</w:t>
            </w:r>
          </w:p>
        </w:tc>
        <w:tc>
          <w:tcPr>
            <w:tcW w:w="4518" w:type="dxa"/>
            <w:shd w:val="clear" w:color="auto" w:fill="auto"/>
          </w:tcPr>
          <w:p w14:paraId="27AD64F8" w14:textId="77777777" w:rsidR="003B5970" w:rsidRPr="004065AC" w:rsidRDefault="003B5970" w:rsidP="002B0670">
            <w:pPr>
              <w:pStyle w:val="CellBody"/>
            </w:pPr>
            <w:r w:rsidRPr="004065AC">
              <w:t>[                   ]</w:t>
            </w:r>
            <w:r w:rsidRPr="004065AC">
              <w:rPr>
                <w:rStyle w:val="FootnoteReference"/>
              </w:rPr>
              <w:footnoteReference w:id="6"/>
            </w:r>
          </w:p>
        </w:tc>
      </w:tr>
    </w:tbl>
    <w:p w14:paraId="0AED760D" w14:textId="77777777" w:rsidR="001C11B0" w:rsidRDefault="001C11B0" w:rsidP="00C30609">
      <w:pPr>
        <w:pStyle w:val="Body"/>
      </w:pPr>
    </w:p>
    <w:p w14:paraId="2D2D0FDD" w14:textId="6E248ACB" w:rsidR="003B5970" w:rsidRPr="001C11B0" w:rsidRDefault="003B5970" w:rsidP="00C30609">
      <w:pPr>
        <w:pStyle w:val="Body"/>
        <w:rPr>
          <w:sz w:val="22"/>
          <w:szCs w:val="22"/>
        </w:rPr>
      </w:pPr>
      <w:r w:rsidRPr="001C11B0">
        <w:rPr>
          <w:sz w:val="22"/>
          <w:szCs w:val="22"/>
        </w:rPr>
        <w:t>2.        Fixed Amounts:</w:t>
      </w:r>
      <w:r w:rsidRPr="001C11B0">
        <w:rPr>
          <w:sz w:val="22"/>
          <w:szCs w:val="22"/>
        </w:rPr>
        <w:tab/>
      </w:r>
    </w:p>
    <w:tbl>
      <w:tblPr>
        <w:tblStyle w:val="TableGrid"/>
        <w:tblW w:w="9045" w:type="dxa"/>
        <w:tblInd w:w="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3960"/>
        <w:gridCol w:w="4518"/>
      </w:tblGrid>
      <w:tr w:rsidR="003B5970" w14:paraId="2D74C48E" w14:textId="77777777" w:rsidTr="00C079A2">
        <w:trPr>
          <w:cantSplit/>
        </w:trPr>
        <w:tc>
          <w:tcPr>
            <w:tcW w:w="567" w:type="dxa"/>
          </w:tcPr>
          <w:p w14:paraId="34C64E0E" w14:textId="77777777" w:rsidR="003B5970" w:rsidRPr="004065AC" w:rsidRDefault="003B5970" w:rsidP="002B0670">
            <w:pPr>
              <w:pStyle w:val="CellBody"/>
            </w:pPr>
          </w:p>
        </w:tc>
        <w:tc>
          <w:tcPr>
            <w:tcW w:w="3960" w:type="dxa"/>
          </w:tcPr>
          <w:p w14:paraId="36AD2E7A" w14:textId="77777777" w:rsidR="003B5970" w:rsidRPr="004065AC" w:rsidRDefault="003B5970" w:rsidP="002B0670">
            <w:pPr>
              <w:pStyle w:val="CellBody"/>
            </w:pPr>
            <w:r w:rsidRPr="004065AC">
              <w:t>Fixed Amount Payer:</w:t>
            </w:r>
          </w:p>
        </w:tc>
        <w:tc>
          <w:tcPr>
            <w:tcW w:w="4518" w:type="dxa"/>
            <w:shd w:val="clear" w:color="auto" w:fill="auto"/>
            <w:vAlign w:val="bottom"/>
          </w:tcPr>
          <w:p w14:paraId="2CDCCB6C" w14:textId="77777777" w:rsidR="003B5970" w:rsidRPr="004065AC" w:rsidRDefault="003B5970" w:rsidP="002B0670">
            <w:pPr>
              <w:pStyle w:val="CellBody"/>
            </w:pPr>
            <w:r w:rsidRPr="004065AC">
              <w:t>[Party A/B]</w:t>
            </w:r>
          </w:p>
        </w:tc>
      </w:tr>
      <w:tr w:rsidR="003B5970" w14:paraId="5589809B" w14:textId="77777777" w:rsidTr="00C079A2">
        <w:trPr>
          <w:cantSplit/>
        </w:trPr>
        <w:tc>
          <w:tcPr>
            <w:tcW w:w="567" w:type="dxa"/>
          </w:tcPr>
          <w:p w14:paraId="73A538A6" w14:textId="77777777" w:rsidR="003B5970" w:rsidRPr="004065AC" w:rsidRDefault="003B5970" w:rsidP="002B0670">
            <w:pPr>
              <w:pStyle w:val="CellBody"/>
            </w:pPr>
          </w:p>
        </w:tc>
        <w:tc>
          <w:tcPr>
            <w:tcW w:w="3960" w:type="dxa"/>
          </w:tcPr>
          <w:p w14:paraId="247B39EF" w14:textId="77777777" w:rsidR="003B5970" w:rsidRPr="004065AC" w:rsidRDefault="003B5970" w:rsidP="002B0670">
            <w:pPr>
              <w:pStyle w:val="CellBody"/>
            </w:pPr>
            <w:r>
              <w:t>[</w:t>
            </w:r>
            <w:r w:rsidRPr="004065AC">
              <w:t>Fixed Amount Payer Payment Dates:]</w:t>
            </w:r>
          </w:p>
        </w:tc>
        <w:tc>
          <w:tcPr>
            <w:tcW w:w="4518" w:type="dxa"/>
            <w:shd w:val="clear" w:color="auto" w:fill="auto"/>
            <w:vAlign w:val="bottom"/>
          </w:tcPr>
          <w:p w14:paraId="266A4298" w14:textId="77777777" w:rsidR="003B5970" w:rsidRPr="002538CF" w:rsidRDefault="003B5970" w:rsidP="002B0670">
            <w:pPr>
              <w:pStyle w:val="CellBody"/>
              <w:rPr>
                <w:rFonts w:eastAsia="Arial"/>
                <w:highlight w:val="yellow"/>
                <w:lang w:val="en-US"/>
              </w:rPr>
            </w:pPr>
            <w:r w:rsidRPr="004065AC">
              <w:t>[                 </w:t>
            </w:r>
            <w:proofErr w:type="gramStart"/>
            <w:r w:rsidRPr="004065AC">
              <w:t>  ]</w:t>
            </w:r>
            <w:proofErr w:type="gramEnd"/>
            <w:r w:rsidRPr="004065AC">
              <w:t>, subject to adjustment in accordance with the F</w:t>
            </w:r>
            <w:r>
              <w:t xml:space="preserve">RN Convention </w:t>
            </w:r>
            <w:r w:rsidRPr="001C11B0">
              <w:rPr>
                <w:rFonts w:eastAsia="Arial"/>
                <w:b/>
                <w:bCs/>
                <w:i/>
                <w:iCs/>
                <w:highlight w:val="yellow"/>
                <w:lang w:val="en-US"/>
              </w:rPr>
              <w:t>[Note: Parties to consider aligning these dates and the applicable convention with the Floating Amount Payer Payment Dates.]</w:t>
            </w:r>
          </w:p>
        </w:tc>
      </w:tr>
      <w:tr w:rsidR="003B5970" w14:paraId="00A5F5B2" w14:textId="77777777" w:rsidTr="00C079A2">
        <w:trPr>
          <w:cantSplit/>
        </w:trPr>
        <w:tc>
          <w:tcPr>
            <w:tcW w:w="567" w:type="dxa"/>
          </w:tcPr>
          <w:p w14:paraId="1717ADC7" w14:textId="77777777" w:rsidR="003B5970" w:rsidRDefault="003B5970" w:rsidP="002B0670">
            <w:pPr>
              <w:pStyle w:val="CellBody"/>
            </w:pPr>
          </w:p>
        </w:tc>
        <w:tc>
          <w:tcPr>
            <w:tcW w:w="3960" w:type="dxa"/>
          </w:tcPr>
          <w:p w14:paraId="02725B40" w14:textId="77777777" w:rsidR="003B5970" w:rsidRDefault="003B5970" w:rsidP="002B0670">
            <w:pPr>
              <w:pStyle w:val="CellBody"/>
            </w:pPr>
            <w:r w:rsidRPr="00147A9A">
              <w:t>[Fixed Amount/Fixed Rate</w:t>
            </w:r>
            <w:r>
              <w:t>:</w:t>
            </w:r>
            <w:r w:rsidRPr="00147A9A">
              <w:t>]</w:t>
            </w:r>
            <w:r w:rsidRPr="00147A9A">
              <w:rPr>
                <w:rStyle w:val="FootnoteReference"/>
              </w:rPr>
              <w:footnoteReference w:id="7"/>
            </w:r>
          </w:p>
        </w:tc>
        <w:tc>
          <w:tcPr>
            <w:tcW w:w="4518" w:type="dxa"/>
            <w:shd w:val="clear" w:color="auto" w:fill="auto"/>
          </w:tcPr>
          <w:p w14:paraId="78236350" w14:textId="77777777" w:rsidR="003B5970" w:rsidRDefault="003B5970" w:rsidP="002B0670">
            <w:pPr>
              <w:pStyle w:val="CellBody"/>
            </w:pPr>
            <w:r>
              <w:t>[                   ]</w:t>
            </w:r>
          </w:p>
        </w:tc>
      </w:tr>
      <w:tr w:rsidR="003B5970" w14:paraId="6F133CC2" w14:textId="77777777" w:rsidTr="00C079A2">
        <w:trPr>
          <w:cantSplit/>
        </w:trPr>
        <w:tc>
          <w:tcPr>
            <w:tcW w:w="567" w:type="dxa"/>
          </w:tcPr>
          <w:p w14:paraId="79CF5AFE" w14:textId="77777777" w:rsidR="003B5970" w:rsidRDefault="003B5970" w:rsidP="002B0670">
            <w:pPr>
              <w:pStyle w:val="CellBody"/>
            </w:pPr>
          </w:p>
        </w:tc>
        <w:tc>
          <w:tcPr>
            <w:tcW w:w="3960" w:type="dxa"/>
          </w:tcPr>
          <w:p w14:paraId="22E2BE5C" w14:textId="77777777" w:rsidR="003B5970" w:rsidRDefault="003B5970" w:rsidP="002B0670">
            <w:pPr>
              <w:pStyle w:val="CellBody"/>
            </w:pPr>
            <w:r>
              <w:t>[Fixed Rate Day Count Fraction:]</w:t>
            </w:r>
            <w:r>
              <w:rPr>
                <w:rStyle w:val="FootnoteReference"/>
              </w:rPr>
              <w:footnoteReference w:id="8"/>
            </w:r>
          </w:p>
        </w:tc>
        <w:tc>
          <w:tcPr>
            <w:tcW w:w="4518" w:type="dxa"/>
            <w:shd w:val="clear" w:color="auto" w:fill="auto"/>
            <w:vAlign w:val="bottom"/>
          </w:tcPr>
          <w:p w14:paraId="6FAD86A4" w14:textId="77777777" w:rsidR="003B5970" w:rsidRDefault="003B5970" w:rsidP="002B0670">
            <w:pPr>
              <w:pStyle w:val="CellBody"/>
            </w:pPr>
            <w:r>
              <w:t xml:space="preserve">[                   ] </w:t>
            </w:r>
          </w:p>
        </w:tc>
      </w:tr>
      <w:tr w:rsidR="003B5970" w14:paraId="1DB28726" w14:textId="77777777" w:rsidTr="00C079A2">
        <w:trPr>
          <w:cantSplit/>
        </w:trPr>
        <w:tc>
          <w:tcPr>
            <w:tcW w:w="567" w:type="dxa"/>
          </w:tcPr>
          <w:p w14:paraId="500ECFFE" w14:textId="77777777" w:rsidR="003B5970" w:rsidRDefault="003B5970" w:rsidP="002B0670">
            <w:pPr>
              <w:pStyle w:val="CellBody"/>
            </w:pPr>
          </w:p>
        </w:tc>
        <w:tc>
          <w:tcPr>
            <w:tcW w:w="3960" w:type="dxa"/>
          </w:tcPr>
          <w:p w14:paraId="634E244E" w14:textId="77777777" w:rsidR="003B5970" w:rsidRDefault="003B5970" w:rsidP="002B0670">
            <w:pPr>
              <w:pStyle w:val="CellBody"/>
            </w:pPr>
            <w:r>
              <w:t>[</w:t>
            </w:r>
            <w:r w:rsidRPr="00147A9A">
              <w:t>Fixed Negative Interest Rate</w:t>
            </w:r>
            <w:r>
              <w:t xml:space="preserve"> Method</w:t>
            </w:r>
            <w:r w:rsidRPr="00147A9A">
              <w:t>:</w:t>
            </w:r>
            <w:r>
              <w:t>]</w:t>
            </w:r>
          </w:p>
        </w:tc>
        <w:tc>
          <w:tcPr>
            <w:tcW w:w="4518" w:type="dxa"/>
            <w:shd w:val="clear" w:color="auto" w:fill="auto"/>
            <w:vAlign w:val="bottom"/>
          </w:tcPr>
          <w:p w14:paraId="47D3A6CB" w14:textId="77777777" w:rsidR="003B5970" w:rsidRDefault="003B5970" w:rsidP="002B0670">
            <w:pPr>
              <w:pStyle w:val="CellBody"/>
            </w:pPr>
            <w:r>
              <w:t>[Applicable/Inapplicable]</w:t>
            </w:r>
            <w:r>
              <w:rPr>
                <w:rStyle w:val="FootnoteReference"/>
              </w:rPr>
              <w:footnoteReference w:id="9"/>
            </w:r>
          </w:p>
        </w:tc>
      </w:tr>
      <w:tr w:rsidR="003B5970" w14:paraId="39F47EE8" w14:textId="77777777" w:rsidTr="00C079A2">
        <w:trPr>
          <w:cantSplit/>
        </w:trPr>
        <w:tc>
          <w:tcPr>
            <w:tcW w:w="567" w:type="dxa"/>
          </w:tcPr>
          <w:p w14:paraId="64F788A1" w14:textId="77777777" w:rsidR="003B5970" w:rsidRPr="007C282C" w:rsidRDefault="003B5970" w:rsidP="002B0670">
            <w:pPr>
              <w:pStyle w:val="CellBody"/>
            </w:pPr>
          </w:p>
        </w:tc>
        <w:tc>
          <w:tcPr>
            <w:tcW w:w="3960" w:type="dxa"/>
          </w:tcPr>
          <w:p w14:paraId="074181CD" w14:textId="77777777" w:rsidR="003B5970" w:rsidRPr="007C282C" w:rsidRDefault="003B5970" w:rsidP="002B0670">
            <w:pPr>
              <w:pStyle w:val="CellBody"/>
            </w:pPr>
            <w:r w:rsidRPr="007C282C">
              <w:t>[Rounding:]</w:t>
            </w:r>
          </w:p>
        </w:tc>
        <w:tc>
          <w:tcPr>
            <w:tcW w:w="4518" w:type="dxa"/>
            <w:shd w:val="clear" w:color="auto" w:fill="auto"/>
            <w:vAlign w:val="bottom"/>
          </w:tcPr>
          <w:p w14:paraId="771D4BDE" w14:textId="77777777" w:rsidR="003B5970" w:rsidRPr="00B02EF2" w:rsidRDefault="003B5970" w:rsidP="002B0670">
            <w:pPr>
              <w:pStyle w:val="CellBody"/>
              <w:rPr>
                <w:b/>
                <w:bCs/>
                <w:i/>
                <w:iCs/>
              </w:rPr>
            </w:pPr>
            <w:r w:rsidRPr="007C282C">
              <w:t>[                   ]</w:t>
            </w:r>
            <w:r>
              <w:rPr>
                <w:rStyle w:val="FootnoteReference"/>
              </w:rPr>
              <w:footnoteReference w:id="10"/>
            </w:r>
          </w:p>
        </w:tc>
      </w:tr>
    </w:tbl>
    <w:p w14:paraId="73B55C7A" w14:textId="77777777" w:rsidR="003B5970" w:rsidRDefault="003B5970" w:rsidP="00C30609"/>
    <w:p w14:paraId="0FA99821" w14:textId="77777777" w:rsidR="003B5970" w:rsidRDefault="003B5970" w:rsidP="00C30609">
      <w:pPr>
        <w:pStyle w:val="Body"/>
      </w:pPr>
      <w:r w:rsidRPr="001C11B0">
        <w:rPr>
          <w:sz w:val="22"/>
          <w:szCs w:val="22"/>
        </w:rPr>
        <w:t>3.        Floating Amounts:</w:t>
      </w:r>
      <w:r>
        <w:tab/>
      </w:r>
    </w:p>
    <w:tbl>
      <w:tblPr>
        <w:tblStyle w:val="TableGrid"/>
        <w:tblW w:w="9018" w:type="dxa"/>
        <w:tblInd w:w="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3933"/>
        <w:gridCol w:w="4518"/>
      </w:tblGrid>
      <w:tr w:rsidR="003B5970" w14:paraId="45298110" w14:textId="77777777" w:rsidTr="00C079A2">
        <w:trPr>
          <w:cantSplit/>
        </w:trPr>
        <w:tc>
          <w:tcPr>
            <w:tcW w:w="567" w:type="dxa"/>
          </w:tcPr>
          <w:p w14:paraId="783DDB5D" w14:textId="77777777" w:rsidR="003B5970" w:rsidRDefault="003B5970" w:rsidP="002B0670">
            <w:pPr>
              <w:pStyle w:val="CellBody"/>
            </w:pPr>
          </w:p>
        </w:tc>
        <w:tc>
          <w:tcPr>
            <w:tcW w:w="3933" w:type="dxa"/>
          </w:tcPr>
          <w:p w14:paraId="78157385" w14:textId="77777777" w:rsidR="003B5970" w:rsidRDefault="003B5970" w:rsidP="002B0670">
            <w:pPr>
              <w:pStyle w:val="CellBody"/>
            </w:pPr>
            <w:r>
              <w:t>Floating Amount Payer:</w:t>
            </w:r>
          </w:p>
        </w:tc>
        <w:tc>
          <w:tcPr>
            <w:tcW w:w="4518" w:type="dxa"/>
            <w:shd w:val="clear" w:color="auto" w:fill="auto"/>
            <w:vAlign w:val="bottom"/>
          </w:tcPr>
          <w:p w14:paraId="69FDB584" w14:textId="77777777" w:rsidR="003B5970" w:rsidRDefault="003B5970" w:rsidP="002B0670">
            <w:pPr>
              <w:pStyle w:val="CellBody"/>
            </w:pPr>
            <w:r>
              <w:t>[Party B/A]</w:t>
            </w:r>
          </w:p>
        </w:tc>
      </w:tr>
      <w:tr w:rsidR="003B5970" w14:paraId="7A918480" w14:textId="77777777" w:rsidTr="00C079A2">
        <w:trPr>
          <w:cantSplit/>
        </w:trPr>
        <w:tc>
          <w:tcPr>
            <w:tcW w:w="567" w:type="dxa"/>
          </w:tcPr>
          <w:p w14:paraId="6449232B" w14:textId="77777777" w:rsidR="003B5970" w:rsidRDefault="003B5970" w:rsidP="002B0670">
            <w:pPr>
              <w:pStyle w:val="CellBody"/>
            </w:pPr>
          </w:p>
        </w:tc>
        <w:tc>
          <w:tcPr>
            <w:tcW w:w="3933" w:type="dxa"/>
          </w:tcPr>
          <w:p w14:paraId="64D71916" w14:textId="77777777" w:rsidR="003B5970" w:rsidRDefault="003B5970" w:rsidP="002B0670">
            <w:pPr>
              <w:pStyle w:val="CellBody"/>
            </w:pPr>
            <w:r>
              <w:t>[Floating Amount Payer Payment Dates:]</w:t>
            </w:r>
            <w:r>
              <w:rPr>
                <w:rStyle w:val="FootnoteReference"/>
              </w:rPr>
              <w:footnoteReference w:id="11"/>
            </w:r>
          </w:p>
        </w:tc>
        <w:tc>
          <w:tcPr>
            <w:tcW w:w="4518" w:type="dxa"/>
            <w:shd w:val="clear" w:color="auto" w:fill="auto"/>
            <w:vAlign w:val="bottom"/>
          </w:tcPr>
          <w:p w14:paraId="2AEA537C" w14:textId="77777777" w:rsidR="003B5970" w:rsidRPr="002538CF" w:rsidRDefault="003B5970" w:rsidP="002B0670">
            <w:pPr>
              <w:pStyle w:val="CellBody"/>
              <w:rPr>
                <w:rFonts w:eastAsia="Arial"/>
                <w:highlight w:val="yellow"/>
                <w:lang w:val="en-US"/>
              </w:rPr>
            </w:pPr>
            <w:r w:rsidRPr="004065AC">
              <w:t>[                 </w:t>
            </w:r>
            <w:proofErr w:type="gramStart"/>
            <w:r w:rsidRPr="004065AC">
              <w:t>  ]</w:t>
            </w:r>
            <w:proofErr w:type="gramEnd"/>
            <w:r w:rsidRPr="004065AC">
              <w:t>, subject to adjustment in accordance with the F</w:t>
            </w:r>
            <w:r>
              <w:t xml:space="preserve">RN Convention </w:t>
            </w:r>
            <w:r w:rsidRPr="001C11B0">
              <w:rPr>
                <w:rFonts w:eastAsia="Arial"/>
                <w:b/>
                <w:bCs/>
                <w:i/>
                <w:iCs/>
                <w:highlight w:val="yellow"/>
                <w:lang w:val="en-US"/>
              </w:rPr>
              <w:t xml:space="preserve">[Note: Parties should insert the last day of each Interest Period under the facility agreement. Consider applying the FRN Convention for greater alignment with the LMA Lookback </w:t>
            </w:r>
            <w:proofErr w:type="gramStart"/>
            <w:r w:rsidRPr="001C11B0">
              <w:rPr>
                <w:rFonts w:eastAsia="Arial"/>
                <w:b/>
                <w:bCs/>
                <w:i/>
                <w:iCs/>
                <w:highlight w:val="yellow"/>
                <w:lang w:val="en-US"/>
              </w:rPr>
              <w:t>With</w:t>
            </w:r>
            <w:proofErr w:type="gramEnd"/>
            <w:r w:rsidRPr="001C11B0">
              <w:rPr>
                <w:rFonts w:eastAsia="Arial"/>
                <w:b/>
                <w:bCs/>
                <w:i/>
                <w:iCs/>
                <w:highlight w:val="yellow"/>
                <w:lang w:val="en-US"/>
              </w:rPr>
              <w:t xml:space="preserve"> Observation Shift FA.]</w:t>
            </w:r>
            <w:r w:rsidDel="007B2073">
              <w:t xml:space="preserve"> </w:t>
            </w:r>
          </w:p>
        </w:tc>
      </w:tr>
      <w:tr w:rsidR="003B5970" w14:paraId="1527A833" w14:textId="77777777" w:rsidTr="00C079A2">
        <w:trPr>
          <w:cantSplit/>
        </w:trPr>
        <w:tc>
          <w:tcPr>
            <w:tcW w:w="567" w:type="dxa"/>
          </w:tcPr>
          <w:p w14:paraId="3B951524" w14:textId="77777777" w:rsidR="003B5970" w:rsidRPr="00B2373B" w:rsidRDefault="003B5970" w:rsidP="002B0670">
            <w:pPr>
              <w:pStyle w:val="CellBody"/>
            </w:pPr>
          </w:p>
        </w:tc>
        <w:tc>
          <w:tcPr>
            <w:tcW w:w="3933" w:type="dxa"/>
          </w:tcPr>
          <w:p w14:paraId="6158DC9E" w14:textId="77777777" w:rsidR="003B5970" w:rsidRDefault="003B5970" w:rsidP="002B0670">
            <w:pPr>
              <w:pStyle w:val="CellBody"/>
            </w:pPr>
            <w:r>
              <w:t>Floating Rate Option:</w:t>
            </w:r>
          </w:p>
        </w:tc>
        <w:tc>
          <w:tcPr>
            <w:tcW w:w="4518" w:type="dxa"/>
            <w:shd w:val="clear" w:color="auto" w:fill="auto"/>
          </w:tcPr>
          <w:p w14:paraId="291491BC" w14:textId="77777777" w:rsidR="003B5970" w:rsidRPr="008D09B6" w:rsidRDefault="003B5970" w:rsidP="002B0670">
            <w:pPr>
              <w:pStyle w:val="CellBody"/>
              <w:rPr>
                <w:rFonts w:eastAsia="Arial"/>
                <w:lang w:val="en-US"/>
              </w:rPr>
            </w:pPr>
            <w:r w:rsidRPr="00B2373B">
              <w:t>[                 </w:t>
            </w:r>
            <w:proofErr w:type="gramStart"/>
            <w:r w:rsidRPr="00B2373B">
              <w:t>  ]</w:t>
            </w:r>
            <w:proofErr w:type="gramEnd"/>
            <w:r>
              <w:t xml:space="preserve"> </w:t>
            </w:r>
            <w:r w:rsidRPr="001C11B0">
              <w:rPr>
                <w:rFonts w:eastAsia="Arial"/>
                <w:b/>
                <w:bCs/>
                <w:i/>
                <w:iCs/>
                <w:highlight w:val="yellow"/>
                <w:lang w:val="en-US"/>
              </w:rPr>
              <w:t xml:space="preserve">[Note: This Floating Rate Option should match the applicable RFR specified in the facility agreement. Note however that triggers and fallbacks will differ between the RFR in the LMA Lookback </w:t>
            </w:r>
            <w:proofErr w:type="gramStart"/>
            <w:r w:rsidRPr="001C11B0">
              <w:rPr>
                <w:rFonts w:eastAsia="Arial"/>
                <w:b/>
                <w:bCs/>
                <w:i/>
                <w:iCs/>
                <w:highlight w:val="yellow"/>
                <w:lang w:val="en-US"/>
              </w:rPr>
              <w:t>With</w:t>
            </w:r>
            <w:proofErr w:type="gramEnd"/>
            <w:r w:rsidRPr="001C11B0">
              <w:rPr>
                <w:rFonts w:eastAsia="Arial"/>
                <w:b/>
                <w:bCs/>
                <w:i/>
                <w:iCs/>
                <w:highlight w:val="yellow"/>
                <w:lang w:val="en-US"/>
              </w:rPr>
              <w:t xml:space="preserve"> Observation Shift FA and the Floating Rate Option in the </w:t>
            </w:r>
            <w:r w:rsidRPr="001C11B0">
              <w:rPr>
                <w:b/>
                <w:bCs/>
                <w:i/>
                <w:iCs/>
                <w:highlight w:val="yellow"/>
              </w:rPr>
              <w:t>2021 ISDA Interest Rate Derivatives Definitions Floating Rate Matrix</w:t>
            </w:r>
            <w:r w:rsidRPr="001C11B0">
              <w:rPr>
                <w:rFonts w:eastAsia="Arial"/>
                <w:b/>
                <w:bCs/>
                <w:i/>
                <w:iCs/>
                <w:highlight w:val="yellow"/>
                <w:lang w:val="en-US"/>
              </w:rPr>
              <w:t>.]</w:t>
            </w:r>
          </w:p>
        </w:tc>
      </w:tr>
      <w:tr w:rsidR="003B5970" w14:paraId="54F5CF66" w14:textId="77777777" w:rsidTr="00C079A2">
        <w:trPr>
          <w:cantSplit/>
        </w:trPr>
        <w:tc>
          <w:tcPr>
            <w:tcW w:w="567" w:type="dxa"/>
          </w:tcPr>
          <w:p w14:paraId="2D6C6A45" w14:textId="77777777" w:rsidR="003B5970" w:rsidRPr="00B2373B" w:rsidRDefault="003B5970" w:rsidP="002B0670">
            <w:pPr>
              <w:pStyle w:val="CellBody"/>
            </w:pPr>
          </w:p>
        </w:tc>
        <w:tc>
          <w:tcPr>
            <w:tcW w:w="3933" w:type="dxa"/>
          </w:tcPr>
          <w:p w14:paraId="3335A652" w14:textId="77777777" w:rsidR="003B5970" w:rsidRDefault="003B5970" w:rsidP="002B0670">
            <w:pPr>
              <w:pStyle w:val="CellBody"/>
            </w:pPr>
          </w:p>
        </w:tc>
        <w:tc>
          <w:tcPr>
            <w:tcW w:w="4518" w:type="dxa"/>
            <w:shd w:val="clear" w:color="auto" w:fill="auto"/>
          </w:tcPr>
          <w:p w14:paraId="2C3A55AE" w14:textId="77777777" w:rsidR="003B5970" w:rsidRPr="001C11B0" w:rsidRDefault="003B5970" w:rsidP="002B0670">
            <w:pPr>
              <w:pStyle w:val="CellBody"/>
              <w:rPr>
                <w:rFonts w:eastAsia="Arial"/>
                <w:b/>
                <w:bCs/>
                <w:i/>
                <w:iCs/>
                <w:lang w:val="en-US"/>
              </w:rPr>
            </w:pPr>
            <w:r w:rsidRPr="001C11B0">
              <w:rPr>
                <w:rFonts w:eastAsia="Arial"/>
                <w:b/>
                <w:bCs/>
                <w:i/>
                <w:iCs/>
                <w:highlight w:val="yellow"/>
                <w:lang w:val="en-US"/>
              </w:rPr>
              <w:t>[Note: Parties to delete field unless the default position in the facility agreement has been varied.]</w:t>
            </w:r>
          </w:p>
        </w:tc>
      </w:tr>
      <w:tr w:rsidR="003B5970" w14:paraId="5A5AC6D3" w14:textId="77777777" w:rsidTr="00C079A2">
        <w:trPr>
          <w:cantSplit/>
        </w:trPr>
        <w:tc>
          <w:tcPr>
            <w:tcW w:w="567" w:type="dxa"/>
          </w:tcPr>
          <w:p w14:paraId="75225810" w14:textId="77777777" w:rsidR="003B5970" w:rsidRPr="00B2373B" w:rsidRDefault="003B5970" w:rsidP="002B0670">
            <w:pPr>
              <w:pStyle w:val="CellBody"/>
            </w:pPr>
          </w:p>
        </w:tc>
        <w:tc>
          <w:tcPr>
            <w:tcW w:w="3933" w:type="dxa"/>
          </w:tcPr>
          <w:p w14:paraId="4199601D" w14:textId="77777777" w:rsidR="003B5970" w:rsidRDefault="003B5970" w:rsidP="002B0670">
            <w:pPr>
              <w:pStyle w:val="CellBody"/>
            </w:pPr>
          </w:p>
        </w:tc>
        <w:tc>
          <w:tcPr>
            <w:tcW w:w="4518" w:type="dxa"/>
            <w:shd w:val="clear" w:color="auto" w:fill="auto"/>
          </w:tcPr>
          <w:p w14:paraId="34090D94" w14:textId="77777777" w:rsidR="003B5970" w:rsidRPr="001C11B0" w:rsidRDefault="003B5970" w:rsidP="002B0670">
            <w:pPr>
              <w:pStyle w:val="CellBody"/>
              <w:rPr>
                <w:rFonts w:eastAsia="Arial"/>
                <w:b/>
                <w:bCs/>
                <w:i/>
                <w:iCs/>
                <w:lang w:val="en-US"/>
              </w:rPr>
            </w:pPr>
            <w:r w:rsidRPr="001C11B0">
              <w:rPr>
                <w:rFonts w:eastAsia="Arial"/>
                <w:b/>
                <w:bCs/>
                <w:i/>
                <w:iCs/>
                <w:highlight w:val="yellow"/>
                <w:lang w:val="en-US"/>
              </w:rPr>
              <w:t>[Note: Parties to delete field unless the default position in the facility agreement has been varied.]</w:t>
            </w:r>
          </w:p>
        </w:tc>
      </w:tr>
      <w:tr w:rsidR="003B5970" w14:paraId="76EFBDDD" w14:textId="77777777" w:rsidTr="00C079A2">
        <w:trPr>
          <w:cantSplit/>
        </w:trPr>
        <w:tc>
          <w:tcPr>
            <w:tcW w:w="567" w:type="dxa"/>
          </w:tcPr>
          <w:p w14:paraId="678A613F" w14:textId="77777777" w:rsidR="003B5970" w:rsidRPr="00B2373B" w:rsidRDefault="003B5970" w:rsidP="002B0670">
            <w:pPr>
              <w:pStyle w:val="CellBody"/>
            </w:pPr>
          </w:p>
        </w:tc>
        <w:tc>
          <w:tcPr>
            <w:tcW w:w="3933" w:type="dxa"/>
          </w:tcPr>
          <w:p w14:paraId="42C18A80" w14:textId="77777777" w:rsidR="003B5970" w:rsidRPr="00B2373B" w:rsidRDefault="003B5970" w:rsidP="002B0670">
            <w:pPr>
              <w:pStyle w:val="CellBody"/>
            </w:pPr>
          </w:p>
        </w:tc>
        <w:tc>
          <w:tcPr>
            <w:tcW w:w="4518" w:type="dxa"/>
            <w:shd w:val="clear" w:color="auto" w:fill="auto"/>
          </w:tcPr>
          <w:p w14:paraId="15EB1776" w14:textId="77777777" w:rsidR="003B5970" w:rsidRPr="001C11B0" w:rsidRDefault="003B5970" w:rsidP="002B0670">
            <w:pPr>
              <w:pStyle w:val="CellBody"/>
              <w:rPr>
                <w:b/>
                <w:bCs/>
                <w:i/>
                <w:iCs/>
              </w:rPr>
            </w:pPr>
            <w:r w:rsidRPr="001C11B0">
              <w:rPr>
                <w:rFonts w:eastAsia="Arial"/>
                <w:b/>
                <w:bCs/>
                <w:i/>
                <w:iCs/>
                <w:highlight w:val="yellow"/>
                <w:lang w:val="en-US"/>
              </w:rPr>
              <w:t>[Note: Parties to delete field unless the default position in the facility agreement has been varied.]</w:t>
            </w:r>
          </w:p>
        </w:tc>
      </w:tr>
      <w:tr w:rsidR="003B5970" w14:paraId="62E89903" w14:textId="77777777" w:rsidTr="00C079A2">
        <w:trPr>
          <w:cantSplit/>
        </w:trPr>
        <w:tc>
          <w:tcPr>
            <w:tcW w:w="567" w:type="dxa"/>
          </w:tcPr>
          <w:p w14:paraId="6653C9BC" w14:textId="77777777" w:rsidR="003B5970" w:rsidRPr="00B2373B" w:rsidRDefault="003B5970" w:rsidP="002B0670">
            <w:pPr>
              <w:pStyle w:val="CellBody"/>
            </w:pPr>
          </w:p>
        </w:tc>
        <w:tc>
          <w:tcPr>
            <w:tcW w:w="3933" w:type="dxa"/>
          </w:tcPr>
          <w:p w14:paraId="376F1447" w14:textId="77777777" w:rsidR="003B5970" w:rsidRPr="00B2373B" w:rsidRDefault="003B5970" w:rsidP="002B0670">
            <w:pPr>
              <w:pStyle w:val="CellBody"/>
            </w:pPr>
            <w:r>
              <w:t>Spread:</w:t>
            </w:r>
          </w:p>
        </w:tc>
        <w:tc>
          <w:tcPr>
            <w:tcW w:w="4518" w:type="dxa"/>
            <w:shd w:val="clear" w:color="auto" w:fill="auto"/>
          </w:tcPr>
          <w:p w14:paraId="3B69BF9C" w14:textId="77777777" w:rsidR="003B5970" w:rsidRPr="005256FB" w:rsidRDefault="003B5970" w:rsidP="002B0670">
            <w:pPr>
              <w:pStyle w:val="CellBody"/>
            </w:pPr>
            <w:r w:rsidRPr="005256FB">
              <w:t xml:space="preserve">[Plus/Minus           %] [None] </w:t>
            </w:r>
            <w:r w:rsidRPr="001C11B0">
              <w:rPr>
                <w:rFonts w:eastAsia="Arial"/>
                <w:b/>
                <w:bCs/>
                <w:i/>
                <w:iCs/>
                <w:highlight w:val="yellow"/>
                <w:lang w:val="en-US"/>
              </w:rPr>
              <w:t>[Note: Although uncommon for the Margin (as defined in the facility agreement) to be included as a Spread, parties to consider whether any credit adjustment spread should be included to align with the position in the facility agreement.]</w:t>
            </w:r>
          </w:p>
        </w:tc>
      </w:tr>
      <w:tr w:rsidR="003B5970" w14:paraId="23CA2182" w14:textId="77777777" w:rsidTr="00C079A2">
        <w:trPr>
          <w:cantSplit/>
        </w:trPr>
        <w:tc>
          <w:tcPr>
            <w:tcW w:w="567" w:type="dxa"/>
          </w:tcPr>
          <w:p w14:paraId="10430406" w14:textId="77777777" w:rsidR="003B5970" w:rsidRPr="00B2373B" w:rsidRDefault="003B5970" w:rsidP="002B0670">
            <w:pPr>
              <w:pStyle w:val="CellBody"/>
            </w:pPr>
          </w:p>
        </w:tc>
        <w:tc>
          <w:tcPr>
            <w:tcW w:w="3933" w:type="dxa"/>
          </w:tcPr>
          <w:p w14:paraId="75FE1E49" w14:textId="77777777" w:rsidR="003B5970" w:rsidRPr="00B2373B" w:rsidRDefault="003B5970" w:rsidP="002B0670">
            <w:pPr>
              <w:pStyle w:val="CellBody"/>
            </w:pPr>
            <w:r>
              <w:t>Floating Rate Day Count Fraction:</w:t>
            </w:r>
          </w:p>
        </w:tc>
        <w:tc>
          <w:tcPr>
            <w:tcW w:w="4518" w:type="dxa"/>
            <w:shd w:val="clear" w:color="auto" w:fill="auto"/>
          </w:tcPr>
          <w:p w14:paraId="30DCDAFE" w14:textId="77777777" w:rsidR="003B5970" w:rsidRPr="005256FB" w:rsidRDefault="003B5970" w:rsidP="002B0670">
            <w:pPr>
              <w:pStyle w:val="CellBody"/>
            </w:pPr>
            <w:r w:rsidRPr="005256FB">
              <w:t>[                   ]</w:t>
            </w:r>
            <w:r w:rsidRPr="005256FB">
              <w:rPr>
                <w:rStyle w:val="FootnoteReference"/>
              </w:rPr>
              <w:footnoteReference w:id="12"/>
            </w:r>
          </w:p>
        </w:tc>
      </w:tr>
      <w:tr w:rsidR="003B5970" w14:paraId="51017FF1" w14:textId="77777777" w:rsidTr="00C079A2">
        <w:trPr>
          <w:cantSplit/>
        </w:trPr>
        <w:tc>
          <w:tcPr>
            <w:tcW w:w="567" w:type="dxa"/>
          </w:tcPr>
          <w:p w14:paraId="1C744CE6" w14:textId="77777777" w:rsidR="003B5970" w:rsidRPr="004065AC" w:rsidRDefault="003B5970" w:rsidP="002B0670">
            <w:pPr>
              <w:pStyle w:val="CellBody"/>
            </w:pPr>
          </w:p>
        </w:tc>
        <w:tc>
          <w:tcPr>
            <w:tcW w:w="3933" w:type="dxa"/>
          </w:tcPr>
          <w:p w14:paraId="34B6D0C6" w14:textId="77777777" w:rsidR="003B5970" w:rsidRPr="004065AC" w:rsidRDefault="003B5970" w:rsidP="002B0670">
            <w:pPr>
              <w:pStyle w:val="CellBody"/>
            </w:pPr>
            <w:r w:rsidRPr="004065AC">
              <w:t>Reset Dates:</w:t>
            </w:r>
          </w:p>
        </w:tc>
        <w:tc>
          <w:tcPr>
            <w:tcW w:w="4518" w:type="dxa"/>
            <w:shd w:val="clear" w:color="auto" w:fill="auto"/>
          </w:tcPr>
          <w:p w14:paraId="6473FEC4" w14:textId="77777777" w:rsidR="003B5970" w:rsidRPr="004065AC" w:rsidRDefault="003B5970" w:rsidP="002B0670">
            <w:pPr>
              <w:pStyle w:val="CellBody"/>
            </w:pPr>
            <w:r w:rsidRPr="004065AC">
              <w:t>The last day of each Calculation Period [, subject to adjustment in accordance with the [Following/Modified Following/Preceding] Business Day Convention]</w:t>
            </w:r>
            <w:r w:rsidRPr="004065AC">
              <w:rPr>
                <w:rStyle w:val="FootnoteReference"/>
              </w:rPr>
              <w:footnoteReference w:id="13"/>
            </w:r>
          </w:p>
        </w:tc>
      </w:tr>
      <w:tr w:rsidR="003B5970" w14:paraId="1B148C1C" w14:textId="77777777" w:rsidTr="00C079A2">
        <w:trPr>
          <w:cantSplit/>
        </w:trPr>
        <w:tc>
          <w:tcPr>
            <w:tcW w:w="567" w:type="dxa"/>
          </w:tcPr>
          <w:p w14:paraId="4196191E" w14:textId="77777777" w:rsidR="003B5970" w:rsidRPr="004065AC" w:rsidRDefault="003B5970" w:rsidP="002B0670">
            <w:pPr>
              <w:pStyle w:val="CellBody"/>
            </w:pPr>
          </w:p>
        </w:tc>
        <w:tc>
          <w:tcPr>
            <w:tcW w:w="3933" w:type="dxa"/>
          </w:tcPr>
          <w:p w14:paraId="364E6233" w14:textId="77777777" w:rsidR="003B5970" w:rsidRPr="004065AC" w:rsidRDefault="003B5970" w:rsidP="002B0670">
            <w:pPr>
              <w:pStyle w:val="CellBody"/>
            </w:pPr>
            <w:r w:rsidRPr="004065AC">
              <w:t>[Rounding:]</w:t>
            </w:r>
          </w:p>
        </w:tc>
        <w:tc>
          <w:tcPr>
            <w:tcW w:w="4518" w:type="dxa"/>
            <w:shd w:val="clear" w:color="auto" w:fill="auto"/>
            <w:vAlign w:val="bottom"/>
          </w:tcPr>
          <w:p w14:paraId="781A113F" w14:textId="77777777" w:rsidR="003B5970" w:rsidRPr="004065AC" w:rsidRDefault="003B5970" w:rsidP="002B0670">
            <w:pPr>
              <w:pStyle w:val="CellBody"/>
            </w:pPr>
            <w:r w:rsidRPr="004065AC">
              <w:t>[                 </w:t>
            </w:r>
            <w:proofErr w:type="gramStart"/>
            <w:r w:rsidRPr="004065AC">
              <w:t>  ]</w:t>
            </w:r>
            <w:proofErr w:type="gramEnd"/>
            <w:r w:rsidRPr="004065AC">
              <w:rPr>
                <w:rStyle w:val="FootnoteReference"/>
              </w:rPr>
              <w:footnoteReference w:id="14"/>
            </w:r>
            <w:r w:rsidRPr="004065AC">
              <w:t xml:space="preserve"> </w:t>
            </w:r>
            <w:r w:rsidRPr="001C11B0">
              <w:rPr>
                <w:b/>
                <w:bCs/>
                <w:i/>
                <w:iCs/>
                <w:highlight w:val="yellow"/>
              </w:rPr>
              <w:t>[</w:t>
            </w:r>
            <w:r w:rsidRPr="001C11B0">
              <w:rPr>
                <w:b/>
                <w:bCs/>
                <w:i/>
                <w:iCs/>
                <w:highlight w:val="yellow"/>
                <w:shd w:val="clear" w:color="auto" w:fill="E5E5E5" w:themeFill="accent4" w:themeFillTint="33"/>
              </w:rPr>
              <w:t>Note: Parties to consider specifying the same rounding convention as specified in the definition of “Annualised Cumulative Compounded Daily Rate” in Schedule 14 (Daily Non-Cumulative Compounded RFR Rate) of the LMA</w:t>
            </w:r>
            <w:r w:rsidRPr="001C11B0">
              <w:rPr>
                <w:rFonts w:eastAsia="Arial"/>
                <w:b/>
                <w:bCs/>
                <w:i/>
                <w:iCs/>
                <w:highlight w:val="yellow"/>
                <w:lang w:val="en-US"/>
              </w:rPr>
              <w:t xml:space="preserve"> Lookback With Observation Shift FA.</w:t>
            </w:r>
            <w:r w:rsidRPr="001C11B0">
              <w:rPr>
                <w:b/>
                <w:bCs/>
                <w:i/>
                <w:iCs/>
                <w:highlight w:val="yellow"/>
              </w:rPr>
              <w:t>]</w:t>
            </w:r>
            <w:r w:rsidRPr="001C11B0">
              <w:rPr>
                <w:b/>
                <w:bCs/>
                <w:i/>
                <w:iCs/>
              </w:rPr>
              <w:t xml:space="preserve"> </w:t>
            </w:r>
          </w:p>
        </w:tc>
      </w:tr>
      <w:tr w:rsidR="003B5970" w14:paraId="4AACC7DC" w14:textId="77777777" w:rsidTr="00C079A2">
        <w:trPr>
          <w:cantSplit/>
        </w:trPr>
        <w:tc>
          <w:tcPr>
            <w:tcW w:w="567" w:type="dxa"/>
          </w:tcPr>
          <w:p w14:paraId="7E4FC923" w14:textId="77777777" w:rsidR="003B5970" w:rsidRPr="004065AC" w:rsidRDefault="003B5970" w:rsidP="002B0670">
            <w:pPr>
              <w:pStyle w:val="CellBody"/>
            </w:pPr>
          </w:p>
        </w:tc>
        <w:tc>
          <w:tcPr>
            <w:tcW w:w="3933" w:type="dxa"/>
          </w:tcPr>
          <w:p w14:paraId="55E4420B" w14:textId="77777777" w:rsidR="003B5970" w:rsidRPr="004065AC" w:rsidRDefault="003B5970" w:rsidP="002B0670">
            <w:pPr>
              <w:pStyle w:val="CellBody"/>
            </w:pPr>
            <w:r w:rsidRPr="004065AC">
              <w:t>[Floating Negative Interest Rates:]</w:t>
            </w:r>
          </w:p>
        </w:tc>
        <w:tc>
          <w:tcPr>
            <w:tcW w:w="4518" w:type="dxa"/>
            <w:shd w:val="clear" w:color="auto" w:fill="auto"/>
          </w:tcPr>
          <w:p w14:paraId="30C6836D" w14:textId="77777777" w:rsidR="003B5970" w:rsidRPr="004065AC" w:rsidRDefault="003B5970" w:rsidP="002B0670">
            <w:pPr>
              <w:pStyle w:val="CellBody"/>
            </w:pPr>
            <w:r w:rsidRPr="004065AC">
              <w:t>[Inapplicable/Applicable – [Floating Negative Interest Rate Method/Zero Interest Rate Method/Zero Interest Rate Method Excluding Spread]]</w:t>
            </w:r>
            <w:r w:rsidRPr="004065AC">
              <w:rPr>
                <w:rStyle w:val="FootnoteReference"/>
              </w:rPr>
              <w:footnoteReference w:id="15"/>
            </w:r>
            <w:r>
              <w:t xml:space="preserve"> </w:t>
            </w:r>
            <w:r w:rsidRPr="005F2666">
              <w:rPr>
                <w:rFonts w:eastAsia="Arial"/>
                <w:b/>
                <w:bCs/>
                <w:i/>
                <w:iCs/>
                <w:highlight w:val="yellow"/>
                <w:lang w:val="en-US"/>
              </w:rPr>
              <w:t>[Note: The “Floating Negative Interest Rate Method” applies by default. If parties wish to floor the Floating Rate for the entirety of the Calculation Period (</w:t>
            </w:r>
            <w:proofErr w:type="gramStart"/>
            <w:r w:rsidRPr="005F2666">
              <w:rPr>
                <w:rFonts w:eastAsia="Arial"/>
                <w:b/>
                <w:bCs/>
                <w:i/>
                <w:iCs/>
                <w:highlight w:val="yellow"/>
                <w:lang w:val="en-US"/>
              </w:rPr>
              <w:t>i.e.</w:t>
            </w:r>
            <w:proofErr w:type="gramEnd"/>
            <w:r w:rsidRPr="005F2666">
              <w:rPr>
                <w:rFonts w:eastAsia="Arial"/>
                <w:b/>
                <w:bCs/>
                <w:i/>
                <w:iCs/>
                <w:highlight w:val="yellow"/>
                <w:lang w:val="en-US"/>
              </w:rPr>
              <w:t xml:space="preserve"> the compounded RFR plus any applicable Spread, as defined in the </w:t>
            </w:r>
            <w:r w:rsidRPr="005F2666">
              <w:rPr>
                <w:b/>
                <w:bCs/>
                <w:i/>
                <w:iCs/>
                <w:highlight w:val="yellow"/>
              </w:rPr>
              <w:t>2021 ISDA Interest Rate Derivatives Definitions</w:t>
            </w:r>
            <w:r w:rsidRPr="005F2666">
              <w:rPr>
                <w:rFonts w:eastAsia="Arial"/>
                <w:b/>
                <w:bCs/>
                <w:i/>
                <w:iCs/>
                <w:highlight w:val="yellow"/>
                <w:lang w:val="en-US"/>
              </w:rPr>
              <w:t xml:space="preserve">) at zero, specify Zero Interest Rate Method as Applicable. Note however that there is no equivalent in the LMA Lookback </w:t>
            </w:r>
            <w:proofErr w:type="gramStart"/>
            <w:r w:rsidRPr="005F2666">
              <w:rPr>
                <w:rFonts w:eastAsia="Arial"/>
                <w:b/>
                <w:bCs/>
                <w:i/>
                <w:iCs/>
                <w:highlight w:val="yellow"/>
                <w:lang w:val="en-US"/>
              </w:rPr>
              <w:t>With</w:t>
            </w:r>
            <w:proofErr w:type="gramEnd"/>
            <w:r w:rsidRPr="005F2666">
              <w:rPr>
                <w:rFonts w:eastAsia="Arial"/>
                <w:b/>
                <w:bCs/>
                <w:i/>
                <w:iCs/>
                <w:highlight w:val="yellow"/>
                <w:lang w:val="en-US"/>
              </w:rPr>
              <w:t xml:space="preserve"> Observation Shift FA.]</w:t>
            </w:r>
          </w:p>
        </w:tc>
      </w:tr>
      <w:tr w:rsidR="003B5970" w:rsidRPr="001C11B0" w14:paraId="1F295C39" w14:textId="77777777" w:rsidTr="00C079A2">
        <w:trPr>
          <w:cantSplit/>
        </w:trPr>
        <w:tc>
          <w:tcPr>
            <w:tcW w:w="567" w:type="dxa"/>
          </w:tcPr>
          <w:p w14:paraId="617C25E7" w14:textId="77777777" w:rsidR="003B5970" w:rsidRPr="002105D0" w:rsidRDefault="003B5970" w:rsidP="002B0670">
            <w:pPr>
              <w:pStyle w:val="CellBody"/>
            </w:pPr>
          </w:p>
        </w:tc>
        <w:tc>
          <w:tcPr>
            <w:tcW w:w="3933" w:type="dxa"/>
          </w:tcPr>
          <w:p w14:paraId="72C6E6BB" w14:textId="77777777" w:rsidR="003B5970" w:rsidRPr="002105D0" w:rsidRDefault="003B5970" w:rsidP="002B0670">
            <w:pPr>
              <w:pStyle w:val="CellBody"/>
            </w:pPr>
          </w:p>
        </w:tc>
        <w:tc>
          <w:tcPr>
            <w:tcW w:w="4518" w:type="dxa"/>
            <w:shd w:val="clear" w:color="auto" w:fill="auto"/>
          </w:tcPr>
          <w:p w14:paraId="538E8FA4" w14:textId="77777777" w:rsidR="003B5970" w:rsidRPr="001C11B0" w:rsidRDefault="003B5970" w:rsidP="00D263DB">
            <w:pPr>
              <w:pStyle w:val="Body"/>
              <w:rPr>
                <w:b/>
                <w:bCs/>
                <w:i/>
                <w:iCs/>
                <w:sz w:val="22"/>
                <w:szCs w:val="22"/>
              </w:rPr>
            </w:pPr>
            <w:r w:rsidRPr="001C11B0">
              <w:rPr>
                <w:rFonts w:eastAsia="Arial"/>
                <w:b/>
                <w:bCs/>
                <w:i/>
                <w:iCs/>
                <w:sz w:val="22"/>
                <w:szCs w:val="22"/>
                <w:highlight w:val="yellow"/>
                <w:lang w:val="en-US"/>
              </w:rPr>
              <w:t>[Note: Parties to delete field unless the default position in the facility agreement has been varied.]</w:t>
            </w:r>
          </w:p>
        </w:tc>
      </w:tr>
      <w:tr w:rsidR="003B5970" w:rsidRPr="001C11B0" w14:paraId="0E97F665" w14:textId="77777777" w:rsidTr="00C079A2">
        <w:trPr>
          <w:cantSplit/>
        </w:trPr>
        <w:tc>
          <w:tcPr>
            <w:tcW w:w="567" w:type="dxa"/>
          </w:tcPr>
          <w:p w14:paraId="10C3C1CA" w14:textId="77777777" w:rsidR="003B5970" w:rsidRPr="002105D0" w:rsidRDefault="003B5970" w:rsidP="002B0670">
            <w:pPr>
              <w:pStyle w:val="CellBody"/>
            </w:pPr>
          </w:p>
        </w:tc>
        <w:tc>
          <w:tcPr>
            <w:tcW w:w="3933" w:type="dxa"/>
          </w:tcPr>
          <w:p w14:paraId="40EE1602" w14:textId="77777777" w:rsidR="003B5970" w:rsidRPr="002105D0" w:rsidRDefault="003B5970" w:rsidP="002B0670">
            <w:pPr>
              <w:pStyle w:val="CellBody"/>
            </w:pPr>
          </w:p>
        </w:tc>
        <w:tc>
          <w:tcPr>
            <w:tcW w:w="4518" w:type="dxa"/>
            <w:shd w:val="clear" w:color="auto" w:fill="auto"/>
          </w:tcPr>
          <w:p w14:paraId="08CF2A57" w14:textId="77777777" w:rsidR="003B5970" w:rsidRPr="001C11B0" w:rsidRDefault="003B5970" w:rsidP="00D263DB">
            <w:pPr>
              <w:pStyle w:val="Body"/>
              <w:rPr>
                <w:b/>
                <w:bCs/>
                <w:i/>
                <w:iCs/>
                <w:sz w:val="22"/>
                <w:szCs w:val="22"/>
              </w:rPr>
            </w:pPr>
            <w:r w:rsidRPr="001C11B0">
              <w:rPr>
                <w:rFonts w:eastAsia="Arial"/>
                <w:b/>
                <w:bCs/>
                <w:i/>
                <w:iCs/>
                <w:sz w:val="22"/>
                <w:szCs w:val="22"/>
                <w:highlight w:val="yellow"/>
                <w:lang w:val="en-US"/>
              </w:rPr>
              <w:t>[Note: Parties to delete field unless the default position in the facility agreement has been varied.]</w:t>
            </w:r>
          </w:p>
        </w:tc>
      </w:tr>
    </w:tbl>
    <w:p w14:paraId="76D4294D" w14:textId="77777777" w:rsidR="003B5970" w:rsidRDefault="003B5970" w:rsidP="00C30609"/>
    <w:p w14:paraId="44415A0C" w14:textId="52D67E34" w:rsidR="003B5970" w:rsidRPr="001C11B0" w:rsidRDefault="003B5970" w:rsidP="00C30609">
      <w:pPr>
        <w:pStyle w:val="Body"/>
        <w:rPr>
          <w:sz w:val="22"/>
          <w:szCs w:val="22"/>
        </w:rPr>
      </w:pPr>
      <w:r w:rsidRPr="001C11B0">
        <w:rPr>
          <w:sz w:val="22"/>
          <w:szCs w:val="22"/>
        </w:rPr>
        <w:t>4.        Business Days:</w:t>
      </w:r>
      <w:r w:rsidRPr="001C11B0">
        <w:rPr>
          <w:sz w:val="22"/>
          <w:szCs w:val="22"/>
        </w:rPr>
        <w:tab/>
      </w:r>
      <w:r w:rsidRPr="001C11B0">
        <w:rPr>
          <w:sz w:val="22"/>
          <w:szCs w:val="22"/>
        </w:rPr>
        <w:tab/>
      </w:r>
    </w:p>
    <w:tbl>
      <w:tblPr>
        <w:tblStyle w:val="TableGrid"/>
        <w:tblW w:w="9000" w:type="dxa"/>
        <w:tblInd w:w="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3933"/>
        <w:gridCol w:w="4500"/>
      </w:tblGrid>
      <w:tr w:rsidR="003B5970" w14:paraId="17BA3F96" w14:textId="77777777" w:rsidTr="00C079A2">
        <w:trPr>
          <w:cantSplit/>
        </w:trPr>
        <w:tc>
          <w:tcPr>
            <w:tcW w:w="567" w:type="dxa"/>
          </w:tcPr>
          <w:p w14:paraId="1A284791" w14:textId="77777777" w:rsidR="003B5970" w:rsidRPr="002105D0" w:rsidRDefault="003B5970" w:rsidP="002B0670">
            <w:pPr>
              <w:pStyle w:val="CellBody"/>
            </w:pPr>
          </w:p>
        </w:tc>
        <w:tc>
          <w:tcPr>
            <w:tcW w:w="3933" w:type="dxa"/>
          </w:tcPr>
          <w:p w14:paraId="164E4AEA" w14:textId="77777777" w:rsidR="003B5970" w:rsidRPr="002105D0" w:rsidRDefault="003B5970" w:rsidP="002B0670">
            <w:pPr>
              <w:pStyle w:val="CellBody"/>
            </w:pPr>
            <w:r>
              <w:t>[Business Days:]</w:t>
            </w:r>
          </w:p>
        </w:tc>
        <w:tc>
          <w:tcPr>
            <w:tcW w:w="4500" w:type="dxa"/>
            <w:shd w:val="clear" w:color="auto" w:fill="auto"/>
          </w:tcPr>
          <w:p w14:paraId="549CA030" w14:textId="77777777" w:rsidR="003B5970" w:rsidRDefault="003B5970" w:rsidP="002B0670">
            <w:pPr>
              <w:pStyle w:val="CellBody"/>
            </w:pPr>
            <w:r w:rsidRPr="002105D0">
              <w:t>[                 </w:t>
            </w:r>
            <w:proofErr w:type="gramStart"/>
            <w:r w:rsidRPr="002105D0">
              <w:t>  ]</w:t>
            </w:r>
            <w:proofErr w:type="gramEnd"/>
            <w:r>
              <w:t xml:space="preserve"> </w:t>
            </w:r>
            <w:r w:rsidRPr="001C11B0">
              <w:rPr>
                <w:rFonts w:eastAsia="Arial"/>
                <w:b/>
                <w:bCs/>
                <w:i/>
                <w:iCs/>
                <w:highlight w:val="yellow"/>
                <w:lang w:val="en-US"/>
              </w:rPr>
              <w:t>[Note: This should match the definition of “Business Days” specified in the facility agreement.]</w:t>
            </w:r>
          </w:p>
        </w:tc>
      </w:tr>
      <w:tr w:rsidR="003B5970" w14:paraId="1F5F31AA" w14:textId="77777777" w:rsidTr="00C079A2">
        <w:trPr>
          <w:cantSplit/>
        </w:trPr>
        <w:tc>
          <w:tcPr>
            <w:tcW w:w="567" w:type="dxa"/>
          </w:tcPr>
          <w:p w14:paraId="5F26116A" w14:textId="77777777" w:rsidR="003B5970" w:rsidRDefault="003B5970" w:rsidP="002B0670">
            <w:pPr>
              <w:pStyle w:val="CellBody"/>
            </w:pPr>
          </w:p>
        </w:tc>
        <w:tc>
          <w:tcPr>
            <w:tcW w:w="3933" w:type="dxa"/>
          </w:tcPr>
          <w:p w14:paraId="52770AFD" w14:textId="09B4748D" w:rsidR="003B5970" w:rsidRDefault="003B5970" w:rsidP="002B0670">
            <w:pPr>
              <w:pStyle w:val="CellBody"/>
            </w:pPr>
            <w:r>
              <w:t>[Business Day Convention:]</w:t>
            </w:r>
          </w:p>
        </w:tc>
        <w:tc>
          <w:tcPr>
            <w:tcW w:w="4500" w:type="dxa"/>
            <w:shd w:val="clear" w:color="auto" w:fill="auto"/>
          </w:tcPr>
          <w:p w14:paraId="3BED72F0" w14:textId="77777777" w:rsidR="003B5970" w:rsidRDefault="003B5970" w:rsidP="002B0670">
            <w:pPr>
              <w:pStyle w:val="CellBody"/>
            </w:pPr>
            <w:r>
              <w:t xml:space="preserve">[FRN Convention] </w:t>
            </w:r>
            <w:r w:rsidRPr="001C11B0">
              <w:rPr>
                <w:rFonts w:eastAsia="Arial"/>
                <w:b/>
                <w:bCs/>
                <w:i/>
                <w:iCs/>
                <w:highlight w:val="yellow"/>
                <w:lang w:val="en-US"/>
              </w:rPr>
              <w:t xml:space="preserve">[Note: Consider applying the FRN Convention for greater alignment with the LMA Lookback </w:t>
            </w:r>
            <w:proofErr w:type="gramStart"/>
            <w:r w:rsidRPr="001C11B0">
              <w:rPr>
                <w:rFonts w:eastAsia="Arial"/>
                <w:b/>
                <w:bCs/>
                <w:i/>
                <w:iCs/>
                <w:highlight w:val="yellow"/>
                <w:lang w:val="en-US"/>
              </w:rPr>
              <w:t>With</w:t>
            </w:r>
            <w:proofErr w:type="gramEnd"/>
            <w:r w:rsidRPr="001C11B0">
              <w:rPr>
                <w:rFonts w:eastAsia="Arial"/>
                <w:b/>
                <w:bCs/>
                <w:i/>
                <w:iCs/>
                <w:highlight w:val="yellow"/>
                <w:lang w:val="en-US"/>
              </w:rPr>
              <w:t xml:space="preserve"> Observation Shift FA.]</w:t>
            </w:r>
          </w:p>
        </w:tc>
      </w:tr>
    </w:tbl>
    <w:p w14:paraId="2200FD62" w14:textId="77777777" w:rsidR="003B5970" w:rsidRDefault="003B5970" w:rsidP="00C30609"/>
    <w:p w14:paraId="1B055C0A" w14:textId="77777777" w:rsidR="003B5970" w:rsidRDefault="003B5970" w:rsidP="00C30609">
      <w:pPr>
        <w:pStyle w:val="Body"/>
      </w:pPr>
    </w:p>
    <w:p w14:paraId="37A8B164" w14:textId="77777777" w:rsidR="003B5970" w:rsidRDefault="003B5970" w:rsidP="00C30609">
      <w:pPr>
        <w:pStyle w:val="Body"/>
      </w:pPr>
      <w:r w:rsidRPr="001C11B0">
        <w:rPr>
          <w:sz w:val="22"/>
          <w:szCs w:val="22"/>
        </w:rPr>
        <w:lastRenderedPageBreak/>
        <w:t xml:space="preserve">5.        Compounding/Averaging: </w:t>
      </w:r>
      <w:r w:rsidRPr="001C11B0">
        <w:rPr>
          <w:sz w:val="22"/>
          <w:szCs w:val="22"/>
        </w:rPr>
        <w:tab/>
      </w:r>
      <w:r>
        <w:tab/>
      </w:r>
    </w:p>
    <w:tbl>
      <w:tblPr>
        <w:tblStyle w:val="TableGrid"/>
        <w:tblW w:w="9000" w:type="dxa"/>
        <w:tblInd w:w="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3933"/>
        <w:gridCol w:w="4500"/>
      </w:tblGrid>
      <w:tr w:rsidR="003B5970" w:rsidRPr="00501239" w14:paraId="4BCFBE97" w14:textId="77777777" w:rsidTr="00FD7E76">
        <w:trPr>
          <w:cantSplit/>
        </w:trPr>
        <w:tc>
          <w:tcPr>
            <w:tcW w:w="567" w:type="dxa"/>
          </w:tcPr>
          <w:p w14:paraId="5DAA2749" w14:textId="77777777" w:rsidR="003B5970" w:rsidRPr="00501239" w:rsidRDefault="003B5970" w:rsidP="002B0670">
            <w:pPr>
              <w:pStyle w:val="CellBody"/>
            </w:pPr>
          </w:p>
        </w:tc>
        <w:tc>
          <w:tcPr>
            <w:tcW w:w="3933" w:type="dxa"/>
          </w:tcPr>
          <w:p w14:paraId="63B2132E" w14:textId="77777777" w:rsidR="003B5970" w:rsidRPr="00501239" w:rsidRDefault="003B5970" w:rsidP="002B0670">
            <w:pPr>
              <w:pStyle w:val="CellBody"/>
            </w:pPr>
            <w:r w:rsidRPr="00D31BD3">
              <w:t>Compounding:</w:t>
            </w:r>
          </w:p>
        </w:tc>
        <w:tc>
          <w:tcPr>
            <w:tcW w:w="4500" w:type="dxa"/>
            <w:shd w:val="clear" w:color="auto" w:fill="auto"/>
          </w:tcPr>
          <w:p w14:paraId="4196A89F" w14:textId="77777777" w:rsidR="003B5970" w:rsidRPr="00501239" w:rsidRDefault="003B5970" w:rsidP="002B0670">
            <w:pPr>
              <w:pStyle w:val="CellBody"/>
            </w:pPr>
            <w:r w:rsidRPr="00501239">
              <w:t>Compounding with Observation Period Shift</w:t>
            </w:r>
          </w:p>
        </w:tc>
      </w:tr>
      <w:tr w:rsidR="003B5970" w:rsidRPr="00501239" w14:paraId="22A05B94" w14:textId="77777777" w:rsidTr="00FD7E76">
        <w:trPr>
          <w:cantSplit/>
        </w:trPr>
        <w:tc>
          <w:tcPr>
            <w:tcW w:w="567" w:type="dxa"/>
          </w:tcPr>
          <w:p w14:paraId="7BCF9718" w14:textId="77777777" w:rsidR="003B5970" w:rsidRPr="00501239" w:rsidRDefault="003B5970" w:rsidP="002B0670">
            <w:pPr>
              <w:pStyle w:val="CellBody"/>
            </w:pPr>
          </w:p>
        </w:tc>
        <w:tc>
          <w:tcPr>
            <w:tcW w:w="3933" w:type="dxa"/>
          </w:tcPr>
          <w:p w14:paraId="65E477AA" w14:textId="77777777" w:rsidR="003B5970" w:rsidRPr="00501239" w:rsidRDefault="003B5970" w:rsidP="002B0670">
            <w:pPr>
              <w:pStyle w:val="CellBody"/>
            </w:pPr>
            <w:r w:rsidRPr="00501239">
              <w:t>Observation Period Shift:</w:t>
            </w:r>
            <w:r w:rsidRPr="00501239">
              <w:rPr>
                <w:rStyle w:val="FootnoteReference"/>
              </w:rPr>
              <w:footnoteReference w:id="16"/>
            </w:r>
          </w:p>
        </w:tc>
        <w:tc>
          <w:tcPr>
            <w:tcW w:w="4500" w:type="dxa"/>
            <w:shd w:val="clear" w:color="auto" w:fill="auto"/>
          </w:tcPr>
          <w:p w14:paraId="08CFB005" w14:textId="77777777" w:rsidR="003B5970" w:rsidRPr="00501239" w:rsidRDefault="003B5970" w:rsidP="002B0670">
            <w:pPr>
              <w:pStyle w:val="CellBody"/>
            </w:pPr>
            <w:r w:rsidRPr="00501239">
              <w:t>[</w:t>
            </w:r>
            <w:r>
              <w:t>Five</w:t>
            </w:r>
            <w:r w:rsidRPr="00501239">
              <w:t xml:space="preserve">] Observation Period </w:t>
            </w:r>
            <w:r>
              <w:t xml:space="preserve">Shift </w:t>
            </w:r>
            <w:r w:rsidRPr="00501239">
              <w:t>Business Days</w:t>
            </w:r>
            <w:r w:rsidRPr="00501239">
              <w:rPr>
                <w:rStyle w:val="FootnoteReference"/>
              </w:rPr>
              <w:footnoteReference w:id="17"/>
            </w:r>
            <w:r>
              <w:t xml:space="preserve"> </w:t>
            </w:r>
            <w:r w:rsidRPr="001C11B0">
              <w:rPr>
                <w:rFonts w:eastAsia="Arial"/>
                <w:b/>
                <w:bCs/>
                <w:i/>
                <w:iCs/>
                <w:highlight w:val="yellow"/>
                <w:lang w:val="en-US"/>
              </w:rPr>
              <w:t>[Note: Parties will need to insert the same value here as specified in respect of the Lookback Period under the facility agreement. Parties should also check that the “Observation Period Shift Business Days” align with the “RFR Banking Days” in the facility agreement.]</w:t>
            </w:r>
          </w:p>
        </w:tc>
      </w:tr>
      <w:tr w:rsidR="003B5970" w:rsidRPr="00501239" w14:paraId="5967A4A9" w14:textId="77777777" w:rsidTr="00FD7E76">
        <w:trPr>
          <w:cantSplit/>
        </w:trPr>
        <w:tc>
          <w:tcPr>
            <w:tcW w:w="567" w:type="dxa"/>
          </w:tcPr>
          <w:p w14:paraId="7CE5F33C" w14:textId="77777777" w:rsidR="003B5970" w:rsidRDefault="003B5970" w:rsidP="002B0670">
            <w:pPr>
              <w:pStyle w:val="CellBody"/>
            </w:pPr>
          </w:p>
        </w:tc>
        <w:tc>
          <w:tcPr>
            <w:tcW w:w="3933" w:type="dxa"/>
          </w:tcPr>
          <w:p w14:paraId="1CB14706" w14:textId="77777777" w:rsidR="003B5970" w:rsidRDefault="003B5970" w:rsidP="002B0670">
            <w:pPr>
              <w:pStyle w:val="CellBody"/>
            </w:pPr>
            <w:r w:rsidRPr="00501239">
              <w:t>Set-in-Advance:</w:t>
            </w:r>
          </w:p>
        </w:tc>
        <w:tc>
          <w:tcPr>
            <w:tcW w:w="4500" w:type="dxa"/>
            <w:shd w:val="clear" w:color="auto" w:fill="auto"/>
          </w:tcPr>
          <w:p w14:paraId="57FE7F54" w14:textId="77777777" w:rsidR="003B5970" w:rsidRPr="00501239" w:rsidRDefault="003B5970" w:rsidP="002B0670">
            <w:pPr>
              <w:pStyle w:val="CellBody"/>
            </w:pPr>
            <w:r w:rsidRPr="00D31BD3">
              <w:t>Not Applicable</w:t>
            </w:r>
            <w:r>
              <w:t xml:space="preserve"> </w:t>
            </w:r>
            <w:r w:rsidRPr="001C11B0">
              <w:rPr>
                <w:rFonts w:eastAsia="Arial"/>
                <w:b/>
                <w:bCs/>
                <w:i/>
                <w:iCs/>
                <w:highlight w:val="yellow"/>
                <w:lang w:val="en-US"/>
              </w:rPr>
              <w:t xml:space="preserve">[Note: Specify Set-in-Advance as Not Applicable as there is no option to set the rate in advance of the Interest Period under the LMA Lookback </w:t>
            </w:r>
            <w:proofErr w:type="gramStart"/>
            <w:r w:rsidRPr="001C11B0">
              <w:rPr>
                <w:rFonts w:eastAsia="Arial"/>
                <w:b/>
                <w:bCs/>
                <w:i/>
                <w:iCs/>
                <w:highlight w:val="yellow"/>
                <w:lang w:val="en-US"/>
              </w:rPr>
              <w:t>With</w:t>
            </w:r>
            <w:proofErr w:type="gramEnd"/>
            <w:r w:rsidRPr="001C11B0">
              <w:rPr>
                <w:rFonts w:eastAsia="Arial"/>
                <w:b/>
                <w:bCs/>
                <w:i/>
                <w:iCs/>
                <w:highlight w:val="yellow"/>
                <w:lang w:val="en-US"/>
              </w:rPr>
              <w:t xml:space="preserve"> Observation Shift FA.]</w:t>
            </w:r>
          </w:p>
        </w:tc>
      </w:tr>
      <w:tr w:rsidR="003B5970" w:rsidRPr="00501239" w14:paraId="662F8F3A" w14:textId="77777777" w:rsidTr="00FD7E76">
        <w:trPr>
          <w:cantSplit/>
        </w:trPr>
        <w:tc>
          <w:tcPr>
            <w:tcW w:w="567" w:type="dxa"/>
          </w:tcPr>
          <w:p w14:paraId="7824DDDA" w14:textId="77777777" w:rsidR="003B5970" w:rsidRPr="00501239" w:rsidRDefault="003B5970" w:rsidP="002B0670">
            <w:pPr>
              <w:pStyle w:val="CellBody"/>
            </w:pPr>
          </w:p>
        </w:tc>
        <w:tc>
          <w:tcPr>
            <w:tcW w:w="3933" w:type="dxa"/>
          </w:tcPr>
          <w:p w14:paraId="395FFB11" w14:textId="77777777" w:rsidR="003B5970" w:rsidRPr="00501239" w:rsidRDefault="003B5970" w:rsidP="002B0670">
            <w:pPr>
              <w:pStyle w:val="CellBody"/>
            </w:pPr>
            <w:r w:rsidRPr="00501239">
              <w:t>Observation Period Shift Additional Business Days:</w:t>
            </w:r>
          </w:p>
        </w:tc>
        <w:tc>
          <w:tcPr>
            <w:tcW w:w="4500" w:type="dxa"/>
            <w:shd w:val="clear" w:color="auto" w:fill="auto"/>
          </w:tcPr>
          <w:p w14:paraId="322F9338" w14:textId="77777777" w:rsidR="003B5970" w:rsidRPr="00501239" w:rsidRDefault="003B5970" w:rsidP="002B0670">
            <w:pPr>
              <w:pStyle w:val="CellBody"/>
            </w:pPr>
            <w:r w:rsidRPr="00501239">
              <w:t>Not Applicable</w:t>
            </w:r>
            <w:r>
              <w:t xml:space="preserve"> </w:t>
            </w:r>
            <w:r w:rsidRPr="001C11B0">
              <w:rPr>
                <w:rFonts w:eastAsia="Arial"/>
                <w:b/>
                <w:bCs/>
                <w:i/>
                <w:iCs/>
                <w:highlight w:val="yellow"/>
                <w:lang w:val="en-US"/>
              </w:rPr>
              <w:t xml:space="preserve">[Note: The LMA Lookback </w:t>
            </w:r>
            <w:proofErr w:type="gramStart"/>
            <w:r w:rsidRPr="001C11B0">
              <w:rPr>
                <w:rFonts w:eastAsia="Arial"/>
                <w:b/>
                <w:bCs/>
                <w:i/>
                <w:iCs/>
                <w:highlight w:val="yellow"/>
                <w:lang w:val="en-US"/>
              </w:rPr>
              <w:t>With</w:t>
            </w:r>
            <w:proofErr w:type="gramEnd"/>
            <w:r w:rsidRPr="001C11B0">
              <w:rPr>
                <w:rFonts w:eastAsia="Arial"/>
                <w:b/>
                <w:bCs/>
                <w:i/>
                <w:iCs/>
                <w:highlight w:val="yellow"/>
                <w:lang w:val="en-US"/>
              </w:rPr>
              <w:t xml:space="preserve"> Observation Shift FA does not include an option for parties to specify Observation Period Shift Additional Business Days so by default this should not apply to a swap hedging a loan documented under the LMA Lookback With Observation Shift FA.]</w:t>
            </w:r>
          </w:p>
        </w:tc>
      </w:tr>
      <w:tr w:rsidR="003B5970" w:rsidRPr="00501239" w14:paraId="47F993F4" w14:textId="77777777" w:rsidTr="00FD7E76">
        <w:trPr>
          <w:cantSplit/>
        </w:trPr>
        <w:tc>
          <w:tcPr>
            <w:tcW w:w="567" w:type="dxa"/>
          </w:tcPr>
          <w:p w14:paraId="499693A3" w14:textId="77777777" w:rsidR="003B5970" w:rsidRPr="00501239" w:rsidRDefault="003B5970" w:rsidP="002B0670">
            <w:pPr>
              <w:pStyle w:val="CellBody"/>
            </w:pPr>
          </w:p>
        </w:tc>
        <w:tc>
          <w:tcPr>
            <w:tcW w:w="3933" w:type="dxa"/>
          </w:tcPr>
          <w:p w14:paraId="30AABFD0" w14:textId="77777777" w:rsidR="003B5970" w:rsidRPr="00501239" w:rsidRDefault="003B5970" w:rsidP="002B0670">
            <w:pPr>
              <w:pStyle w:val="CellBody"/>
            </w:pPr>
            <w:r w:rsidRPr="00501239">
              <w:t>[Daily Capped Rate and/or Daily Floored Rate:]</w:t>
            </w:r>
            <w:r w:rsidRPr="00501239">
              <w:rPr>
                <w:rStyle w:val="FootnoteReference"/>
              </w:rPr>
              <w:footnoteReference w:id="18"/>
            </w:r>
          </w:p>
        </w:tc>
        <w:tc>
          <w:tcPr>
            <w:tcW w:w="4500" w:type="dxa"/>
            <w:shd w:val="clear" w:color="auto" w:fill="auto"/>
          </w:tcPr>
          <w:p w14:paraId="218D621C" w14:textId="77777777" w:rsidR="003B5970" w:rsidRPr="00501239" w:rsidRDefault="003B5970" w:rsidP="002B0670">
            <w:pPr>
              <w:pStyle w:val="CellBody"/>
            </w:pPr>
            <w:r w:rsidRPr="00501239">
              <w:t>[Applicable/Not Applicable]</w:t>
            </w:r>
          </w:p>
        </w:tc>
      </w:tr>
      <w:tr w:rsidR="003B5970" w:rsidRPr="00501239" w14:paraId="21654C39" w14:textId="77777777" w:rsidTr="00FD7E76">
        <w:trPr>
          <w:cantSplit/>
        </w:trPr>
        <w:tc>
          <w:tcPr>
            <w:tcW w:w="567" w:type="dxa"/>
          </w:tcPr>
          <w:p w14:paraId="4CADD1EE" w14:textId="77777777" w:rsidR="003B5970" w:rsidRPr="00501239" w:rsidRDefault="003B5970" w:rsidP="002B0670">
            <w:pPr>
              <w:pStyle w:val="CellBody"/>
            </w:pPr>
          </w:p>
        </w:tc>
        <w:tc>
          <w:tcPr>
            <w:tcW w:w="3933" w:type="dxa"/>
          </w:tcPr>
          <w:p w14:paraId="435B6C94" w14:textId="77777777" w:rsidR="003B5970" w:rsidRPr="00501239" w:rsidRDefault="003B5970" w:rsidP="002B0670">
            <w:pPr>
              <w:pStyle w:val="CellBody"/>
            </w:pPr>
            <w:r w:rsidRPr="00501239">
              <w:t>[Daily Capped Rate:]</w:t>
            </w:r>
          </w:p>
        </w:tc>
        <w:tc>
          <w:tcPr>
            <w:tcW w:w="4500" w:type="dxa"/>
            <w:shd w:val="clear" w:color="auto" w:fill="auto"/>
          </w:tcPr>
          <w:p w14:paraId="256150CB" w14:textId="77777777" w:rsidR="003B5970" w:rsidRPr="00501239" w:rsidRDefault="003B5970" w:rsidP="002B0670">
            <w:pPr>
              <w:pStyle w:val="CellBody"/>
            </w:pPr>
            <w:r w:rsidRPr="00501239">
              <w:t xml:space="preserve">[[  </w:t>
            </w:r>
            <w:proofErr w:type="gramStart"/>
            <w:r w:rsidRPr="00501239">
              <w:t xml:space="preserve">  ]</w:t>
            </w:r>
            <w:proofErr w:type="gramEnd"/>
            <w:r w:rsidRPr="00501239">
              <w:t>%]</w:t>
            </w:r>
            <w:r>
              <w:t xml:space="preserve"> </w:t>
            </w:r>
            <w:r w:rsidRPr="001C11B0">
              <w:rPr>
                <w:rFonts w:eastAsia="Arial"/>
                <w:b/>
                <w:bCs/>
                <w:i/>
                <w:iCs/>
                <w:highlight w:val="yellow"/>
                <w:lang w:val="en-US"/>
              </w:rPr>
              <w:t>[Note: The LMA Lookback With Observation Shift FA does not include an option for parties to specify a daily cap for the “Daily Rate” so by default the Daily Capped Rate should not apply to a swap hedging a loan documented under the LMA Lookback With Observation Shift FA.]</w:t>
            </w:r>
          </w:p>
        </w:tc>
      </w:tr>
      <w:tr w:rsidR="003B5970" w:rsidRPr="00501239" w14:paraId="7AB55F08" w14:textId="77777777" w:rsidTr="00FD7E76">
        <w:trPr>
          <w:cantSplit/>
        </w:trPr>
        <w:tc>
          <w:tcPr>
            <w:tcW w:w="567" w:type="dxa"/>
          </w:tcPr>
          <w:p w14:paraId="4629DD54" w14:textId="77777777" w:rsidR="003B5970" w:rsidRPr="00501239" w:rsidRDefault="003B5970" w:rsidP="002B0670">
            <w:pPr>
              <w:pStyle w:val="CellBody"/>
            </w:pPr>
          </w:p>
        </w:tc>
        <w:tc>
          <w:tcPr>
            <w:tcW w:w="3933" w:type="dxa"/>
          </w:tcPr>
          <w:p w14:paraId="4F1CC950" w14:textId="77777777" w:rsidR="003B5970" w:rsidRPr="00501239" w:rsidRDefault="003B5970" w:rsidP="002B0670">
            <w:pPr>
              <w:pStyle w:val="CellBody"/>
            </w:pPr>
            <w:r w:rsidRPr="00501239">
              <w:t>[Daily Floored Rate:]</w:t>
            </w:r>
          </w:p>
        </w:tc>
        <w:tc>
          <w:tcPr>
            <w:tcW w:w="4500" w:type="dxa"/>
            <w:shd w:val="clear" w:color="auto" w:fill="auto"/>
          </w:tcPr>
          <w:p w14:paraId="1E63EE30" w14:textId="77777777" w:rsidR="003B5970" w:rsidRPr="00501239" w:rsidRDefault="003B5970" w:rsidP="002B0670">
            <w:pPr>
              <w:pStyle w:val="CellBody"/>
            </w:pPr>
            <w:r w:rsidRPr="00501239">
              <w:t xml:space="preserve">[[  </w:t>
            </w:r>
            <w:proofErr w:type="gramStart"/>
            <w:r w:rsidRPr="00501239">
              <w:t xml:space="preserve">  ]</w:t>
            </w:r>
            <w:proofErr w:type="gramEnd"/>
            <w:r w:rsidRPr="00501239">
              <w:t>%]</w:t>
            </w:r>
            <w:r>
              <w:t xml:space="preserve"> </w:t>
            </w:r>
            <w:r w:rsidRPr="001C11B0">
              <w:rPr>
                <w:rFonts w:eastAsia="Arial"/>
                <w:b/>
                <w:bCs/>
                <w:i/>
                <w:iCs/>
                <w:highlight w:val="yellow"/>
                <w:lang w:val="en-US"/>
              </w:rPr>
              <w:t>[Note: The Daily Floored Rate should match the daily floor specified in the LMA Lookback With Observation Shift FA. If parties wish to floor the Floating Rate for the entire period, rather than the daily RFR, then parties should specify Zero Interest Rate Method as Applicable in the [Floating Negative Interest Rates] field.]</w:t>
            </w:r>
          </w:p>
        </w:tc>
      </w:tr>
      <w:tr w:rsidR="003B5970" w:rsidRPr="00501239" w14:paraId="630C5CEC" w14:textId="77777777" w:rsidTr="00FD7E76">
        <w:trPr>
          <w:cantSplit/>
        </w:trPr>
        <w:tc>
          <w:tcPr>
            <w:tcW w:w="567" w:type="dxa"/>
          </w:tcPr>
          <w:p w14:paraId="1B0BAD92" w14:textId="77777777" w:rsidR="003B5970" w:rsidRPr="00501239" w:rsidRDefault="003B5970" w:rsidP="002B0670">
            <w:pPr>
              <w:pStyle w:val="CellBody"/>
            </w:pPr>
          </w:p>
        </w:tc>
        <w:tc>
          <w:tcPr>
            <w:tcW w:w="3933" w:type="dxa"/>
          </w:tcPr>
          <w:p w14:paraId="2A0E70AA" w14:textId="77777777" w:rsidR="003B5970" w:rsidRPr="00501239" w:rsidRDefault="003B5970" w:rsidP="002B0670">
            <w:pPr>
              <w:pStyle w:val="CellBody"/>
            </w:pPr>
            <w:r>
              <w:t>[Day Count Basis:]</w:t>
            </w:r>
            <w:r>
              <w:rPr>
                <w:rStyle w:val="FootnoteReference"/>
              </w:rPr>
              <w:footnoteReference w:id="19"/>
            </w:r>
          </w:p>
        </w:tc>
        <w:tc>
          <w:tcPr>
            <w:tcW w:w="4500" w:type="dxa"/>
            <w:shd w:val="clear" w:color="auto" w:fill="auto"/>
          </w:tcPr>
          <w:p w14:paraId="0704ED32" w14:textId="77777777" w:rsidR="003B5970" w:rsidRPr="00756867" w:rsidRDefault="003B5970" w:rsidP="002B0670">
            <w:pPr>
              <w:pStyle w:val="CellBody"/>
            </w:pPr>
            <w:r w:rsidRPr="00B2373B">
              <w:t>[                 </w:t>
            </w:r>
            <w:proofErr w:type="gramStart"/>
            <w:r w:rsidRPr="00B2373B">
              <w:t>  ]</w:t>
            </w:r>
            <w:proofErr w:type="gramEnd"/>
            <w:r w:rsidRPr="00756867">
              <w:rPr>
                <w:rFonts w:eastAsia="Arial"/>
                <w:lang w:val="en-US"/>
              </w:rPr>
              <w:t xml:space="preserve"> </w:t>
            </w:r>
            <w:r w:rsidRPr="001C11B0">
              <w:rPr>
                <w:rFonts w:eastAsia="Arial"/>
                <w:b/>
                <w:bCs/>
                <w:i/>
                <w:iCs/>
                <w:highlight w:val="yellow"/>
                <w:lang w:val="en-US"/>
              </w:rPr>
              <w:t>[Note: This Day Count Basis should match the “dcc” in the facility agreement (which may be determined by reference to market practice).]</w:t>
            </w:r>
          </w:p>
        </w:tc>
      </w:tr>
    </w:tbl>
    <w:p w14:paraId="6C55A7B1" w14:textId="77777777" w:rsidR="003B5970" w:rsidRDefault="003B5970" w:rsidP="007E785C">
      <w:pPr>
        <w:keepNext/>
        <w:spacing w:after="240"/>
        <w:jc w:val="both"/>
        <w:outlineLvl w:val="0"/>
        <w:rPr>
          <w:rFonts w:eastAsiaTheme="majorEastAsia" w:cs="Arial"/>
          <w:b/>
          <w:kern w:val="25"/>
          <w:sz w:val="25"/>
          <w:szCs w:val="56"/>
        </w:rPr>
      </w:pPr>
    </w:p>
    <w:tbl>
      <w:tblPr>
        <w:tblStyle w:val="TableGrid"/>
        <w:tblW w:w="8985" w:type="dxa"/>
        <w:tblInd w:w="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3934"/>
        <w:gridCol w:w="4483"/>
      </w:tblGrid>
      <w:tr w:rsidR="003B5970" w14:paraId="65C3ADE5" w14:textId="77777777" w:rsidTr="004C793F">
        <w:trPr>
          <w:cantSplit/>
        </w:trPr>
        <w:tc>
          <w:tcPr>
            <w:tcW w:w="567" w:type="dxa"/>
          </w:tcPr>
          <w:p w14:paraId="2D0F28F6" w14:textId="77777777" w:rsidR="003B5970" w:rsidRDefault="003B5970" w:rsidP="002B0670">
            <w:pPr>
              <w:pStyle w:val="CellBody"/>
            </w:pPr>
          </w:p>
        </w:tc>
        <w:tc>
          <w:tcPr>
            <w:tcW w:w="3933" w:type="dxa"/>
          </w:tcPr>
          <w:p w14:paraId="39A3425B" w14:textId="77777777" w:rsidR="003B5970" w:rsidRDefault="003B5970" w:rsidP="002B0670">
            <w:pPr>
              <w:pStyle w:val="CellBody"/>
            </w:pPr>
          </w:p>
        </w:tc>
        <w:tc>
          <w:tcPr>
            <w:tcW w:w="4482" w:type="dxa"/>
            <w:hideMark/>
          </w:tcPr>
          <w:p w14:paraId="4735607E" w14:textId="77777777" w:rsidR="003B5970" w:rsidRPr="001C11B0" w:rsidRDefault="003B5970" w:rsidP="002B0670">
            <w:pPr>
              <w:pStyle w:val="CellBody"/>
              <w:rPr>
                <w:rFonts w:asciiTheme="minorHAnsi" w:eastAsiaTheme="minorHAnsi" w:hAnsiTheme="minorHAnsi" w:cstheme="minorBidi"/>
                <w:b/>
                <w:bCs/>
                <w:i/>
                <w:iCs/>
              </w:rPr>
            </w:pPr>
            <w:r w:rsidRPr="001C11B0">
              <w:rPr>
                <w:b/>
                <w:bCs/>
                <w:i/>
                <w:iCs/>
                <w:highlight w:val="yellow"/>
              </w:rPr>
              <w:t xml:space="preserve">[Note: The triggers and fallbacks provided for the relevant Floating Rate Option in the 2021 ISDA Interest Rate Derivatives Definitions Floating Rate Matrix and for the Daily Rate in Schedule 13 (Reference Rate Terms) of the LMA Lookback </w:t>
            </w:r>
            <w:proofErr w:type="gramStart"/>
            <w:r w:rsidRPr="001C11B0">
              <w:rPr>
                <w:b/>
                <w:bCs/>
                <w:i/>
                <w:iCs/>
                <w:highlight w:val="yellow"/>
              </w:rPr>
              <w:t>With</w:t>
            </w:r>
            <w:proofErr w:type="gramEnd"/>
            <w:r w:rsidRPr="001C11B0">
              <w:rPr>
                <w:b/>
                <w:bCs/>
                <w:i/>
                <w:iCs/>
                <w:highlight w:val="yellow"/>
              </w:rPr>
              <w:t xml:space="preserve"> Observation Shift FA will differ. This will be the case for a temporary non-publication of the relevant RFR, the permanent cessation of the relevant RFR and an Administrator/Benchmark Event (as defined in the 2021 ISDA Interest Rate Derivatives Definitions).]</w:t>
            </w:r>
          </w:p>
        </w:tc>
      </w:tr>
    </w:tbl>
    <w:p w14:paraId="1EF30827" w14:textId="77777777" w:rsidR="003B5970" w:rsidRDefault="003B5970" w:rsidP="007E785C">
      <w:pPr>
        <w:keepNext/>
        <w:spacing w:after="240"/>
        <w:jc w:val="both"/>
        <w:outlineLvl w:val="0"/>
        <w:rPr>
          <w:rFonts w:eastAsiaTheme="majorEastAsia" w:cs="Arial"/>
          <w:b/>
          <w:kern w:val="25"/>
          <w:sz w:val="25"/>
          <w:szCs w:val="56"/>
        </w:rPr>
        <w:sectPr w:rsidR="003B5970" w:rsidSect="00C30609">
          <w:headerReference w:type="even" r:id="rId8"/>
          <w:headerReference w:type="default" r:id="rId9"/>
          <w:footerReference w:type="even" r:id="rId10"/>
          <w:footerReference w:type="default" r:id="rId11"/>
          <w:headerReference w:type="first" r:id="rId12"/>
          <w:footerReference w:type="first" r:id="rId13"/>
          <w:pgSz w:w="11907" w:h="16839" w:code="9"/>
          <w:pgMar w:top="1701" w:right="1588" w:bottom="1304" w:left="1588" w:header="765" w:footer="482" w:gutter="0"/>
          <w:pgNumType w:start="1"/>
          <w:cols w:space="708"/>
          <w:docGrid w:linePitch="360"/>
        </w:sectPr>
      </w:pPr>
    </w:p>
    <w:p w14:paraId="6C8C9176" w14:textId="77777777" w:rsidR="003B5970" w:rsidRPr="008C3AAE" w:rsidRDefault="003B5970" w:rsidP="00185707">
      <w:pPr>
        <w:pStyle w:val="Title"/>
      </w:pPr>
      <w:r w:rsidRPr="008C3AAE">
        <w:lastRenderedPageBreak/>
        <w:t>Annex</w:t>
      </w:r>
    </w:p>
    <w:p w14:paraId="67B55F24" w14:textId="77777777" w:rsidR="003B5970" w:rsidRPr="008C3AAE" w:rsidRDefault="003B5970" w:rsidP="00185707">
      <w:pPr>
        <w:pStyle w:val="Title"/>
      </w:pPr>
      <w:r w:rsidRPr="008C3AAE">
        <w:t>Comparison Table: ISDA and LMA Observation Shift formulae</w:t>
      </w:r>
    </w:p>
    <w:p w14:paraId="340FCAE9" w14:textId="31C5DE10" w:rsidR="003B5970" w:rsidRPr="00185707" w:rsidRDefault="003B5970" w:rsidP="00185707">
      <w:pPr>
        <w:pStyle w:val="Body"/>
        <w:rPr>
          <w:b/>
          <w:bCs/>
          <w:i/>
          <w:iCs/>
          <w:sz w:val="22"/>
          <w:szCs w:val="22"/>
        </w:rPr>
      </w:pPr>
      <w:r w:rsidRPr="00185707">
        <w:rPr>
          <w:sz w:val="22"/>
          <w:szCs w:val="22"/>
        </w:rPr>
        <w:t>See below a comparison of the ISDA Compounding with Observation Period Shift formula in Section 7.3.3 (</w:t>
      </w:r>
      <w:r w:rsidRPr="00185707">
        <w:rPr>
          <w:i/>
          <w:iCs/>
          <w:sz w:val="22"/>
          <w:szCs w:val="22"/>
        </w:rPr>
        <w:t>Compounding with Observation Period Shift</w:t>
      </w:r>
      <w:r w:rsidRPr="00185707">
        <w:rPr>
          <w:sz w:val="22"/>
          <w:szCs w:val="22"/>
        </w:rPr>
        <w:t>) of the 2021 ISDA Interest Rate Derivatives Definitions and the Cumulative Compounded RFR Rate formula in Schedule 15 (</w:t>
      </w:r>
      <w:r w:rsidRPr="00185707">
        <w:rPr>
          <w:i/>
          <w:iCs/>
          <w:sz w:val="22"/>
          <w:szCs w:val="22"/>
        </w:rPr>
        <w:t>Cumulative Compounded RFR Rate</w:t>
      </w:r>
      <w:r w:rsidRPr="00185707">
        <w:rPr>
          <w:sz w:val="22"/>
          <w:szCs w:val="22"/>
        </w:rPr>
        <w:t>) of the LMA Single Currency Term and Revolving Facilities Agreement incorporating backward-looking compounded rates (lookback with observation shift) dated 28 May 2021 (the “</w:t>
      </w:r>
      <w:r w:rsidRPr="00185707">
        <w:rPr>
          <w:b/>
          <w:bCs/>
          <w:sz w:val="22"/>
          <w:szCs w:val="22"/>
        </w:rPr>
        <w:t>LMA Lookback With Observation Shift FA</w:t>
      </w:r>
      <w:r w:rsidRPr="00185707">
        <w:rPr>
          <w:sz w:val="22"/>
          <w:szCs w:val="22"/>
        </w:rPr>
        <w:t xml:space="preserve">”). Commentary on each input to these formulae, as well as the applicable rounding and business day conventions, </w:t>
      </w:r>
      <w:r w:rsidR="00BD698B" w:rsidRPr="00185707">
        <w:rPr>
          <w:sz w:val="22"/>
          <w:szCs w:val="22"/>
        </w:rPr>
        <w:t xml:space="preserve">is </w:t>
      </w:r>
      <w:r w:rsidRPr="00185707">
        <w:rPr>
          <w:sz w:val="22"/>
          <w:szCs w:val="22"/>
        </w:rPr>
        <w:t xml:space="preserve">included in the table below. </w:t>
      </w:r>
      <w:bookmarkStart w:id="12" w:name="_Hlk74854439"/>
    </w:p>
    <w:tbl>
      <w:tblPr>
        <w:tblStyle w:val="TableGrid20"/>
        <w:tblW w:w="13824" w:type="dxa"/>
        <w:tblLook w:val="04A0" w:firstRow="1" w:lastRow="0" w:firstColumn="1" w:lastColumn="0" w:noHBand="0" w:noVBand="1"/>
      </w:tblPr>
      <w:tblGrid>
        <w:gridCol w:w="773"/>
        <w:gridCol w:w="2180"/>
        <w:gridCol w:w="4332"/>
        <w:gridCol w:w="3333"/>
        <w:gridCol w:w="3206"/>
      </w:tblGrid>
      <w:tr w:rsidR="003B5970" w:rsidRPr="00185707" w14:paraId="43BCFABB" w14:textId="77777777" w:rsidTr="00CB53E6">
        <w:trPr>
          <w:trHeight w:val="20"/>
          <w:tblHeader/>
        </w:trPr>
        <w:tc>
          <w:tcPr>
            <w:tcW w:w="806" w:type="dxa"/>
            <w:shd w:val="clear" w:color="auto" w:fill="AF005F" w:themeFill="accent1"/>
          </w:tcPr>
          <w:bookmarkEnd w:id="12"/>
          <w:p w14:paraId="5CE81686" w14:textId="77777777" w:rsidR="003B5970" w:rsidRPr="00185707" w:rsidRDefault="003B5970" w:rsidP="00CB53E6">
            <w:pPr>
              <w:pStyle w:val="CellHead"/>
              <w:rPr>
                <w:color w:val="FFFFFF" w:themeColor="background1"/>
              </w:rPr>
            </w:pPr>
            <w:r w:rsidRPr="00185707">
              <w:rPr>
                <w:color w:val="FFFFFF" w:themeColor="background1"/>
              </w:rPr>
              <w:t>No.</w:t>
            </w:r>
          </w:p>
        </w:tc>
        <w:tc>
          <w:tcPr>
            <w:tcW w:w="2253" w:type="dxa"/>
            <w:shd w:val="clear" w:color="auto" w:fill="AF005F" w:themeFill="accent1"/>
          </w:tcPr>
          <w:p w14:paraId="4EB4F044" w14:textId="77777777" w:rsidR="003B5970" w:rsidRPr="00185707" w:rsidRDefault="003B5970" w:rsidP="00CB53E6">
            <w:pPr>
              <w:pStyle w:val="CellHead"/>
              <w:rPr>
                <w:color w:val="FFFFFF" w:themeColor="background1"/>
              </w:rPr>
            </w:pPr>
            <w:r w:rsidRPr="00185707">
              <w:rPr>
                <w:color w:val="FFFFFF" w:themeColor="background1"/>
              </w:rPr>
              <w:t>Input</w:t>
            </w:r>
          </w:p>
        </w:tc>
        <w:tc>
          <w:tcPr>
            <w:tcW w:w="4308" w:type="dxa"/>
            <w:shd w:val="clear" w:color="auto" w:fill="AF005F" w:themeFill="accent1"/>
          </w:tcPr>
          <w:p w14:paraId="0E723586" w14:textId="77777777" w:rsidR="003B5970" w:rsidRPr="00185707" w:rsidRDefault="003B5970" w:rsidP="00CB53E6">
            <w:pPr>
              <w:pStyle w:val="CellHead"/>
              <w:rPr>
                <w:color w:val="FFFFFF" w:themeColor="background1"/>
              </w:rPr>
            </w:pPr>
            <w:r w:rsidRPr="00185707">
              <w:rPr>
                <w:color w:val="FFFFFF" w:themeColor="background1"/>
              </w:rPr>
              <w:t>ISDA Compounding with Observation Period Shift</w:t>
            </w:r>
          </w:p>
        </w:tc>
        <w:tc>
          <w:tcPr>
            <w:tcW w:w="3394" w:type="dxa"/>
            <w:shd w:val="clear" w:color="auto" w:fill="AF005F" w:themeFill="accent1"/>
          </w:tcPr>
          <w:p w14:paraId="4E7C20D5" w14:textId="77777777" w:rsidR="003B5970" w:rsidRPr="00185707" w:rsidRDefault="003B5970" w:rsidP="00CB53E6">
            <w:pPr>
              <w:pStyle w:val="CellHead"/>
              <w:rPr>
                <w:color w:val="FFFFFF" w:themeColor="background1"/>
              </w:rPr>
            </w:pPr>
            <w:r w:rsidRPr="00185707">
              <w:rPr>
                <w:color w:val="FFFFFF" w:themeColor="background1"/>
              </w:rPr>
              <w:t xml:space="preserve">LMA Lookback </w:t>
            </w:r>
            <w:proofErr w:type="gramStart"/>
            <w:r w:rsidRPr="00185707">
              <w:rPr>
                <w:color w:val="FFFFFF" w:themeColor="background1"/>
              </w:rPr>
              <w:t>With</w:t>
            </w:r>
            <w:proofErr w:type="gramEnd"/>
            <w:r w:rsidRPr="00185707">
              <w:rPr>
                <w:color w:val="FFFFFF" w:themeColor="background1"/>
              </w:rPr>
              <w:t xml:space="preserve"> Observation Shift (Cumulative Compounded RFR Rate)</w:t>
            </w:r>
          </w:p>
        </w:tc>
        <w:tc>
          <w:tcPr>
            <w:tcW w:w="3063" w:type="dxa"/>
            <w:shd w:val="clear" w:color="auto" w:fill="AF005F" w:themeFill="accent1"/>
          </w:tcPr>
          <w:p w14:paraId="0B046C57" w14:textId="77777777" w:rsidR="003B5970" w:rsidRPr="00185707" w:rsidRDefault="003B5970" w:rsidP="00CB53E6">
            <w:pPr>
              <w:pStyle w:val="CellHead"/>
              <w:rPr>
                <w:color w:val="FFFFFF" w:themeColor="background1"/>
              </w:rPr>
            </w:pPr>
            <w:r w:rsidRPr="00185707">
              <w:rPr>
                <w:color w:val="FFFFFF" w:themeColor="background1"/>
              </w:rPr>
              <w:t>Commentary</w:t>
            </w:r>
          </w:p>
        </w:tc>
      </w:tr>
      <w:tr w:rsidR="003B5970" w:rsidRPr="00185707" w14:paraId="4B760996" w14:textId="77777777" w:rsidTr="00C079A2">
        <w:trPr>
          <w:trHeight w:val="20"/>
        </w:trPr>
        <w:tc>
          <w:tcPr>
            <w:tcW w:w="806" w:type="dxa"/>
          </w:tcPr>
          <w:p w14:paraId="43EBA975" w14:textId="77777777" w:rsidR="003B5970" w:rsidRPr="00185707" w:rsidRDefault="003B5970" w:rsidP="00185707">
            <w:pPr>
              <w:pStyle w:val="Table1"/>
            </w:pPr>
          </w:p>
        </w:tc>
        <w:tc>
          <w:tcPr>
            <w:tcW w:w="2253" w:type="dxa"/>
          </w:tcPr>
          <w:p w14:paraId="42D0B8F5" w14:textId="77777777" w:rsidR="003B5970" w:rsidRPr="002B0670" w:rsidRDefault="003B5970" w:rsidP="002B0670">
            <w:pPr>
              <w:pStyle w:val="CellBody"/>
            </w:pPr>
            <w:r w:rsidRPr="002B0670">
              <w:t>Compounding formula</w:t>
            </w:r>
          </w:p>
        </w:tc>
        <w:tc>
          <w:tcPr>
            <w:tcW w:w="4308" w:type="dxa"/>
          </w:tcPr>
          <w:p w14:paraId="5C546578" w14:textId="77777777" w:rsidR="003B5970" w:rsidRPr="00185707" w:rsidRDefault="00D04307" w:rsidP="00182605">
            <w:pPr>
              <w:pStyle w:val="Body3"/>
              <w:rPr>
                <w:lang w:eastAsia="ja-JP"/>
              </w:rPr>
            </w:pPr>
            <m:oMathPara>
              <m:oMath>
                <m:d>
                  <m:dPr>
                    <m:begChr m:val="["/>
                    <m:endChr m:val="]"/>
                    <m:ctrlPr>
                      <w:rPr>
                        <w:rFonts w:ascii="Cambria Math" w:eastAsia="Meiryo UI" w:hAnsi="Cambria Math"/>
                        <w:bCs/>
                        <w:iCs/>
                        <w:lang w:eastAsia="ja-JP"/>
                      </w:rPr>
                    </m:ctrlPr>
                  </m:dPr>
                  <m:e>
                    <m:nary>
                      <m:naryPr>
                        <m:chr m:val="∏"/>
                        <m:limLoc m:val="undOvr"/>
                        <m:ctrlPr>
                          <w:rPr>
                            <w:rFonts w:ascii="Cambria Math" w:eastAsia="Meiryo UI" w:hAnsi="Cambria Math"/>
                            <w:bCs/>
                            <w:iCs/>
                            <w:lang w:eastAsia="ja-JP"/>
                          </w:rPr>
                        </m:ctrlPr>
                      </m:naryPr>
                      <m:sub>
                        <m:r>
                          <m:rPr>
                            <m:nor/>
                          </m:rPr>
                          <w:rPr>
                            <w:rFonts w:eastAsia="Meiryo UI"/>
                            <w:lang w:eastAsia="ja-JP"/>
                          </w:rPr>
                          <m:t>i=1</m:t>
                        </m:r>
                      </m:sub>
                      <m:sup>
                        <m:sSub>
                          <m:sSubPr>
                            <m:ctrlPr>
                              <w:rPr>
                                <w:rFonts w:ascii="Cambria Math" w:eastAsia="Meiryo UI" w:hAnsi="Cambria Math"/>
                                <w:bCs/>
                                <w:iCs/>
                                <w:lang w:eastAsia="ja-JP"/>
                              </w:rPr>
                            </m:ctrlPr>
                          </m:sSubPr>
                          <m:e>
                            <m:r>
                              <m:rPr>
                                <m:nor/>
                              </m:rPr>
                              <w:rPr>
                                <w:rFonts w:eastAsia="Meiryo UI"/>
                                <w:lang w:eastAsia="ja-JP"/>
                              </w:rPr>
                              <m:t>d</m:t>
                            </m:r>
                          </m:e>
                          <m:sub>
                            <m:r>
                              <m:rPr>
                                <m:nor/>
                              </m:rPr>
                              <w:rPr>
                                <w:rFonts w:eastAsia="Meiryo UI"/>
                                <w:lang w:eastAsia="ja-JP"/>
                              </w:rPr>
                              <m:t>0</m:t>
                            </m:r>
                          </m:sub>
                        </m:sSub>
                      </m:sup>
                      <m:e>
                        <m:d>
                          <m:dPr>
                            <m:ctrlPr>
                              <w:rPr>
                                <w:rFonts w:ascii="Cambria Math" w:eastAsia="Meiryo UI" w:hAnsi="Cambria Math"/>
                                <w:bCs/>
                                <w:iCs/>
                                <w:lang w:eastAsia="ja-JP"/>
                              </w:rPr>
                            </m:ctrlPr>
                          </m:dPr>
                          <m:e>
                            <m:r>
                              <m:rPr>
                                <m:nor/>
                              </m:rPr>
                              <w:rPr>
                                <w:rFonts w:eastAsia="Meiryo UI"/>
                                <w:lang w:eastAsia="ja-JP"/>
                              </w:rPr>
                              <m:t>1+</m:t>
                            </m:r>
                            <m:f>
                              <m:fPr>
                                <m:ctrlPr>
                                  <w:rPr>
                                    <w:rFonts w:ascii="Cambria Math" w:eastAsia="Meiryo UI" w:hAnsi="Cambria Math"/>
                                    <w:bCs/>
                                    <w:iCs/>
                                    <w:lang w:eastAsia="ja-JP"/>
                                  </w:rPr>
                                </m:ctrlPr>
                              </m:fPr>
                              <m:num>
                                <m:sSub>
                                  <m:sSubPr>
                                    <m:ctrlPr>
                                      <w:rPr>
                                        <w:rFonts w:ascii="Cambria Math" w:eastAsia="Meiryo UI" w:hAnsi="Cambria Math"/>
                                        <w:bCs/>
                                        <w:iCs/>
                                        <w:lang w:eastAsia="ja-JP"/>
                                      </w:rPr>
                                    </m:ctrlPr>
                                  </m:sSubPr>
                                  <m:e>
                                    <m:r>
                                      <m:rPr>
                                        <m:nor/>
                                      </m:rPr>
                                      <w:rPr>
                                        <w:rFonts w:eastAsia="Meiryo UI"/>
                                        <w:lang w:eastAsia="ja-JP"/>
                                      </w:rPr>
                                      <m:t>Underlying Benchmark Level</m:t>
                                    </m:r>
                                  </m:e>
                                  <m:sub>
                                    <m:r>
                                      <m:rPr>
                                        <m:nor/>
                                      </m:rPr>
                                      <w:rPr>
                                        <w:rFonts w:eastAsia="Meiryo UI"/>
                                        <w:lang w:eastAsia="ja-JP"/>
                                      </w:rPr>
                                      <m:t>i</m:t>
                                    </m:r>
                                  </m:sub>
                                </m:sSub>
                                <m:r>
                                  <m:rPr>
                                    <m:nor/>
                                  </m:rPr>
                                  <w:rPr>
                                    <w:rFonts w:eastAsia="Meiryo UI"/>
                                    <w:lang w:eastAsia="ja-JP"/>
                                  </w:rPr>
                                  <m:t xml:space="preserve"> × </m:t>
                                </m:r>
                                <m:sSub>
                                  <m:sSubPr>
                                    <m:ctrlPr>
                                      <w:rPr>
                                        <w:rFonts w:ascii="Cambria Math" w:eastAsia="Meiryo UI" w:hAnsi="Cambria Math"/>
                                        <w:bCs/>
                                        <w:iCs/>
                                        <w:lang w:eastAsia="ja-JP"/>
                                      </w:rPr>
                                    </m:ctrlPr>
                                  </m:sSubPr>
                                  <m:e>
                                    <m:r>
                                      <m:rPr>
                                        <m:nor/>
                                      </m:rPr>
                                      <w:rPr>
                                        <w:rFonts w:eastAsia="Meiryo UI"/>
                                        <w:lang w:eastAsia="ja-JP"/>
                                      </w:rPr>
                                      <m:t>n</m:t>
                                    </m:r>
                                  </m:e>
                                  <m:sub>
                                    <m:r>
                                      <m:rPr>
                                        <m:nor/>
                                      </m:rPr>
                                      <w:rPr>
                                        <w:rFonts w:eastAsia="Meiryo UI"/>
                                        <w:lang w:eastAsia="ja-JP"/>
                                      </w:rPr>
                                      <m:t>i</m:t>
                                    </m:r>
                                  </m:sub>
                                </m:sSub>
                              </m:num>
                              <m:den>
                                <m:r>
                                  <m:rPr>
                                    <m:nor/>
                                  </m:rPr>
                                  <w:rPr>
                                    <w:rFonts w:eastAsia="Meiryo UI"/>
                                    <w:lang w:eastAsia="ja-JP"/>
                                  </w:rPr>
                                  <m:t>Day Count Basis</m:t>
                                </m:r>
                              </m:den>
                            </m:f>
                          </m:e>
                        </m:d>
                        <m:r>
                          <m:rPr>
                            <m:nor/>
                          </m:rPr>
                          <w:rPr>
                            <w:rFonts w:eastAsia="Meiryo UI"/>
                            <w:lang w:eastAsia="ja-JP"/>
                          </w:rPr>
                          <m:t>-1</m:t>
                        </m:r>
                      </m:e>
                    </m:nary>
                  </m:e>
                </m:d>
                <m:r>
                  <m:rPr>
                    <m:nor/>
                  </m:rPr>
                  <w:rPr>
                    <w:rFonts w:eastAsia="Meiryo UI"/>
                    <w:lang w:eastAsia="ja-JP"/>
                  </w:rPr>
                  <m:t>×</m:t>
                </m:r>
              </m:oMath>
            </m:oMathPara>
          </w:p>
          <w:p w14:paraId="2CC59DF6" w14:textId="77777777" w:rsidR="003B5970" w:rsidRPr="00185707" w:rsidRDefault="00D04307" w:rsidP="00CB53E6">
            <w:pPr>
              <w:pStyle w:val="Body3"/>
              <w:ind w:left="0"/>
              <w:rPr>
                <w:rFonts w:eastAsia="Meiryo UI"/>
                <w:bCs/>
                <w:iCs/>
                <w:sz w:val="24"/>
                <w:szCs w:val="24"/>
                <w:lang w:eastAsia="ja-JP"/>
              </w:rPr>
            </w:pPr>
            <m:oMathPara>
              <m:oMathParaPr>
                <m:jc m:val="left"/>
              </m:oMathParaPr>
              <m:oMath>
                <m:f>
                  <m:fPr>
                    <m:ctrlPr>
                      <w:rPr>
                        <w:rFonts w:ascii="Cambria Math" w:eastAsia="Meiryo UI" w:hAnsi="Cambria Math"/>
                        <w:bCs/>
                        <w:iCs/>
                        <w:lang w:eastAsia="ja-JP"/>
                      </w:rPr>
                    </m:ctrlPr>
                  </m:fPr>
                  <m:num>
                    <m:r>
                      <m:rPr>
                        <m:nor/>
                      </m:rPr>
                      <w:rPr>
                        <w:rFonts w:eastAsia="Meiryo UI"/>
                        <w:lang w:eastAsia="ja-JP"/>
                      </w:rPr>
                      <m:t>Day Count Basis</m:t>
                    </m:r>
                  </m:num>
                  <m:den>
                    <m:r>
                      <m:rPr>
                        <m:nor/>
                      </m:rPr>
                      <w:rPr>
                        <w:rFonts w:eastAsia="Meiryo UI"/>
                        <w:lang w:eastAsia="ja-JP"/>
                      </w:rPr>
                      <m:t>d</m:t>
                    </m:r>
                  </m:den>
                </m:f>
              </m:oMath>
            </m:oMathPara>
          </w:p>
          <w:p w14:paraId="3449B964" w14:textId="77777777" w:rsidR="003B5970" w:rsidRPr="00185707" w:rsidRDefault="003B5970" w:rsidP="002B0670">
            <w:pPr>
              <w:pStyle w:val="CellBody"/>
              <w:rPr>
                <w:rFonts w:eastAsia="Meiryo UI"/>
                <w:lang w:eastAsia="ja-JP"/>
              </w:rPr>
            </w:pPr>
          </w:p>
          <w:p w14:paraId="0B59EEB3" w14:textId="77777777" w:rsidR="003B5970" w:rsidRPr="00185707" w:rsidRDefault="003B5970" w:rsidP="002B0670">
            <w:pPr>
              <w:pStyle w:val="CellBody"/>
            </w:pPr>
          </w:p>
        </w:tc>
        <w:tc>
          <w:tcPr>
            <w:tcW w:w="3394" w:type="dxa"/>
          </w:tcPr>
          <w:p w14:paraId="1426F371" w14:textId="77777777" w:rsidR="003B5970" w:rsidRPr="00185707" w:rsidRDefault="00D04307" w:rsidP="00727209">
            <w:pPr>
              <w:pStyle w:val="BodyText"/>
              <w:jc w:val="both"/>
            </w:pPr>
            <m:oMathPara>
              <m:oMathParaPr>
                <m:jc m:val="left"/>
              </m:oMathParaPr>
              <m:oMath>
                <m:d>
                  <m:dPr>
                    <m:begChr m:val="["/>
                    <m:endChr m:val="]"/>
                    <m:ctrlPr>
                      <w:rPr>
                        <w:rFonts w:ascii="Cambria Math" w:hAnsi="Cambria Math"/>
                        <w:lang w:val=""/>
                      </w:rPr>
                    </m:ctrlPr>
                  </m:dPr>
                  <m:e>
                    <m:nary>
                      <m:naryPr>
                        <m:chr m:val="∏"/>
                        <m:limLoc m:val="undOvr"/>
                        <m:grow m:val="1"/>
                        <m:ctrlPr>
                          <w:rPr>
                            <w:rFonts w:ascii="Cambria Math" w:hAnsi="Cambria Math"/>
                            <w:lang w:val=""/>
                          </w:rPr>
                        </m:ctrlPr>
                      </m:naryPr>
                      <m:sub>
                        <m:acc>
                          <m:accPr>
                            <m:chr m:val="̇"/>
                            <m:ctrlPr>
                              <w:rPr>
                                <w:rFonts w:ascii="Cambria Math" w:hAnsi="Cambria Math"/>
                                <w:lang w:val=""/>
                              </w:rPr>
                            </m:ctrlPr>
                          </m:accPr>
                          <m:e>
                            <m:r>
                              <m:rPr>
                                <m:sty m:val="p"/>
                              </m:rPr>
                              <w:rPr>
                                <w:rFonts w:ascii="Cambria Math" w:hAnsi="Cambria Math"/>
                                <w:lang w:val=""/>
                              </w:rPr>
                              <m:t>ⅈ</m:t>
                            </m:r>
                          </m:e>
                        </m:acc>
                        <m:r>
                          <m:rPr>
                            <m:sty m:val="p"/>
                          </m:rPr>
                          <w:rPr>
                            <w:rFonts w:ascii="Cambria Math" w:hAnsi="Cambria Math"/>
                            <w:lang w:val=""/>
                          </w:rPr>
                          <m:t>=1</m:t>
                        </m:r>
                      </m:sub>
                      <m:sup>
                        <m:sSub>
                          <m:sSubPr>
                            <m:ctrlPr>
                              <w:rPr>
                                <w:rFonts w:ascii="Cambria Math" w:hAnsi="Cambria Math"/>
                                <w:lang w:val=""/>
                              </w:rPr>
                            </m:ctrlPr>
                          </m:sSubPr>
                          <m:e>
                            <m:r>
                              <m:rPr>
                                <m:sty m:val="p"/>
                              </m:rPr>
                              <w:rPr>
                                <w:rFonts w:ascii="Cambria Math" w:hAnsi="Cambria Math"/>
                                <w:lang w:val=""/>
                              </w:rPr>
                              <m:t>d</m:t>
                            </m:r>
                          </m:e>
                          <m:sub>
                            <m:r>
                              <w:rPr>
                                <w:rFonts w:ascii="Cambria Math" w:hAnsi="Cambria Math"/>
                                <w:lang w:val=""/>
                              </w:rPr>
                              <m:t>0</m:t>
                            </m:r>
                          </m:sub>
                        </m:sSub>
                      </m:sup>
                      <m:e>
                        <m:d>
                          <m:dPr>
                            <m:ctrlPr>
                              <w:rPr>
                                <w:rFonts w:ascii="Cambria Math" w:hAnsi="Cambria Math"/>
                                <w:lang w:val=""/>
                              </w:rPr>
                            </m:ctrlPr>
                          </m:dPr>
                          <m:e>
                            <m:r>
                              <m:rPr>
                                <m:sty m:val="p"/>
                              </m:rPr>
                              <w:rPr>
                                <w:rFonts w:ascii="Cambria Math" w:hAnsi="Cambria Math"/>
                                <w:lang w:val=""/>
                              </w:rPr>
                              <m:t>1+</m:t>
                            </m:r>
                            <m:f>
                              <m:fPr>
                                <m:ctrlPr>
                                  <w:rPr>
                                    <w:rFonts w:ascii="Cambria Math" w:hAnsi="Cambria Math"/>
                                    <w:lang w:val=""/>
                                  </w:rPr>
                                </m:ctrlPr>
                              </m:fPr>
                              <m:num>
                                <m:sSub>
                                  <m:sSubPr>
                                    <m:ctrlPr>
                                      <w:rPr>
                                        <w:rFonts w:ascii="Cambria Math" w:hAnsi="Cambria Math"/>
                                        <w:lang w:val=""/>
                                      </w:rPr>
                                    </m:ctrlPr>
                                  </m:sSubPr>
                                  <m:e>
                                    <m:r>
                                      <w:rPr>
                                        <w:rFonts w:ascii="Cambria Math" w:hAnsi="Cambria Math"/>
                                        <w:lang w:val=""/>
                                      </w:rPr>
                                      <m:t>DailyRate</m:t>
                                    </m:r>
                                  </m:e>
                                  <m:sub>
                                    <m:r>
                                      <m:rPr>
                                        <m:sty m:val="p"/>
                                      </m:rPr>
                                      <w:rPr>
                                        <w:rFonts w:ascii="Cambria Math" w:hAnsi="Cambria Math"/>
                                        <w:lang w:val=""/>
                                      </w:rPr>
                                      <m:t>i</m:t>
                                    </m:r>
                                  </m:sub>
                                </m:sSub>
                                <m:r>
                                  <m:rPr>
                                    <m:sty m:val="p"/>
                                  </m:rPr>
                                  <w:rPr>
                                    <w:rFonts w:ascii="Cambria Math" w:hAnsi="Cambria Math"/>
                                    <w:lang w:val=""/>
                                  </w:rPr>
                                  <m:t>×</m:t>
                                </m:r>
                                <m:sSub>
                                  <m:sSubPr>
                                    <m:ctrlPr>
                                      <w:rPr>
                                        <w:rFonts w:ascii="Cambria Math" w:hAnsi="Cambria Math"/>
                                        <w:lang w:val=""/>
                                      </w:rPr>
                                    </m:ctrlPr>
                                  </m:sSubPr>
                                  <m:e>
                                    <m:r>
                                      <m:rPr>
                                        <m:sty m:val="p"/>
                                      </m:rPr>
                                      <w:rPr>
                                        <w:rFonts w:ascii="Cambria Math" w:hAnsi="Cambria Math"/>
                                        <w:lang w:val=""/>
                                      </w:rPr>
                                      <m:t>n</m:t>
                                    </m:r>
                                  </m:e>
                                  <m:sub>
                                    <m:r>
                                      <m:rPr>
                                        <m:sty m:val="p"/>
                                      </m:rPr>
                                      <w:rPr>
                                        <w:rFonts w:ascii="Cambria Math" w:hAnsi="Cambria Math"/>
                                        <w:lang w:val=""/>
                                      </w:rPr>
                                      <m:t>i</m:t>
                                    </m:r>
                                  </m:sub>
                                </m:sSub>
                              </m:num>
                              <m:den>
                                <m:r>
                                  <m:rPr>
                                    <m:sty m:val="p"/>
                                  </m:rPr>
                                  <w:rPr>
                                    <w:rFonts w:ascii="Cambria Math" w:hAnsi="Cambria Math"/>
                                    <w:lang w:val=""/>
                                  </w:rPr>
                                  <m:t>dcc</m:t>
                                </m:r>
                              </m:den>
                            </m:f>
                          </m:e>
                        </m:d>
                      </m:e>
                    </m:nary>
                    <m:r>
                      <m:rPr>
                        <m:sty m:val="p"/>
                      </m:rPr>
                      <w:rPr>
                        <w:rFonts w:ascii="Cambria Math" w:hAnsi="Cambria Math"/>
                        <w:lang w:val=""/>
                      </w:rPr>
                      <m:t>-1</m:t>
                    </m:r>
                  </m:e>
                </m:d>
                <m:r>
                  <m:rPr>
                    <m:sty m:val="p"/>
                  </m:rPr>
                  <w:rPr>
                    <w:rFonts w:ascii="Cambria Math" w:hAnsi="Cambria Math"/>
                    <w:lang w:val=""/>
                  </w:rPr>
                  <m:t>×</m:t>
                </m:r>
                <m:r>
                  <w:rPr>
                    <w:rFonts w:ascii="Cambria Math" w:hAnsi="Cambria Math"/>
                    <w:lang w:val=""/>
                  </w:rPr>
                  <m:t xml:space="preserve"> </m:t>
                </m:r>
                <m:f>
                  <m:fPr>
                    <m:ctrlPr>
                      <w:rPr>
                        <w:rFonts w:ascii="Cambria Math" w:hAnsi="Cambria Math"/>
                        <w:lang w:val=""/>
                      </w:rPr>
                    </m:ctrlPr>
                  </m:fPr>
                  <m:num>
                    <m:r>
                      <m:rPr>
                        <m:sty m:val="p"/>
                      </m:rPr>
                      <w:rPr>
                        <w:rFonts w:ascii="Cambria Math" w:hAnsi="Cambria Math"/>
                        <w:lang w:val=""/>
                      </w:rPr>
                      <m:t>dcc</m:t>
                    </m:r>
                  </m:num>
                  <m:den>
                    <m:r>
                      <m:rPr>
                        <m:sty m:val="p"/>
                      </m:rPr>
                      <w:rPr>
                        <w:rFonts w:ascii="Cambria Math" w:hAnsi="Cambria Math"/>
                        <w:lang w:val=""/>
                      </w:rPr>
                      <m:t>d</m:t>
                    </m:r>
                  </m:den>
                </m:f>
              </m:oMath>
            </m:oMathPara>
          </w:p>
          <w:p w14:paraId="3555E22F" w14:textId="77777777" w:rsidR="003B5970" w:rsidRPr="00185707" w:rsidRDefault="003B5970" w:rsidP="002B0670">
            <w:pPr>
              <w:pStyle w:val="CellBody"/>
            </w:pPr>
          </w:p>
        </w:tc>
        <w:tc>
          <w:tcPr>
            <w:tcW w:w="3063" w:type="dxa"/>
          </w:tcPr>
          <w:p w14:paraId="3AD2FE64" w14:textId="0EE4C7AF" w:rsidR="003B5970" w:rsidRPr="00185707" w:rsidRDefault="003B5970" w:rsidP="002B0670">
            <w:pPr>
              <w:pStyle w:val="CellBody"/>
            </w:pPr>
            <w:r w:rsidRPr="00185707">
              <w:t xml:space="preserve">While the compounding formula specified for the LMA Lookback </w:t>
            </w:r>
            <w:proofErr w:type="gramStart"/>
            <w:r w:rsidRPr="00185707">
              <w:t>With</w:t>
            </w:r>
            <w:proofErr w:type="gramEnd"/>
            <w:r w:rsidRPr="00185707">
              <w:t xml:space="preserve"> Observation Shift FA is used only in relation to Market Disruption provisions (to the extent applicable), the economic result is the same as applying the daily non-cumulative compounding methodology to the full principal amount for the entire Interest Period (this being the mechanism by which interest is determined under the loan) and is used here for ease of comparison.</w:t>
            </w:r>
          </w:p>
        </w:tc>
      </w:tr>
      <w:tr w:rsidR="003B5970" w:rsidRPr="00185707" w14:paraId="5A47282D" w14:textId="77777777" w:rsidTr="00C079A2">
        <w:trPr>
          <w:trHeight w:val="20"/>
        </w:trPr>
        <w:tc>
          <w:tcPr>
            <w:tcW w:w="806" w:type="dxa"/>
          </w:tcPr>
          <w:p w14:paraId="0A5A8F5F" w14:textId="77777777" w:rsidR="003B5970" w:rsidRPr="00185707" w:rsidRDefault="003B5970" w:rsidP="00775F58">
            <w:pPr>
              <w:pStyle w:val="Table1"/>
              <w:ind w:left="357" w:hanging="357"/>
              <w:rPr>
                <w:rFonts w:eastAsia="Meiryo UI"/>
                <w:bCs/>
                <w:iCs/>
                <w:lang w:eastAsia="ja-JP"/>
              </w:rPr>
            </w:pPr>
          </w:p>
        </w:tc>
        <w:tc>
          <w:tcPr>
            <w:tcW w:w="2253" w:type="dxa"/>
          </w:tcPr>
          <w:p w14:paraId="4F3AD4C0" w14:textId="77777777" w:rsidR="003B5970" w:rsidRPr="00185707" w:rsidRDefault="003B5970" w:rsidP="002B0670">
            <w:pPr>
              <w:pStyle w:val="CellBody"/>
              <w:rPr>
                <w:rFonts w:eastAsia="Meiryo UI"/>
                <w:lang w:eastAsia="ja-JP"/>
              </w:rPr>
            </w:pPr>
            <w:r w:rsidRPr="00185707">
              <w:rPr>
                <w:rFonts w:eastAsia="Meiryo UI"/>
                <w:lang w:eastAsia="ja-JP"/>
              </w:rPr>
              <w:t>d</w:t>
            </w:r>
            <w:r w:rsidRPr="00185707">
              <w:rPr>
                <w:rFonts w:eastAsia="Meiryo UI"/>
                <w:vertAlign w:val="subscript"/>
                <w:lang w:eastAsia="ja-JP"/>
              </w:rPr>
              <w:t>0</w:t>
            </w:r>
          </w:p>
        </w:tc>
        <w:tc>
          <w:tcPr>
            <w:tcW w:w="4308" w:type="dxa"/>
          </w:tcPr>
          <w:p w14:paraId="1F00AE28" w14:textId="77777777" w:rsidR="003B5970" w:rsidRPr="00185707" w:rsidRDefault="003B5970" w:rsidP="002B0670">
            <w:pPr>
              <w:pStyle w:val="CellBody"/>
            </w:pPr>
            <w:r w:rsidRPr="00185707">
              <w:rPr>
                <w:rFonts w:eastAsia="Meiryo UI"/>
                <w:lang w:eastAsia="ja-JP"/>
              </w:rPr>
              <w:t>“</w:t>
            </w:r>
            <w:r w:rsidRPr="00185707">
              <w:rPr>
                <w:rFonts w:eastAsia="Meiryo UI"/>
                <w:b/>
                <w:lang w:eastAsia="ja-JP"/>
              </w:rPr>
              <w:t>d</w:t>
            </w:r>
            <w:r w:rsidRPr="00185707">
              <w:rPr>
                <w:rFonts w:eastAsia="Meiryo UI"/>
                <w:b/>
                <w:vertAlign w:val="subscript"/>
                <w:lang w:eastAsia="ja-JP"/>
              </w:rPr>
              <w:t>0</w:t>
            </w:r>
            <w:r w:rsidRPr="00185707">
              <w:rPr>
                <w:rFonts w:eastAsia="Meiryo UI"/>
                <w:lang w:eastAsia="ja-JP"/>
              </w:rPr>
              <w:t xml:space="preserve">” is the number of Applicable Business Days in the Observation Period. </w:t>
            </w:r>
          </w:p>
        </w:tc>
        <w:tc>
          <w:tcPr>
            <w:tcW w:w="3394" w:type="dxa"/>
          </w:tcPr>
          <w:p w14:paraId="7825F74A" w14:textId="77777777" w:rsidR="003B5970" w:rsidRPr="00185707" w:rsidRDefault="003B5970" w:rsidP="002B0670">
            <w:pPr>
              <w:pStyle w:val="CellBody"/>
            </w:pPr>
            <w:bookmarkStart w:id="13" w:name="_Hlk50278179"/>
            <w:r w:rsidRPr="00185707">
              <w:t>“</w:t>
            </w:r>
            <w:r w:rsidRPr="00185707">
              <w:rPr>
                <w:b/>
              </w:rPr>
              <w:t>d</w:t>
            </w:r>
            <w:bookmarkEnd w:id="13"/>
            <w:r w:rsidRPr="00185707">
              <w:rPr>
                <w:b/>
                <w:vertAlign w:val="subscript"/>
              </w:rPr>
              <w:t>0</w:t>
            </w:r>
            <w:r w:rsidRPr="00185707">
              <w:t xml:space="preserve">” means the number of RFR Banking Days in the Observation Period. </w:t>
            </w:r>
          </w:p>
          <w:p w14:paraId="638CCC04" w14:textId="77777777" w:rsidR="003B5970" w:rsidRPr="00185707" w:rsidRDefault="003B5970" w:rsidP="002B0670">
            <w:pPr>
              <w:pStyle w:val="CellBody"/>
            </w:pPr>
          </w:p>
        </w:tc>
        <w:tc>
          <w:tcPr>
            <w:tcW w:w="3063" w:type="dxa"/>
          </w:tcPr>
          <w:p w14:paraId="2B7B924A" w14:textId="77777777" w:rsidR="003B5970" w:rsidRPr="00185707" w:rsidRDefault="003B5970" w:rsidP="002B0670">
            <w:pPr>
              <w:pStyle w:val="CellBody"/>
            </w:pPr>
            <w:r w:rsidRPr="00185707">
              <w:t>These inputs are expected to produce the same value provided:</w:t>
            </w:r>
          </w:p>
          <w:p w14:paraId="3EA7FCBF" w14:textId="77777777" w:rsidR="003B5970" w:rsidRPr="00185707" w:rsidRDefault="003B5970" w:rsidP="002B0670">
            <w:pPr>
              <w:pStyle w:val="Tableroman"/>
            </w:pPr>
            <w:r w:rsidRPr="00185707">
              <w:t>the Observation Period under the swap matches the Observation Period</w:t>
            </w:r>
            <w:r w:rsidRPr="00185707" w:rsidDel="00A5529B">
              <w:t xml:space="preserve"> </w:t>
            </w:r>
            <w:r w:rsidRPr="00185707">
              <w:t>under the loan (see row 3 below); and</w:t>
            </w:r>
          </w:p>
          <w:p w14:paraId="4D97F963" w14:textId="77777777" w:rsidR="003B5970" w:rsidRPr="00185707" w:rsidRDefault="003B5970" w:rsidP="002B0670">
            <w:pPr>
              <w:pStyle w:val="Tableroman"/>
            </w:pPr>
            <w:r w:rsidRPr="00185707">
              <w:t xml:space="preserve">the Applicable Business Days specified under the swap are the same as the RFR Banking Days specified under the loan (see row 5 below). </w:t>
            </w:r>
          </w:p>
        </w:tc>
      </w:tr>
      <w:tr w:rsidR="003B5970" w:rsidRPr="00185707" w14:paraId="47AE090C" w14:textId="77777777" w:rsidTr="00C079A2">
        <w:trPr>
          <w:trHeight w:val="20"/>
        </w:trPr>
        <w:tc>
          <w:tcPr>
            <w:tcW w:w="806" w:type="dxa"/>
          </w:tcPr>
          <w:p w14:paraId="76DD1EAF" w14:textId="77777777" w:rsidR="003B5970" w:rsidRPr="00185707" w:rsidRDefault="003B5970" w:rsidP="00775F58">
            <w:pPr>
              <w:pStyle w:val="Table1"/>
              <w:ind w:left="357" w:hanging="357"/>
              <w:rPr>
                <w:rFonts w:eastAsia="Meiryo UI"/>
                <w:lang w:eastAsia="ja-JP"/>
              </w:rPr>
            </w:pPr>
          </w:p>
        </w:tc>
        <w:tc>
          <w:tcPr>
            <w:tcW w:w="2253" w:type="dxa"/>
          </w:tcPr>
          <w:p w14:paraId="1BEF25B3" w14:textId="77777777" w:rsidR="003B5970" w:rsidRPr="00185707" w:rsidRDefault="003B5970" w:rsidP="002B0670">
            <w:pPr>
              <w:pStyle w:val="CellBody"/>
              <w:rPr>
                <w:rFonts w:eastAsia="Meiryo UI"/>
                <w:lang w:eastAsia="ja-JP"/>
              </w:rPr>
            </w:pPr>
            <w:r w:rsidRPr="00185707">
              <w:rPr>
                <w:rFonts w:eastAsia="Meiryo UI"/>
                <w:lang w:eastAsia="ja-JP"/>
              </w:rPr>
              <w:t>Observation Period</w:t>
            </w:r>
          </w:p>
        </w:tc>
        <w:tc>
          <w:tcPr>
            <w:tcW w:w="4308" w:type="dxa"/>
          </w:tcPr>
          <w:p w14:paraId="4085FCE6" w14:textId="77777777" w:rsidR="003B5970" w:rsidRPr="00185707" w:rsidRDefault="003B5970" w:rsidP="002B0670">
            <w:pPr>
              <w:pStyle w:val="CellBody"/>
              <w:rPr>
                <w:rFonts w:eastAsia="Meiryo UI"/>
                <w:lang w:eastAsia="ja-JP"/>
              </w:rPr>
            </w:pPr>
            <w:r w:rsidRPr="00185707">
              <w:rPr>
                <w:rFonts w:eastAsia="Meiryo UI"/>
                <w:lang w:eastAsia="ja-JP"/>
              </w:rPr>
              <w:t>“</w:t>
            </w:r>
            <w:r w:rsidRPr="002B0670">
              <w:rPr>
                <w:rFonts w:eastAsia="Meiryo UI"/>
                <w:b/>
                <w:bCs/>
                <w:lang w:eastAsia="ja-JP"/>
              </w:rPr>
              <w:t>Observation Period</w:t>
            </w:r>
            <w:r w:rsidRPr="00185707">
              <w:rPr>
                <w:rFonts w:eastAsia="Meiryo UI"/>
                <w:lang w:eastAsia="ja-JP"/>
              </w:rPr>
              <w:t xml:space="preserve">” means: </w:t>
            </w:r>
          </w:p>
          <w:p w14:paraId="6F43D839" w14:textId="77777777" w:rsidR="003B5970" w:rsidRPr="00185707" w:rsidRDefault="003B5970" w:rsidP="002B0670">
            <w:pPr>
              <w:pStyle w:val="Tableroman"/>
              <w:numPr>
                <w:ilvl w:val="0"/>
                <w:numId w:val="57"/>
              </w:numPr>
              <w:rPr>
                <w:lang w:eastAsia="ja-JP"/>
              </w:rPr>
            </w:pPr>
            <w:r w:rsidRPr="00185707">
              <w:rPr>
                <w:lang w:eastAsia="ja-JP"/>
              </w:rPr>
              <w:t xml:space="preserve">if “Set-in-Advance” is not applicable, for any Calculation Period, the period from, and including, the date “s” Observation Period Shift Business Days preceding the first calendar day of the Calculation Period (and the first Observation Period shall begin on and include the date “s” Observation Period Shift Business Days prior to the Effective Date) to, but excluding, the </w:t>
            </w:r>
            <w:r w:rsidRPr="00185707">
              <w:rPr>
                <w:lang w:eastAsia="ja-JP"/>
              </w:rPr>
              <w:lastRenderedPageBreak/>
              <w:t>date “s” Observation Period Shift Business Days preceding the Period End Date at the end of the Calculation Period (or, in respect of the final Observation Period, to, but excluding, the date “s” Observation Period Shift Business Days preceding the Termination Date) (the “</w:t>
            </w:r>
            <w:r w:rsidRPr="002B0670">
              <w:rPr>
                <w:b/>
                <w:bCs/>
                <w:lang w:eastAsia="ja-JP"/>
              </w:rPr>
              <w:t>Standard Observation Period End Date</w:t>
            </w:r>
            <w:r w:rsidRPr="00185707">
              <w:rPr>
                <w:lang w:eastAsia="ja-JP"/>
              </w:rPr>
              <w:t>”); or</w:t>
            </w:r>
          </w:p>
          <w:p w14:paraId="18CAE64A" w14:textId="77777777" w:rsidR="003B5970" w:rsidRPr="00185707" w:rsidRDefault="003B5970" w:rsidP="002B0670">
            <w:pPr>
              <w:pStyle w:val="Tableroman"/>
              <w:rPr>
                <w:lang w:eastAsia="ja-JP"/>
              </w:rPr>
            </w:pPr>
            <w:r w:rsidRPr="00185707">
              <w:rPr>
                <w:lang w:eastAsia="ja-JP"/>
              </w:rPr>
              <w:t>if “Set-in-Advance” is applicable, the Set-in-Advance Observation Period.</w:t>
            </w:r>
          </w:p>
        </w:tc>
        <w:tc>
          <w:tcPr>
            <w:tcW w:w="3394" w:type="dxa"/>
          </w:tcPr>
          <w:p w14:paraId="3AF167CB" w14:textId="77777777" w:rsidR="003B5970" w:rsidRPr="00185707" w:rsidRDefault="003B5970" w:rsidP="002B0670">
            <w:pPr>
              <w:pStyle w:val="CellBody"/>
              <w:rPr>
                <w:rFonts w:eastAsia="SimSun"/>
                <w:lang w:eastAsia="zh-CN" w:bidi="ar-AE"/>
              </w:rPr>
            </w:pPr>
            <w:r w:rsidRPr="00185707">
              <w:rPr>
                <w:rFonts w:eastAsia="SimSun"/>
                <w:lang w:eastAsia="zh-CN" w:bidi="ar-AE"/>
              </w:rPr>
              <w:lastRenderedPageBreak/>
              <w:t>“</w:t>
            </w:r>
            <w:r w:rsidRPr="00185707">
              <w:rPr>
                <w:rFonts w:eastAsia="SimSun"/>
                <w:b/>
                <w:bCs/>
                <w:lang w:eastAsia="zh-CN" w:bidi="ar-AE"/>
              </w:rPr>
              <w:t>Observation Period</w:t>
            </w:r>
            <w:r w:rsidRPr="00185707">
              <w:rPr>
                <w:rFonts w:eastAsia="SimSun"/>
                <w:lang w:eastAsia="zh-CN" w:bidi="ar-AE"/>
              </w:rPr>
              <w:t>” relating to an Interest Period for a Loan is the period from and including the day falling the applicable Lookback Period prior to the first day of that Interest Period and ending on, but excluding, the day falling the applicable Lookback Period prior to the last day of that Interest Period.</w:t>
            </w:r>
          </w:p>
        </w:tc>
        <w:tc>
          <w:tcPr>
            <w:tcW w:w="3063" w:type="dxa"/>
          </w:tcPr>
          <w:p w14:paraId="5A27B874" w14:textId="77777777" w:rsidR="003B5970" w:rsidRPr="00185707" w:rsidRDefault="003B5970" w:rsidP="002B0670">
            <w:pPr>
              <w:pStyle w:val="CellBody"/>
            </w:pPr>
            <w:r w:rsidRPr="00185707">
              <w:t>These inputs are expected to produce the same value provided:</w:t>
            </w:r>
          </w:p>
          <w:p w14:paraId="40DC0E96" w14:textId="77777777" w:rsidR="003B5970" w:rsidRPr="00185707" w:rsidRDefault="003B5970" w:rsidP="00DC3A5F">
            <w:pPr>
              <w:pStyle w:val="Tableroman"/>
              <w:numPr>
                <w:ilvl w:val="0"/>
                <w:numId w:val="60"/>
              </w:numPr>
            </w:pPr>
            <w:r w:rsidRPr="00185707">
              <w:t>the Observation Period Shift specified under the swap matches the Lookback Period specified under the loan (see row 4 below</w:t>
            </w:r>
            <w:proofErr w:type="gramStart"/>
            <w:r w:rsidRPr="00185707">
              <w:t>);</w:t>
            </w:r>
            <w:proofErr w:type="gramEnd"/>
          </w:p>
          <w:p w14:paraId="55285F2A" w14:textId="77777777" w:rsidR="003B5970" w:rsidRPr="00185707" w:rsidRDefault="003B5970" w:rsidP="002B0670">
            <w:pPr>
              <w:pStyle w:val="Tableroman"/>
            </w:pPr>
            <w:r w:rsidRPr="00185707">
              <w:t xml:space="preserve">the Applicable Business Days specified under the swap are the same as the </w:t>
            </w:r>
            <w:r w:rsidRPr="00185707">
              <w:lastRenderedPageBreak/>
              <w:t>RFR Banking Days specified under the loan (see row 5 below</w:t>
            </w:r>
            <w:proofErr w:type="gramStart"/>
            <w:r w:rsidRPr="00185707">
              <w:t>);</w:t>
            </w:r>
            <w:proofErr w:type="gramEnd"/>
            <w:r w:rsidRPr="00185707">
              <w:t xml:space="preserve"> </w:t>
            </w:r>
          </w:p>
          <w:p w14:paraId="08D7C3D3" w14:textId="77777777" w:rsidR="003B5970" w:rsidRPr="00185707" w:rsidRDefault="003B5970" w:rsidP="002B0670">
            <w:pPr>
              <w:pStyle w:val="Tableroman"/>
            </w:pPr>
            <w:r w:rsidRPr="00185707">
              <w:t>the Calculation Periods under the swap match the Interest Periods under the loan (see row 6 below); and</w:t>
            </w:r>
          </w:p>
          <w:p w14:paraId="588028E7" w14:textId="77777777" w:rsidR="003B5970" w:rsidRPr="00185707" w:rsidRDefault="003B5970" w:rsidP="002B0670">
            <w:pPr>
              <w:pStyle w:val="Tableroman"/>
            </w:pPr>
            <w:r w:rsidRPr="00185707">
              <w:t>Set-in-Advance does not apply under the swap (see row 12 below).</w:t>
            </w:r>
          </w:p>
        </w:tc>
      </w:tr>
      <w:tr w:rsidR="003B5970" w:rsidRPr="00185707" w14:paraId="1A335988" w14:textId="77777777" w:rsidTr="00C079A2">
        <w:trPr>
          <w:trHeight w:val="20"/>
        </w:trPr>
        <w:tc>
          <w:tcPr>
            <w:tcW w:w="806" w:type="dxa"/>
          </w:tcPr>
          <w:p w14:paraId="7A9DF71C" w14:textId="77777777" w:rsidR="003B5970" w:rsidRPr="00185707" w:rsidRDefault="003B5970" w:rsidP="00775F58">
            <w:pPr>
              <w:pStyle w:val="Table1"/>
              <w:ind w:left="357" w:hanging="357"/>
              <w:rPr>
                <w:rFonts w:eastAsia="Meiryo UI"/>
                <w:lang w:eastAsia="ja-JP"/>
              </w:rPr>
            </w:pPr>
          </w:p>
        </w:tc>
        <w:tc>
          <w:tcPr>
            <w:tcW w:w="2253" w:type="dxa"/>
          </w:tcPr>
          <w:p w14:paraId="191DE0A4" w14:textId="77777777" w:rsidR="003B5970" w:rsidRPr="00185707" w:rsidRDefault="003B5970" w:rsidP="002B0670">
            <w:pPr>
              <w:pStyle w:val="CellBody"/>
              <w:rPr>
                <w:rFonts w:eastAsia="Meiryo UI"/>
                <w:lang w:eastAsia="ja-JP"/>
              </w:rPr>
            </w:pPr>
            <w:r w:rsidRPr="00185707">
              <w:rPr>
                <w:rFonts w:eastAsia="Meiryo UI"/>
                <w:lang w:eastAsia="ja-JP"/>
              </w:rPr>
              <w:t>Observation Period Shift/Lookback Period</w:t>
            </w:r>
          </w:p>
        </w:tc>
        <w:tc>
          <w:tcPr>
            <w:tcW w:w="4308" w:type="dxa"/>
          </w:tcPr>
          <w:p w14:paraId="2A3FA39C" w14:textId="77777777" w:rsidR="003B5970" w:rsidRPr="00185707" w:rsidRDefault="003B5970" w:rsidP="002B0670">
            <w:pPr>
              <w:pStyle w:val="CellBody"/>
              <w:rPr>
                <w:rFonts w:eastAsia="Meiryo UI"/>
                <w:lang w:eastAsia="ja-JP"/>
              </w:rPr>
            </w:pPr>
            <w:r w:rsidRPr="00185707">
              <w:rPr>
                <w:rFonts w:eastAsia="Meiryo UI"/>
                <w:lang w:eastAsia="ja-JP"/>
              </w:rPr>
              <w:t>“</w:t>
            </w:r>
            <w:r w:rsidRPr="00185707">
              <w:rPr>
                <w:rFonts w:eastAsia="Meiryo UI"/>
                <w:b/>
                <w:lang w:eastAsia="ja-JP"/>
              </w:rPr>
              <w:t>s</w:t>
            </w:r>
            <w:r w:rsidRPr="00185707">
              <w:rPr>
                <w:rFonts w:eastAsia="Meiryo UI"/>
                <w:lang w:eastAsia="ja-JP"/>
              </w:rPr>
              <w:t>” is:</w:t>
            </w:r>
          </w:p>
          <w:p w14:paraId="66745BB4" w14:textId="77777777" w:rsidR="003B5970" w:rsidRPr="00185707" w:rsidRDefault="003B5970" w:rsidP="00DC3A5F">
            <w:pPr>
              <w:pStyle w:val="Tableroman"/>
              <w:numPr>
                <w:ilvl w:val="0"/>
                <w:numId w:val="62"/>
              </w:numPr>
              <w:rPr>
                <w:lang w:eastAsia="ja-JP"/>
              </w:rPr>
            </w:pPr>
            <w:r w:rsidRPr="00185707">
              <w:rPr>
                <w:lang w:eastAsia="ja-JP"/>
              </w:rPr>
              <w:t>the number specified as the “Observation Period Shift” in the Confirmation; or</w:t>
            </w:r>
          </w:p>
          <w:p w14:paraId="18EF05E6" w14:textId="77777777" w:rsidR="003B5970" w:rsidRPr="00185707" w:rsidRDefault="003B5970" w:rsidP="002B0670">
            <w:pPr>
              <w:pStyle w:val="Tableroman"/>
              <w:rPr>
                <w:lang w:eastAsia="ja-JP"/>
              </w:rPr>
            </w:pPr>
            <w:r w:rsidRPr="00185707">
              <w:rPr>
                <w:lang w:eastAsia="ja-JP"/>
              </w:rPr>
              <w:t xml:space="preserve">if a number is not specified for the purpose of the “Observation Period Shift” in the Confirmation and the Relevant Overnight Floating Rate Option is included in the Compounding/Averaging Matrix, the number (if any) specified as the “Observation Period Shift” for the Relevant Overnight Floating Rate </w:t>
            </w:r>
            <w:r w:rsidRPr="00185707">
              <w:rPr>
                <w:lang w:eastAsia="ja-JP"/>
              </w:rPr>
              <w:lastRenderedPageBreak/>
              <w:t>Option in the Compounding/Averaging Matrix; or</w:t>
            </w:r>
          </w:p>
          <w:p w14:paraId="24C2058C" w14:textId="77777777" w:rsidR="003B5970" w:rsidRPr="002B0670" w:rsidRDefault="003B5970" w:rsidP="008F362D">
            <w:pPr>
              <w:pStyle w:val="Tableroman"/>
            </w:pPr>
            <w:r w:rsidRPr="00185707">
              <w:rPr>
                <w:lang w:eastAsia="ja-JP"/>
              </w:rPr>
              <w:t xml:space="preserve">if a number is not specified for the purpose of the “Observation Period Shift” in the Confirmation or in the Compounding/Averaging </w:t>
            </w:r>
            <w:r w:rsidRPr="002B0670">
              <w:t>Matrix, five.</w:t>
            </w:r>
          </w:p>
          <w:p w14:paraId="425BA027" w14:textId="77777777" w:rsidR="003B5970" w:rsidRPr="00185707" w:rsidRDefault="003B5970" w:rsidP="00727209">
            <w:pPr>
              <w:jc w:val="both"/>
              <w:rPr>
                <w:rFonts w:eastAsia="Meiryo UI"/>
                <w:bCs/>
                <w:iCs/>
                <w:lang w:eastAsia="ja-JP"/>
              </w:rPr>
            </w:pPr>
          </w:p>
        </w:tc>
        <w:tc>
          <w:tcPr>
            <w:tcW w:w="3394" w:type="dxa"/>
          </w:tcPr>
          <w:p w14:paraId="501BDF45" w14:textId="77777777" w:rsidR="003B5970" w:rsidRPr="00185707" w:rsidRDefault="003B5970" w:rsidP="002B0670">
            <w:pPr>
              <w:pStyle w:val="CellBody"/>
            </w:pPr>
            <w:r w:rsidRPr="00185707">
              <w:rPr>
                <w:b/>
              </w:rPr>
              <w:lastRenderedPageBreak/>
              <w:t>Lookback Period:</w:t>
            </w:r>
            <w:r w:rsidRPr="00185707">
              <w:rPr>
                <w:bCs/>
              </w:rPr>
              <w:tab/>
            </w:r>
            <w:r w:rsidRPr="00185707">
              <w:t>[Five] RFR Banking Days.</w:t>
            </w:r>
          </w:p>
        </w:tc>
        <w:tc>
          <w:tcPr>
            <w:tcW w:w="3063" w:type="dxa"/>
          </w:tcPr>
          <w:p w14:paraId="58513182" w14:textId="77777777" w:rsidR="003B5970" w:rsidRPr="00185707" w:rsidRDefault="003B5970" w:rsidP="002B0670">
            <w:pPr>
              <w:pStyle w:val="CellBody"/>
            </w:pPr>
            <w:r w:rsidRPr="00185707">
              <w:t xml:space="preserve">Parties should specify an Observation Period Shift in the Confirmation which matches the Lookback Period specified for the relevant currency in the facility agreement. If not specified in the Confirmation, the first default is to the value specified in the ISDA Compounding/Averaging Matrix, if any, which may not match the agreed Lookback Period under the LMA Lookback </w:t>
            </w:r>
            <w:proofErr w:type="gramStart"/>
            <w:r w:rsidRPr="00185707">
              <w:t>With</w:t>
            </w:r>
            <w:proofErr w:type="gramEnd"/>
            <w:r w:rsidRPr="00185707">
              <w:t xml:space="preserve"> Observation Shift FA. </w:t>
            </w:r>
          </w:p>
          <w:p w14:paraId="3DE52118" w14:textId="77777777" w:rsidR="003B5970" w:rsidRPr="00185707" w:rsidRDefault="003B5970" w:rsidP="002B0670">
            <w:pPr>
              <w:pStyle w:val="CellBody"/>
            </w:pPr>
            <w:r w:rsidRPr="00185707">
              <w:lastRenderedPageBreak/>
              <w:t xml:space="preserve">The ultimate default of five Applicable Business Days for Observation Period Shift in the Confirmation matches the default of five RFR Banking Days for the Lookback Period in the LMA Lookback </w:t>
            </w:r>
            <w:proofErr w:type="gramStart"/>
            <w:r w:rsidRPr="00185707">
              <w:t>With</w:t>
            </w:r>
            <w:proofErr w:type="gramEnd"/>
            <w:r w:rsidRPr="00185707">
              <w:t xml:space="preserve"> Observation Shift FA provided the Applicable Business Days under the swap are the same as the RFR Banking Days under the loan (see row 5 below).</w:t>
            </w:r>
          </w:p>
        </w:tc>
      </w:tr>
      <w:tr w:rsidR="003B5970" w:rsidRPr="00185707" w14:paraId="5F9091AE" w14:textId="77777777" w:rsidTr="00C079A2">
        <w:trPr>
          <w:trHeight w:val="20"/>
        </w:trPr>
        <w:tc>
          <w:tcPr>
            <w:tcW w:w="806" w:type="dxa"/>
          </w:tcPr>
          <w:p w14:paraId="3EFE78A5" w14:textId="77777777" w:rsidR="003B5970" w:rsidRPr="00185707" w:rsidRDefault="003B5970" w:rsidP="00775F58">
            <w:pPr>
              <w:pStyle w:val="Table1"/>
              <w:ind w:left="357" w:hanging="357"/>
              <w:rPr>
                <w:rFonts w:eastAsia="Meiryo UI"/>
                <w:lang w:eastAsia="ja-JP"/>
              </w:rPr>
            </w:pPr>
          </w:p>
        </w:tc>
        <w:tc>
          <w:tcPr>
            <w:tcW w:w="2253" w:type="dxa"/>
          </w:tcPr>
          <w:p w14:paraId="43671B4C" w14:textId="77777777" w:rsidR="003B5970" w:rsidRPr="00185707" w:rsidRDefault="003B5970" w:rsidP="002B0670">
            <w:pPr>
              <w:pStyle w:val="CellBody"/>
              <w:rPr>
                <w:rFonts w:eastAsia="Meiryo UI"/>
                <w:lang w:eastAsia="ja-JP"/>
              </w:rPr>
            </w:pPr>
            <w:r w:rsidRPr="00185707">
              <w:rPr>
                <w:rFonts w:eastAsia="Meiryo UI"/>
                <w:lang w:eastAsia="ja-JP"/>
              </w:rPr>
              <w:t>Applicable Business Day/RFR Banking Day</w:t>
            </w:r>
          </w:p>
        </w:tc>
        <w:tc>
          <w:tcPr>
            <w:tcW w:w="4308" w:type="dxa"/>
          </w:tcPr>
          <w:p w14:paraId="658F05C7" w14:textId="77777777" w:rsidR="003B5970" w:rsidRPr="00185707" w:rsidRDefault="003B5970" w:rsidP="002B0670">
            <w:pPr>
              <w:pStyle w:val="CellBody"/>
            </w:pPr>
            <w:r w:rsidRPr="00185707">
              <w:t>“</w:t>
            </w:r>
            <w:r w:rsidRPr="00185707">
              <w:rPr>
                <w:b/>
                <w:bCs/>
              </w:rPr>
              <w:t>Applicable Business Day</w:t>
            </w:r>
            <w:r w:rsidRPr="00185707">
              <w:fldChar w:fldCharType="begin"/>
            </w:r>
            <w:r w:rsidRPr="00185707">
              <w:instrText xml:space="preserve"> XE “Applicable Business Day” </w:instrText>
            </w:r>
            <w:r w:rsidRPr="00185707">
              <w:fldChar w:fldCharType="end"/>
            </w:r>
            <w:r w:rsidRPr="00185707">
              <w:t>” means:</w:t>
            </w:r>
          </w:p>
          <w:p w14:paraId="3ADD94F6" w14:textId="77777777" w:rsidR="003B5970" w:rsidRPr="00185707" w:rsidRDefault="003B5970" w:rsidP="00DC3A5F">
            <w:pPr>
              <w:pStyle w:val="Tableroman"/>
              <w:numPr>
                <w:ilvl w:val="0"/>
                <w:numId w:val="58"/>
              </w:numPr>
            </w:pPr>
            <w:r w:rsidRPr="00185707">
              <w:t>in respect of a Floating Rate Option that is included in the Floating Rate Matrix, the day specified as such in the Floating Rate Matrix; and</w:t>
            </w:r>
          </w:p>
          <w:p w14:paraId="61A869E5" w14:textId="77777777" w:rsidR="003B5970" w:rsidRPr="00185707" w:rsidRDefault="003B5970" w:rsidP="002B0670">
            <w:pPr>
              <w:pStyle w:val="Tableroman"/>
            </w:pPr>
            <w:r w:rsidRPr="00185707">
              <w:t xml:space="preserve">in respect of a Floating Rate Option that is not included in the Floating Rate Matrix, any day that is a Business Day or other relevant day that applies, or is specified as such, for the purposes of the determination of the Relevant Rate pursuant to such Floating Rate Option </w:t>
            </w:r>
            <w:r w:rsidRPr="00185707">
              <w:lastRenderedPageBreak/>
              <w:t xml:space="preserve">or, in the absence of any such specified Business Day or other relevant day, a Business Day in the principal financial </w:t>
            </w:r>
            <w:proofErr w:type="spellStart"/>
            <w:r w:rsidRPr="00185707">
              <w:t>center</w:t>
            </w:r>
            <w:proofErr w:type="spellEnd"/>
            <w:r w:rsidRPr="00185707">
              <w:t xml:space="preserve"> for the relevant currency of the Floating Rate Option.</w:t>
            </w:r>
          </w:p>
          <w:p w14:paraId="14F36FCE" w14:textId="77777777" w:rsidR="003B5970" w:rsidRPr="00185707" w:rsidRDefault="003B5970" w:rsidP="002B0670">
            <w:pPr>
              <w:pStyle w:val="CellBody"/>
              <w:rPr>
                <w:rFonts w:eastAsia="Meiryo UI"/>
                <w:lang w:eastAsia="ja-JP"/>
              </w:rPr>
            </w:pPr>
            <w:r w:rsidRPr="00185707">
              <w:rPr>
                <w:rFonts w:eastAsia="Meiryo UI"/>
                <w:lang w:eastAsia="ja-JP"/>
              </w:rPr>
              <w:t>“</w:t>
            </w:r>
            <w:r w:rsidRPr="00185707">
              <w:rPr>
                <w:rFonts w:eastAsia="Meiryo UI"/>
                <w:b/>
                <w:lang w:eastAsia="ja-JP"/>
              </w:rPr>
              <w:t>Observation Period Shift Additional Business Day</w:t>
            </w:r>
            <w:r w:rsidRPr="00185707">
              <w:rPr>
                <w:rFonts w:eastAsia="Meiryo UI"/>
                <w:lang w:eastAsia="ja-JP"/>
              </w:rPr>
              <w:t xml:space="preserve">” means a Business Day in the financial </w:t>
            </w:r>
            <w:proofErr w:type="spellStart"/>
            <w:r w:rsidRPr="00185707">
              <w:rPr>
                <w:rFonts w:eastAsia="Meiryo UI"/>
                <w:lang w:eastAsia="ja-JP"/>
              </w:rPr>
              <w:t>centers</w:t>
            </w:r>
            <w:proofErr w:type="spellEnd"/>
            <w:r w:rsidRPr="00185707">
              <w:rPr>
                <w:rFonts w:eastAsia="Meiryo UI"/>
                <w:lang w:eastAsia="ja-JP"/>
              </w:rPr>
              <w:t>, if any, specified for such purpose in the Confirmation.</w:t>
            </w:r>
          </w:p>
          <w:p w14:paraId="5A14DDBE" w14:textId="77777777" w:rsidR="003B5970" w:rsidRPr="00185707" w:rsidRDefault="003B5970" w:rsidP="002B0670">
            <w:pPr>
              <w:pStyle w:val="CellBody"/>
              <w:rPr>
                <w:rFonts w:eastAsia="Meiryo UI"/>
                <w:lang w:eastAsia="ja-JP"/>
              </w:rPr>
            </w:pPr>
            <w:r w:rsidRPr="00185707">
              <w:rPr>
                <w:rFonts w:eastAsia="Meiryo UI"/>
                <w:lang w:eastAsia="ja-JP"/>
              </w:rPr>
              <w:t>“</w:t>
            </w:r>
            <w:r w:rsidRPr="00185707">
              <w:rPr>
                <w:rFonts w:eastAsia="Meiryo UI"/>
                <w:b/>
                <w:lang w:eastAsia="ja-JP"/>
              </w:rPr>
              <w:t>Observation Period Shift Business Day</w:t>
            </w:r>
            <w:r w:rsidRPr="00185707">
              <w:rPr>
                <w:rFonts w:eastAsia="Meiryo UI"/>
                <w:lang w:eastAsia="ja-JP"/>
              </w:rPr>
              <w:t>” means a day which is both an Applicable Business Day and an Observation Period Shift Additional Business Day.</w:t>
            </w:r>
          </w:p>
        </w:tc>
        <w:tc>
          <w:tcPr>
            <w:tcW w:w="3394" w:type="dxa"/>
          </w:tcPr>
          <w:p w14:paraId="6D8BACCB" w14:textId="77777777" w:rsidR="003B5970" w:rsidRPr="00185707" w:rsidRDefault="003B5970" w:rsidP="002B0670">
            <w:pPr>
              <w:pStyle w:val="CellBody"/>
            </w:pPr>
            <w:r w:rsidRPr="00185707">
              <w:lastRenderedPageBreak/>
              <w:t>“</w:t>
            </w:r>
            <w:r w:rsidRPr="00185707">
              <w:rPr>
                <w:b/>
              </w:rPr>
              <w:t>RFR Banking Day</w:t>
            </w:r>
            <w:r w:rsidRPr="00185707">
              <w:t>” is defined in Schedule 13 (</w:t>
            </w:r>
            <w:r w:rsidRPr="00185707">
              <w:rPr>
                <w:i/>
                <w:iCs/>
              </w:rPr>
              <w:t>Reference Rate Terms</w:t>
            </w:r>
            <w:r w:rsidRPr="00185707">
              <w:t xml:space="preserve">) for the applicable currency (USD, </w:t>
            </w:r>
            <w:proofErr w:type="gramStart"/>
            <w:r w:rsidRPr="00185707">
              <w:t>GBP</w:t>
            </w:r>
            <w:proofErr w:type="gramEnd"/>
            <w:r w:rsidRPr="00185707">
              <w:t xml:space="preserve"> or CHF).</w:t>
            </w:r>
          </w:p>
        </w:tc>
        <w:tc>
          <w:tcPr>
            <w:tcW w:w="3063" w:type="dxa"/>
          </w:tcPr>
          <w:p w14:paraId="2270E1BB" w14:textId="77777777" w:rsidR="003B5970" w:rsidRPr="00185707" w:rsidRDefault="003B5970" w:rsidP="002B0670">
            <w:pPr>
              <w:pStyle w:val="CellBody"/>
            </w:pPr>
            <w:r w:rsidRPr="00185707">
              <w:t>Parties should ensure that the RFR Banking Day specified in Schedule 13 (</w:t>
            </w:r>
            <w:r w:rsidRPr="00185707">
              <w:rPr>
                <w:i/>
                <w:iCs/>
              </w:rPr>
              <w:t>Reference Rate Terms</w:t>
            </w:r>
            <w:r w:rsidRPr="00185707">
              <w:t xml:space="preserve">) of the LMA Lookback </w:t>
            </w:r>
            <w:proofErr w:type="gramStart"/>
            <w:r w:rsidRPr="00185707">
              <w:t>With</w:t>
            </w:r>
            <w:proofErr w:type="gramEnd"/>
            <w:r w:rsidRPr="00185707">
              <w:t xml:space="preserve"> Observation Shift FA matches the Applicable Business Day for the relevant Floating Rate Option. Parties should not specify any financial </w:t>
            </w:r>
            <w:proofErr w:type="spellStart"/>
            <w:r w:rsidRPr="00185707">
              <w:t>centers</w:t>
            </w:r>
            <w:proofErr w:type="spellEnd"/>
            <w:r w:rsidRPr="00185707">
              <w:t xml:space="preserve"> for the purpose of Observation Period Shift Additional Business Days in the Confirmation as there is no such ability to specify additional </w:t>
            </w:r>
            <w:r w:rsidRPr="00185707">
              <w:lastRenderedPageBreak/>
              <w:t xml:space="preserve">financial </w:t>
            </w:r>
            <w:proofErr w:type="spellStart"/>
            <w:r w:rsidRPr="00185707">
              <w:t>centers</w:t>
            </w:r>
            <w:proofErr w:type="spellEnd"/>
            <w:r w:rsidRPr="00185707">
              <w:t xml:space="preserve"> under the LMA Lookback </w:t>
            </w:r>
            <w:proofErr w:type="gramStart"/>
            <w:r w:rsidRPr="00185707">
              <w:t>With</w:t>
            </w:r>
            <w:proofErr w:type="gramEnd"/>
            <w:r w:rsidRPr="00185707">
              <w:t xml:space="preserve"> Observation Shift FA.</w:t>
            </w:r>
          </w:p>
        </w:tc>
      </w:tr>
      <w:tr w:rsidR="003B5970" w:rsidRPr="00185707" w14:paraId="2EBE005F" w14:textId="77777777" w:rsidTr="00C079A2">
        <w:trPr>
          <w:trHeight w:val="20"/>
        </w:trPr>
        <w:tc>
          <w:tcPr>
            <w:tcW w:w="806" w:type="dxa"/>
          </w:tcPr>
          <w:p w14:paraId="4831BCBE" w14:textId="77777777" w:rsidR="003B5970" w:rsidRPr="00185707" w:rsidRDefault="003B5970" w:rsidP="00775F58">
            <w:pPr>
              <w:pStyle w:val="Table1"/>
              <w:ind w:left="357" w:hanging="357"/>
            </w:pPr>
          </w:p>
        </w:tc>
        <w:tc>
          <w:tcPr>
            <w:tcW w:w="2253" w:type="dxa"/>
          </w:tcPr>
          <w:p w14:paraId="37229A84" w14:textId="77777777" w:rsidR="003B5970" w:rsidRPr="00185707" w:rsidRDefault="003B5970" w:rsidP="002B0670">
            <w:pPr>
              <w:pStyle w:val="CellBody"/>
            </w:pPr>
            <w:r w:rsidRPr="00185707">
              <w:t>Calculation Period/Interest Period</w:t>
            </w:r>
          </w:p>
        </w:tc>
        <w:tc>
          <w:tcPr>
            <w:tcW w:w="4308" w:type="dxa"/>
          </w:tcPr>
          <w:p w14:paraId="458E9D75" w14:textId="77777777" w:rsidR="003B5970" w:rsidRPr="00185707" w:rsidRDefault="003B5970" w:rsidP="002B0670">
            <w:pPr>
              <w:pStyle w:val="CellBody"/>
            </w:pPr>
            <w:r w:rsidRPr="00185707">
              <w:t>“</w:t>
            </w:r>
            <w:r w:rsidRPr="00185707">
              <w:rPr>
                <w:b/>
                <w:bCs/>
              </w:rPr>
              <w:t>Calculation Period</w:t>
            </w:r>
            <w:r w:rsidRPr="00185707">
              <w:t>” means each period from, and including, one Period End Date for the relevant party to, but excluding, the next following applicable Period End Date during the Term of the Transaction, except that:</w:t>
            </w:r>
          </w:p>
          <w:p w14:paraId="0B3B73BD" w14:textId="77777777" w:rsidR="003B5970" w:rsidRPr="00185707" w:rsidRDefault="003B5970" w:rsidP="00DC3A5F">
            <w:pPr>
              <w:pStyle w:val="Tableroman"/>
              <w:numPr>
                <w:ilvl w:val="0"/>
                <w:numId w:val="59"/>
              </w:numPr>
            </w:pPr>
            <w:r w:rsidRPr="00185707">
              <w:t xml:space="preserve">the initial Calculation Period will commence on, and </w:t>
            </w:r>
            <w:proofErr w:type="gramStart"/>
            <w:r w:rsidRPr="00185707">
              <w:t>include,</w:t>
            </w:r>
            <w:proofErr w:type="gramEnd"/>
            <w:r w:rsidRPr="00185707">
              <w:t xml:space="preserve"> the Effective Date; and </w:t>
            </w:r>
          </w:p>
          <w:p w14:paraId="02D3D229" w14:textId="77777777" w:rsidR="003B5970" w:rsidRPr="00185707" w:rsidRDefault="003B5970" w:rsidP="002B0670">
            <w:pPr>
              <w:pStyle w:val="Tableroman"/>
            </w:pPr>
            <w:r w:rsidRPr="00185707">
              <w:t>the final Calculation Period will end on, but exclude, the Termination Date.</w:t>
            </w:r>
          </w:p>
        </w:tc>
        <w:tc>
          <w:tcPr>
            <w:tcW w:w="3394" w:type="dxa"/>
          </w:tcPr>
          <w:p w14:paraId="133220BA" w14:textId="77777777" w:rsidR="003B5970" w:rsidRPr="00185707" w:rsidRDefault="003B5970" w:rsidP="002B0670">
            <w:pPr>
              <w:pStyle w:val="CellBody"/>
            </w:pPr>
            <w:r w:rsidRPr="00185707">
              <w:t>“</w:t>
            </w:r>
            <w:r w:rsidRPr="00185707">
              <w:rPr>
                <w:b/>
              </w:rPr>
              <w:t>Interest Period</w:t>
            </w:r>
            <w:r w:rsidRPr="00185707">
              <w:t>” means, in relation to a Loan, each period determined in accordance with Clause 9 (</w:t>
            </w:r>
            <w:r w:rsidRPr="00185707">
              <w:rPr>
                <w:i/>
              </w:rPr>
              <w:t>Interest Periods</w:t>
            </w:r>
            <w:r w:rsidRPr="00185707">
              <w:t>) and, in relation to an Unpaid Sum, each period determined in accordance with Clause 8.3 (</w:t>
            </w:r>
            <w:r w:rsidRPr="00185707">
              <w:rPr>
                <w:i/>
              </w:rPr>
              <w:t>Default interest</w:t>
            </w:r>
            <w:r w:rsidRPr="00185707">
              <w:t xml:space="preserve">). </w:t>
            </w:r>
          </w:p>
          <w:p w14:paraId="051E2B09" w14:textId="77777777" w:rsidR="003B5970" w:rsidRPr="00185707" w:rsidRDefault="003B5970" w:rsidP="002B0670">
            <w:pPr>
              <w:pStyle w:val="CellBody"/>
            </w:pPr>
            <w:r w:rsidRPr="00185707">
              <w:t>Paragraph (a) of Clause 9.1 (</w:t>
            </w:r>
            <w:r w:rsidRPr="00185707">
              <w:rPr>
                <w:i/>
                <w:iCs/>
              </w:rPr>
              <w:t>Selection of Interest Periods</w:t>
            </w:r>
            <w:r w:rsidRPr="00185707">
              <w:t xml:space="preserve">) states that “[a] Borrower (or the Company on behalf of a Borrower) </w:t>
            </w:r>
            <w:r w:rsidRPr="00185707">
              <w:lastRenderedPageBreak/>
              <w:t>may select an Interest Period for a Loan in the Utilisation Request for that Loan or (if the Loan has already been borrowed) in a Selection Notice. Paragraph (f) states that “[e]ach Interest Period for a Facility A Loan shall start on the Utilisation Date or (if already made) on the last day of its preceding Interest Period”.</w:t>
            </w:r>
          </w:p>
          <w:p w14:paraId="7165A9DF" w14:textId="77777777" w:rsidR="003B5970" w:rsidRPr="00185707" w:rsidRDefault="003B5970" w:rsidP="002B0670">
            <w:pPr>
              <w:pStyle w:val="CellBody"/>
            </w:pPr>
            <w:r w:rsidRPr="00185707">
              <w:t>Clause 8.2 (</w:t>
            </w:r>
            <w:r w:rsidRPr="00185707">
              <w:rPr>
                <w:i/>
                <w:iCs/>
              </w:rPr>
              <w:t>Payment of Interest</w:t>
            </w:r>
            <w:r w:rsidRPr="00185707">
              <w:t>) states that “[t]he Borrower to which a Loan has been made shall pay accrued interest on that Loan on the last day of each Interest Period.”</w:t>
            </w:r>
          </w:p>
          <w:p w14:paraId="6432B34A" w14:textId="77777777" w:rsidR="003B5970" w:rsidRPr="00185707" w:rsidRDefault="003B5970" w:rsidP="00727209">
            <w:pPr>
              <w:spacing w:before="60" w:after="60"/>
              <w:ind w:left="680" w:hanging="680"/>
              <w:jc w:val="both"/>
              <w:rPr>
                <w:b/>
                <w:bCs/>
              </w:rPr>
            </w:pPr>
          </w:p>
        </w:tc>
        <w:tc>
          <w:tcPr>
            <w:tcW w:w="3063" w:type="dxa"/>
          </w:tcPr>
          <w:p w14:paraId="081511A7" w14:textId="77777777" w:rsidR="003B5970" w:rsidRPr="00185707" w:rsidRDefault="003B5970" w:rsidP="002B0670">
            <w:pPr>
              <w:pStyle w:val="CellBody"/>
            </w:pPr>
            <w:r w:rsidRPr="00185707">
              <w:lastRenderedPageBreak/>
              <w:t xml:space="preserve">When specifying Period End Dates, parties should ensure that the Calculation Periods under the swap match the Interest Periods under the LMA Lookback </w:t>
            </w:r>
            <w:proofErr w:type="gramStart"/>
            <w:r w:rsidRPr="00185707">
              <w:t>With</w:t>
            </w:r>
            <w:proofErr w:type="gramEnd"/>
            <w:r w:rsidRPr="00185707">
              <w:t xml:space="preserve"> Observation Shift FA. Therefore, for loans that are intended to be hedged, parties will need to specify fixed dates on which Interest Periods end under the loan (the “</w:t>
            </w:r>
            <w:r w:rsidRPr="00185707">
              <w:rPr>
                <w:b/>
                <w:bCs/>
              </w:rPr>
              <w:t xml:space="preserve">Interest Payment </w:t>
            </w:r>
            <w:r w:rsidRPr="00185707">
              <w:rPr>
                <w:b/>
                <w:bCs/>
              </w:rPr>
              <w:lastRenderedPageBreak/>
              <w:t>Dates</w:t>
            </w:r>
            <w:r w:rsidRPr="00185707">
              <w:t xml:space="preserve">”) in the LMA Lookback </w:t>
            </w:r>
            <w:proofErr w:type="gramStart"/>
            <w:r w:rsidRPr="00185707">
              <w:t>With</w:t>
            </w:r>
            <w:proofErr w:type="gramEnd"/>
            <w:r w:rsidRPr="00185707">
              <w:t xml:space="preserve"> Observation Shift FA (i.e. the duration of an Interest Period cannot be chosen during the term of the loan, as is currently the default position). The Period End Dates under the swap will then need to match the fixed Interest Payment Dates under the loan. </w:t>
            </w:r>
          </w:p>
          <w:p w14:paraId="2B52D922" w14:textId="376ED705" w:rsidR="003B5970" w:rsidRPr="00185707" w:rsidRDefault="003B5970" w:rsidP="002B0670">
            <w:pPr>
              <w:pStyle w:val="CellBody"/>
            </w:pPr>
            <w:r w:rsidRPr="00185707">
              <w:t>Clause 9.1(f) (</w:t>
            </w:r>
            <w:r w:rsidRPr="00185707">
              <w:rPr>
                <w:i/>
                <w:iCs/>
              </w:rPr>
              <w:t>Selection of Interest Periods</w:t>
            </w:r>
            <w:r w:rsidRPr="00185707">
              <w:t xml:space="preserve">) of the LMA Lookback </w:t>
            </w:r>
            <w:proofErr w:type="gramStart"/>
            <w:r w:rsidRPr="00185707">
              <w:t>With</w:t>
            </w:r>
            <w:proofErr w:type="gramEnd"/>
            <w:r w:rsidRPr="00185707">
              <w:t xml:space="preserve"> Observation Shift FA provides that an Interest Period starts on the last day of the preceding Interest Period. This is consistent with the concept of a Calculation Period under the swap. While not stated explicitly, the LMA Lookback </w:t>
            </w:r>
            <w:proofErr w:type="gramStart"/>
            <w:r w:rsidRPr="00185707">
              <w:t>With</w:t>
            </w:r>
            <w:proofErr w:type="gramEnd"/>
            <w:r w:rsidRPr="00185707">
              <w:t xml:space="preserve"> Observation Shift FA is drafted on the basis of the established loan market practice that the length of Interest Periods (and the extent to which days are “in” or “during” an Interest Period) is determined on </w:t>
            </w:r>
            <w:r w:rsidRPr="00185707">
              <w:lastRenderedPageBreak/>
              <w:t>an overnight basis and that, accordingly, the last day of an Interest Period does not fall “in” or “during” that Interest Period (see the LMA Commentary</w:t>
            </w:r>
            <w:r w:rsidRPr="00185707">
              <w:rPr>
                <w:vertAlign w:val="superscript"/>
              </w:rPr>
              <w:footnoteReference w:id="20"/>
            </w:r>
            <w:r w:rsidRPr="00185707">
              <w:t>). Therefore</w:t>
            </w:r>
            <w:r w:rsidR="00EC05B9" w:rsidRPr="00185707">
              <w:t>,</w:t>
            </w:r>
            <w:r w:rsidRPr="00185707">
              <w:t xml:space="preserve"> the period for which interest is calculated under the loan facility is consistent with the Calculation Period under the swap, </w:t>
            </w:r>
            <w:proofErr w:type="gramStart"/>
            <w:r w:rsidRPr="00185707">
              <w:t>i.e.</w:t>
            </w:r>
            <w:proofErr w:type="gramEnd"/>
            <w:r w:rsidRPr="00185707">
              <w:t xml:space="preserve"> interest accrues on and from the last day of any preceding period, to but excluding the payment date itself. </w:t>
            </w:r>
          </w:p>
          <w:p w14:paraId="2460C04D" w14:textId="77777777" w:rsidR="003B5970" w:rsidRPr="00185707" w:rsidRDefault="003B5970" w:rsidP="002B0670">
            <w:pPr>
              <w:pStyle w:val="CellBody"/>
              <w:rPr>
                <w:b/>
                <w:bCs/>
                <w:i/>
                <w:iCs/>
              </w:rPr>
            </w:pPr>
            <w:proofErr w:type="gramStart"/>
            <w:r w:rsidRPr="00185707">
              <w:t>In order to</w:t>
            </w:r>
            <w:proofErr w:type="gramEnd"/>
            <w:r w:rsidRPr="00185707">
              <w:t xml:space="preserve"> avoid any mismatch, parties should consider aligning the Payment Dates under the swap with the Interest Payment Dates.</w:t>
            </w:r>
          </w:p>
        </w:tc>
      </w:tr>
      <w:tr w:rsidR="003B5970" w:rsidRPr="00185707" w14:paraId="59B5C553" w14:textId="77777777" w:rsidTr="00C079A2">
        <w:trPr>
          <w:trHeight w:val="20"/>
        </w:trPr>
        <w:tc>
          <w:tcPr>
            <w:tcW w:w="806" w:type="dxa"/>
          </w:tcPr>
          <w:p w14:paraId="4A211168" w14:textId="77777777" w:rsidR="003B5970" w:rsidRPr="00185707" w:rsidRDefault="003B5970" w:rsidP="00775F58">
            <w:pPr>
              <w:pStyle w:val="Table1"/>
              <w:ind w:left="357" w:hanging="357"/>
              <w:rPr>
                <w:rFonts w:eastAsia="Meiryo UI"/>
                <w:lang w:eastAsia="ja-JP"/>
              </w:rPr>
            </w:pPr>
          </w:p>
        </w:tc>
        <w:tc>
          <w:tcPr>
            <w:tcW w:w="2253" w:type="dxa"/>
          </w:tcPr>
          <w:p w14:paraId="71A594E6" w14:textId="77777777" w:rsidR="003B5970" w:rsidRPr="00185707" w:rsidRDefault="003B5970" w:rsidP="002B0670">
            <w:pPr>
              <w:pStyle w:val="CellBody"/>
              <w:rPr>
                <w:rFonts w:eastAsia="Meiryo UI"/>
                <w:lang w:eastAsia="ja-JP"/>
              </w:rPr>
            </w:pPr>
            <w:r w:rsidRPr="00185707">
              <w:rPr>
                <w:rFonts w:eastAsia="Meiryo UI"/>
                <w:lang w:eastAsia="ja-JP"/>
              </w:rPr>
              <w:t>i</w:t>
            </w:r>
          </w:p>
        </w:tc>
        <w:tc>
          <w:tcPr>
            <w:tcW w:w="4308" w:type="dxa"/>
          </w:tcPr>
          <w:p w14:paraId="784E3EC0" w14:textId="77777777" w:rsidR="003B5970" w:rsidRPr="00185707" w:rsidRDefault="003B5970" w:rsidP="002B0670">
            <w:pPr>
              <w:pStyle w:val="CellBody"/>
              <w:rPr>
                <w:rFonts w:eastAsia="Meiryo UI"/>
                <w:lang w:eastAsia="ja-JP"/>
              </w:rPr>
            </w:pPr>
            <w:bookmarkStart w:id="14" w:name="_Hlk58255035"/>
            <w:r w:rsidRPr="00185707">
              <w:rPr>
                <w:rFonts w:eastAsia="Meiryo UI"/>
                <w:lang w:eastAsia="ja-JP"/>
              </w:rPr>
              <w:t>“</w:t>
            </w:r>
            <w:r w:rsidRPr="00185707">
              <w:rPr>
                <w:rFonts w:eastAsia="Meiryo UI"/>
                <w:b/>
                <w:lang w:eastAsia="ja-JP"/>
              </w:rPr>
              <w:t>i</w:t>
            </w:r>
            <w:r w:rsidRPr="00185707">
              <w:rPr>
                <w:rFonts w:eastAsia="Meiryo UI"/>
                <w:lang w:eastAsia="ja-JP"/>
              </w:rPr>
              <w:t>” is a series of whole numbers from 1 to d</w:t>
            </w:r>
            <w:r w:rsidRPr="00185707">
              <w:rPr>
                <w:rFonts w:eastAsia="Meiryo UI"/>
                <w:vertAlign w:val="subscript"/>
                <w:lang w:eastAsia="ja-JP"/>
              </w:rPr>
              <w:t>0</w:t>
            </w:r>
            <w:r w:rsidRPr="00185707">
              <w:rPr>
                <w:rFonts w:eastAsia="Meiryo UI"/>
                <w:lang w:eastAsia="ja-JP"/>
              </w:rPr>
              <w:t xml:space="preserve">, each representing the relevant Applicable Business Day in chronological order from, and </w:t>
            </w:r>
            <w:r w:rsidRPr="00185707">
              <w:rPr>
                <w:rFonts w:eastAsia="Meiryo UI"/>
                <w:lang w:eastAsia="ja-JP"/>
              </w:rPr>
              <w:lastRenderedPageBreak/>
              <w:t>including, the first Applicable Business Day in the Observation Period.</w:t>
            </w:r>
            <w:bookmarkEnd w:id="14"/>
          </w:p>
        </w:tc>
        <w:tc>
          <w:tcPr>
            <w:tcW w:w="3394" w:type="dxa"/>
          </w:tcPr>
          <w:p w14:paraId="6CCA4E0C" w14:textId="77777777" w:rsidR="003B5970" w:rsidRPr="00185707" w:rsidRDefault="003B5970" w:rsidP="002B0670">
            <w:pPr>
              <w:pStyle w:val="CellBody"/>
              <w:rPr>
                <w:rFonts w:eastAsia="SimSun"/>
                <w:lang w:eastAsia="zh-CN" w:bidi="ar-AE"/>
              </w:rPr>
            </w:pPr>
            <w:r w:rsidRPr="00185707">
              <w:rPr>
                <w:rFonts w:eastAsia="SimSun"/>
                <w:lang w:eastAsia="zh-CN" w:bidi="ar-AE"/>
              </w:rPr>
              <w:lastRenderedPageBreak/>
              <w:t>“</w:t>
            </w:r>
            <w:r w:rsidRPr="00185707">
              <w:rPr>
                <w:rFonts w:eastAsia="SimSun"/>
                <w:b/>
                <w:lang w:eastAsia="zh-CN" w:bidi="ar-AE"/>
              </w:rPr>
              <w:t>i</w:t>
            </w:r>
            <w:r w:rsidRPr="00185707">
              <w:rPr>
                <w:rFonts w:eastAsia="SimSun"/>
                <w:lang w:eastAsia="zh-CN" w:bidi="ar-AE"/>
              </w:rPr>
              <w:t>” means a series of whole numbers from one to d</w:t>
            </w:r>
            <w:r w:rsidRPr="00185707">
              <w:rPr>
                <w:rFonts w:eastAsia="SimSun"/>
                <w:vertAlign w:val="subscript"/>
                <w:lang w:eastAsia="zh-CN" w:bidi="ar-AE"/>
              </w:rPr>
              <w:t>0</w:t>
            </w:r>
            <w:r w:rsidRPr="00185707">
              <w:rPr>
                <w:rFonts w:eastAsia="SimSun"/>
                <w:lang w:eastAsia="zh-CN" w:bidi="ar-AE"/>
              </w:rPr>
              <w:t xml:space="preserve">, each representing the relevant RFR </w:t>
            </w:r>
            <w:r w:rsidRPr="00185707">
              <w:rPr>
                <w:rFonts w:eastAsia="SimSun"/>
                <w:lang w:eastAsia="zh-CN" w:bidi="ar-AE"/>
              </w:rPr>
              <w:lastRenderedPageBreak/>
              <w:t>Banking Day in chronological order in the Observation Period.</w:t>
            </w:r>
          </w:p>
          <w:p w14:paraId="28211DC5" w14:textId="77777777" w:rsidR="003B5970" w:rsidRPr="00185707" w:rsidRDefault="003B5970" w:rsidP="002B0670">
            <w:pPr>
              <w:pStyle w:val="CellBody"/>
            </w:pPr>
          </w:p>
        </w:tc>
        <w:tc>
          <w:tcPr>
            <w:tcW w:w="3063" w:type="dxa"/>
          </w:tcPr>
          <w:p w14:paraId="197FC857" w14:textId="77777777" w:rsidR="003B5970" w:rsidRPr="00185707" w:rsidRDefault="003B5970" w:rsidP="002B0670">
            <w:pPr>
              <w:pStyle w:val="CellBody"/>
            </w:pPr>
            <w:r w:rsidRPr="00185707">
              <w:lastRenderedPageBreak/>
              <w:t xml:space="preserve">These inputs are expected to produce the same value provided the Observation Periods under the swap match the Observation </w:t>
            </w:r>
            <w:r w:rsidRPr="00185707">
              <w:lastRenderedPageBreak/>
              <w:t>Periods under the loan (see row 3 above).</w:t>
            </w:r>
          </w:p>
          <w:p w14:paraId="563566CE" w14:textId="27E9AB01" w:rsidR="003B5970" w:rsidRPr="00185707" w:rsidRDefault="003B5970" w:rsidP="002B0670">
            <w:pPr>
              <w:pStyle w:val="CellBody"/>
            </w:pPr>
            <w:r w:rsidRPr="00185707">
              <w:t xml:space="preserve">Note that the interest period provisions in the LMA Lookback </w:t>
            </w:r>
            <w:proofErr w:type="gramStart"/>
            <w:r w:rsidRPr="00185707">
              <w:t>With</w:t>
            </w:r>
            <w:proofErr w:type="gramEnd"/>
            <w:r w:rsidRPr="00185707">
              <w:t xml:space="preserve"> Observation Shift FA are structured such that the first and last day of an Interest Period falls on an RFR Banking Day. As a result</w:t>
            </w:r>
            <w:r w:rsidR="00EC05B9" w:rsidRPr="00185707">
              <w:t>,</w:t>
            </w:r>
            <w:r w:rsidRPr="00185707">
              <w:t xml:space="preserve"> the definition of “i” in that document does not need to contemplate the first day in an Interest Period not being an RFR Banking Day and so does not contain an equivalent of paragraph (ii) of the ISDA Compounding with Lookback definition of “i”.</w:t>
            </w:r>
          </w:p>
        </w:tc>
      </w:tr>
      <w:tr w:rsidR="003B5970" w:rsidRPr="00185707" w14:paraId="41EEB6B7" w14:textId="77777777" w:rsidTr="00C079A2">
        <w:trPr>
          <w:trHeight w:val="20"/>
        </w:trPr>
        <w:tc>
          <w:tcPr>
            <w:tcW w:w="806" w:type="dxa"/>
          </w:tcPr>
          <w:p w14:paraId="2D5FEED9" w14:textId="77777777" w:rsidR="003B5970" w:rsidRPr="00185707" w:rsidRDefault="003B5970" w:rsidP="00775F58">
            <w:pPr>
              <w:pStyle w:val="Table1"/>
              <w:ind w:left="357" w:hanging="357"/>
              <w:rPr>
                <w:rFonts w:eastAsia="Meiryo UI"/>
                <w:lang w:eastAsia="ja-JP"/>
              </w:rPr>
            </w:pPr>
          </w:p>
        </w:tc>
        <w:tc>
          <w:tcPr>
            <w:tcW w:w="2253" w:type="dxa"/>
          </w:tcPr>
          <w:p w14:paraId="545AD1AC" w14:textId="77777777" w:rsidR="003B5970" w:rsidRPr="00185707" w:rsidRDefault="003B5970" w:rsidP="002B0670">
            <w:pPr>
              <w:pStyle w:val="CellBody"/>
              <w:rPr>
                <w:rFonts w:eastAsia="Meiryo UI"/>
                <w:lang w:eastAsia="ja-JP"/>
              </w:rPr>
            </w:pPr>
            <w:r w:rsidRPr="00185707">
              <w:rPr>
                <w:rFonts w:eastAsia="Meiryo UI"/>
                <w:lang w:eastAsia="ja-JP"/>
              </w:rPr>
              <w:t xml:space="preserve">Benchmark Level/Daily Rate </w:t>
            </w:r>
          </w:p>
        </w:tc>
        <w:tc>
          <w:tcPr>
            <w:tcW w:w="4308" w:type="dxa"/>
          </w:tcPr>
          <w:p w14:paraId="3B2AA154" w14:textId="77777777" w:rsidR="003B5970" w:rsidRPr="00185707" w:rsidRDefault="003B5970" w:rsidP="00DC3A5F">
            <w:pPr>
              <w:pStyle w:val="Tableroman"/>
              <w:numPr>
                <w:ilvl w:val="0"/>
                <w:numId w:val="63"/>
              </w:numPr>
            </w:pPr>
            <w:r w:rsidRPr="00185707">
              <w:t>“</w:t>
            </w:r>
            <w:r w:rsidRPr="007C2E72">
              <w:rPr>
                <w:b/>
              </w:rPr>
              <w:t>Underlying Benchmark Level</w:t>
            </w:r>
            <w:r w:rsidRPr="007C2E72">
              <w:rPr>
                <w:b/>
                <w:vertAlign w:val="subscript"/>
              </w:rPr>
              <w:t>i</w:t>
            </w:r>
            <w:r w:rsidRPr="00185707">
              <w:t>” is, in respect of any Applicable Business Day</w:t>
            </w:r>
            <w:r w:rsidRPr="007C2E72">
              <w:rPr>
                <w:vertAlign w:val="subscript"/>
              </w:rPr>
              <w:t>i</w:t>
            </w:r>
            <w:r w:rsidRPr="00185707">
              <w:t>:</w:t>
            </w:r>
          </w:p>
          <w:p w14:paraId="6D7BF84B" w14:textId="42D49824" w:rsidR="003B5970" w:rsidRPr="00185707" w:rsidRDefault="003B5970" w:rsidP="007C2E72">
            <w:pPr>
              <w:pStyle w:val="Tablealpha"/>
              <w:ind w:left="1360"/>
            </w:pPr>
            <w:bookmarkStart w:id="15" w:name="_Ref77904210"/>
            <w:r w:rsidRPr="00185707">
              <w:t xml:space="preserve">[subject to paragraph </w:t>
            </w:r>
            <w:r w:rsidRPr="00185707">
              <w:fldChar w:fldCharType="begin"/>
            </w:r>
            <w:r w:rsidRPr="00185707">
              <w:instrText xml:space="preserve"> REF _Ref77904191 \n \h </w:instrText>
            </w:r>
            <w:r w:rsidR="00185707">
              <w:instrText xml:space="preserve"> \* MERGEFORMAT </w:instrText>
            </w:r>
            <w:r w:rsidRPr="00185707">
              <w:fldChar w:fldCharType="separate"/>
            </w:r>
            <w:r w:rsidRPr="00185707">
              <w:t>(c)</w:t>
            </w:r>
            <w:r w:rsidRPr="00185707">
              <w:fldChar w:fldCharType="end"/>
            </w:r>
            <w:r w:rsidRPr="00185707">
              <w:t xml:space="preserve"> below, in respect of a Floating Rate Option that is identified as a Compounded Floating Rate </w:t>
            </w:r>
            <w:r w:rsidRPr="00185707">
              <w:lastRenderedPageBreak/>
              <w:t>Option in the Floating Rate Matrix, the level of the Underlying Benchmark for such Applicable Business Day as provided by the Administrator and published as of the Fixing Time on the Fixing Day;</w:t>
            </w:r>
            <w:bookmarkEnd w:id="15"/>
            <w:r w:rsidRPr="00185707">
              <w:t>]</w:t>
            </w:r>
            <w:r w:rsidRPr="00185707">
              <w:rPr>
                <w:rFonts w:eastAsia="Arial"/>
                <w:lang w:val="en-US"/>
              </w:rPr>
              <w:t xml:space="preserve"> </w:t>
            </w:r>
            <w:r w:rsidRPr="005F2666">
              <w:rPr>
                <w:rFonts w:eastAsia="Arial"/>
                <w:b/>
                <w:bCs/>
                <w:i/>
                <w:iCs/>
                <w:highlight w:val="yellow"/>
                <w:lang w:val="en-US"/>
              </w:rPr>
              <w:t>[Note: This limb is in relation to Compounded Floating Rate Options, rather than Overnight Floating Rate Options, and is therefore not relevant to swaps hedging loans based on the LMA Lookback With Observation Shift FA.]</w:t>
            </w:r>
          </w:p>
          <w:p w14:paraId="47F13AD9" w14:textId="70DD6CB9" w:rsidR="003B5970" w:rsidRPr="00185707" w:rsidRDefault="003B5970" w:rsidP="007C2E72">
            <w:pPr>
              <w:pStyle w:val="Tablealpha"/>
              <w:ind w:left="1360"/>
            </w:pPr>
            <w:bookmarkStart w:id="16" w:name="_Ref77904225"/>
            <w:r w:rsidRPr="00185707">
              <w:t xml:space="preserve">subject to paragraph </w:t>
            </w:r>
            <w:r w:rsidRPr="00185707">
              <w:fldChar w:fldCharType="begin"/>
            </w:r>
            <w:r w:rsidRPr="00185707">
              <w:instrText xml:space="preserve"> REF _Ref77904191 \n \h </w:instrText>
            </w:r>
            <w:r w:rsidR="00185707">
              <w:instrText xml:space="preserve"> \* MERGEFORMAT </w:instrText>
            </w:r>
            <w:r w:rsidRPr="00185707">
              <w:fldChar w:fldCharType="separate"/>
            </w:r>
            <w:r w:rsidRPr="00185707">
              <w:t>(c)</w:t>
            </w:r>
            <w:r w:rsidRPr="00185707">
              <w:fldChar w:fldCharType="end"/>
            </w:r>
            <w:r w:rsidRPr="00185707">
              <w:t xml:space="preserve"> below, in respect of a Floating Rate Option that is an Overnight Floating Rate Option the rate determined in accordance with the Floating Rate Option as if such Applicable Business Dayi were a Reset Date for the </w:t>
            </w:r>
            <w:r w:rsidRPr="00185707">
              <w:lastRenderedPageBreak/>
              <w:t>purpose of such Floating Rate Option; or</w:t>
            </w:r>
            <w:bookmarkEnd w:id="16"/>
          </w:p>
          <w:p w14:paraId="0C6B7C5D" w14:textId="77777777" w:rsidR="003B5970" w:rsidRPr="00185707" w:rsidRDefault="003B5970" w:rsidP="007C2E72">
            <w:pPr>
              <w:pStyle w:val="Tablealpha"/>
              <w:ind w:left="1360"/>
            </w:pPr>
            <w:bookmarkStart w:id="17" w:name="_Ref77904191"/>
            <w:r w:rsidRPr="00185707">
              <w:t>if “Daily Capped Rate and/or Daily Floored Rate” is specified as applicable in the Confirmation, either:</w:t>
            </w:r>
            <w:bookmarkEnd w:id="17"/>
          </w:p>
          <w:p w14:paraId="128EB3FC" w14:textId="66C50386" w:rsidR="003B5970" w:rsidRPr="00185707" w:rsidRDefault="002A675A" w:rsidP="002A675A">
            <w:pPr>
              <w:pStyle w:val="CellBody"/>
              <w:ind w:left="2031" w:hanging="677"/>
            </w:pPr>
            <w:r>
              <w:t>(I)</w:t>
            </w:r>
            <w:r>
              <w:tab/>
            </w:r>
            <w:r w:rsidR="003B5970" w:rsidRPr="00185707">
              <w:t xml:space="preserve">the greater of the rate determined in accordance with paragraph </w:t>
            </w:r>
            <w:r w:rsidR="003B5970" w:rsidRPr="00185707">
              <w:fldChar w:fldCharType="begin"/>
            </w:r>
            <w:r w:rsidR="003B5970" w:rsidRPr="00185707">
              <w:instrText xml:space="preserve"> REF _Ref77904210 \n \h </w:instrText>
            </w:r>
            <w:r w:rsidR="00185707">
              <w:instrText xml:space="preserve"> \* MERGEFORMAT </w:instrText>
            </w:r>
            <w:r w:rsidR="003B5970" w:rsidRPr="00185707">
              <w:fldChar w:fldCharType="separate"/>
            </w:r>
            <w:r w:rsidR="003B5970" w:rsidRPr="00185707">
              <w:t>(a)</w:t>
            </w:r>
            <w:r w:rsidR="003B5970" w:rsidRPr="00185707">
              <w:fldChar w:fldCharType="end"/>
            </w:r>
            <w:r w:rsidR="003B5970" w:rsidRPr="00185707">
              <w:t xml:space="preserve"> or </w:t>
            </w:r>
            <w:r w:rsidR="003B5970" w:rsidRPr="00185707">
              <w:fldChar w:fldCharType="begin"/>
            </w:r>
            <w:r w:rsidR="003B5970" w:rsidRPr="00185707">
              <w:instrText xml:space="preserve"> REF _Ref77904225 \n \h </w:instrText>
            </w:r>
            <w:r w:rsidR="00185707">
              <w:instrText xml:space="preserve"> \* MERGEFORMAT </w:instrText>
            </w:r>
            <w:r w:rsidR="003B5970" w:rsidRPr="00185707">
              <w:fldChar w:fldCharType="separate"/>
            </w:r>
            <w:r w:rsidR="003B5970" w:rsidRPr="00185707">
              <w:t>(b)</w:t>
            </w:r>
            <w:r w:rsidR="003B5970" w:rsidRPr="00185707">
              <w:fldChar w:fldCharType="end"/>
            </w:r>
            <w:r w:rsidR="003B5970" w:rsidRPr="00185707">
              <w:t xml:space="preserve"> above, as applicable, and the Daily Floored Rate specified (if any); or</w:t>
            </w:r>
          </w:p>
          <w:p w14:paraId="079B86DE" w14:textId="0FEC1EEE" w:rsidR="003B5970" w:rsidRPr="00185707" w:rsidRDefault="002A675A" w:rsidP="002A675A">
            <w:pPr>
              <w:pStyle w:val="CellBody"/>
              <w:ind w:left="2031" w:hanging="677"/>
            </w:pPr>
            <w:r>
              <w:t>(II)</w:t>
            </w:r>
            <w:r>
              <w:tab/>
            </w:r>
            <w:r w:rsidR="003B5970" w:rsidRPr="00185707">
              <w:t xml:space="preserve">the lower of the rate determined in accordance with paragraph </w:t>
            </w:r>
            <w:r w:rsidR="003B5970" w:rsidRPr="00185707">
              <w:fldChar w:fldCharType="begin"/>
            </w:r>
            <w:r w:rsidR="003B5970" w:rsidRPr="00185707">
              <w:instrText xml:space="preserve"> REF _Ref77904210 \n \h </w:instrText>
            </w:r>
            <w:r w:rsidR="00185707">
              <w:instrText xml:space="preserve"> \* MERGEFORMAT </w:instrText>
            </w:r>
            <w:r w:rsidR="003B5970" w:rsidRPr="00185707">
              <w:fldChar w:fldCharType="separate"/>
            </w:r>
            <w:r w:rsidR="003B5970" w:rsidRPr="00185707">
              <w:t>(a)</w:t>
            </w:r>
            <w:r w:rsidR="003B5970" w:rsidRPr="00185707">
              <w:fldChar w:fldCharType="end"/>
            </w:r>
            <w:r w:rsidR="003B5970" w:rsidRPr="00185707">
              <w:t xml:space="preserve"> or </w:t>
            </w:r>
            <w:r w:rsidR="003B5970" w:rsidRPr="00185707">
              <w:fldChar w:fldCharType="begin"/>
            </w:r>
            <w:r w:rsidR="003B5970" w:rsidRPr="00185707">
              <w:instrText xml:space="preserve"> REF _Ref77904225 \n \h </w:instrText>
            </w:r>
            <w:r w:rsidR="00185707">
              <w:instrText xml:space="preserve"> \* MERGEFORMAT </w:instrText>
            </w:r>
            <w:r w:rsidR="003B5970" w:rsidRPr="00185707">
              <w:fldChar w:fldCharType="separate"/>
            </w:r>
            <w:r w:rsidR="003B5970" w:rsidRPr="00185707">
              <w:t>(b)</w:t>
            </w:r>
            <w:r w:rsidR="003B5970" w:rsidRPr="00185707">
              <w:fldChar w:fldCharType="end"/>
            </w:r>
            <w:r w:rsidR="003B5970" w:rsidRPr="00185707">
              <w:t xml:space="preserve"> above, as applicable, and the Daily Capped Rate specified (if any),</w:t>
            </w:r>
          </w:p>
          <w:p w14:paraId="7491AE97" w14:textId="77777777" w:rsidR="003B5970" w:rsidRPr="00185707" w:rsidRDefault="003B5970" w:rsidP="002A675A">
            <w:pPr>
              <w:pStyle w:val="CellBody"/>
              <w:ind w:left="1354"/>
            </w:pPr>
            <w:r w:rsidRPr="00185707">
              <w:t>as applicable;</w:t>
            </w:r>
          </w:p>
        </w:tc>
        <w:tc>
          <w:tcPr>
            <w:tcW w:w="3394" w:type="dxa"/>
          </w:tcPr>
          <w:p w14:paraId="13E3BCB0" w14:textId="77777777" w:rsidR="003B5970" w:rsidRPr="00185707" w:rsidRDefault="003B5970" w:rsidP="002B0670">
            <w:pPr>
              <w:pStyle w:val="CellBody"/>
            </w:pPr>
            <w:r w:rsidRPr="00185707">
              <w:lastRenderedPageBreak/>
              <w:t>“</w:t>
            </w:r>
            <w:r w:rsidRPr="00185707">
              <w:rPr>
                <w:b/>
                <w:bCs/>
              </w:rPr>
              <w:t>DailyRate</w:t>
            </w:r>
            <w:r w:rsidRPr="00185707">
              <w:rPr>
                <w:b/>
                <w:bCs/>
                <w:szCs w:val="16"/>
                <w:vertAlign w:val="subscript"/>
              </w:rPr>
              <w:t>i</w:t>
            </w:r>
            <w:r w:rsidRPr="00185707">
              <w:t>” means for any RFR Banking Day “</w:t>
            </w:r>
            <w:r w:rsidRPr="00185707">
              <w:rPr>
                <w:b/>
                <w:bCs/>
              </w:rPr>
              <w:t>i</w:t>
            </w:r>
            <w:r w:rsidRPr="00185707">
              <w:t>” in the Observation Period, the Daily Rate for that RFR Banking Day “</w:t>
            </w:r>
            <w:r w:rsidRPr="00185707">
              <w:rPr>
                <w:b/>
                <w:bCs/>
              </w:rPr>
              <w:t>i</w:t>
            </w:r>
            <w:r w:rsidRPr="00185707">
              <w:t>”.</w:t>
            </w:r>
          </w:p>
          <w:p w14:paraId="22CA59B9" w14:textId="77777777" w:rsidR="003B5970" w:rsidRPr="00185707" w:rsidRDefault="003B5970" w:rsidP="002B0670">
            <w:pPr>
              <w:pStyle w:val="CellBody"/>
            </w:pPr>
            <w:r w:rsidRPr="00185707">
              <w:t xml:space="preserve">The definition of Daily Rate differs in respect of each currency. Assuming for the purposes of </w:t>
            </w:r>
            <w:r w:rsidRPr="00185707">
              <w:lastRenderedPageBreak/>
              <w:t xml:space="preserve">illustration that the LMA Lookback </w:t>
            </w:r>
            <w:proofErr w:type="gramStart"/>
            <w:r w:rsidRPr="00185707">
              <w:t>With</w:t>
            </w:r>
            <w:proofErr w:type="gramEnd"/>
            <w:r w:rsidRPr="00185707">
              <w:t xml:space="preserve"> Observation Shift FA is used in respect of a GBP-denominated loan, the Daily Rate is defined in Schedule 13 (</w:t>
            </w:r>
            <w:r w:rsidRPr="00185707">
              <w:rPr>
                <w:i/>
                <w:iCs/>
              </w:rPr>
              <w:t>Reference Rate Terms</w:t>
            </w:r>
            <w:r w:rsidRPr="00185707">
              <w:t>) as follows:</w:t>
            </w:r>
          </w:p>
          <w:p w14:paraId="47E0C102" w14:textId="77777777" w:rsidR="003B5970" w:rsidRPr="00185707" w:rsidRDefault="003B5970" w:rsidP="002B0670">
            <w:pPr>
              <w:pStyle w:val="CellBody"/>
            </w:pPr>
            <w:r w:rsidRPr="00185707">
              <w:t>“The “</w:t>
            </w:r>
            <w:r w:rsidRPr="00185707">
              <w:rPr>
                <w:b/>
                <w:bCs/>
              </w:rPr>
              <w:t>Daily Rate</w:t>
            </w:r>
            <w:r w:rsidRPr="00185707">
              <w:t>” for any RFR Banking Day is:</w:t>
            </w:r>
          </w:p>
          <w:p w14:paraId="1459496A" w14:textId="6B6340A7" w:rsidR="003B5970" w:rsidRPr="00185707" w:rsidRDefault="003B5970" w:rsidP="00DC3A5F">
            <w:pPr>
              <w:pStyle w:val="Tablealpha"/>
              <w:numPr>
                <w:ilvl w:val="0"/>
                <w:numId w:val="64"/>
              </w:numPr>
            </w:pPr>
            <w:r w:rsidRPr="00185707">
              <w:t>the RFR for that RFR Banking Day; [or]</w:t>
            </w:r>
          </w:p>
          <w:p w14:paraId="40621943" w14:textId="59B447C5" w:rsidR="003B5970" w:rsidRPr="00185707" w:rsidRDefault="003B5970" w:rsidP="002A675A">
            <w:pPr>
              <w:pStyle w:val="Tablealpha"/>
            </w:pPr>
            <w:r w:rsidRPr="00185707">
              <w:t>if the RFR is not available for that RFR Banking Day, [the percentage rate per annum which is the aggregate of:]</w:t>
            </w:r>
          </w:p>
          <w:p w14:paraId="0E6FEA32" w14:textId="01D60944" w:rsidR="003B5970" w:rsidRPr="00185707" w:rsidRDefault="003B5970" w:rsidP="00D04307">
            <w:pPr>
              <w:pStyle w:val="roman2"/>
            </w:pPr>
            <w:r w:rsidRPr="00185707">
              <w:t>the Central Bank Rate for that RFR Banking Day [; and</w:t>
            </w:r>
          </w:p>
          <w:p w14:paraId="7678453F" w14:textId="5FCA151A" w:rsidR="003B5970" w:rsidRPr="00185707" w:rsidRDefault="003B5970" w:rsidP="002A675A">
            <w:pPr>
              <w:pStyle w:val="Tableroman"/>
              <w:ind w:left="1360"/>
            </w:pPr>
            <w:r w:rsidRPr="00185707">
              <w:t xml:space="preserve">the applicable Central Bank Rate </w:t>
            </w:r>
            <w:proofErr w:type="gramStart"/>
            <w:r w:rsidRPr="00185707">
              <w:t>Adjustment][</w:t>
            </w:r>
            <w:proofErr w:type="gramEnd"/>
            <w:r w:rsidRPr="00185707">
              <w:t>; or</w:t>
            </w:r>
          </w:p>
          <w:p w14:paraId="7F056DDB" w14:textId="0DFB375C" w:rsidR="003B5970" w:rsidRPr="00185707" w:rsidRDefault="003B5970" w:rsidP="002A675A">
            <w:pPr>
              <w:pStyle w:val="Tablealpha"/>
            </w:pPr>
            <w:r w:rsidRPr="00185707">
              <w:t xml:space="preserve">if paragraph (b) above applies but the Central Bank Rate for that RFR </w:t>
            </w:r>
            <w:r w:rsidRPr="00185707">
              <w:lastRenderedPageBreak/>
              <w:t>Banking Day is not available, [the percentage rate per annum which is the aggregate of:]</w:t>
            </w:r>
          </w:p>
          <w:p w14:paraId="0E546106" w14:textId="3A6E9903" w:rsidR="003B5970" w:rsidRPr="00185707" w:rsidRDefault="003B5970" w:rsidP="00DC3A5F">
            <w:pPr>
              <w:pStyle w:val="Tableroman"/>
              <w:numPr>
                <w:ilvl w:val="0"/>
                <w:numId w:val="65"/>
              </w:numPr>
              <w:ind w:left="1360"/>
            </w:pPr>
            <w:r w:rsidRPr="00185707">
              <w:t xml:space="preserve">the most recent Central Bank Rate for a day which is no more than </w:t>
            </w:r>
            <w:proofErr w:type="gramStart"/>
            <w:r w:rsidRPr="00185707">
              <w:t>[ ]</w:t>
            </w:r>
            <w:proofErr w:type="gramEnd"/>
            <w:r w:rsidRPr="00185707">
              <w:t xml:space="preserve"> RFR Banking Days before that RFR Banking Day[; and</w:t>
            </w:r>
          </w:p>
          <w:p w14:paraId="561ADD66" w14:textId="3FF0E2AE" w:rsidR="003B5970" w:rsidRPr="00185707" w:rsidRDefault="003B5970" w:rsidP="002A675A">
            <w:pPr>
              <w:pStyle w:val="Tableroman"/>
              <w:ind w:left="1360"/>
            </w:pPr>
            <w:r w:rsidRPr="00185707">
              <w:t>the applicable Central Bank Rate Adjustment]],</w:t>
            </w:r>
          </w:p>
          <w:p w14:paraId="5FAC7110" w14:textId="77777777" w:rsidR="003B5970" w:rsidRPr="00185707" w:rsidRDefault="003B5970" w:rsidP="002B0670">
            <w:pPr>
              <w:pStyle w:val="CellBody"/>
            </w:pPr>
            <w:r w:rsidRPr="00185707">
              <w:t>rounded, in either case, to four decimal places [and if, in either case, that rate is less than zero, the Daily Rate shall be deemed to be zero]”.</w:t>
            </w:r>
          </w:p>
          <w:p w14:paraId="757A58F0" w14:textId="77777777" w:rsidR="003B5970" w:rsidRPr="00185707" w:rsidRDefault="003B5970" w:rsidP="00727209">
            <w:pPr>
              <w:jc w:val="both"/>
            </w:pPr>
          </w:p>
        </w:tc>
        <w:tc>
          <w:tcPr>
            <w:tcW w:w="3063" w:type="dxa"/>
          </w:tcPr>
          <w:p w14:paraId="71B2DF21" w14:textId="77777777" w:rsidR="003B5970" w:rsidRPr="00185707" w:rsidRDefault="003B5970" w:rsidP="002B0670">
            <w:pPr>
              <w:pStyle w:val="CellBody"/>
            </w:pPr>
            <w:r w:rsidRPr="00185707">
              <w:lastRenderedPageBreak/>
              <w:t>Parties should be aware of the following differences between these inputs:</w:t>
            </w:r>
          </w:p>
          <w:p w14:paraId="7626DD36" w14:textId="77777777" w:rsidR="003B5970" w:rsidRPr="00185707" w:rsidRDefault="003B5970" w:rsidP="00DC3A5F">
            <w:pPr>
              <w:pStyle w:val="Tableroman"/>
              <w:numPr>
                <w:ilvl w:val="0"/>
                <w:numId w:val="67"/>
              </w:numPr>
            </w:pPr>
            <w:r w:rsidRPr="002A675A">
              <w:rPr>
                <w:b/>
                <w:bCs/>
              </w:rPr>
              <w:t>Observation Period Shift/Lookback</w:t>
            </w:r>
            <w:r w:rsidRPr="002A675A">
              <w:t>:</w:t>
            </w:r>
            <w:r w:rsidRPr="002A675A">
              <w:rPr>
                <w:b/>
                <w:bCs/>
              </w:rPr>
              <w:t xml:space="preserve"> </w:t>
            </w:r>
            <w:proofErr w:type="gramStart"/>
            <w:r w:rsidRPr="00185707">
              <w:t>the</w:t>
            </w:r>
            <w:proofErr w:type="gramEnd"/>
            <w:r w:rsidRPr="00185707">
              <w:t xml:space="preserve"> Observation Period Shift specified in the </w:t>
            </w:r>
            <w:r w:rsidRPr="00185707">
              <w:lastRenderedPageBreak/>
              <w:t>Confirmation and the Lookback Period specified in the facility agreement will need to match (see row 4 above);</w:t>
            </w:r>
          </w:p>
          <w:p w14:paraId="4C0153EE" w14:textId="77777777" w:rsidR="003B5970" w:rsidRPr="00185707" w:rsidRDefault="003B5970" w:rsidP="002A675A">
            <w:pPr>
              <w:pStyle w:val="Tableroman"/>
            </w:pPr>
            <w:r w:rsidRPr="002A675A">
              <w:rPr>
                <w:b/>
                <w:bCs/>
              </w:rPr>
              <w:t>Capped Rate</w:t>
            </w:r>
            <w:r w:rsidRPr="002A675A">
              <w:t>:</w:t>
            </w:r>
            <w:r w:rsidRPr="00185707">
              <w:t xml:space="preserve"> there is no ability under the LMA Lookback </w:t>
            </w:r>
            <w:proofErr w:type="gramStart"/>
            <w:r w:rsidRPr="00185707">
              <w:t>With</w:t>
            </w:r>
            <w:proofErr w:type="gramEnd"/>
            <w:r w:rsidRPr="00185707">
              <w:t xml:space="preserve"> Observation Shift FA to cap the rate, so by default parties should not specify a Daily Capped Rate in the Confirmation unless the facility agreement is drafted to incorporate a cap (which is not typically the case);</w:t>
            </w:r>
          </w:p>
          <w:p w14:paraId="69FDC047" w14:textId="77777777" w:rsidR="003B5970" w:rsidRPr="00185707" w:rsidRDefault="003B5970" w:rsidP="002A675A">
            <w:pPr>
              <w:pStyle w:val="Tableroman"/>
            </w:pPr>
            <w:r w:rsidRPr="002A675A">
              <w:rPr>
                <w:b/>
                <w:bCs/>
              </w:rPr>
              <w:t>Floored Rate</w:t>
            </w:r>
            <w:r w:rsidRPr="002A675A">
              <w:t>:</w:t>
            </w:r>
            <w:r w:rsidRPr="00185707">
              <w:t xml:space="preserve"> the LMA Lookback </w:t>
            </w:r>
            <w:proofErr w:type="gramStart"/>
            <w:r w:rsidRPr="00185707">
              <w:t>With</w:t>
            </w:r>
            <w:proofErr w:type="gramEnd"/>
            <w:r w:rsidRPr="00185707">
              <w:t xml:space="preserve"> Observation Shift FA includes an option for parties to specify a daily floor for the “Daily Rate” (i.e. the RFR or fallback rate) observed on the </w:t>
            </w:r>
            <w:r w:rsidRPr="00185707">
              <w:lastRenderedPageBreak/>
              <w:t>relevant day. Parties are free to specify any value for the Daily Floored Rate under the swap (which should match the floor specified for the Daily Rate in the loan). Note that the Daily Floored Rate is applied to the daily observed rate (</w:t>
            </w:r>
            <w:proofErr w:type="gramStart"/>
            <w:r w:rsidRPr="00185707">
              <w:t>i.e.</w:t>
            </w:r>
            <w:proofErr w:type="gramEnd"/>
            <w:r w:rsidRPr="00185707">
              <w:t xml:space="preserve"> only the RFR); and</w:t>
            </w:r>
          </w:p>
          <w:p w14:paraId="46C6566F" w14:textId="77777777" w:rsidR="003B5970" w:rsidRPr="00185707" w:rsidRDefault="003B5970" w:rsidP="00D04307">
            <w:pPr>
              <w:pStyle w:val="Tableroman"/>
            </w:pPr>
            <w:r w:rsidRPr="002A675A">
              <w:rPr>
                <w:b/>
                <w:bCs/>
              </w:rPr>
              <w:t>Fallbacks</w:t>
            </w:r>
            <w:r w:rsidRPr="002A675A">
              <w:t>:</w:t>
            </w:r>
            <w:r w:rsidRPr="00185707">
              <w:t xml:space="preserve"> the triggers and fallbacks provided for the relevant Floating Rate Option in the 2021 ISDA Interest Rate Derivatives Definitions </w:t>
            </w:r>
            <w:r w:rsidRPr="002A675A">
              <w:t>Floating Rate Matrix and for the Daily Rate in Schedule 13 (</w:t>
            </w:r>
            <w:r w:rsidRPr="002A675A">
              <w:rPr>
                <w:i/>
                <w:iCs/>
              </w:rPr>
              <w:t>Reference Rate Terms</w:t>
            </w:r>
            <w:r w:rsidRPr="002A675A">
              <w:t xml:space="preserve">) of the LMA Lookback </w:t>
            </w:r>
            <w:proofErr w:type="gramStart"/>
            <w:r w:rsidRPr="002A675A">
              <w:t>With</w:t>
            </w:r>
            <w:proofErr w:type="gramEnd"/>
            <w:r w:rsidRPr="002A675A">
              <w:t xml:space="preserve"> Observation Shift FA will differ. This will be the case for a temporary non-publication of the relevant </w:t>
            </w:r>
            <w:r w:rsidRPr="002A675A">
              <w:lastRenderedPageBreak/>
              <w:t>RFR, the permanent cessation of the relevant RFR and an Administrator/Benchmark Event (as defined in the 2021</w:t>
            </w:r>
            <w:r w:rsidRPr="00185707">
              <w:t xml:space="preserve"> </w:t>
            </w:r>
            <w:r w:rsidRPr="002A675A">
              <w:t>ISDA Interest Rate Derivatives Definitions).</w:t>
            </w:r>
          </w:p>
        </w:tc>
      </w:tr>
      <w:tr w:rsidR="003B5970" w:rsidRPr="00185707" w14:paraId="28CEDF30" w14:textId="77777777" w:rsidTr="00C079A2">
        <w:trPr>
          <w:trHeight w:val="20"/>
        </w:trPr>
        <w:tc>
          <w:tcPr>
            <w:tcW w:w="806" w:type="dxa"/>
          </w:tcPr>
          <w:p w14:paraId="7DE474E0" w14:textId="77777777" w:rsidR="003B5970" w:rsidRPr="00185707" w:rsidRDefault="003B5970" w:rsidP="00775F58">
            <w:pPr>
              <w:pStyle w:val="Table1"/>
              <w:ind w:left="357" w:hanging="357"/>
              <w:rPr>
                <w:rFonts w:eastAsia="Meiryo UI"/>
                <w:lang w:eastAsia="ja-JP"/>
              </w:rPr>
            </w:pPr>
          </w:p>
        </w:tc>
        <w:tc>
          <w:tcPr>
            <w:tcW w:w="2253" w:type="dxa"/>
          </w:tcPr>
          <w:p w14:paraId="4064B2E1" w14:textId="77777777" w:rsidR="003B5970" w:rsidRPr="00185707" w:rsidRDefault="003B5970" w:rsidP="002B0670">
            <w:pPr>
              <w:pStyle w:val="CellBody"/>
              <w:rPr>
                <w:rFonts w:eastAsia="Meiryo UI"/>
                <w:lang w:eastAsia="ja-JP"/>
              </w:rPr>
            </w:pPr>
            <w:proofErr w:type="spellStart"/>
            <w:r w:rsidRPr="00185707">
              <w:rPr>
                <w:rFonts w:eastAsia="Meiryo UI"/>
                <w:lang w:eastAsia="ja-JP"/>
              </w:rPr>
              <w:t>n</w:t>
            </w:r>
            <w:r w:rsidRPr="00185707">
              <w:rPr>
                <w:rFonts w:eastAsia="Meiryo UI"/>
                <w:vertAlign w:val="subscript"/>
                <w:lang w:eastAsia="ja-JP"/>
              </w:rPr>
              <w:t>i</w:t>
            </w:r>
            <w:proofErr w:type="spellEnd"/>
          </w:p>
        </w:tc>
        <w:tc>
          <w:tcPr>
            <w:tcW w:w="4308" w:type="dxa"/>
          </w:tcPr>
          <w:p w14:paraId="722F452A" w14:textId="77777777" w:rsidR="003B5970" w:rsidRPr="00185707" w:rsidRDefault="003B5970" w:rsidP="002B0670">
            <w:pPr>
              <w:pStyle w:val="CellBody"/>
            </w:pPr>
            <w:r w:rsidRPr="00185707">
              <w:rPr>
                <w:rFonts w:eastAsia="Meiryo UI"/>
                <w:lang w:eastAsia="ja-JP"/>
              </w:rPr>
              <w:t>“</w:t>
            </w:r>
            <w:proofErr w:type="spellStart"/>
            <w:r w:rsidRPr="00185707">
              <w:rPr>
                <w:rFonts w:eastAsia="Meiryo UI"/>
                <w:b/>
                <w:lang w:eastAsia="ja-JP"/>
              </w:rPr>
              <w:t>n</w:t>
            </w:r>
            <w:r w:rsidRPr="00185707">
              <w:rPr>
                <w:rFonts w:eastAsia="Meiryo UI"/>
                <w:b/>
                <w:vertAlign w:val="subscript"/>
                <w:lang w:eastAsia="ja-JP"/>
              </w:rPr>
              <w:t>i</w:t>
            </w:r>
            <w:proofErr w:type="spellEnd"/>
            <w:r w:rsidRPr="00185707">
              <w:rPr>
                <w:rFonts w:eastAsia="Meiryo UI"/>
                <w:lang w:eastAsia="ja-JP"/>
              </w:rPr>
              <w:t>” is the number of calendar days from, and including, the day “i”</w:t>
            </w:r>
            <w:r w:rsidRPr="00185707">
              <w:rPr>
                <w:rFonts w:eastAsia="Meiryo UI"/>
                <w:i/>
                <w:lang w:eastAsia="ja-JP"/>
              </w:rPr>
              <w:t xml:space="preserve"> </w:t>
            </w:r>
            <w:r w:rsidRPr="00185707">
              <w:rPr>
                <w:rFonts w:eastAsia="Meiryo UI"/>
                <w:lang w:eastAsia="ja-JP"/>
              </w:rPr>
              <w:t>to, but excluding, the earlier of (a) the next Applicable Business Day, and (b) the Standard Observation Period End Date or the Set-in-Advance Observation Period End Date (as applicable) for the Observation Period.</w:t>
            </w:r>
          </w:p>
        </w:tc>
        <w:tc>
          <w:tcPr>
            <w:tcW w:w="3394" w:type="dxa"/>
          </w:tcPr>
          <w:p w14:paraId="1A7D5DE3" w14:textId="77777777" w:rsidR="003B5970" w:rsidRPr="00185707" w:rsidRDefault="003B5970" w:rsidP="002B0670">
            <w:pPr>
              <w:pStyle w:val="CellBody"/>
            </w:pPr>
            <w:r w:rsidRPr="00185707">
              <w:t>“</w:t>
            </w:r>
            <w:proofErr w:type="spellStart"/>
            <w:r w:rsidRPr="00185707">
              <w:rPr>
                <w:b/>
              </w:rPr>
              <w:t>n</w:t>
            </w:r>
            <w:r w:rsidRPr="00185707">
              <w:rPr>
                <w:b/>
                <w:vertAlign w:val="subscript"/>
              </w:rPr>
              <w:t>i</w:t>
            </w:r>
            <w:proofErr w:type="spellEnd"/>
            <w:r w:rsidRPr="00185707">
              <w:t>” means, for any RFR Banking Day “</w:t>
            </w:r>
            <w:r w:rsidRPr="00185707">
              <w:rPr>
                <w:b/>
              </w:rPr>
              <w:t>i</w:t>
            </w:r>
            <w:r w:rsidRPr="00185707">
              <w:t>”, the number of calendar days from, and including, that RFR Banking Day “</w:t>
            </w:r>
            <w:r w:rsidRPr="00185707">
              <w:rPr>
                <w:b/>
              </w:rPr>
              <w:t>i</w:t>
            </w:r>
            <w:r w:rsidRPr="00185707">
              <w:t>” up to, but excluding, the following RFR Banking Day.</w:t>
            </w:r>
            <w:r w:rsidRPr="00185707" w:rsidDel="001266D4">
              <w:t xml:space="preserve"> </w:t>
            </w:r>
          </w:p>
        </w:tc>
        <w:tc>
          <w:tcPr>
            <w:tcW w:w="3063" w:type="dxa"/>
          </w:tcPr>
          <w:p w14:paraId="56878A3B" w14:textId="77777777" w:rsidR="003B5970" w:rsidRPr="00185707" w:rsidRDefault="003B5970" w:rsidP="002B0670">
            <w:pPr>
              <w:pStyle w:val="CellBody"/>
            </w:pPr>
            <w:r w:rsidRPr="00185707">
              <w:t>These inputs are expected to produce the same value provided the Applicable Business Days under the swap are the same as the RFR Banking Days under the loan (see row 5 above) and Set-in-Advance does not apply under the swap (see row 12 below).</w:t>
            </w:r>
          </w:p>
        </w:tc>
      </w:tr>
      <w:tr w:rsidR="003B5970" w:rsidRPr="00185707" w14:paraId="29696D4E" w14:textId="77777777" w:rsidTr="00C079A2">
        <w:trPr>
          <w:trHeight w:val="20"/>
        </w:trPr>
        <w:tc>
          <w:tcPr>
            <w:tcW w:w="806" w:type="dxa"/>
          </w:tcPr>
          <w:p w14:paraId="2355018A" w14:textId="77777777" w:rsidR="003B5970" w:rsidRPr="00185707" w:rsidRDefault="003B5970" w:rsidP="00775F58">
            <w:pPr>
              <w:pStyle w:val="Table1"/>
              <w:ind w:left="357" w:hanging="357"/>
              <w:rPr>
                <w:rFonts w:eastAsia="Meiryo UI"/>
                <w:lang w:eastAsia="ja-JP"/>
              </w:rPr>
            </w:pPr>
          </w:p>
        </w:tc>
        <w:tc>
          <w:tcPr>
            <w:tcW w:w="2253" w:type="dxa"/>
          </w:tcPr>
          <w:p w14:paraId="0F28E174" w14:textId="77777777" w:rsidR="003B5970" w:rsidRPr="00185707" w:rsidRDefault="003B5970" w:rsidP="002B0670">
            <w:pPr>
              <w:pStyle w:val="CellBody"/>
              <w:rPr>
                <w:rFonts w:eastAsia="Meiryo UI"/>
                <w:lang w:eastAsia="ja-JP"/>
              </w:rPr>
            </w:pPr>
            <w:r w:rsidRPr="00185707">
              <w:rPr>
                <w:rFonts w:eastAsia="Meiryo UI"/>
                <w:lang w:eastAsia="ja-JP"/>
              </w:rPr>
              <w:t>Day Count Basis/dcc</w:t>
            </w:r>
          </w:p>
        </w:tc>
        <w:tc>
          <w:tcPr>
            <w:tcW w:w="4308" w:type="dxa"/>
          </w:tcPr>
          <w:p w14:paraId="2E5DDC35" w14:textId="77777777" w:rsidR="003B5970" w:rsidRPr="00185707" w:rsidRDefault="003B5970" w:rsidP="000606C3">
            <w:pPr>
              <w:pStyle w:val="CellBody"/>
            </w:pPr>
            <w:r w:rsidRPr="00185707">
              <w:t>“</w:t>
            </w:r>
            <w:r w:rsidRPr="00185707">
              <w:rPr>
                <w:b/>
              </w:rPr>
              <w:t>Day Count Basis</w:t>
            </w:r>
            <w:r w:rsidRPr="00185707">
              <w:t>” is, in respect of a Floating Rate Option, as specified in the Confirmation, or, if not specified in the Confirmation, the denominator of the Floating Rate Day Count Fraction.</w:t>
            </w:r>
          </w:p>
          <w:p w14:paraId="61D5B884" w14:textId="77777777" w:rsidR="003B5970" w:rsidRPr="00185707" w:rsidRDefault="003B5970" w:rsidP="002B0670">
            <w:pPr>
              <w:pStyle w:val="CellBody"/>
            </w:pPr>
          </w:p>
        </w:tc>
        <w:tc>
          <w:tcPr>
            <w:tcW w:w="3394" w:type="dxa"/>
          </w:tcPr>
          <w:p w14:paraId="5F1482EF" w14:textId="77777777" w:rsidR="003B5970" w:rsidRPr="00185707" w:rsidRDefault="003B5970" w:rsidP="002B0670">
            <w:pPr>
              <w:pStyle w:val="CellBody"/>
            </w:pPr>
            <w:r w:rsidRPr="00185707">
              <w:t>“</w:t>
            </w:r>
            <w:r w:rsidRPr="00185707">
              <w:rPr>
                <w:b/>
              </w:rPr>
              <w:t>dcc</w:t>
            </w:r>
            <w:r w:rsidRPr="00185707">
              <w:t>” means [360] / [365]</w:t>
            </w:r>
            <w:r w:rsidRPr="00185707">
              <w:rPr>
                <w:vertAlign w:val="superscript"/>
              </w:rPr>
              <w:footnoteReference w:id="21"/>
            </w:r>
            <w:r w:rsidRPr="00185707">
              <w:t xml:space="preserve"> or, in any case where market practice in the Relevant Market is to use a different number for quoting the number of days in a year, that number.</w:t>
            </w:r>
          </w:p>
          <w:p w14:paraId="30EFE2A4" w14:textId="77777777" w:rsidR="003B5970" w:rsidRPr="00185707" w:rsidRDefault="003B5970" w:rsidP="002B0670">
            <w:pPr>
              <w:pStyle w:val="CellBody"/>
            </w:pPr>
            <w:r w:rsidRPr="00185707">
              <w:lastRenderedPageBreak/>
              <w:t>“</w:t>
            </w:r>
            <w:r w:rsidRPr="00185707">
              <w:rPr>
                <w:b/>
              </w:rPr>
              <w:t>Relevant Market</w:t>
            </w:r>
            <w:r w:rsidRPr="00185707">
              <w:t xml:space="preserve">” means the market specified as such in the applicable Reference Rate Terms. </w:t>
            </w:r>
          </w:p>
        </w:tc>
        <w:tc>
          <w:tcPr>
            <w:tcW w:w="3063" w:type="dxa"/>
          </w:tcPr>
          <w:p w14:paraId="7DD682EB" w14:textId="77777777" w:rsidR="003B5970" w:rsidRPr="00185707" w:rsidRDefault="003B5970" w:rsidP="002B0670">
            <w:pPr>
              <w:pStyle w:val="CellBody"/>
            </w:pPr>
            <w:r w:rsidRPr="00185707">
              <w:lastRenderedPageBreak/>
              <w:t xml:space="preserve">Parties should ensure that the “dcc” under the LMA Lookback </w:t>
            </w:r>
            <w:proofErr w:type="gramStart"/>
            <w:r w:rsidRPr="00185707">
              <w:t>With</w:t>
            </w:r>
            <w:proofErr w:type="gramEnd"/>
            <w:r w:rsidRPr="00185707">
              <w:t xml:space="preserve"> Observation Shift FA (which may be determined by reference to market practice) matches the Day Count Basis for the relevant Floating Rate Option under the swap, and populate the Day Count </w:t>
            </w:r>
            <w:r w:rsidRPr="00185707">
              <w:lastRenderedPageBreak/>
              <w:t xml:space="preserve">Basis field in the Confirmation accordingly. </w:t>
            </w:r>
          </w:p>
        </w:tc>
      </w:tr>
      <w:tr w:rsidR="003B5970" w:rsidRPr="00185707" w14:paraId="31F34C9C" w14:textId="77777777" w:rsidTr="00C079A2">
        <w:trPr>
          <w:trHeight w:val="20"/>
        </w:trPr>
        <w:tc>
          <w:tcPr>
            <w:tcW w:w="806" w:type="dxa"/>
          </w:tcPr>
          <w:p w14:paraId="4C930D98" w14:textId="77777777" w:rsidR="003B5970" w:rsidRPr="00185707" w:rsidRDefault="003B5970" w:rsidP="00775F58">
            <w:pPr>
              <w:pStyle w:val="Table1"/>
              <w:ind w:left="357" w:hanging="357"/>
              <w:rPr>
                <w:rFonts w:eastAsia="Meiryo UI"/>
                <w:lang w:eastAsia="ja-JP"/>
              </w:rPr>
            </w:pPr>
          </w:p>
        </w:tc>
        <w:tc>
          <w:tcPr>
            <w:tcW w:w="2253" w:type="dxa"/>
          </w:tcPr>
          <w:p w14:paraId="407D6C44" w14:textId="77777777" w:rsidR="003B5970" w:rsidRPr="00185707" w:rsidRDefault="003B5970" w:rsidP="002B0670">
            <w:pPr>
              <w:pStyle w:val="CellBody"/>
              <w:rPr>
                <w:rFonts w:eastAsia="Meiryo UI"/>
                <w:lang w:eastAsia="ja-JP"/>
              </w:rPr>
            </w:pPr>
            <w:r w:rsidRPr="00185707">
              <w:rPr>
                <w:rFonts w:eastAsia="Meiryo UI"/>
                <w:lang w:eastAsia="ja-JP"/>
              </w:rPr>
              <w:t>d</w:t>
            </w:r>
          </w:p>
        </w:tc>
        <w:tc>
          <w:tcPr>
            <w:tcW w:w="4308" w:type="dxa"/>
          </w:tcPr>
          <w:p w14:paraId="26AF43B2" w14:textId="77777777" w:rsidR="003B5970" w:rsidRPr="00185707" w:rsidRDefault="003B5970" w:rsidP="002B0670">
            <w:pPr>
              <w:pStyle w:val="CellBody"/>
            </w:pPr>
            <w:r w:rsidRPr="00185707">
              <w:rPr>
                <w:rFonts w:eastAsia="Meiryo UI"/>
                <w:lang w:eastAsia="ja-JP"/>
              </w:rPr>
              <w:t>“</w:t>
            </w:r>
            <w:r w:rsidRPr="00185707">
              <w:rPr>
                <w:rFonts w:eastAsia="Meiryo UI"/>
                <w:b/>
                <w:lang w:eastAsia="ja-JP"/>
              </w:rPr>
              <w:t>d</w:t>
            </w:r>
            <w:r w:rsidRPr="00185707">
              <w:rPr>
                <w:rFonts w:eastAsia="Meiryo UI"/>
                <w:lang w:eastAsia="ja-JP"/>
              </w:rPr>
              <w:t>” is the number of calendar days in the Observation Period.</w:t>
            </w:r>
          </w:p>
        </w:tc>
        <w:tc>
          <w:tcPr>
            <w:tcW w:w="3394" w:type="dxa"/>
          </w:tcPr>
          <w:p w14:paraId="2CC4D915" w14:textId="77777777" w:rsidR="003B5970" w:rsidRPr="00185707" w:rsidRDefault="003B5970" w:rsidP="002B0670">
            <w:pPr>
              <w:pStyle w:val="CellBody"/>
            </w:pPr>
            <w:r w:rsidRPr="00185707">
              <w:t>“</w:t>
            </w:r>
            <w:r w:rsidRPr="00185707">
              <w:rPr>
                <w:b/>
              </w:rPr>
              <w:t>d</w:t>
            </w:r>
            <w:r w:rsidRPr="00185707">
              <w:t>” means the number of calendar days in that Observation Period.</w:t>
            </w:r>
            <w:r w:rsidRPr="00185707" w:rsidDel="001266D4">
              <w:t xml:space="preserve"> </w:t>
            </w:r>
          </w:p>
        </w:tc>
        <w:tc>
          <w:tcPr>
            <w:tcW w:w="3063" w:type="dxa"/>
          </w:tcPr>
          <w:p w14:paraId="16C8D72B" w14:textId="77777777" w:rsidR="003B5970" w:rsidRPr="00185707" w:rsidRDefault="003B5970" w:rsidP="002B0670">
            <w:pPr>
              <w:pStyle w:val="CellBody"/>
            </w:pPr>
            <w:r w:rsidRPr="00185707">
              <w:t>These inputs are expected to produce the same value provided the Observation Periods under the swap match the Observation Periods under the loan (see row 3 above).</w:t>
            </w:r>
          </w:p>
        </w:tc>
      </w:tr>
      <w:tr w:rsidR="003B5970" w:rsidRPr="00185707" w14:paraId="342EFFFB" w14:textId="77777777" w:rsidTr="00C079A2">
        <w:trPr>
          <w:trHeight w:val="20"/>
        </w:trPr>
        <w:tc>
          <w:tcPr>
            <w:tcW w:w="806" w:type="dxa"/>
          </w:tcPr>
          <w:p w14:paraId="5DCEDB28" w14:textId="77777777" w:rsidR="003B5970" w:rsidRPr="00185707" w:rsidRDefault="003B5970" w:rsidP="00775F58">
            <w:pPr>
              <w:pStyle w:val="Table1"/>
              <w:ind w:left="357" w:hanging="357"/>
              <w:rPr>
                <w:rFonts w:eastAsia="Meiryo UI"/>
                <w:lang w:eastAsia="ja-JP"/>
              </w:rPr>
            </w:pPr>
          </w:p>
        </w:tc>
        <w:tc>
          <w:tcPr>
            <w:tcW w:w="2253" w:type="dxa"/>
          </w:tcPr>
          <w:p w14:paraId="63BA693E" w14:textId="77777777" w:rsidR="003B5970" w:rsidRPr="00185707" w:rsidRDefault="003B5970" w:rsidP="002B0670">
            <w:pPr>
              <w:pStyle w:val="CellBody"/>
              <w:rPr>
                <w:rFonts w:eastAsia="Meiryo UI"/>
                <w:lang w:eastAsia="ja-JP"/>
              </w:rPr>
            </w:pPr>
            <w:r w:rsidRPr="00185707">
              <w:rPr>
                <w:rFonts w:eastAsia="Meiryo UI"/>
                <w:lang w:eastAsia="ja-JP"/>
              </w:rPr>
              <w:t>Set-in-Advance</w:t>
            </w:r>
          </w:p>
        </w:tc>
        <w:tc>
          <w:tcPr>
            <w:tcW w:w="4308" w:type="dxa"/>
          </w:tcPr>
          <w:p w14:paraId="016455F4" w14:textId="77777777" w:rsidR="003B5970" w:rsidRPr="00185707" w:rsidRDefault="003B5970" w:rsidP="002B0670">
            <w:pPr>
              <w:pStyle w:val="CellBody"/>
              <w:rPr>
                <w:rFonts w:eastAsia="Meiryo UI"/>
                <w:lang w:eastAsia="ja-JP"/>
              </w:rPr>
            </w:pPr>
            <w:bookmarkStart w:id="18" w:name="_Hlk71809006"/>
            <w:r w:rsidRPr="00185707">
              <w:rPr>
                <w:rFonts w:eastAsia="Meiryo UI"/>
                <w:lang w:eastAsia="ja-JP"/>
              </w:rPr>
              <w:t>The detailed definition of “</w:t>
            </w:r>
            <w:r w:rsidRPr="00185707">
              <w:rPr>
                <w:rFonts w:eastAsia="Meiryo UI"/>
                <w:b/>
                <w:lang w:eastAsia="ja-JP"/>
              </w:rPr>
              <w:t>Set-in-Advance Observation Period</w:t>
            </w:r>
            <w:r w:rsidRPr="00185707">
              <w:rPr>
                <w:rFonts w:eastAsia="Meiryo UI"/>
                <w:lang w:eastAsia="ja-JP"/>
              </w:rPr>
              <w:t xml:space="preserve">” is set out in </w:t>
            </w:r>
            <w:r w:rsidRPr="00185707">
              <w:t>Section 7.3.3 (</w:t>
            </w:r>
            <w:r w:rsidRPr="00185707">
              <w:rPr>
                <w:i/>
                <w:iCs/>
              </w:rPr>
              <w:t>Compounding with Observation Period Shift</w:t>
            </w:r>
            <w:r w:rsidRPr="00185707">
              <w:t xml:space="preserve">) of the 2021 ISDA Interest Rate Derivatives Definitions </w:t>
            </w:r>
            <w:r w:rsidRPr="00185707">
              <w:rPr>
                <w:rFonts w:eastAsia="Meiryo UI"/>
                <w:lang w:eastAsia="ja-JP"/>
              </w:rPr>
              <w:t xml:space="preserve">and has not been replicated here as it should not be applied by parties that are seeking to more closely align a swap with a facility agreement that is based on the </w:t>
            </w:r>
            <w:r w:rsidRPr="00185707">
              <w:t xml:space="preserve">LMA Lookback </w:t>
            </w:r>
            <w:proofErr w:type="gramStart"/>
            <w:r w:rsidRPr="00185707">
              <w:t>With</w:t>
            </w:r>
            <w:proofErr w:type="gramEnd"/>
            <w:r w:rsidRPr="00185707">
              <w:t xml:space="preserve"> Observation Shift FA.</w:t>
            </w:r>
            <w:bookmarkEnd w:id="18"/>
          </w:p>
        </w:tc>
        <w:tc>
          <w:tcPr>
            <w:tcW w:w="3394" w:type="dxa"/>
          </w:tcPr>
          <w:p w14:paraId="014230BC" w14:textId="77777777" w:rsidR="003B5970" w:rsidRPr="00185707" w:rsidRDefault="003B5970" w:rsidP="002B0670">
            <w:pPr>
              <w:pStyle w:val="CellBody"/>
            </w:pPr>
            <w:r w:rsidRPr="00185707">
              <w:t>N/A</w:t>
            </w:r>
          </w:p>
        </w:tc>
        <w:tc>
          <w:tcPr>
            <w:tcW w:w="3063" w:type="dxa"/>
          </w:tcPr>
          <w:p w14:paraId="63544D86" w14:textId="77777777" w:rsidR="003B5970" w:rsidRPr="00185707" w:rsidRDefault="003B5970" w:rsidP="002B0670">
            <w:pPr>
              <w:pStyle w:val="CellBody"/>
            </w:pPr>
            <w:r w:rsidRPr="00185707">
              <w:t xml:space="preserve">There is no ability to Set-in-Advance under the LMA Lookback </w:t>
            </w:r>
            <w:proofErr w:type="gramStart"/>
            <w:r w:rsidRPr="00185707">
              <w:t>With</w:t>
            </w:r>
            <w:proofErr w:type="gramEnd"/>
            <w:r w:rsidRPr="00185707">
              <w:t xml:space="preserve"> Observation Shift FA and so parties should specify Set-in-Advance as Not Applicable in the Confirmation.</w:t>
            </w:r>
          </w:p>
        </w:tc>
      </w:tr>
      <w:tr w:rsidR="003B5970" w:rsidRPr="00185707" w14:paraId="62A27368" w14:textId="77777777" w:rsidTr="00C079A2">
        <w:trPr>
          <w:trHeight w:val="20"/>
        </w:trPr>
        <w:tc>
          <w:tcPr>
            <w:tcW w:w="806" w:type="dxa"/>
          </w:tcPr>
          <w:p w14:paraId="0A1F19CD" w14:textId="77777777" w:rsidR="003B5970" w:rsidRPr="00185707" w:rsidRDefault="003B5970" w:rsidP="00775F58">
            <w:pPr>
              <w:pStyle w:val="Table1"/>
              <w:ind w:left="357" w:hanging="357"/>
              <w:rPr>
                <w:rFonts w:eastAsia="Meiryo UI"/>
                <w:lang w:eastAsia="ja-JP"/>
              </w:rPr>
            </w:pPr>
          </w:p>
        </w:tc>
        <w:tc>
          <w:tcPr>
            <w:tcW w:w="2253" w:type="dxa"/>
          </w:tcPr>
          <w:p w14:paraId="662D8A3D" w14:textId="77777777" w:rsidR="003B5970" w:rsidRPr="00185707" w:rsidRDefault="003B5970" w:rsidP="002B0670">
            <w:pPr>
              <w:pStyle w:val="CellBody"/>
              <w:rPr>
                <w:rFonts w:eastAsia="Meiryo UI"/>
                <w:lang w:eastAsia="ja-JP"/>
              </w:rPr>
            </w:pPr>
            <w:r w:rsidRPr="00185707">
              <w:rPr>
                <w:rFonts w:eastAsia="Meiryo UI"/>
                <w:lang w:eastAsia="ja-JP"/>
              </w:rPr>
              <w:t>Rounding</w:t>
            </w:r>
          </w:p>
        </w:tc>
        <w:tc>
          <w:tcPr>
            <w:tcW w:w="4308" w:type="dxa"/>
          </w:tcPr>
          <w:p w14:paraId="7C1D2BE9" w14:textId="77777777" w:rsidR="003B5970" w:rsidRPr="00185707" w:rsidRDefault="003B5970" w:rsidP="002B0670">
            <w:pPr>
              <w:pStyle w:val="CellBody"/>
              <w:rPr>
                <w:rFonts w:eastAsia="Meiryo UI"/>
                <w:lang w:eastAsia="ja-JP"/>
              </w:rPr>
            </w:pPr>
            <w:r w:rsidRPr="00185707">
              <w:rPr>
                <w:rFonts w:eastAsia="Meiryo UI"/>
                <w:lang w:eastAsia="ja-JP"/>
              </w:rPr>
              <w:t xml:space="preserve">The default position for rounding in respect of various overnight Floating Rate Options is set out in the 2021 ISDA Interest Rate Derivatives Definitions Matrix for use with the Overnight Rate Compounding Methods, Overnight Rate Averaging </w:t>
            </w:r>
            <w:proofErr w:type="gramStart"/>
            <w:r w:rsidRPr="00185707">
              <w:rPr>
                <w:rFonts w:eastAsia="Meiryo UI"/>
                <w:lang w:eastAsia="ja-JP"/>
              </w:rPr>
              <w:t>Methods</w:t>
            </w:r>
            <w:proofErr w:type="gramEnd"/>
            <w:r w:rsidRPr="00185707">
              <w:rPr>
                <w:rFonts w:eastAsia="Meiryo UI"/>
                <w:lang w:eastAsia="ja-JP"/>
              </w:rPr>
              <w:t xml:space="preserve"> and Index Methods (the </w:t>
            </w:r>
            <w:r w:rsidRPr="00185707">
              <w:rPr>
                <w:rFonts w:eastAsia="Meiryo UI"/>
                <w:lang w:eastAsia="ja-JP"/>
              </w:rPr>
              <w:lastRenderedPageBreak/>
              <w:t>“</w:t>
            </w:r>
            <w:r w:rsidRPr="00185707">
              <w:rPr>
                <w:rFonts w:eastAsia="Meiryo UI"/>
                <w:b/>
                <w:lang w:eastAsia="ja-JP"/>
              </w:rPr>
              <w:t>Compounding/Averaging Matrix</w:t>
            </w:r>
            <w:r w:rsidRPr="00185707">
              <w:rPr>
                <w:rFonts w:eastAsia="Meiryo UI"/>
                <w:lang w:eastAsia="ja-JP"/>
              </w:rPr>
              <w:t>”). Version 1.0 of the Compounding/Averaging Matrix specifies rounding for various Floating Rate Options as either one-ten thousandth of a percentage point (0.0001%) or one hundred-thousandth of a percentage point (0.00001%).</w:t>
            </w:r>
          </w:p>
          <w:p w14:paraId="062A7D1D" w14:textId="77777777" w:rsidR="003B5970" w:rsidRPr="00185707" w:rsidRDefault="003B5970" w:rsidP="002B0670">
            <w:pPr>
              <w:pStyle w:val="CellBody"/>
              <w:rPr>
                <w:rFonts w:eastAsia="Meiryo UI"/>
                <w:lang w:eastAsia="ja-JP"/>
              </w:rPr>
            </w:pPr>
            <w:r w:rsidRPr="00185707">
              <w:rPr>
                <w:rFonts w:eastAsia="Meiryo UI"/>
                <w:lang w:eastAsia="ja-JP"/>
              </w:rPr>
              <w:t>If parties are referencing a Floating Rate Option that is not included in the Compounding/Averaging Matrix, rounding shall be as set out in Section 4.8 (</w:t>
            </w:r>
            <w:r w:rsidRPr="00185707">
              <w:rPr>
                <w:rFonts w:eastAsia="Meiryo UI"/>
                <w:i/>
                <w:lang w:eastAsia="ja-JP"/>
              </w:rPr>
              <w:t>Rounding</w:t>
            </w:r>
            <w:r w:rsidRPr="00185707">
              <w:rPr>
                <w:rFonts w:eastAsia="Meiryo UI"/>
                <w:lang w:eastAsia="ja-JP"/>
              </w:rPr>
              <w:t>) of the 2021 ISDA Interest Rate Derivatives Definitions.</w:t>
            </w:r>
          </w:p>
        </w:tc>
        <w:tc>
          <w:tcPr>
            <w:tcW w:w="3394" w:type="dxa"/>
          </w:tcPr>
          <w:p w14:paraId="270E7191" w14:textId="77777777" w:rsidR="003B5970" w:rsidRPr="00185707" w:rsidRDefault="003B5970" w:rsidP="002B0670">
            <w:pPr>
              <w:pStyle w:val="CellBody"/>
            </w:pPr>
            <w:r w:rsidRPr="00185707">
              <w:lastRenderedPageBreak/>
              <w:t xml:space="preserve">The result of the compounding formula is rounded to the same number of decimal places as is specified in the definition of “Annualised Cumulative Compounded Daily Rate” in </w:t>
            </w:r>
            <w:r w:rsidRPr="00185707">
              <w:lastRenderedPageBreak/>
              <w:t>Schedule 14 (</w:t>
            </w:r>
            <w:r w:rsidRPr="00185707">
              <w:rPr>
                <w:i/>
              </w:rPr>
              <w:t>Daily Non-Cumulative Compounded RFR Rate</w:t>
            </w:r>
            <w:r w:rsidRPr="00185707">
              <w:t>). There is no default value specified for the number of decimal places to which the Annualised Cumulative Compounded Daily Rate is rounded in Schedule 14 (</w:t>
            </w:r>
            <w:r w:rsidRPr="00185707">
              <w:rPr>
                <w:i/>
              </w:rPr>
              <w:t>Daily Non-Cumulative Compounded RFR Rate</w:t>
            </w:r>
            <w:r w:rsidRPr="00185707">
              <w:t xml:space="preserve">). </w:t>
            </w:r>
          </w:p>
        </w:tc>
        <w:tc>
          <w:tcPr>
            <w:tcW w:w="3063" w:type="dxa"/>
          </w:tcPr>
          <w:p w14:paraId="70278BB5" w14:textId="77777777" w:rsidR="003B5970" w:rsidRPr="00185707" w:rsidRDefault="003B5970" w:rsidP="002B0670">
            <w:pPr>
              <w:pStyle w:val="CellBody"/>
              <w:rPr>
                <w:rFonts w:eastAsia="Meiryo UI"/>
                <w:lang w:eastAsia="ja-JP"/>
              </w:rPr>
            </w:pPr>
            <w:r w:rsidRPr="00185707">
              <w:lastRenderedPageBreak/>
              <w:t xml:space="preserve">Parties should note the possible difference in rounding between the Compounding/Averaging Matrix or </w:t>
            </w:r>
            <w:r w:rsidRPr="00185707">
              <w:rPr>
                <w:rFonts w:eastAsia="Meiryo UI"/>
                <w:lang w:eastAsia="ja-JP"/>
              </w:rPr>
              <w:t>Section 4.8 (</w:t>
            </w:r>
            <w:r w:rsidRPr="00185707">
              <w:rPr>
                <w:rFonts w:eastAsia="Meiryo UI"/>
                <w:i/>
                <w:lang w:eastAsia="ja-JP"/>
              </w:rPr>
              <w:t>Rounding</w:t>
            </w:r>
            <w:r w:rsidRPr="00185707">
              <w:rPr>
                <w:rFonts w:eastAsia="Meiryo UI"/>
                <w:lang w:eastAsia="ja-JP"/>
              </w:rPr>
              <w:t xml:space="preserve">) of the 2021 ISDA Interest Rate Derivatives Definitions (as </w:t>
            </w:r>
            <w:r w:rsidRPr="00185707">
              <w:rPr>
                <w:rFonts w:eastAsia="Meiryo UI"/>
                <w:lang w:eastAsia="ja-JP"/>
              </w:rPr>
              <w:lastRenderedPageBreak/>
              <w:t xml:space="preserve">applicable) </w:t>
            </w:r>
            <w:r w:rsidRPr="00185707">
              <w:t xml:space="preserve">and the </w:t>
            </w:r>
            <w:r w:rsidRPr="00185707">
              <w:rPr>
                <w:rFonts w:eastAsia="Meiryo UI"/>
                <w:lang w:eastAsia="ja-JP"/>
              </w:rPr>
              <w:t xml:space="preserve">LMA Lookback </w:t>
            </w:r>
            <w:proofErr w:type="gramStart"/>
            <w:r w:rsidRPr="00185707">
              <w:rPr>
                <w:rFonts w:eastAsia="Meiryo UI"/>
                <w:lang w:eastAsia="ja-JP"/>
              </w:rPr>
              <w:t>With</w:t>
            </w:r>
            <w:proofErr w:type="gramEnd"/>
            <w:r w:rsidRPr="00185707">
              <w:rPr>
                <w:rFonts w:eastAsia="Meiryo UI"/>
                <w:lang w:eastAsia="ja-JP"/>
              </w:rPr>
              <w:t xml:space="preserve"> Observation Shift FA. </w:t>
            </w:r>
          </w:p>
          <w:p w14:paraId="38279C42" w14:textId="77777777" w:rsidR="003B5970" w:rsidRPr="00185707" w:rsidRDefault="003B5970" w:rsidP="002B0670">
            <w:pPr>
              <w:pStyle w:val="CellBody"/>
            </w:pPr>
          </w:p>
        </w:tc>
      </w:tr>
      <w:tr w:rsidR="003B5970" w:rsidRPr="00185707" w14:paraId="2FF4DB76" w14:textId="77777777" w:rsidTr="00C079A2">
        <w:trPr>
          <w:trHeight w:val="20"/>
        </w:trPr>
        <w:tc>
          <w:tcPr>
            <w:tcW w:w="806" w:type="dxa"/>
          </w:tcPr>
          <w:p w14:paraId="0D32380C" w14:textId="77777777" w:rsidR="003B5970" w:rsidRPr="00185707" w:rsidRDefault="003B5970" w:rsidP="00775F58">
            <w:pPr>
              <w:pStyle w:val="Table1"/>
              <w:ind w:left="357" w:hanging="357"/>
              <w:rPr>
                <w:rFonts w:eastAsia="Meiryo UI"/>
                <w:lang w:eastAsia="ja-JP"/>
              </w:rPr>
            </w:pPr>
          </w:p>
        </w:tc>
        <w:tc>
          <w:tcPr>
            <w:tcW w:w="2253" w:type="dxa"/>
          </w:tcPr>
          <w:p w14:paraId="5A9CE0FA" w14:textId="77777777" w:rsidR="003B5970" w:rsidRPr="00185707" w:rsidRDefault="003B5970" w:rsidP="002B0670">
            <w:pPr>
              <w:pStyle w:val="CellBody"/>
              <w:rPr>
                <w:rFonts w:eastAsia="Meiryo UI"/>
                <w:lang w:eastAsia="ja-JP"/>
              </w:rPr>
            </w:pPr>
            <w:r w:rsidRPr="00185707">
              <w:rPr>
                <w:rFonts w:eastAsia="Meiryo UI"/>
                <w:lang w:eastAsia="ja-JP"/>
              </w:rPr>
              <w:t>Business Day convention</w:t>
            </w:r>
          </w:p>
        </w:tc>
        <w:tc>
          <w:tcPr>
            <w:tcW w:w="4308" w:type="dxa"/>
          </w:tcPr>
          <w:p w14:paraId="4F6FAEA3" w14:textId="77777777" w:rsidR="003B5970" w:rsidRPr="00185707" w:rsidRDefault="003B5970" w:rsidP="002B0670">
            <w:pPr>
              <w:pStyle w:val="CellBody"/>
              <w:rPr>
                <w:rFonts w:eastAsia="Meiryo UI"/>
                <w:lang w:eastAsia="ja-JP"/>
              </w:rPr>
            </w:pPr>
            <w:r w:rsidRPr="00185707">
              <w:rPr>
                <w:rFonts w:eastAsia="Meiryo UI"/>
                <w:lang w:eastAsia="ja-JP"/>
              </w:rPr>
              <w:t>By default, the Fixed Amount Payer Payment Dates and Floating Amount Payer Payment Dates will be subject to adjustment in accordance with the Modified Following Business Day Convention.</w:t>
            </w:r>
          </w:p>
        </w:tc>
        <w:tc>
          <w:tcPr>
            <w:tcW w:w="3394" w:type="dxa"/>
          </w:tcPr>
          <w:p w14:paraId="0A8B7890" w14:textId="77777777" w:rsidR="003B5970" w:rsidRPr="00185707" w:rsidRDefault="003B5970" w:rsidP="002B0670">
            <w:pPr>
              <w:pStyle w:val="CellBody"/>
            </w:pPr>
            <w:r w:rsidRPr="00185707">
              <w:t>Clause 9.3 (</w:t>
            </w:r>
            <w:r w:rsidRPr="00185707">
              <w:rPr>
                <w:i/>
                <w:iCs/>
              </w:rPr>
              <w:t>Non-Business Days</w:t>
            </w:r>
            <w:r w:rsidRPr="00185707">
              <w:t>) states that “[a]</w:t>
            </w:r>
            <w:proofErr w:type="spellStart"/>
            <w:r w:rsidRPr="00185707">
              <w:t>ny</w:t>
            </w:r>
            <w:proofErr w:type="spellEnd"/>
            <w:r w:rsidRPr="00185707">
              <w:t xml:space="preserve"> rules specified as “Business Day Conventions” in the Reference Rate Terms” shall apply to each Interest Period”.</w:t>
            </w:r>
          </w:p>
          <w:p w14:paraId="239CDB85" w14:textId="77777777" w:rsidR="003B5970" w:rsidRPr="00185707" w:rsidRDefault="003B5970" w:rsidP="002B0670">
            <w:pPr>
              <w:pStyle w:val="CellBody"/>
            </w:pPr>
            <w:r w:rsidRPr="00185707">
              <w:t xml:space="preserve">The definition of Business Day Conventions may differ in respect of each currency (although all currencies for which drafting is provided currently provide for the same definitions). Assuming for the purposes of illustration that the </w:t>
            </w:r>
            <w:r w:rsidRPr="00185707">
              <w:lastRenderedPageBreak/>
              <w:t xml:space="preserve">LMA Lookback </w:t>
            </w:r>
            <w:proofErr w:type="gramStart"/>
            <w:r w:rsidRPr="00185707">
              <w:t>With</w:t>
            </w:r>
            <w:proofErr w:type="gramEnd"/>
            <w:r w:rsidRPr="00185707">
              <w:t xml:space="preserve"> Observation Shift FA is used in respect of a GBP-denominated loan, the Business Day Convention is specified in Schedule 13 (</w:t>
            </w:r>
            <w:r w:rsidRPr="00185707">
              <w:rPr>
                <w:i/>
                <w:iCs/>
              </w:rPr>
              <w:t>Reference Rate Terms</w:t>
            </w:r>
            <w:r w:rsidRPr="00185707">
              <w:t>) as follows:</w:t>
            </w:r>
          </w:p>
          <w:p w14:paraId="539E416D" w14:textId="7F0A32EA" w:rsidR="003B5970" w:rsidRPr="00185707" w:rsidRDefault="003B5970" w:rsidP="00DC3A5F">
            <w:pPr>
              <w:pStyle w:val="Tablealpha"/>
              <w:numPr>
                <w:ilvl w:val="0"/>
                <w:numId w:val="68"/>
              </w:numPr>
            </w:pPr>
            <w:r w:rsidRPr="00185707">
              <w:t xml:space="preserve">“If any period is expressed to accrue by reference to a Month or any number of Months then, in respect of the last Month of that period: </w:t>
            </w:r>
          </w:p>
          <w:p w14:paraId="7940D0B4" w14:textId="12FA4FB1" w:rsidR="003B5970" w:rsidRPr="00185707" w:rsidRDefault="003B5970" w:rsidP="00DC3A5F">
            <w:pPr>
              <w:pStyle w:val="Tableroman"/>
              <w:numPr>
                <w:ilvl w:val="0"/>
                <w:numId w:val="69"/>
              </w:numPr>
              <w:ind w:left="1360"/>
            </w:pPr>
            <w:r w:rsidRPr="00185707">
              <w:t xml:space="preserve">subject to paragraph (iii) below, if the numerically corresponding day is not a Business Day, that period shall end on the next Business Day in that calendar month in which that period is to end if there is one, or if there is not, on the </w:t>
            </w:r>
            <w:r w:rsidRPr="00185707">
              <w:lastRenderedPageBreak/>
              <w:t xml:space="preserve">immediately preceding Business </w:t>
            </w:r>
            <w:proofErr w:type="gramStart"/>
            <w:r w:rsidRPr="00185707">
              <w:t>Day;</w:t>
            </w:r>
            <w:proofErr w:type="gramEnd"/>
          </w:p>
          <w:p w14:paraId="46938EFD" w14:textId="006FA6F5" w:rsidR="003B5970" w:rsidRPr="00185707" w:rsidRDefault="003B5970" w:rsidP="00DC3A5F">
            <w:pPr>
              <w:pStyle w:val="Tableroman"/>
              <w:ind w:left="1360"/>
            </w:pPr>
            <w:r w:rsidRPr="00185707">
              <w:t>if there is no numerically corresponding day in the calendar month in which that period is to end, that period shall end on the last Business Day in that calendar month; and</w:t>
            </w:r>
          </w:p>
          <w:p w14:paraId="25E154A8" w14:textId="4B2DE440" w:rsidR="003B5970" w:rsidRPr="00185707" w:rsidRDefault="003B5970" w:rsidP="00DC3A5F">
            <w:pPr>
              <w:pStyle w:val="Tableroman"/>
              <w:ind w:left="1360"/>
            </w:pPr>
            <w:r w:rsidRPr="00185707">
              <w:t>if an Interest Period begins on the last Business Day of a calendar month, that Interest Period shall end on the last Business Day in the calendar month in which that Interest Period is to end.</w:t>
            </w:r>
          </w:p>
          <w:p w14:paraId="50797537" w14:textId="5268EAF4" w:rsidR="003B5970" w:rsidRPr="00185707" w:rsidRDefault="003B5970" w:rsidP="00DC3A5F">
            <w:pPr>
              <w:pStyle w:val="Tablealpha"/>
            </w:pPr>
            <w:r w:rsidRPr="00185707">
              <w:t xml:space="preserve">If an Interest Period would otherwise end on a day </w:t>
            </w:r>
            <w:r w:rsidRPr="00185707">
              <w:lastRenderedPageBreak/>
              <w:t>which is not a Business Day, that Interest Period will instead end on the next Business Day in that calendar month (if there is one) or the preceding Business Day (if there is not).”</w:t>
            </w:r>
          </w:p>
          <w:p w14:paraId="5E92A40F" w14:textId="77777777" w:rsidR="003B5970" w:rsidRPr="00185707" w:rsidRDefault="003B5970" w:rsidP="00D71944">
            <w:pPr>
              <w:pStyle w:val="CellBody"/>
            </w:pPr>
            <w:r w:rsidRPr="00185707">
              <w:t>Clause 28.7 (</w:t>
            </w:r>
            <w:r w:rsidRPr="00185707">
              <w:rPr>
                <w:i/>
                <w:iCs/>
              </w:rPr>
              <w:t>Business Days</w:t>
            </w:r>
            <w:r w:rsidRPr="00185707">
              <w:t>) states that:</w:t>
            </w:r>
          </w:p>
          <w:p w14:paraId="3AACAE90" w14:textId="61F1BA51" w:rsidR="003B5970" w:rsidRPr="00185707" w:rsidRDefault="003B5970" w:rsidP="00D71944">
            <w:pPr>
              <w:pStyle w:val="Tablealpha"/>
              <w:numPr>
                <w:ilvl w:val="0"/>
                <w:numId w:val="70"/>
              </w:numPr>
            </w:pPr>
            <w:r w:rsidRPr="00185707">
              <w:t xml:space="preserve">“Any payment under the Finance Documents which is due to be made on a day that is not a Business Day shall be made on the next Business Day in the same calendar month (if there is one) or the preceding Business Day (if there is not). </w:t>
            </w:r>
          </w:p>
          <w:p w14:paraId="0DB19F5C" w14:textId="0E8B4999" w:rsidR="003B5970" w:rsidRPr="00185707" w:rsidRDefault="003B5970" w:rsidP="00CC19E9">
            <w:pPr>
              <w:pStyle w:val="Tablealpha"/>
            </w:pPr>
            <w:r w:rsidRPr="00185707">
              <w:t xml:space="preserve">During any extension of the due date for payment of any principal or Unpaid Sum under this Agreement interest is payable on the </w:t>
            </w:r>
            <w:r w:rsidRPr="00185707">
              <w:lastRenderedPageBreak/>
              <w:t>principal or Unpaid Sum at the rate payable on the original due date.”</w:t>
            </w:r>
          </w:p>
        </w:tc>
        <w:tc>
          <w:tcPr>
            <w:tcW w:w="3063" w:type="dxa"/>
          </w:tcPr>
          <w:p w14:paraId="723B461D" w14:textId="77777777" w:rsidR="003B5970" w:rsidRPr="00185707" w:rsidRDefault="003B5970" w:rsidP="002B0670">
            <w:pPr>
              <w:pStyle w:val="CellBody"/>
              <w:rPr>
                <w:rFonts w:eastAsia="Meiryo UI"/>
                <w:iCs/>
                <w:lang w:eastAsia="ja-JP"/>
              </w:rPr>
            </w:pPr>
            <w:r w:rsidRPr="00185707">
              <w:lastRenderedPageBreak/>
              <w:t xml:space="preserve">The default position under the </w:t>
            </w:r>
            <w:r w:rsidRPr="00185707">
              <w:rPr>
                <w:rFonts w:eastAsia="Meiryo UI"/>
                <w:lang w:eastAsia="ja-JP"/>
              </w:rPr>
              <w:t xml:space="preserve">2021 ISDA Interest Rate Derivatives Definitions is that the Modified Following Business Day Convention will apply. However, the LMA Lookback </w:t>
            </w:r>
            <w:proofErr w:type="gramStart"/>
            <w:r w:rsidRPr="00185707">
              <w:rPr>
                <w:rFonts w:eastAsia="Meiryo UI"/>
                <w:lang w:eastAsia="ja-JP"/>
              </w:rPr>
              <w:t>With</w:t>
            </w:r>
            <w:proofErr w:type="gramEnd"/>
            <w:r w:rsidRPr="00185707">
              <w:rPr>
                <w:rFonts w:eastAsia="Meiryo UI"/>
                <w:lang w:eastAsia="ja-JP"/>
              </w:rPr>
              <w:t xml:space="preserve"> Observation Shift FA applies an ‘end-end’ convention that is similar to the FRN Convention in Section 3.1.13 (</w:t>
            </w:r>
            <w:r w:rsidRPr="00185707">
              <w:rPr>
                <w:rFonts w:eastAsia="Meiryo UI"/>
                <w:i/>
                <w:lang w:eastAsia="ja-JP"/>
              </w:rPr>
              <w:t>Application of FRN Convention</w:t>
            </w:r>
            <w:r w:rsidRPr="00185707">
              <w:rPr>
                <w:rFonts w:eastAsia="Meiryo UI"/>
                <w:lang w:eastAsia="ja-JP"/>
              </w:rPr>
              <w:t xml:space="preserve">) of the 2021 ISDA Interest Rate Derivatives Definitions. Parties should </w:t>
            </w:r>
            <w:r w:rsidRPr="00185707">
              <w:rPr>
                <w:rFonts w:eastAsia="Meiryo UI"/>
                <w:lang w:eastAsia="ja-JP"/>
              </w:rPr>
              <w:lastRenderedPageBreak/>
              <w:t xml:space="preserve">therefore consider applying the FRN Convention in the Confirmation. </w:t>
            </w:r>
            <w:r w:rsidRPr="00185707">
              <w:t>Parties should also consider disapplying the provisions in the 2021 Interest Rate Derivatives Definitions setting out the consequences of an Unscheduled Holiday.</w:t>
            </w:r>
          </w:p>
          <w:p w14:paraId="66FDC17E" w14:textId="77777777" w:rsidR="003B5970" w:rsidRPr="00185707" w:rsidRDefault="003B5970" w:rsidP="002B0670">
            <w:pPr>
              <w:pStyle w:val="CellBody"/>
            </w:pPr>
          </w:p>
        </w:tc>
      </w:tr>
    </w:tbl>
    <w:p w14:paraId="0865E76B" w14:textId="77777777" w:rsidR="003B5970" w:rsidRPr="00B20A88" w:rsidRDefault="003B5970" w:rsidP="002111DC">
      <w:pPr>
        <w:pStyle w:val="Body"/>
      </w:pPr>
    </w:p>
    <w:sectPr w:rsidR="003B5970" w:rsidRPr="00B20A88" w:rsidSect="007E785C">
      <w:pgSz w:w="16839" w:h="11907" w:orient="landscape" w:code="9"/>
      <w:pgMar w:top="1588" w:right="1701" w:bottom="1588" w:left="1304" w:header="765" w:footer="4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CB29D" w14:textId="77777777" w:rsidR="003B5970" w:rsidRDefault="003B5970" w:rsidP="003B5970">
      <w:pPr>
        <w:spacing w:after="0" w:line="240" w:lineRule="auto"/>
      </w:pPr>
      <w:r>
        <w:separator/>
      </w:r>
    </w:p>
  </w:endnote>
  <w:endnote w:type="continuationSeparator" w:id="0">
    <w:p w14:paraId="1AEA235C" w14:textId="77777777" w:rsidR="003B5970" w:rsidRDefault="003B5970" w:rsidP="003B5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Meiryo UI">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12CDA" w14:textId="77777777" w:rsidR="00C65BF9" w:rsidRDefault="00C65B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5970" w:rsidP="007D1E0B" w:rsidRDefault="00D04307" w14:paraId="10E3910F" w14:textId="5743BBA1">
    <w:pPr>
      <w:pStyle w:val="DocExCode"/>
    </w:pPr>
    <w:r>
      <w:fldChar w:fldCharType="begin"/>
    </w:r>
    <w:r>
      <w:instrText xml:space="preserve"> DOCPROPERTY "Document number"  \* MERGEFORMAT </w:instrText>
    </w:r>
    <w:r>
      <w:fldChar w:fldCharType="separate"/>
    </w:r>
    <w:r w:rsidR="008F362D">
      <w:t>A46322509</w:t>
    </w:r>
    <w:r>
      <w:fldChar w:fldCharType="end"/>
    </w:r>
    <w:r w:rsidR="003B5970">
      <w:t>/</w:t>
    </w:r>
    <w:r>
      <w:fldChar w:fldCharType="begin"/>
    </w:r>
    <w:r>
      <w:instrText xml:space="preserve"> DOCPROPERTY "Version"  \* MERGEFORMAT </w:instrText>
    </w:r>
    <w:r>
      <w:fldChar w:fldCharType="separate"/>
    </w:r>
    <w:r w:rsidR="008F362D">
      <w:t>9.0</w:t>
    </w:r>
    <w:r>
      <w:fldChar w:fldCharType="end"/>
    </w:r>
    <w:r w:rsidR="003B5970">
      <w:t>/</w:t>
    </w:r>
    <w:r>
      <w:fldChar w:fldCharType="begin"/>
    </w:r>
    <w:r>
      <w:instrText xml:space="preserve"> DOCPROPERTY "Last Modified"  \* MERGEFORMAT </w:instrText>
    </w:r>
    <w:r>
      <w:fldChar w:fldCharType="separate"/>
    </w:r>
    <w:r w:rsidR="008F362D">
      <w:t>29 Nov 2021</w:t>
    </w:r>
    <w:r>
      <w:fldChar w:fldCharType="end"/>
    </w:r>
  </w:p>
  <w:p w:rsidR="003B5970" w:rsidP="007D1E0B" w:rsidRDefault="003B5970" w14:paraId="0540B1E9" w14:textId="77777777">
    <w:pPr>
      <w:pStyle w:val="DocExCode"/>
      <w:jc w:val="center"/>
    </w:pPr>
    <w:r>
      <w:rPr>
        <w:rStyle w:val="PageNumber"/>
        <w:kern w:val="17"/>
      </w:rPr>
      <w:fldChar w:fldCharType="begin"/>
    </w:r>
    <w:r>
      <w:rPr>
        <w:rStyle w:val="PageNumber"/>
        <w:kern w:val="17"/>
      </w:rPr>
      <w:instrText xml:space="preserve"> PAGE </w:instrText>
    </w:r>
    <w:r>
      <w:rPr>
        <w:rStyle w:val="PageNumber"/>
        <w:kern w:val="17"/>
      </w:rPr>
      <w:fldChar w:fldCharType="separate"/>
    </w:r>
    <w:r>
      <w:rPr>
        <w:rStyle w:val="PageNumber"/>
        <w:kern w:val="17"/>
      </w:rPr>
      <w:t>1</w:t>
    </w:r>
    <w:r>
      <w:rPr>
        <w:rStyle w:val="PageNumber"/>
        <w:kern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7534D" w14:textId="77777777" w:rsidR="00C65BF9" w:rsidRDefault="00C65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2F56A0" w14:textId="77777777" w:rsidR="003B5970" w:rsidRDefault="003B5970" w:rsidP="003B5970">
      <w:pPr>
        <w:spacing w:after="0" w:line="240" w:lineRule="auto"/>
      </w:pPr>
      <w:r>
        <w:separator/>
      </w:r>
    </w:p>
  </w:footnote>
  <w:footnote w:type="continuationSeparator" w:id="0">
    <w:p w14:paraId="3789414C" w14:textId="77777777" w:rsidR="003B5970" w:rsidRDefault="003B5970" w:rsidP="003B5970">
      <w:pPr>
        <w:spacing w:after="0" w:line="240" w:lineRule="auto"/>
      </w:pPr>
      <w:r>
        <w:continuationSeparator/>
      </w:r>
    </w:p>
  </w:footnote>
  <w:footnote w:id="1">
    <w:p w14:paraId="5F940BCA" w14:textId="2FC30D0D" w:rsidR="003B5970" w:rsidRPr="0085778E" w:rsidRDefault="003B5970" w:rsidP="00BD46CC">
      <w:pPr>
        <w:pStyle w:val="FootnoteText"/>
      </w:pPr>
      <w:r w:rsidRPr="0085778E">
        <w:rPr>
          <w:rStyle w:val="FootnoteReference"/>
        </w:rPr>
        <w:footnoteRef/>
      </w:r>
      <w:r>
        <w:tab/>
        <w:t>Annotated form of</w:t>
      </w:r>
      <w:bookmarkStart w:id="4" w:name="_Hlk86684045"/>
      <w:r w:rsidR="004551A4">
        <w:t xml:space="preserve"> </w:t>
      </w:r>
      <w:r w:rsidRPr="0085778E">
        <w:t xml:space="preserve">Exhibit </w:t>
      </w:r>
      <w:r>
        <w:t xml:space="preserve">II-L to </w:t>
      </w:r>
      <w:bookmarkStart w:id="5" w:name="_Hlk86684059"/>
      <w:bookmarkStart w:id="6" w:name="_Hlk86684011"/>
      <w:r>
        <w:t>2021 Definitions</w:t>
      </w:r>
      <w:bookmarkEnd w:id="4"/>
      <w:bookmarkEnd w:id="5"/>
      <w:bookmarkEnd w:id="6"/>
      <w:r w:rsidR="004551A4">
        <w:t xml:space="preserve"> </w:t>
      </w:r>
      <w:r w:rsidRPr="0085778E">
        <w:t xml:space="preserve">for use in interest rate swaps where the Floating Amount is calculated by reference to an Overnight Floating Rate Option applying Compounding with Observation Period Shift (as published in the </w:t>
      </w:r>
      <w:r>
        <w:t>2021 ISDA Interest Rate Derivatives Definitions</w:t>
      </w:r>
      <w:r w:rsidRPr="0085778E">
        <w:t>)</w:t>
      </w:r>
      <w:r w:rsidR="004551A4">
        <w:t xml:space="preserve"> </w:t>
      </w:r>
      <w:r w:rsidRPr="00104712">
        <w:t>hedging a loan documented in a facility agreement based on the LMA Single Currency Term and Revolving Facilities Agreement incorporating backward-looking compounded rates (lookback with observation shift)</w:t>
      </w:r>
      <w:r w:rsidR="004551A4">
        <w:t xml:space="preserve"> </w:t>
      </w:r>
      <w:r>
        <w:t>dated 28 May 2021</w:t>
      </w:r>
      <w:r w:rsidR="004551A4">
        <w:t xml:space="preserve"> </w:t>
      </w:r>
      <w:r w:rsidRPr="00104712">
        <w:t>(“</w:t>
      </w:r>
      <w:r w:rsidRPr="00104712">
        <w:rPr>
          <w:b/>
          <w:bCs/>
        </w:rPr>
        <w:t>LMA Lookback With Observation Shift FA</w:t>
      </w:r>
      <w:r w:rsidRPr="00104712">
        <w:t>”).</w:t>
      </w:r>
    </w:p>
  </w:footnote>
  <w:footnote w:id="2">
    <w:p w14:paraId="4D9540FD" w14:textId="77777777" w:rsidR="003B5970" w:rsidRDefault="003B5970" w:rsidP="00C30609">
      <w:pPr>
        <w:pStyle w:val="FootnoteText"/>
      </w:pPr>
      <w:r>
        <w:rPr>
          <w:rStyle w:val="FootnoteReference"/>
        </w:rPr>
        <w:footnoteRef/>
      </w:r>
      <w:r>
        <w:tab/>
        <w:t xml:space="preserve">Optional field. </w:t>
      </w:r>
    </w:p>
  </w:footnote>
  <w:footnote w:id="3">
    <w:p w14:paraId="71EB065E" w14:textId="77777777" w:rsidR="003B5970" w:rsidRDefault="003B5970" w:rsidP="00C30609">
      <w:pPr>
        <w:pStyle w:val="FootnoteText"/>
      </w:pPr>
      <w:r>
        <w:rPr>
          <w:rStyle w:val="FootnoteReference"/>
        </w:rPr>
        <w:footnoteRef/>
      </w:r>
      <w:r>
        <w:tab/>
        <w:t xml:space="preserve">Optional field. </w:t>
      </w:r>
    </w:p>
  </w:footnote>
  <w:footnote w:id="4">
    <w:p w14:paraId="606049E5" w14:textId="68D873CD" w:rsidR="003B5970" w:rsidRDefault="003B5970" w:rsidP="00C30609">
      <w:pPr>
        <w:pStyle w:val="FootnoteText"/>
      </w:pPr>
      <w:r>
        <w:rPr>
          <w:rStyle w:val="FootnoteReference"/>
        </w:rPr>
        <w:footnoteRef/>
      </w:r>
      <w:r>
        <w:tab/>
        <w:t xml:space="preserve">Parties need not include this field unless they wish for the “Consequences of an Unscheduled Holiday” provision to apply to Period End Dates and the Termination Date. </w:t>
      </w:r>
      <w:r w:rsidRPr="00A34055">
        <w:t>The election provided in this field is not relevant for the purposes of determining a Payment Date. The “Consequences of an Unscheduled Holiday” provision set out in Section 2.3.6</w:t>
      </w:r>
      <w:r w:rsidR="004551A4">
        <w:t xml:space="preserve"> </w:t>
      </w:r>
      <w:r>
        <w:t>(</w:t>
      </w:r>
      <w:r>
        <w:rPr>
          <w:i/>
          <w:iCs/>
        </w:rPr>
        <w:t>Consequences of an Unscheduled Holiday</w:t>
      </w:r>
      <w:r>
        <w:t>)</w:t>
      </w:r>
      <w:r w:rsidRPr="00A34055">
        <w:t xml:space="preserve"> of the </w:t>
      </w:r>
      <w:r>
        <w:t>2021 ISDA Interest Rate Derivatives Definitions (“</w:t>
      </w:r>
      <w:r w:rsidRPr="00B014A0">
        <w:rPr>
          <w:b/>
          <w:bCs/>
        </w:rPr>
        <w:t>2021 Definitions</w:t>
      </w:r>
      <w:r>
        <w:t>”)</w:t>
      </w:r>
      <w:r w:rsidRPr="00A34055">
        <w:t xml:space="preserve"> apply to Payment Dates regardless of the election here.</w:t>
      </w:r>
      <w:r>
        <w:t xml:space="preserve"> </w:t>
      </w:r>
    </w:p>
  </w:footnote>
  <w:footnote w:id="5">
    <w:p w14:paraId="68FFB8DF" w14:textId="77777777" w:rsidR="003B5970" w:rsidRDefault="003B5970" w:rsidP="00C30609">
      <w:pPr>
        <w:pStyle w:val="FootnoteText"/>
      </w:pPr>
      <w:r>
        <w:rPr>
          <w:rStyle w:val="FootnoteReference"/>
        </w:rPr>
        <w:footnoteRef/>
      </w:r>
      <w:r>
        <w:tab/>
      </w:r>
      <w:r w:rsidRPr="00E26293">
        <w:t>If the Calculation Agent is a third party, the parties may wish to consider any documentation necessary to confirm its undertaking to act in that capacity.</w:t>
      </w:r>
    </w:p>
  </w:footnote>
  <w:footnote w:id="6">
    <w:p w14:paraId="35642552" w14:textId="52DF75A2" w:rsidR="003B5970" w:rsidRDefault="003B5970" w:rsidP="00C30609">
      <w:pPr>
        <w:pStyle w:val="FootnoteText"/>
      </w:pPr>
      <w:r>
        <w:rPr>
          <w:rStyle w:val="FootnoteReference"/>
        </w:rPr>
        <w:footnoteRef/>
      </w:r>
      <w:r>
        <w:tab/>
      </w:r>
      <w:r w:rsidRPr="00A34055">
        <w:t>This field is relevant for the purposes of Calculation Agent determinations (see Section 1.2.4(i)(b)</w:t>
      </w:r>
      <w:r w:rsidR="004551A4">
        <w:t xml:space="preserve"> </w:t>
      </w:r>
      <w:r>
        <w:t>(</w:t>
      </w:r>
      <w:r>
        <w:rPr>
          <w:i/>
          <w:iCs/>
        </w:rPr>
        <w:t>Determinations by Calculation Agent</w:t>
      </w:r>
      <w:r>
        <w:t>)</w:t>
      </w:r>
      <w:r w:rsidRPr="00A34055">
        <w:t xml:space="preserve"> of the 2021 Definitions and the related definition of Calculation Date in Section </w:t>
      </w:r>
      <w:r>
        <w:t>1.2.5 (</w:t>
      </w:r>
      <w:r>
        <w:rPr>
          <w:i/>
          <w:iCs/>
        </w:rPr>
        <w:t>Calculation Date</w:t>
      </w:r>
      <w:r>
        <w:t>)</w:t>
      </w:r>
      <w:r w:rsidRPr="00A34055">
        <w:t xml:space="preserve">) and if either Generic Fallbacks Provisions apply (see Section </w:t>
      </w:r>
      <w:r>
        <w:t>8.6 (</w:t>
      </w:r>
      <w:r>
        <w:rPr>
          <w:i/>
          <w:iCs/>
        </w:rPr>
        <w:t>Generic Fallback Provisions</w:t>
      </w:r>
      <w:r>
        <w:t>)</w:t>
      </w:r>
      <w:r w:rsidRPr="00A34055">
        <w:t xml:space="preserve">) or Cash Settlement provisions apply (see Section </w:t>
      </w:r>
      <w:r>
        <w:t>18 (</w:t>
      </w:r>
      <w:r>
        <w:rPr>
          <w:i/>
          <w:iCs/>
        </w:rPr>
        <w:t>Cash Settlement</w:t>
      </w:r>
      <w:r>
        <w:t>)</w:t>
      </w:r>
      <w:r w:rsidRPr="00A34055">
        <w:t>) and parties wish to amend the default time for the Notification Deadline set out in Section 1</w:t>
      </w:r>
      <w:r>
        <w:t>.5.2 (</w:t>
      </w:r>
      <w:r>
        <w:rPr>
          <w:i/>
          <w:iCs/>
        </w:rPr>
        <w:t>Notification Deadline</w:t>
      </w:r>
      <w:r>
        <w:t>)</w:t>
      </w:r>
      <w:r w:rsidRPr="00A34055">
        <w:t>.</w:t>
      </w:r>
    </w:p>
  </w:footnote>
  <w:footnote w:id="7">
    <w:p w14:paraId="5DF87A40" w14:textId="77777777" w:rsidR="003B5970" w:rsidRPr="00BB25C2" w:rsidRDefault="003B5970" w:rsidP="00C30609">
      <w:pPr>
        <w:pStyle w:val="FootnoteText"/>
      </w:pPr>
      <w:r>
        <w:rPr>
          <w:rStyle w:val="FootnoteReference"/>
        </w:rPr>
        <w:footnoteRef/>
      </w:r>
      <w:r>
        <w:tab/>
        <w:t xml:space="preserve">Delete Fixed Amount or Fixed Rate as applicable. </w:t>
      </w:r>
    </w:p>
  </w:footnote>
  <w:footnote w:id="8">
    <w:p w14:paraId="2076E3AF" w14:textId="77777777" w:rsidR="003B5970" w:rsidRDefault="003B5970" w:rsidP="00C30609">
      <w:pPr>
        <w:pStyle w:val="FootnoteText"/>
      </w:pPr>
      <w:r>
        <w:rPr>
          <w:rStyle w:val="FootnoteReference"/>
        </w:rPr>
        <w:footnoteRef/>
      </w:r>
      <w:r>
        <w:tab/>
        <w:t>Include Fixed Rate Day Count Fraction if a Fixed Rate is being included rather than a Fixed Amount.</w:t>
      </w:r>
    </w:p>
  </w:footnote>
  <w:footnote w:id="9">
    <w:p w14:paraId="0C0982C6" w14:textId="77777777" w:rsidR="003B5970" w:rsidRDefault="003B5970" w:rsidP="00C30609">
      <w:pPr>
        <w:pStyle w:val="FootnoteText"/>
      </w:pPr>
      <w:r>
        <w:rPr>
          <w:rStyle w:val="FootnoteReference"/>
        </w:rPr>
        <w:footnoteRef/>
      </w:r>
      <w:r>
        <w:tab/>
        <w:t xml:space="preserve">“Fixed Negative Interest Rate Method” applies by default. Firms need only include this field if they wish to vary that position. </w:t>
      </w:r>
    </w:p>
  </w:footnote>
  <w:footnote w:id="10">
    <w:p w14:paraId="63EAA35E" w14:textId="77777777" w:rsidR="003B5970" w:rsidRDefault="003B5970" w:rsidP="00C30609">
      <w:pPr>
        <w:pStyle w:val="FootnoteText"/>
      </w:pPr>
      <w:r>
        <w:rPr>
          <w:rStyle w:val="FootnoteReference"/>
        </w:rPr>
        <w:footnoteRef/>
      </w:r>
      <w:r>
        <w:tab/>
        <w:t>Include the rounding convention if firms do not want to rely on the default position as set out in Section 4.8 (</w:t>
      </w:r>
      <w:r>
        <w:rPr>
          <w:i/>
          <w:iCs/>
        </w:rPr>
        <w:t>Rounding</w:t>
      </w:r>
      <w:r>
        <w:t>) of the 2021 Definitions</w:t>
      </w:r>
      <w:r w:rsidRPr="00D822D8">
        <w:t xml:space="preserve"> </w:t>
      </w:r>
      <w:r>
        <w:t xml:space="preserve">or as set out in the Currency/Business Day Matrix, as applicable. </w:t>
      </w:r>
    </w:p>
  </w:footnote>
  <w:footnote w:id="11">
    <w:p w14:paraId="3B8A4B41" w14:textId="52CA175B" w:rsidR="003B5970" w:rsidRDefault="003B5970" w:rsidP="00C30609">
      <w:pPr>
        <w:pStyle w:val="FootnoteText"/>
      </w:pPr>
      <w:r>
        <w:rPr>
          <w:rStyle w:val="FootnoteReference"/>
        </w:rPr>
        <w:footnoteRef/>
      </w:r>
      <w:r>
        <w:tab/>
      </w:r>
      <w:r w:rsidRPr="00B02481">
        <w:t xml:space="preserve">Unless </w:t>
      </w:r>
      <w:r>
        <w:t>“</w:t>
      </w:r>
      <w:r w:rsidRPr="00B02481">
        <w:t>Delayed Payment</w:t>
      </w:r>
      <w:r>
        <w:t>”</w:t>
      </w:r>
      <w:r w:rsidR="004551A4">
        <w:t xml:space="preserve"> </w:t>
      </w:r>
      <w:r w:rsidRPr="00B02481">
        <w:t xml:space="preserve">or </w:t>
      </w:r>
      <w:r>
        <w:t>“</w:t>
      </w:r>
      <w:r w:rsidRPr="00B02481">
        <w:t>Early Payment</w:t>
      </w:r>
      <w:r>
        <w:t>”</w:t>
      </w:r>
      <w:r w:rsidR="004551A4">
        <w:t xml:space="preserve"> </w:t>
      </w:r>
      <w:r w:rsidRPr="00B02481">
        <w:t>applies, parties must specify the Payment Dates; there is no default position for Payment Dates.</w:t>
      </w:r>
    </w:p>
  </w:footnote>
  <w:footnote w:id="12">
    <w:p w14:paraId="4375CAFD" w14:textId="77777777" w:rsidR="003B5970" w:rsidRPr="005B2CAF" w:rsidRDefault="003B5970" w:rsidP="00C30609">
      <w:pPr>
        <w:pStyle w:val="FootnoteText"/>
      </w:pPr>
      <w:r>
        <w:rPr>
          <w:rStyle w:val="FootnoteReference"/>
        </w:rPr>
        <w:footnoteRef/>
      </w:r>
      <w:r>
        <w:tab/>
        <w:t xml:space="preserve">If the Floating Rate Option is included in the Floating Rate Matrix and a Floating Rate Day Count Fraction is specified in the Floating Rate Matrix, it is not necessary to include this field unless parties want to use a different Floating Rate Day Count Fraction. </w:t>
      </w:r>
    </w:p>
  </w:footnote>
  <w:footnote w:id="13">
    <w:p w14:paraId="18F9259A" w14:textId="41196A7E" w:rsidR="003B5970" w:rsidRDefault="003B5970" w:rsidP="00C30609">
      <w:pPr>
        <w:pStyle w:val="FootnoteText"/>
      </w:pPr>
      <w:r>
        <w:rPr>
          <w:rStyle w:val="FootnoteReference"/>
        </w:rPr>
        <w:footnoteRef/>
      </w:r>
      <w:r>
        <w:tab/>
        <w:t>Exclude the b</w:t>
      </w:r>
      <w:r w:rsidRPr="00E329FA">
        <w:t xml:space="preserve">racketed language if Reset Dates are to be adjusted in accordance with the Business Day Convention applicable to </w:t>
      </w:r>
      <w:r>
        <w:t>Period End</w:t>
      </w:r>
      <w:r w:rsidR="004551A4">
        <w:t xml:space="preserve"> </w:t>
      </w:r>
      <w:r w:rsidRPr="00E329FA">
        <w:t>Dates.</w:t>
      </w:r>
      <w:r w:rsidR="004551A4">
        <w:t xml:space="preserve"> </w:t>
      </w:r>
      <w:r>
        <w:t xml:space="preserve">If the No Adjustment Business Day Convention applies to Period End Dates, Reset Dates will be subject to the Modified Following Business Day Convention, unless a different Business Day Convention is specified here. </w:t>
      </w:r>
    </w:p>
  </w:footnote>
  <w:footnote w:id="14">
    <w:p w14:paraId="292448AF" w14:textId="77777777" w:rsidR="003B5970" w:rsidRDefault="003B5970" w:rsidP="00C30609">
      <w:pPr>
        <w:pStyle w:val="FootnoteText"/>
      </w:pPr>
      <w:r>
        <w:rPr>
          <w:rStyle w:val="FootnoteReference"/>
        </w:rPr>
        <w:footnoteRef/>
      </w:r>
      <w:r>
        <w:tab/>
        <w:t>Include the rounding convention if firms do not want to rely on the default position for the Floating Rate Option in the Compounding/Averaging Matrix or as set out in Section 4.8 (</w:t>
      </w:r>
      <w:r>
        <w:rPr>
          <w:i/>
          <w:iCs/>
        </w:rPr>
        <w:t>Rounding</w:t>
      </w:r>
      <w:r>
        <w:t>) of the 2021 Definitions</w:t>
      </w:r>
      <w:r w:rsidRPr="00D822D8">
        <w:t xml:space="preserve"> </w:t>
      </w:r>
      <w:r>
        <w:t xml:space="preserve">if the relevant Floating Rate Option is not included in the Compounding/Averaging Matrix. </w:t>
      </w:r>
    </w:p>
  </w:footnote>
  <w:footnote w:id="15">
    <w:p w14:paraId="70051CD7" w14:textId="77777777" w:rsidR="003B5970" w:rsidRDefault="003B5970" w:rsidP="00C30609">
      <w:pPr>
        <w:pStyle w:val="FootnoteText"/>
      </w:pPr>
      <w:r>
        <w:rPr>
          <w:rStyle w:val="FootnoteReference"/>
        </w:rPr>
        <w:footnoteRef/>
      </w:r>
      <w:r>
        <w:tab/>
        <w:t>“Floating Negative Interest Rate Method” applies by default. Firms need only include this field if they wish to vary that position or to apply either the “Zero Interest Rate Method” or the “Zero Interest Rate Method Excluding Spread”.</w:t>
      </w:r>
    </w:p>
  </w:footnote>
  <w:footnote w:id="16">
    <w:p w14:paraId="0F3057F3" w14:textId="4154625B" w:rsidR="003B5970" w:rsidRPr="0085778E" w:rsidRDefault="003B5970" w:rsidP="00C30609">
      <w:pPr>
        <w:pStyle w:val="FootnoteText"/>
      </w:pPr>
      <w:r>
        <w:rPr>
          <w:rStyle w:val="FootnoteReference"/>
        </w:rPr>
        <w:footnoteRef/>
      </w:r>
      <w:r>
        <w:tab/>
      </w:r>
      <w:r w:rsidR="004551A4" w:rsidRPr="00501239">
        <w:rPr>
          <w:bCs/>
        </w:rPr>
        <w:t xml:space="preserve">This </w:t>
      </w:r>
      <w:r w:rsidR="004551A4">
        <w:rPr>
          <w:bCs/>
        </w:rPr>
        <w:t>field and the following two fields relate to Compounding with Observation Period Shift or Averaging with Observation Period Shift</w:t>
      </w:r>
      <w:r w:rsidR="004551A4" w:rsidRPr="00501239">
        <w:rPr>
          <w:bCs/>
        </w:rPr>
        <w:t>.</w:t>
      </w:r>
    </w:p>
  </w:footnote>
  <w:footnote w:id="17">
    <w:p w14:paraId="4CAAB1DC" w14:textId="77777777" w:rsidR="003B5970" w:rsidRPr="00501239" w:rsidRDefault="003B5970" w:rsidP="00C30609">
      <w:pPr>
        <w:pStyle w:val="FootnoteText"/>
      </w:pPr>
      <w:r w:rsidRPr="00501239">
        <w:rPr>
          <w:rStyle w:val="FootnoteReference"/>
        </w:rPr>
        <w:footnoteRef/>
      </w:r>
      <w:r>
        <w:tab/>
      </w:r>
      <w:r w:rsidRPr="00501239">
        <w:rPr>
          <w:bCs/>
        </w:rPr>
        <w:t>This is an optional field, allowing parties to specify the number of Observation Period Shift Business Days</w:t>
      </w:r>
      <w:r>
        <w:rPr>
          <w:bCs/>
        </w:rPr>
        <w:t>’</w:t>
      </w:r>
      <w:r w:rsidRPr="00501239">
        <w:rPr>
          <w:bCs/>
        </w:rPr>
        <w:t xml:space="preserve"> shift being applied. If </w:t>
      </w:r>
      <w:r>
        <w:rPr>
          <w:bCs/>
        </w:rPr>
        <w:t>nothing</w:t>
      </w:r>
      <w:r w:rsidRPr="00501239">
        <w:rPr>
          <w:bCs/>
        </w:rPr>
        <w:t xml:space="preserve"> </w:t>
      </w:r>
      <w:r>
        <w:rPr>
          <w:bCs/>
        </w:rPr>
        <w:t>is</w:t>
      </w:r>
      <w:r w:rsidRPr="00501239">
        <w:rPr>
          <w:bCs/>
        </w:rPr>
        <w:t xml:space="preserve"> specified</w:t>
      </w:r>
      <w:r>
        <w:rPr>
          <w:bCs/>
        </w:rPr>
        <w:t xml:space="preserve"> here</w:t>
      </w:r>
      <w:r w:rsidRPr="00501239">
        <w:rPr>
          <w:bCs/>
        </w:rPr>
        <w:t xml:space="preserve">, </w:t>
      </w:r>
      <w:r w:rsidRPr="00F01EEE">
        <w:rPr>
          <w:bCs/>
        </w:rPr>
        <w:t xml:space="preserve">the number specified as the “Observation Period Shift” for the </w:t>
      </w:r>
      <w:r>
        <w:rPr>
          <w:bCs/>
        </w:rPr>
        <w:t>R</w:t>
      </w:r>
      <w:r w:rsidRPr="00F01EEE">
        <w:rPr>
          <w:bCs/>
        </w:rPr>
        <w:t xml:space="preserve">elevant </w:t>
      </w:r>
      <w:r>
        <w:rPr>
          <w:bCs/>
        </w:rPr>
        <w:t xml:space="preserve">Overnight </w:t>
      </w:r>
      <w:r w:rsidRPr="00F01EEE">
        <w:rPr>
          <w:bCs/>
        </w:rPr>
        <w:t xml:space="preserve">Floating Rate Option in the Compounding/Averaging Matrix </w:t>
      </w:r>
      <w:r>
        <w:rPr>
          <w:bCs/>
        </w:rPr>
        <w:t xml:space="preserve">shall apply </w:t>
      </w:r>
      <w:r w:rsidRPr="00F01EEE">
        <w:rPr>
          <w:bCs/>
        </w:rPr>
        <w:t xml:space="preserve">and, if no such number is specified in the Compounding/Averaging Matrix, </w:t>
      </w:r>
      <w:r w:rsidRPr="00501239">
        <w:rPr>
          <w:bCs/>
        </w:rPr>
        <w:t xml:space="preserve">the default position of five Observation Period </w:t>
      </w:r>
      <w:r>
        <w:rPr>
          <w:bCs/>
        </w:rPr>
        <w:t xml:space="preserve">Shift </w:t>
      </w:r>
      <w:r w:rsidRPr="00501239">
        <w:rPr>
          <w:bCs/>
        </w:rPr>
        <w:t>Business Days</w:t>
      </w:r>
      <w:r>
        <w:rPr>
          <w:bCs/>
        </w:rPr>
        <w:t>’</w:t>
      </w:r>
      <w:r w:rsidRPr="00501239">
        <w:rPr>
          <w:bCs/>
        </w:rPr>
        <w:t xml:space="preserve"> shift will apply. If Set-in-Advance is applicable and the rate is to be determined as at the Reset Date, the Observation Period Shift should be specified as zero. If the rate is to be determined as at </w:t>
      </w:r>
      <w:proofErr w:type="gramStart"/>
      <w:r w:rsidRPr="00501239">
        <w:rPr>
          <w:bCs/>
        </w:rPr>
        <w:t>a number of</w:t>
      </w:r>
      <w:proofErr w:type="gramEnd"/>
      <w:r w:rsidRPr="00501239">
        <w:rPr>
          <w:bCs/>
        </w:rPr>
        <w:t xml:space="preserve"> business days prior to the Reset Date, then the relevant number of business days should be specified here in addition to applying Set-in-Advance.</w:t>
      </w:r>
    </w:p>
  </w:footnote>
  <w:footnote w:id="18">
    <w:p w14:paraId="4B7621AF" w14:textId="77777777" w:rsidR="003B5970" w:rsidRPr="0085778E" w:rsidRDefault="003B5970" w:rsidP="00C30609">
      <w:pPr>
        <w:pStyle w:val="FootnoteText"/>
      </w:pPr>
      <w:r w:rsidRPr="00501239">
        <w:rPr>
          <w:rStyle w:val="FootnoteReference"/>
        </w:rPr>
        <w:footnoteRef/>
      </w:r>
      <w:r>
        <w:tab/>
      </w:r>
      <w:r w:rsidRPr="00501239">
        <w:rPr>
          <w:bCs/>
        </w:rPr>
        <w:t xml:space="preserve">This </w:t>
      </w:r>
      <w:r>
        <w:rPr>
          <w:bCs/>
        </w:rPr>
        <w:t>field and the related fields below can be applied when using an Overnight Rate Compounding Method or Overnight Rate Averaging Method</w:t>
      </w:r>
      <w:r w:rsidRPr="00501239">
        <w:rPr>
          <w:bCs/>
        </w:rPr>
        <w:t>.</w:t>
      </w:r>
      <w:r w:rsidRPr="00E36F51">
        <w:t xml:space="preserve"> </w:t>
      </w:r>
      <w:r>
        <w:t>This is an optional field and firms can delete this and the following two fields for the Daily Capped Rate and Daily Floored Rate if not applying a daily cap or daily floor to the overnight rate.</w:t>
      </w:r>
    </w:p>
  </w:footnote>
  <w:footnote w:id="19">
    <w:p w14:paraId="0DF70B79" w14:textId="77777777" w:rsidR="003B5970" w:rsidRDefault="003B5970" w:rsidP="00C30609">
      <w:pPr>
        <w:pStyle w:val="FootnoteText"/>
      </w:pPr>
      <w:r>
        <w:rPr>
          <w:rStyle w:val="FootnoteReference"/>
        </w:rPr>
        <w:footnoteRef/>
      </w:r>
      <w:r>
        <w:tab/>
        <w:t>The Day Count Basis will be the denominator of the Floating Rate Day Count Fraction if a Day Count Basis is not specified in the Confirmation. Firms need only include this field if they wish to vary that position.</w:t>
      </w:r>
    </w:p>
  </w:footnote>
  <w:footnote w:id="20">
    <w:p w14:paraId="597FCCB7" w14:textId="70E1DAA3" w:rsidR="003B5970" w:rsidRDefault="003B5970" w:rsidP="007E785C">
      <w:pPr>
        <w:pStyle w:val="FootnoteText"/>
      </w:pPr>
      <w:r>
        <w:rPr>
          <w:rStyle w:val="FootnoteReference"/>
        </w:rPr>
        <w:footnoteRef/>
      </w:r>
      <w:r>
        <w:tab/>
        <w:t>The LMA Commentary to the Multicurrency Term and Revolving Facilities Agreements Incorporating Rate Switch Provisions (March 2021, updated May 2021) states that “[t]</w:t>
      </w:r>
      <w:r w:rsidRPr="00CA3256">
        <w:t xml:space="preserve">he documents are drafted throughout on the basis of the established practice that the length of Interest Periods (and the extent to which days are </w:t>
      </w:r>
      <w:r>
        <w:t>“</w:t>
      </w:r>
      <w:r w:rsidRPr="00CA3256">
        <w:t>in</w:t>
      </w:r>
      <w:r>
        <w:t>”</w:t>
      </w:r>
      <w:r w:rsidR="00BD698B">
        <w:t xml:space="preserve"> </w:t>
      </w:r>
      <w:r w:rsidRPr="00CA3256">
        <w:t xml:space="preserve">or </w:t>
      </w:r>
      <w:r>
        <w:t>“</w:t>
      </w:r>
      <w:r w:rsidRPr="00CA3256">
        <w:t>during</w:t>
      </w:r>
      <w:r>
        <w:t>”</w:t>
      </w:r>
      <w:r w:rsidR="00BD698B">
        <w:t xml:space="preserve"> </w:t>
      </w:r>
      <w:r w:rsidRPr="00CA3256">
        <w:t>an Interest Period) is determined on an overnight basis and that, accordingly, an Interest Period beginning on 27 May and ending on 27 June will take account of 27 May but not 27 June</w:t>
      </w:r>
      <w:r>
        <w:t>…</w:t>
      </w:r>
      <w:r w:rsidRPr="00CA3256">
        <w:t>This is also the basis on which the references in</w:t>
      </w:r>
      <w:r>
        <w:t>…</w:t>
      </w:r>
      <w:r w:rsidRPr="00CA3256">
        <w:t xml:space="preserve">Schedule </w:t>
      </w:r>
      <w:r>
        <w:t>[15]</w:t>
      </w:r>
      <w:r w:rsidR="00C65BF9">
        <w:t xml:space="preserve"> </w:t>
      </w:r>
      <w:r w:rsidRPr="00CA3256">
        <w:t>(</w:t>
      </w:r>
      <w:r w:rsidRPr="00C65BF9">
        <w:rPr>
          <w:i/>
          <w:iCs/>
        </w:rPr>
        <w:t>Cumulative Compounded RFR Rate</w:t>
      </w:r>
      <w:r w:rsidRPr="00CA3256">
        <w:t>) to the number of days during an Interest Period and the extent to which a day is during an Interest Period would be construed.</w:t>
      </w:r>
      <w:r>
        <w:t xml:space="preserve">” (see “Duration of Interest Periods” on page 34). </w:t>
      </w:r>
    </w:p>
  </w:footnote>
  <w:footnote w:id="21">
    <w:p w14:paraId="16DD6552" w14:textId="77777777" w:rsidR="003B5970" w:rsidRDefault="003B5970" w:rsidP="007E785C">
      <w:pPr>
        <w:pStyle w:val="FootnoteText"/>
      </w:pPr>
      <w:r>
        <w:rPr>
          <w:rStyle w:val="FootnoteReference"/>
        </w:rPr>
        <w:footnoteRef/>
      </w:r>
      <w:r>
        <w:tab/>
        <w:t>Sterling and Hong Kong dollars follow a day count convention of 365 days.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347C8" w14:textId="77777777" w:rsidR="00C65BF9" w:rsidRDefault="00C65B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1D0D" w14:textId="77777777" w:rsidR="00C65BF9" w:rsidRDefault="00C65B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F6B6F" w14:textId="77777777" w:rsidR="00C65BF9" w:rsidRDefault="00C65B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BC813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ACCF2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F019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3C26E2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466D6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FAA86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6692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EE1F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DC34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8A81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B903C3"/>
    <w:multiLevelType w:val="multilevel"/>
    <w:tmpl w:val="BB16DBE8"/>
    <w:numStyleLink w:val="LLRecitals"/>
  </w:abstractNum>
  <w:abstractNum w:abstractNumId="11" w15:restartNumberingAfterBreak="0">
    <w:nsid w:val="03BC7754"/>
    <w:multiLevelType w:val="multilevel"/>
    <w:tmpl w:val="C054F7D8"/>
    <w:styleLink w:val="LLTablebullet"/>
    <w:lvl w:ilvl="0">
      <w:start w:val="1"/>
      <w:numFmt w:val="bullet"/>
      <w:pStyle w:val="Tablebullet"/>
      <w:lvlText w:val=""/>
      <w:lvlJc w:val="left"/>
      <w:pPr>
        <w:tabs>
          <w:tab w:val="num" w:pos="680"/>
        </w:tabs>
        <w:ind w:left="680" w:hanging="680"/>
      </w:pPr>
      <w:rPr>
        <w:rFonts w:ascii="Symbol" w:hAnsi="Symbol" w:cs="Times New Roman" w:hint="default"/>
        <w:color w:val="auto"/>
      </w:rPr>
    </w:lvl>
    <w:lvl w:ilvl="1">
      <w:start w:val="1"/>
      <w:numFmt w:val="none"/>
      <w:lvlText w:val=""/>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12" w15:restartNumberingAfterBreak="0">
    <w:nsid w:val="04585653"/>
    <w:multiLevelType w:val="multilevel"/>
    <w:tmpl w:val="70248C04"/>
    <w:numStyleLink w:val="LLSchedule"/>
  </w:abstractNum>
  <w:abstractNum w:abstractNumId="13" w15:restartNumberingAfterBreak="0">
    <w:nsid w:val="051076B7"/>
    <w:multiLevelType w:val="hybridMultilevel"/>
    <w:tmpl w:val="466AB0A8"/>
    <w:lvl w:ilvl="0" w:tplc="3EB053F2">
      <w:start w:val="1"/>
      <w:numFmt w:val="decimal"/>
      <w:pStyle w:val="Arabic2-1"/>
      <w:lvlText w:val="%1."/>
      <w:lvlJc w:val="left"/>
      <w:pPr>
        <w:tabs>
          <w:tab w:val="num" w:pos="992"/>
        </w:tabs>
        <w:ind w:left="992" w:hanging="567"/>
      </w:pPr>
      <w:rPr>
        <w:rFonts w:hint="default"/>
      </w:rPr>
    </w:lvl>
    <w:lvl w:ilvl="1" w:tplc="DEC01EA2" w:tentative="1">
      <w:start w:val="1"/>
      <w:numFmt w:val="lowerLetter"/>
      <w:lvlText w:val="%2."/>
      <w:lvlJc w:val="left"/>
      <w:pPr>
        <w:tabs>
          <w:tab w:val="num" w:pos="1440"/>
        </w:tabs>
        <w:ind w:left="1440" w:hanging="360"/>
      </w:pPr>
    </w:lvl>
    <w:lvl w:ilvl="2" w:tplc="9BC8D314" w:tentative="1">
      <w:start w:val="1"/>
      <w:numFmt w:val="lowerRoman"/>
      <w:lvlText w:val="%3."/>
      <w:lvlJc w:val="right"/>
      <w:pPr>
        <w:tabs>
          <w:tab w:val="num" w:pos="2160"/>
        </w:tabs>
        <w:ind w:left="2160" w:hanging="180"/>
      </w:pPr>
    </w:lvl>
    <w:lvl w:ilvl="3" w:tplc="405ED0C8" w:tentative="1">
      <w:start w:val="1"/>
      <w:numFmt w:val="decimal"/>
      <w:lvlText w:val="%4."/>
      <w:lvlJc w:val="left"/>
      <w:pPr>
        <w:tabs>
          <w:tab w:val="num" w:pos="2880"/>
        </w:tabs>
        <w:ind w:left="2880" w:hanging="360"/>
      </w:pPr>
    </w:lvl>
    <w:lvl w:ilvl="4" w:tplc="380EC05E" w:tentative="1">
      <w:start w:val="1"/>
      <w:numFmt w:val="lowerLetter"/>
      <w:lvlText w:val="%5."/>
      <w:lvlJc w:val="left"/>
      <w:pPr>
        <w:tabs>
          <w:tab w:val="num" w:pos="3600"/>
        </w:tabs>
        <w:ind w:left="3600" w:hanging="360"/>
      </w:pPr>
    </w:lvl>
    <w:lvl w:ilvl="5" w:tplc="6B9CD292" w:tentative="1">
      <w:start w:val="1"/>
      <w:numFmt w:val="lowerRoman"/>
      <w:lvlText w:val="%6."/>
      <w:lvlJc w:val="right"/>
      <w:pPr>
        <w:tabs>
          <w:tab w:val="num" w:pos="4320"/>
        </w:tabs>
        <w:ind w:left="4320" w:hanging="180"/>
      </w:pPr>
    </w:lvl>
    <w:lvl w:ilvl="6" w:tplc="E96A3482" w:tentative="1">
      <w:start w:val="1"/>
      <w:numFmt w:val="decimal"/>
      <w:lvlText w:val="%7."/>
      <w:lvlJc w:val="left"/>
      <w:pPr>
        <w:tabs>
          <w:tab w:val="num" w:pos="5040"/>
        </w:tabs>
        <w:ind w:left="5040" w:hanging="360"/>
      </w:pPr>
    </w:lvl>
    <w:lvl w:ilvl="7" w:tplc="DA8243F2" w:tentative="1">
      <w:start w:val="1"/>
      <w:numFmt w:val="lowerLetter"/>
      <w:lvlText w:val="%8."/>
      <w:lvlJc w:val="left"/>
      <w:pPr>
        <w:tabs>
          <w:tab w:val="num" w:pos="5760"/>
        </w:tabs>
        <w:ind w:left="5760" w:hanging="360"/>
      </w:pPr>
    </w:lvl>
    <w:lvl w:ilvl="8" w:tplc="0A9EB058" w:tentative="1">
      <w:start w:val="1"/>
      <w:numFmt w:val="lowerRoman"/>
      <w:lvlText w:val="%9."/>
      <w:lvlJc w:val="right"/>
      <w:pPr>
        <w:tabs>
          <w:tab w:val="num" w:pos="6480"/>
        </w:tabs>
        <w:ind w:left="6480" w:hanging="180"/>
      </w:pPr>
    </w:lvl>
  </w:abstractNum>
  <w:abstractNum w:abstractNumId="14" w15:restartNumberingAfterBreak="0">
    <w:nsid w:val="059E2F2A"/>
    <w:multiLevelType w:val="multilevel"/>
    <w:tmpl w:val="DF1CD8FE"/>
    <w:styleLink w:val="LLLevel"/>
    <w:lvl w:ilvl="0">
      <w:start w:val="1"/>
      <w:numFmt w:val="decimal"/>
      <w:pStyle w:val="Level1"/>
      <w:lvlText w:val="%1"/>
      <w:lvlJc w:val="left"/>
      <w:pPr>
        <w:tabs>
          <w:tab w:val="num" w:pos="680"/>
        </w:tabs>
        <w:ind w:left="680" w:hanging="680"/>
      </w:pPr>
      <w:rPr>
        <w:rFonts w:hAnsi="Arial" w:cs="Times New Roman"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sz w:val="20"/>
      </w:rPr>
    </w:lvl>
    <w:lvl w:ilvl="4">
      <w:start w:val="1"/>
      <w:numFmt w:val="lowerLetter"/>
      <w:pStyle w:val="Level5"/>
      <w:lvlText w:val="(%5)"/>
      <w:lvlJc w:val="left"/>
      <w:pPr>
        <w:tabs>
          <w:tab w:val="num" w:pos="2722"/>
        </w:tabs>
        <w:ind w:left="2722" w:hanging="681"/>
      </w:pPr>
      <w:rPr>
        <w:rFonts w:hint="default"/>
        <w:sz w:val="20"/>
      </w:rPr>
    </w:lvl>
    <w:lvl w:ilvl="5">
      <w:start w:val="1"/>
      <w:numFmt w:val="upperRoman"/>
      <w:pStyle w:val="Level6"/>
      <w:lvlText w:val="(%6)"/>
      <w:lvlJc w:val="left"/>
      <w:pPr>
        <w:tabs>
          <w:tab w:val="num" w:pos="3402"/>
        </w:tabs>
        <w:ind w:left="3402" w:hanging="680"/>
      </w:pPr>
      <w:rPr>
        <w:rFonts w:hint="default"/>
        <w:sz w:val="20"/>
      </w:rPr>
    </w:lvl>
    <w:lvl w:ilvl="6">
      <w:start w:val="1"/>
      <w:numFmt w:val="none"/>
      <w:pStyle w:val="Level7"/>
      <w:lvlText w:val=""/>
      <w:lvlJc w:val="left"/>
      <w:pPr>
        <w:tabs>
          <w:tab w:val="num" w:pos="3402"/>
        </w:tabs>
        <w:ind w:left="3402" w:hanging="680"/>
      </w:pPr>
      <w:rPr>
        <w:rFonts w:hint="default"/>
      </w:rPr>
    </w:lvl>
    <w:lvl w:ilvl="7">
      <w:start w:val="1"/>
      <w:numFmt w:val="none"/>
      <w:pStyle w:val="Level8"/>
      <w:lvlText w:val=""/>
      <w:lvlJc w:val="left"/>
      <w:pPr>
        <w:tabs>
          <w:tab w:val="num" w:pos="3402"/>
        </w:tabs>
        <w:ind w:left="3402" w:hanging="680"/>
      </w:pPr>
      <w:rPr>
        <w:rFonts w:hint="default"/>
      </w:rPr>
    </w:lvl>
    <w:lvl w:ilvl="8">
      <w:start w:val="1"/>
      <w:numFmt w:val="none"/>
      <w:pStyle w:val="Level9"/>
      <w:lvlText w:val=""/>
      <w:lvlJc w:val="left"/>
      <w:pPr>
        <w:tabs>
          <w:tab w:val="num" w:pos="3402"/>
        </w:tabs>
        <w:ind w:left="3402" w:hanging="680"/>
      </w:pPr>
      <w:rPr>
        <w:rFonts w:hint="default"/>
      </w:rPr>
    </w:lvl>
  </w:abstractNum>
  <w:abstractNum w:abstractNumId="15" w15:restartNumberingAfterBreak="0">
    <w:nsid w:val="08D03504"/>
    <w:multiLevelType w:val="multilevel"/>
    <w:tmpl w:val="45E60E26"/>
    <w:numStyleLink w:val="LLListNumbers"/>
  </w:abstractNum>
  <w:abstractNum w:abstractNumId="16" w15:restartNumberingAfterBreak="0">
    <w:nsid w:val="0B2668E4"/>
    <w:multiLevelType w:val="multilevel"/>
    <w:tmpl w:val="DF1CD8FE"/>
    <w:numStyleLink w:val="LLLevel"/>
  </w:abstractNum>
  <w:abstractNum w:abstractNumId="17" w15:restartNumberingAfterBreak="0">
    <w:nsid w:val="0BDB1481"/>
    <w:multiLevelType w:val="multilevel"/>
    <w:tmpl w:val="75BC11A0"/>
    <w:styleLink w:val="LLUCAlpha"/>
    <w:lvl w:ilvl="0">
      <w:start w:val="1"/>
      <w:numFmt w:val="upperLetter"/>
      <w:pStyle w:val="UCAlpha1"/>
      <w:lvlText w:val="(%1)"/>
      <w:lvlJc w:val="left"/>
      <w:pPr>
        <w:tabs>
          <w:tab w:val="num" w:pos="680"/>
        </w:tabs>
        <w:ind w:left="680" w:hanging="680"/>
      </w:pPr>
      <w:rPr>
        <w:rFonts w:hint="default"/>
        <w:b w:val="0"/>
        <w:i w:val="0"/>
      </w:rPr>
    </w:lvl>
    <w:lvl w:ilvl="1">
      <w:start w:val="1"/>
      <w:numFmt w:val="upperLetter"/>
      <w:pStyle w:val="UCAlpha2"/>
      <w:lvlText w:val="(%2)"/>
      <w:lvlJc w:val="left"/>
      <w:pPr>
        <w:tabs>
          <w:tab w:val="num" w:pos="1360"/>
        </w:tabs>
        <w:ind w:left="1360" w:hanging="680"/>
      </w:pPr>
      <w:rPr>
        <w:rFonts w:hint="default"/>
        <w:b w:val="0"/>
        <w:i w:val="0"/>
      </w:rPr>
    </w:lvl>
    <w:lvl w:ilvl="2">
      <w:start w:val="1"/>
      <w:numFmt w:val="upperLetter"/>
      <w:pStyle w:val="UCAlpha3"/>
      <w:lvlText w:val="(%3)"/>
      <w:lvlJc w:val="left"/>
      <w:pPr>
        <w:tabs>
          <w:tab w:val="num" w:pos="2040"/>
        </w:tabs>
        <w:ind w:left="2040" w:hanging="680"/>
      </w:pPr>
      <w:rPr>
        <w:rFonts w:hint="default"/>
        <w:b w:val="0"/>
        <w:i w:val="0"/>
      </w:rPr>
    </w:lvl>
    <w:lvl w:ilvl="3">
      <w:start w:val="1"/>
      <w:numFmt w:val="upperLetter"/>
      <w:pStyle w:val="UCAlpha4"/>
      <w:lvlText w:val="(%4)"/>
      <w:lvlJc w:val="left"/>
      <w:pPr>
        <w:tabs>
          <w:tab w:val="num" w:pos="2722"/>
        </w:tabs>
        <w:ind w:left="2722" w:hanging="682"/>
      </w:pPr>
      <w:rPr>
        <w:rFonts w:hint="default"/>
        <w:b w:val="0"/>
        <w:i w:val="0"/>
      </w:rPr>
    </w:lvl>
    <w:lvl w:ilvl="4">
      <w:start w:val="1"/>
      <w:numFmt w:val="upperLetter"/>
      <w:pStyle w:val="UCAlpha5"/>
      <w:lvlText w:val="(%5)"/>
      <w:lvlJc w:val="left"/>
      <w:pPr>
        <w:tabs>
          <w:tab w:val="num" w:pos="3402"/>
        </w:tabs>
        <w:ind w:left="3402" w:hanging="680"/>
      </w:pPr>
      <w:rPr>
        <w:rFonts w:hint="default"/>
        <w:b w:val="0"/>
        <w:i w:val="0"/>
      </w:rPr>
    </w:lvl>
    <w:lvl w:ilvl="5">
      <w:start w:val="1"/>
      <w:numFmt w:val="upperLetter"/>
      <w:pStyle w:val="UCAlpha6"/>
      <w:lvlText w:val="(%6)"/>
      <w:lvlJc w:val="left"/>
      <w:pPr>
        <w:tabs>
          <w:tab w:val="num" w:pos="4082"/>
        </w:tabs>
        <w:ind w:left="4082" w:hanging="680"/>
      </w:pPr>
      <w:rPr>
        <w:rFonts w:hint="default"/>
        <w:b w:val="0"/>
        <w:i w:val="0"/>
      </w:rPr>
    </w:lvl>
    <w:lvl w:ilvl="6">
      <w:start w:val="1"/>
      <w:numFmt w:val="none"/>
      <w:lvlText w:val=""/>
      <w:lvlJc w:val="left"/>
      <w:pPr>
        <w:ind w:left="4082" w:hanging="680"/>
      </w:pPr>
      <w:rPr>
        <w:rFonts w:hint="default"/>
      </w:rPr>
    </w:lvl>
    <w:lvl w:ilvl="7">
      <w:start w:val="1"/>
      <w:numFmt w:val="none"/>
      <w:lvlText w:val=""/>
      <w:lvlJc w:val="left"/>
      <w:pPr>
        <w:ind w:left="4082" w:hanging="680"/>
      </w:pPr>
      <w:rPr>
        <w:rFonts w:hint="default"/>
      </w:rPr>
    </w:lvl>
    <w:lvl w:ilvl="8">
      <w:start w:val="1"/>
      <w:numFmt w:val="none"/>
      <w:lvlText w:val=""/>
      <w:lvlJc w:val="left"/>
      <w:pPr>
        <w:ind w:left="4082" w:hanging="680"/>
      </w:pPr>
      <w:rPr>
        <w:rFonts w:hint="default"/>
      </w:rPr>
    </w:lvl>
  </w:abstractNum>
  <w:abstractNum w:abstractNumId="18" w15:restartNumberingAfterBreak="0">
    <w:nsid w:val="0C2776A1"/>
    <w:multiLevelType w:val="multilevel"/>
    <w:tmpl w:val="6B8A2852"/>
    <w:numStyleLink w:val="LLalpha"/>
  </w:abstractNum>
  <w:abstractNum w:abstractNumId="19" w15:restartNumberingAfterBreak="0">
    <w:nsid w:val="0CBB1AC4"/>
    <w:multiLevelType w:val="multilevel"/>
    <w:tmpl w:val="C3541724"/>
    <w:numStyleLink w:val="LLTC"/>
  </w:abstractNum>
  <w:abstractNum w:abstractNumId="20" w15:restartNumberingAfterBreak="0">
    <w:nsid w:val="0E260C0E"/>
    <w:multiLevelType w:val="multilevel"/>
    <w:tmpl w:val="C3541724"/>
    <w:styleLink w:val="LLTC"/>
    <w:lvl w:ilvl="0">
      <w:start w:val="1"/>
      <w:numFmt w:val="decimal"/>
      <w:pStyle w:val="TCLevel1"/>
      <w:lvlText w:val="%1"/>
      <w:lvlJc w:val="left"/>
      <w:pPr>
        <w:tabs>
          <w:tab w:val="num" w:pos="680"/>
        </w:tabs>
        <w:ind w:left="680" w:hanging="680"/>
      </w:pPr>
      <w:rPr>
        <w:rFonts w:hAnsi="Arial" w:cs="Times New Roman" w:hint="default"/>
        <w:b/>
        <w:i w:val="0"/>
      </w:rPr>
    </w:lvl>
    <w:lvl w:ilvl="1">
      <w:start w:val="1"/>
      <w:numFmt w:val="lowerLetter"/>
      <w:pStyle w:val="TCLevel2"/>
      <w:lvlText w:val="(%2)"/>
      <w:lvlJc w:val="left"/>
      <w:pPr>
        <w:tabs>
          <w:tab w:val="num" w:pos="1360"/>
        </w:tabs>
        <w:ind w:left="1360" w:hanging="680"/>
      </w:pPr>
      <w:rPr>
        <w:rFonts w:hint="default"/>
        <w:b/>
        <w:i w:val="0"/>
      </w:rPr>
    </w:lvl>
    <w:lvl w:ilvl="2">
      <w:start w:val="1"/>
      <w:numFmt w:val="lowerRoman"/>
      <w:pStyle w:val="TCLevel3"/>
      <w:lvlText w:val="(%3)"/>
      <w:lvlJc w:val="left"/>
      <w:pPr>
        <w:tabs>
          <w:tab w:val="num" w:pos="2040"/>
        </w:tabs>
        <w:ind w:left="2040" w:hanging="680"/>
      </w:pPr>
      <w:rPr>
        <w:rFonts w:hint="default"/>
      </w:rPr>
    </w:lvl>
    <w:lvl w:ilvl="3">
      <w:start w:val="1"/>
      <w:numFmt w:val="upperLetter"/>
      <w:pStyle w:val="TCLevel4"/>
      <w:lvlText w:val="(%4)"/>
      <w:lvlJc w:val="left"/>
      <w:pPr>
        <w:tabs>
          <w:tab w:val="num" w:pos="2720"/>
        </w:tabs>
        <w:ind w:left="2720" w:hanging="680"/>
      </w:pPr>
      <w:rPr>
        <w:rFonts w:hint="default"/>
        <w:b w:val="0"/>
        <w:i w:val="0"/>
      </w:rPr>
    </w:lvl>
    <w:lvl w:ilvl="4">
      <w:start w:val="1"/>
      <w:numFmt w:val="none"/>
      <w:lvlRestart w:val="0"/>
      <w:lvlText w:val=""/>
      <w:lvlJc w:val="left"/>
      <w:pPr>
        <w:ind w:left="2722" w:hanging="681"/>
      </w:pPr>
      <w:rPr>
        <w:rFonts w:hint="default"/>
      </w:rPr>
    </w:lvl>
    <w:lvl w:ilvl="5">
      <w:start w:val="1"/>
      <w:numFmt w:val="none"/>
      <w:lvlRestart w:val="0"/>
      <w:lvlText w:val=""/>
      <w:lvlJc w:val="left"/>
      <w:pPr>
        <w:ind w:left="2722" w:hanging="681"/>
      </w:pPr>
      <w:rPr>
        <w:rFonts w:hint="default"/>
      </w:rPr>
    </w:lvl>
    <w:lvl w:ilvl="6">
      <w:start w:val="1"/>
      <w:numFmt w:val="none"/>
      <w:lvlRestart w:val="0"/>
      <w:lvlText w:val=""/>
      <w:lvlJc w:val="left"/>
      <w:pPr>
        <w:ind w:left="2722" w:hanging="681"/>
      </w:pPr>
      <w:rPr>
        <w:rFonts w:hint="default"/>
      </w:rPr>
    </w:lvl>
    <w:lvl w:ilvl="7">
      <w:start w:val="1"/>
      <w:numFmt w:val="none"/>
      <w:lvlRestart w:val="0"/>
      <w:lvlText w:val=""/>
      <w:lvlJc w:val="left"/>
      <w:pPr>
        <w:ind w:left="2722" w:hanging="681"/>
      </w:pPr>
      <w:rPr>
        <w:rFonts w:hint="default"/>
      </w:rPr>
    </w:lvl>
    <w:lvl w:ilvl="8">
      <w:start w:val="1"/>
      <w:numFmt w:val="none"/>
      <w:lvlRestart w:val="0"/>
      <w:lvlText w:val=""/>
      <w:lvlJc w:val="left"/>
      <w:pPr>
        <w:ind w:left="2722" w:hanging="681"/>
      </w:pPr>
      <w:rPr>
        <w:rFonts w:hint="default"/>
      </w:rPr>
    </w:lvl>
  </w:abstractNum>
  <w:abstractNum w:abstractNumId="21" w15:restartNumberingAfterBreak="0">
    <w:nsid w:val="10095054"/>
    <w:multiLevelType w:val="multilevel"/>
    <w:tmpl w:val="E826A7F2"/>
    <w:lvl w:ilvl="0">
      <w:start w:val="1"/>
      <w:numFmt w:val="decimal"/>
      <w:pStyle w:val="Table1"/>
      <w:lvlText w:val="%1."/>
      <w:lvlJc w:val="left"/>
      <w:pPr>
        <w:tabs>
          <w:tab w:val="num" w:pos="680"/>
        </w:tabs>
        <w:ind w:left="680" w:hanging="680"/>
      </w:pPr>
      <w:rPr>
        <w:rFonts w:cs="Times New Roman" w:hint="default"/>
        <w:b w:val="0"/>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22" w15:restartNumberingAfterBreak="0">
    <w:nsid w:val="108730AE"/>
    <w:multiLevelType w:val="multilevel"/>
    <w:tmpl w:val="579ECC4A"/>
    <w:styleLink w:val="LLroman"/>
    <w:lvl w:ilvl="0">
      <w:start w:val="1"/>
      <w:numFmt w:val="lowerRoman"/>
      <w:pStyle w:val="roman1"/>
      <w:lvlText w:val="(%1)"/>
      <w:lvlJc w:val="left"/>
      <w:pPr>
        <w:tabs>
          <w:tab w:val="num" w:pos="680"/>
        </w:tabs>
        <w:ind w:left="680" w:hanging="680"/>
      </w:pPr>
      <w:rPr>
        <w:rFonts w:hAnsi="Arial" w:cs="Times New Roman" w:hint="default"/>
      </w:rPr>
    </w:lvl>
    <w:lvl w:ilvl="1">
      <w:start w:val="1"/>
      <w:numFmt w:val="lowerRoman"/>
      <w:pStyle w:val="roman2"/>
      <w:lvlText w:val="(%2)"/>
      <w:lvlJc w:val="left"/>
      <w:pPr>
        <w:tabs>
          <w:tab w:val="num" w:pos="1360"/>
        </w:tabs>
        <w:ind w:left="1360" w:hanging="680"/>
      </w:pPr>
      <w:rPr>
        <w:rFonts w:hint="default"/>
      </w:rPr>
    </w:lvl>
    <w:lvl w:ilvl="2">
      <w:start w:val="1"/>
      <w:numFmt w:val="lowerRoman"/>
      <w:pStyle w:val="roman3"/>
      <w:lvlText w:val="(%3)"/>
      <w:lvlJc w:val="left"/>
      <w:pPr>
        <w:tabs>
          <w:tab w:val="num" w:pos="2040"/>
        </w:tabs>
        <w:ind w:left="2040" w:hanging="680"/>
      </w:pPr>
      <w:rPr>
        <w:rFonts w:hint="default"/>
      </w:rPr>
    </w:lvl>
    <w:lvl w:ilvl="3">
      <w:start w:val="1"/>
      <w:numFmt w:val="lowerRoman"/>
      <w:pStyle w:val="roman4"/>
      <w:lvlText w:val="(%4)"/>
      <w:lvlJc w:val="left"/>
      <w:pPr>
        <w:tabs>
          <w:tab w:val="num" w:pos="2722"/>
        </w:tabs>
        <w:ind w:left="2722" w:hanging="682"/>
      </w:pPr>
      <w:rPr>
        <w:rFonts w:hint="default"/>
      </w:rPr>
    </w:lvl>
    <w:lvl w:ilvl="4">
      <w:start w:val="1"/>
      <w:numFmt w:val="lowerRoman"/>
      <w:pStyle w:val="roman5"/>
      <w:lvlText w:val="(%5)"/>
      <w:lvlJc w:val="left"/>
      <w:pPr>
        <w:tabs>
          <w:tab w:val="num" w:pos="3402"/>
        </w:tabs>
        <w:ind w:left="3402" w:hanging="680"/>
      </w:pPr>
      <w:rPr>
        <w:rFonts w:hint="default"/>
      </w:rPr>
    </w:lvl>
    <w:lvl w:ilvl="5">
      <w:start w:val="1"/>
      <w:numFmt w:val="lowerRoman"/>
      <w:pStyle w:val="roman6"/>
      <w:lvlText w:val="(%6)"/>
      <w:lvlJc w:val="left"/>
      <w:pPr>
        <w:tabs>
          <w:tab w:val="num" w:pos="4082"/>
        </w:tabs>
        <w:ind w:left="4082" w:hanging="680"/>
      </w:pPr>
      <w:rPr>
        <w:rFonts w:hint="default"/>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23" w15:restartNumberingAfterBreak="0">
    <w:nsid w:val="10BA56FA"/>
    <w:multiLevelType w:val="hybridMultilevel"/>
    <w:tmpl w:val="575AA262"/>
    <w:lvl w:ilvl="0" w:tplc="808E5488">
      <w:start w:val="1"/>
      <w:numFmt w:val="decimal"/>
      <w:lvlText w:val="%1."/>
      <w:lvlJc w:val="left"/>
      <w:pPr>
        <w:ind w:left="980" w:hanging="555"/>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4" w15:restartNumberingAfterBreak="0">
    <w:nsid w:val="113711E7"/>
    <w:multiLevelType w:val="multilevel"/>
    <w:tmpl w:val="7D1E5C80"/>
    <w:numStyleLink w:val="LLScheduleHeading"/>
  </w:abstractNum>
  <w:abstractNum w:abstractNumId="25" w15:restartNumberingAfterBreak="0">
    <w:nsid w:val="15D25DCF"/>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63A6B58"/>
    <w:multiLevelType w:val="multilevel"/>
    <w:tmpl w:val="09BA6932"/>
    <w:numStyleLink w:val="LLbullet"/>
  </w:abstractNum>
  <w:abstractNum w:abstractNumId="27" w15:restartNumberingAfterBreak="0">
    <w:nsid w:val="178D3195"/>
    <w:multiLevelType w:val="multilevel"/>
    <w:tmpl w:val="052824E8"/>
    <w:styleLink w:val="LLParties"/>
    <w:lvl w:ilvl="0">
      <w:start w:val="1"/>
      <w:numFmt w:val="decimal"/>
      <w:pStyle w:val="Parties"/>
      <w:lvlText w:val="(%1)"/>
      <w:lvlJc w:val="left"/>
      <w:pPr>
        <w:tabs>
          <w:tab w:val="num" w:pos="680"/>
        </w:tabs>
        <w:ind w:left="680" w:hanging="680"/>
      </w:pPr>
      <w:rPr>
        <w:rFonts w:hAnsi="Arial" w:cs="Times New Roman" w:hint="default"/>
        <w:b/>
        <w:i w:val="0"/>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28" w15:restartNumberingAfterBreak="0">
    <w:nsid w:val="17D56EA2"/>
    <w:multiLevelType w:val="multilevel"/>
    <w:tmpl w:val="7D1E5C80"/>
    <w:styleLink w:val="LLScheduleHeading"/>
    <w:lvl w:ilvl="0">
      <w:start w:val="1"/>
      <w:numFmt w:val="decimal"/>
      <w:pStyle w:val="ScheduleHeading"/>
      <w:suff w:val="nothing"/>
      <w:lvlText w:val="Schedule %1"/>
      <w:lvlJc w:val="left"/>
      <w:pPr>
        <w:ind w:left="0" w:firstLine="0"/>
      </w:pPr>
      <w:rPr>
        <w:rFonts w:ascii="Arial" w:hAnsi="Arial"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19C26059"/>
    <w:multiLevelType w:val="multilevel"/>
    <w:tmpl w:val="F49C9BD6"/>
    <w:styleLink w:val="LLUCRoman"/>
    <w:lvl w:ilvl="0">
      <w:start w:val="1"/>
      <w:numFmt w:val="upperRoman"/>
      <w:pStyle w:val="UCRoman1"/>
      <w:lvlText w:val="%1."/>
      <w:lvlJc w:val="left"/>
      <w:pPr>
        <w:tabs>
          <w:tab w:val="num" w:pos="680"/>
        </w:tabs>
        <w:ind w:left="680" w:hanging="680"/>
      </w:pPr>
      <w:rPr>
        <w:rFonts w:hAnsi="Arial" w:cs="Times New Roman" w:hint="default"/>
        <w:b/>
        <w:i w:val="0"/>
      </w:rPr>
    </w:lvl>
    <w:lvl w:ilvl="1">
      <w:start w:val="1"/>
      <w:numFmt w:val="upperRoman"/>
      <w:pStyle w:val="UCRoman2"/>
      <w:lvlText w:val="%2."/>
      <w:lvlJc w:val="left"/>
      <w:pPr>
        <w:tabs>
          <w:tab w:val="num" w:pos="1360"/>
        </w:tabs>
        <w:ind w:left="1360" w:hanging="680"/>
      </w:pPr>
      <w:rPr>
        <w:rFonts w:hint="default"/>
        <w:b/>
        <w:i w:val="0"/>
      </w:rPr>
    </w:lvl>
    <w:lvl w:ilvl="2">
      <w:start w:val="1"/>
      <w:numFmt w:val="upperRoman"/>
      <w:pStyle w:val="UCRoman3"/>
      <w:lvlText w:val="%3."/>
      <w:lvlJc w:val="left"/>
      <w:pPr>
        <w:tabs>
          <w:tab w:val="num" w:pos="2040"/>
        </w:tabs>
        <w:ind w:left="2040" w:hanging="680"/>
      </w:pPr>
      <w:rPr>
        <w:rFonts w:hint="default"/>
        <w:b/>
        <w:i w:val="0"/>
      </w:rPr>
    </w:lvl>
    <w:lvl w:ilvl="3">
      <w:start w:val="1"/>
      <w:numFmt w:val="upperRoman"/>
      <w:pStyle w:val="UCRoman4"/>
      <w:lvlText w:val="%4."/>
      <w:lvlJc w:val="left"/>
      <w:pPr>
        <w:tabs>
          <w:tab w:val="num" w:pos="2722"/>
        </w:tabs>
        <w:ind w:left="2722" w:hanging="682"/>
      </w:pPr>
      <w:rPr>
        <w:rFonts w:hint="default"/>
        <w:b/>
        <w:i w:val="0"/>
      </w:rPr>
    </w:lvl>
    <w:lvl w:ilvl="4">
      <w:start w:val="1"/>
      <w:numFmt w:val="upperRoman"/>
      <w:pStyle w:val="UCRoman5"/>
      <w:lvlText w:val="%5"/>
      <w:lvlJc w:val="left"/>
      <w:pPr>
        <w:tabs>
          <w:tab w:val="num" w:pos="3402"/>
        </w:tabs>
        <w:ind w:left="3402" w:hanging="680"/>
      </w:pPr>
      <w:rPr>
        <w:rFonts w:hint="default"/>
        <w:b/>
        <w:i w:val="0"/>
      </w:rPr>
    </w:lvl>
    <w:lvl w:ilvl="5">
      <w:start w:val="1"/>
      <w:numFmt w:val="upperRoman"/>
      <w:pStyle w:val="UCRoman6"/>
      <w:lvlText w:val="%6."/>
      <w:lvlJc w:val="left"/>
      <w:pPr>
        <w:tabs>
          <w:tab w:val="num" w:pos="4082"/>
        </w:tabs>
        <w:ind w:left="4082" w:hanging="680"/>
      </w:pPr>
      <w:rPr>
        <w:rFonts w:hint="default"/>
        <w:b/>
        <w:i w:val="0"/>
      </w:rPr>
    </w:lvl>
    <w:lvl w:ilvl="6">
      <w:start w:val="1"/>
      <w:numFmt w:val="none"/>
      <w:lvlText w:val=""/>
      <w:lvlJc w:val="left"/>
      <w:pPr>
        <w:ind w:left="4082" w:hanging="680"/>
      </w:pPr>
      <w:rPr>
        <w:rFonts w:hint="default"/>
      </w:rPr>
    </w:lvl>
    <w:lvl w:ilvl="7">
      <w:start w:val="1"/>
      <w:numFmt w:val="none"/>
      <w:lvlText w:val=""/>
      <w:lvlJc w:val="left"/>
      <w:pPr>
        <w:ind w:left="4082" w:hanging="680"/>
      </w:pPr>
      <w:rPr>
        <w:rFonts w:hint="default"/>
      </w:rPr>
    </w:lvl>
    <w:lvl w:ilvl="8">
      <w:start w:val="1"/>
      <w:numFmt w:val="none"/>
      <w:lvlText w:val=""/>
      <w:lvlJc w:val="left"/>
      <w:pPr>
        <w:ind w:left="4082" w:hanging="680"/>
      </w:pPr>
      <w:rPr>
        <w:rFonts w:hint="default"/>
      </w:rPr>
    </w:lvl>
  </w:abstractNum>
  <w:abstractNum w:abstractNumId="30" w15:restartNumberingAfterBreak="0">
    <w:nsid w:val="1A4C0119"/>
    <w:multiLevelType w:val="multilevel"/>
    <w:tmpl w:val="FF669768"/>
    <w:styleLink w:val="LLTablealpha"/>
    <w:lvl w:ilvl="0">
      <w:start w:val="1"/>
      <w:numFmt w:val="lowerLetter"/>
      <w:lvlText w:val="(%1)"/>
      <w:lvlJc w:val="left"/>
      <w:pPr>
        <w:tabs>
          <w:tab w:val="num" w:pos="680"/>
        </w:tabs>
        <w:ind w:left="680" w:hanging="680"/>
      </w:pPr>
      <w:rPr>
        <w:rFonts w:hAnsi="Arial" w:cs="Times New Roman" w:hint="default"/>
      </w:rPr>
    </w:lvl>
    <w:lvl w:ilvl="1">
      <w:start w:val="1"/>
      <w:numFmt w:val="none"/>
      <w:lvlText w:val="%2"/>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31" w15:restartNumberingAfterBreak="0">
    <w:nsid w:val="1DE0546B"/>
    <w:multiLevelType w:val="multilevel"/>
    <w:tmpl w:val="052824E8"/>
    <w:numStyleLink w:val="LLParties"/>
  </w:abstractNum>
  <w:abstractNum w:abstractNumId="32" w15:restartNumberingAfterBreak="0">
    <w:nsid w:val="1E316AF0"/>
    <w:multiLevelType w:val="multilevel"/>
    <w:tmpl w:val="5770BC38"/>
    <w:styleLink w:val="LLdoublealpha"/>
    <w:lvl w:ilvl="0">
      <w:start w:val="27"/>
      <w:numFmt w:val="lowerLetter"/>
      <w:pStyle w:val="doublealpha"/>
      <w:lvlText w:val="(%1)"/>
      <w:lvlJc w:val="left"/>
      <w:pPr>
        <w:tabs>
          <w:tab w:val="num" w:pos="680"/>
        </w:tabs>
        <w:ind w:left="680" w:hanging="680"/>
      </w:pPr>
      <w:rPr>
        <w:rFonts w:hAnsi="Arial" w:cs="Times New Roman" w:hint="default"/>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33" w15:restartNumberingAfterBreak="0">
    <w:nsid w:val="21DF2964"/>
    <w:multiLevelType w:val="multilevel"/>
    <w:tmpl w:val="3F4E1D08"/>
    <w:lvl w:ilvl="0">
      <w:start w:val="1"/>
      <w:numFmt w:val="lowerRoman"/>
      <w:pStyle w:val="Tableroman"/>
      <w:lvlText w:val="(%1)"/>
      <w:lvlJc w:val="left"/>
      <w:pPr>
        <w:tabs>
          <w:tab w:val="num" w:pos="680"/>
        </w:tabs>
        <w:ind w:left="680" w:hanging="680"/>
      </w:pPr>
      <w:rPr>
        <w:rFonts w:hAnsi="Arial" w:cs="Times New Roman" w:hint="default"/>
      </w:rPr>
    </w:lvl>
    <w:lvl w:ilvl="1">
      <w:start w:val="1"/>
      <w:numFmt w:val="none"/>
      <w:lvlText w:val=""/>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34" w15:restartNumberingAfterBreak="0">
    <w:nsid w:val="26AC44F1"/>
    <w:multiLevelType w:val="multilevel"/>
    <w:tmpl w:val="08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5" w15:restartNumberingAfterBreak="0">
    <w:nsid w:val="29846E32"/>
    <w:multiLevelType w:val="multilevel"/>
    <w:tmpl w:val="CD34D7B6"/>
    <w:styleLink w:val="FormCOBody"/>
    <w:lvl w:ilvl="0">
      <w:start w:val="1"/>
      <w:numFmt w:val="decimal"/>
      <w:pStyle w:val="CObodynumbering"/>
      <w:lvlText w:val="(%1)"/>
      <w:lvlJc w:val="left"/>
      <w:pPr>
        <w:tabs>
          <w:tab w:val="num" w:pos="680"/>
        </w:tabs>
        <w:ind w:left="680" w:hanging="680"/>
      </w:pPr>
      <w:rPr>
        <w:rFonts w:ascii="Arial" w:hAnsi="Arial" w:hint="default"/>
        <w:sz w:val="20"/>
      </w:rPr>
    </w:lvl>
    <w:lvl w:ilvl="1">
      <w:start w:val="1"/>
      <w:numFmt w:val="none"/>
      <w:lvlText w:val=""/>
      <w:lvlJc w:val="left"/>
      <w:pPr>
        <w:tabs>
          <w:tab w:val="num" w:pos="680"/>
        </w:tabs>
        <w:ind w:left="680" w:hanging="680"/>
      </w:pPr>
      <w:rPr>
        <w:rFonts w:hint="default"/>
      </w:rPr>
    </w:lvl>
    <w:lvl w:ilvl="2">
      <w:start w:val="1"/>
      <w:numFmt w:val="none"/>
      <w:lvlText w:val=""/>
      <w:lvlJc w:val="left"/>
      <w:pPr>
        <w:tabs>
          <w:tab w:val="num" w:pos="680"/>
        </w:tabs>
        <w:ind w:left="680" w:hanging="680"/>
      </w:pPr>
      <w:rPr>
        <w:rFonts w:hint="default"/>
      </w:rPr>
    </w:lvl>
    <w:lvl w:ilvl="3">
      <w:start w:val="1"/>
      <w:numFmt w:val="none"/>
      <w:lvlText w:val=""/>
      <w:lvlJc w:val="left"/>
      <w:pPr>
        <w:tabs>
          <w:tab w:val="num" w:pos="680"/>
        </w:tabs>
        <w:ind w:left="680" w:hanging="680"/>
      </w:pPr>
      <w:rPr>
        <w:rFonts w:hint="default"/>
      </w:rPr>
    </w:lvl>
    <w:lvl w:ilvl="4">
      <w:start w:val="1"/>
      <w:numFmt w:val="none"/>
      <w:lvlText w:val=""/>
      <w:lvlJc w:val="left"/>
      <w:pPr>
        <w:tabs>
          <w:tab w:val="num" w:pos="680"/>
        </w:tabs>
        <w:ind w:left="680" w:hanging="680"/>
      </w:pPr>
      <w:rPr>
        <w:rFonts w:hint="default"/>
      </w:rPr>
    </w:lvl>
    <w:lvl w:ilvl="5">
      <w:start w:val="1"/>
      <w:numFmt w:val="none"/>
      <w:lvlText w:val=""/>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680"/>
        </w:tabs>
        <w:ind w:left="680" w:hanging="680"/>
      </w:pPr>
      <w:rPr>
        <w:rFonts w:hint="default"/>
      </w:rPr>
    </w:lvl>
    <w:lvl w:ilvl="8">
      <w:start w:val="1"/>
      <w:numFmt w:val="none"/>
      <w:lvlText w:val=""/>
      <w:lvlJc w:val="left"/>
      <w:pPr>
        <w:tabs>
          <w:tab w:val="num" w:pos="680"/>
        </w:tabs>
        <w:ind w:left="680" w:hanging="680"/>
      </w:pPr>
      <w:rPr>
        <w:rFonts w:hint="default"/>
      </w:rPr>
    </w:lvl>
  </w:abstractNum>
  <w:abstractNum w:abstractNumId="36" w15:restartNumberingAfterBreak="0">
    <w:nsid w:val="2B7D119F"/>
    <w:multiLevelType w:val="multilevel"/>
    <w:tmpl w:val="45E60E26"/>
    <w:styleLink w:val="LLListNumbers"/>
    <w:lvl w:ilvl="0">
      <w:start w:val="1"/>
      <w:numFmt w:val="decimal"/>
      <w:pStyle w:val="ListNumbers"/>
      <w:lvlText w:val="%1."/>
      <w:lvlJc w:val="left"/>
      <w:pPr>
        <w:tabs>
          <w:tab w:val="num" w:pos="680"/>
        </w:tabs>
        <w:ind w:left="680" w:hanging="680"/>
      </w:pPr>
      <w:rPr>
        <w:rFonts w:hAnsi="Arial" w:cs="Times New Roman" w:hint="default"/>
        <w:b/>
        <w:i w:val="0"/>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37" w15:restartNumberingAfterBreak="0">
    <w:nsid w:val="325637B4"/>
    <w:multiLevelType w:val="multilevel"/>
    <w:tmpl w:val="5770BC38"/>
    <w:numStyleLink w:val="LLdoublealpha"/>
  </w:abstractNum>
  <w:abstractNum w:abstractNumId="38" w15:restartNumberingAfterBreak="0">
    <w:nsid w:val="337A093D"/>
    <w:multiLevelType w:val="multilevel"/>
    <w:tmpl w:val="75BC11A0"/>
    <w:numStyleLink w:val="LLUCAlpha"/>
  </w:abstractNum>
  <w:abstractNum w:abstractNumId="39" w15:restartNumberingAfterBreak="0">
    <w:nsid w:val="354129BB"/>
    <w:multiLevelType w:val="multilevel"/>
    <w:tmpl w:val="383CCEC4"/>
    <w:styleLink w:val="LLdashbullet"/>
    <w:lvl w:ilvl="0">
      <w:start w:val="1"/>
      <w:numFmt w:val="bullet"/>
      <w:pStyle w:val="dashbullet1"/>
      <w:lvlText w:val=""/>
      <w:lvlJc w:val="left"/>
      <w:pPr>
        <w:tabs>
          <w:tab w:val="num" w:pos="680"/>
        </w:tabs>
        <w:ind w:left="680" w:hanging="680"/>
      </w:pPr>
      <w:rPr>
        <w:rFonts w:ascii="Symbol" w:hAnsi="Symbol" w:cs="Times New Roman" w:hint="default"/>
        <w:color w:val="auto"/>
      </w:rPr>
    </w:lvl>
    <w:lvl w:ilvl="1">
      <w:start w:val="1"/>
      <w:numFmt w:val="bullet"/>
      <w:lvlRestart w:val="0"/>
      <w:pStyle w:val="dashbullet2"/>
      <w:lvlText w:val=""/>
      <w:lvlJc w:val="left"/>
      <w:pPr>
        <w:tabs>
          <w:tab w:val="num" w:pos="1361"/>
        </w:tabs>
        <w:ind w:left="1361" w:hanging="681"/>
      </w:pPr>
      <w:rPr>
        <w:rFonts w:ascii="Symbol" w:hAnsi="Symbol" w:cs="Times New Roman" w:hint="default"/>
        <w:color w:val="auto"/>
      </w:rPr>
    </w:lvl>
    <w:lvl w:ilvl="2">
      <w:start w:val="1"/>
      <w:numFmt w:val="bullet"/>
      <w:lvlRestart w:val="0"/>
      <w:pStyle w:val="dashbullet3"/>
      <w:lvlText w:val=""/>
      <w:lvlJc w:val="left"/>
      <w:pPr>
        <w:tabs>
          <w:tab w:val="num" w:pos="2041"/>
        </w:tabs>
        <w:ind w:left="2041" w:hanging="680"/>
      </w:pPr>
      <w:rPr>
        <w:rFonts w:ascii="Symbol" w:hAnsi="Symbol" w:cs="Times New Roman" w:hint="default"/>
        <w:color w:val="auto"/>
      </w:rPr>
    </w:lvl>
    <w:lvl w:ilvl="3">
      <w:start w:val="1"/>
      <w:numFmt w:val="bullet"/>
      <w:lvlRestart w:val="0"/>
      <w:pStyle w:val="dashbullet4"/>
      <w:lvlText w:val=""/>
      <w:lvlJc w:val="left"/>
      <w:pPr>
        <w:tabs>
          <w:tab w:val="num" w:pos="2722"/>
        </w:tabs>
        <w:ind w:left="2722" w:hanging="681"/>
      </w:pPr>
      <w:rPr>
        <w:rFonts w:ascii="Symbol" w:hAnsi="Symbol" w:cs="Times New Roman" w:hint="default"/>
        <w:color w:val="auto"/>
      </w:rPr>
    </w:lvl>
    <w:lvl w:ilvl="4">
      <w:start w:val="1"/>
      <w:numFmt w:val="bullet"/>
      <w:lvlRestart w:val="0"/>
      <w:pStyle w:val="dashbullet5"/>
      <w:lvlText w:val=""/>
      <w:lvlJc w:val="left"/>
      <w:pPr>
        <w:tabs>
          <w:tab w:val="num" w:pos="3402"/>
        </w:tabs>
        <w:ind w:left="3402" w:hanging="680"/>
      </w:pPr>
      <w:rPr>
        <w:rFonts w:ascii="Symbol" w:hAnsi="Symbol" w:cs="Times New Roman" w:hint="default"/>
        <w:color w:val="auto"/>
      </w:rPr>
    </w:lvl>
    <w:lvl w:ilvl="5">
      <w:start w:val="1"/>
      <w:numFmt w:val="bullet"/>
      <w:lvlRestart w:val="0"/>
      <w:pStyle w:val="dashbullet6"/>
      <w:lvlText w:val=""/>
      <w:lvlJc w:val="left"/>
      <w:pPr>
        <w:tabs>
          <w:tab w:val="num" w:pos="4082"/>
        </w:tabs>
        <w:ind w:left="4082" w:hanging="680"/>
      </w:pPr>
      <w:rPr>
        <w:rFonts w:ascii="Symbol" w:hAnsi="Symbol" w:cs="Times New Roman" w:hint="default"/>
        <w:color w:val="auto"/>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40" w15:restartNumberingAfterBreak="0">
    <w:nsid w:val="3D9D7C00"/>
    <w:multiLevelType w:val="multilevel"/>
    <w:tmpl w:val="F5AA3B4C"/>
    <w:styleLink w:val="LLTOC"/>
    <w:lvl w:ilvl="0">
      <w:start w:val="1"/>
      <w:numFmt w:val="none"/>
      <w:lvlText w:val=""/>
      <w:lvlJc w:val="left"/>
      <w:pPr>
        <w:ind w:left="0" w:firstLine="0"/>
      </w:pPr>
      <w:rPr>
        <w:rFonts w:hAnsi="Arial" w:cs="Times New Roman" w:hint="default"/>
      </w:rPr>
    </w:lvl>
    <w:lvl w:ilvl="1">
      <w:start w:val="1"/>
      <w:numFmt w:val="none"/>
      <w:lvlText w:val=""/>
      <w:lvlJc w:val="left"/>
      <w:pPr>
        <w:ind w:left="0" w:firstLine="0"/>
      </w:pPr>
      <w:rPr>
        <w:rFonts w:hint="default"/>
      </w:rPr>
    </w:lvl>
    <w:lvl w:ilvl="2">
      <w:start w:val="1"/>
      <w:numFmt w:val="none"/>
      <w:lvlText w:val=""/>
      <w:lvlJc w:val="left"/>
      <w:pPr>
        <w:ind w:left="680" w:firstLine="0"/>
      </w:pPr>
      <w:rPr>
        <w:rFonts w:hint="default"/>
      </w:rPr>
    </w:lvl>
    <w:lvl w:ilvl="3">
      <w:start w:val="1"/>
      <w:numFmt w:val="none"/>
      <w:lvlText w:val=""/>
      <w:lvlJc w:val="left"/>
      <w:pPr>
        <w:ind w:left="68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1" w15:restartNumberingAfterBreak="0">
    <w:nsid w:val="3F6369D8"/>
    <w:multiLevelType w:val="multilevel"/>
    <w:tmpl w:val="D4A44AA8"/>
    <w:numStyleLink w:val="LLengage"/>
  </w:abstractNum>
  <w:abstractNum w:abstractNumId="42" w15:restartNumberingAfterBreak="0">
    <w:nsid w:val="414C5001"/>
    <w:multiLevelType w:val="multilevel"/>
    <w:tmpl w:val="3F4E1D08"/>
    <w:styleLink w:val="LLTableroman"/>
    <w:lvl w:ilvl="0">
      <w:start w:val="1"/>
      <w:numFmt w:val="lowerRoman"/>
      <w:lvlText w:val="(%1)"/>
      <w:lvlJc w:val="left"/>
      <w:pPr>
        <w:tabs>
          <w:tab w:val="num" w:pos="680"/>
        </w:tabs>
        <w:ind w:left="680" w:hanging="680"/>
      </w:pPr>
      <w:rPr>
        <w:rFonts w:hAnsi="Arial" w:cs="Times New Roman" w:hint="default"/>
      </w:rPr>
    </w:lvl>
    <w:lvl w:ilvl="1">
      <w:start w:val="1"/>
      <w:numFmt w:val="none"/>
      <w:lvlText w:val=""/>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43" w15:restartNumberingAfterBreak="0">
    <w:nsid w:val="44D60C64"/>
    <w:multiLevelType w:val="multilevel"/>
    <w:tmpl w:val="D4A44AA8"/>
    <w:styleLink w:val="LLengage"/>
    <w:lvl w:ilvl="0">
      <w:start w:val="1"/>
      <w:numFmt w:val="decimal"/>
      <w:pStyle w:val="engageL1"/>
      <w:lvlText w:val="%1"/>
      <w:lvlJc w:val="left"/>
      <w:pPr>
        <w:tabs>
          <w:tab w:val="num" w:pos="567"/>
        </w:tabs>
        <w:ind w:left="567" w:hanging="567"/>
      </w:pPr>
      <w:rPr>
        <w:rFonts w:ascii="Arial" w:hAnsi="Arial" w:cs="Arial" w:hint="default"/>
        <w:b/>
        <w:i w:val="0"/>
        <w:sz w:val="13"/>
      </w:rPr>
    </w:lvl>
    <w:lvl w:ilvl="1">
      <w:start w:val="1"/>
      <w:numFmt w:val="decimal"/>
      <w:pStyle w:val="engageL2"/>
      <w:lvlText w:val="%1.%2"/>
      <w:lvlJc w:val="left"/>
      <w:pPr>
        <w:tabs>
          <w:tab w:val="num" w:pos="567"/>
        </w:tabs>
        <w:ind w:left="567" w:hanging="567"/>
      </w:pPr>
      <w:rPr>
        <w:rFonts w:hint="default"/>
        <w:b/>
        <w:i w:val="0"/>
        <w:sz w:val="13"/>
      </w:rPr>
    </w:lvl>
    <w:lvl w:ilvl="2">
      <w:start w:val="1"/>
      <w:numFmt w:val="none"/>
      <w:lvlRestart w:val="0"/>
      <w:lvlText w:val=""/>
      <w:lvlJc w:val="left"/>
      <w:pPr>
        <w:ind w:left="567" w:hanging="567"/>
      </w:pPr>
      <w:rPr>
        <w:rFonts w:hint="default"/>
      </w:rPr>
    </w:lvl>
    <w:lvl w:ilvl="3">
      <w:start w:val="1"/>
      <w:numFmt w:val="none"/>
      <w:lvlRestart w:val="0"/>
      <w:lvlText w:val=""/>
      <w:lvlJc w:val="left"/>
      <w:pPr>
        <w:ind w:left="567" w:hanging="567"/>
      </w:pPr>
      <w:rPr>
        <w:rFonts w:hint="default"/>
      </w:rPr>
    </w:lvl>
    <w:lvl w:ilvl="4">
      <w:start w:val="1"/>
      <w:numFmt w:val="none"/>
      <w:lvlRestart w:val="0"/>
      <w:lvlText w:val=""/>
      <w:lvlJc w:val="left"/>
      <w:pPr>
        <w:ind w:left="567" w:hanging="567"/>
      </w:pPr>
      <w:rPr>
        <w:rFonts w:hint="default"/>
      </w:rPr>
    </w:lvl>
    <w:lvl w:ilvl="5">
      <w:start w:val="1"/>
      <w:numFmt w:val="none"/>
      <w:lvlRestart w:val="0"/>
      <w:lvlText w:val=""/>
      <w:lvlJc w:val="left"/>
      <w:pPr>
        <w:ind w:left="567" w:hanging="567"/>
      </w:pPr>
      <w:rPr>
        <w:rFonts w:hint="default"/>
      </w:rPr>
    </w:lvl>
    <w:lvl w:ilvl="6">
      <w:start w:val="1"/>
      <w:numFmt w:val="none"/>
      <w:lvlRestart w:val="0"/>
      <w:lvlText w:val=""/>
      <w:lvlJc w:val="left"/>
      <w:pPr>
        <w:ind w:left="567" w:hanging="567"/>
      </w:pPr>
      <w:rPr>
        <w:rFonts w:hint="default"/>
      </w:rPr>
    </w:lvl>
    <w:lvl w:ilvl="7">
      <w:start w:val="1"/>
      <w:numFmt w:val="none"/>
      <w:lvlRestart w:val="0"/>
      <w:lvlText w:val=""/>
      <w:lvlJc w:val="left"/>
      <w:pPr>
        <w:ind w:left="567" w:hanging="567"/>
      </w:pPr>
      <w:rPr>
        <w:rFonts w:hint="default"/>
      </w:rPr>
    </w:lvl>
    <w:lvl w:ilvl="8">
      <w:start w:val="1"/>
      <w:numFmt w:val="none"/>
      <w:lvlRestart w:val="0"/>
      <w:lvlText w:val=""/>
      <w:lvlJc w:val="left"/>
      <w:pPr>
        <w:ind w:left="567" w:hanging="567"/>
      </w:pPr>
      <w:rPr>
        <w:rFonts w:hint="default"/>
      </w:rPr>
    </w:lvl>
  </w:abstractNum>
  <w:abstractNum w:abstractNumId="44" w15:restartNumberingAfterBreak="0">
    <w:nsid w:val="4C2A2ED0"/>
    <w:multiLevelType w:val="multilevel"/>
    <w:tmpl w:val="70248C04"/>
    <w:styleLink w:val="LLSchedule"/>
    <w:lvl w:ilvl="0">
      <w:start w:val="1"/>
      <w:numFmt w:val="decimal"/>
      <w:pStyle w:val="Schedule1"/>
      <w:lvlText w:val="%1"/>
      <w:lvlJc w:val="left"/>
      <w:pPr>
        <w:tabs>
          <w:tab w:val="num" w:pos="680"/>
        </w:tabs>
        <w:ind w:left="680" w:hanging="680"/>
      </w:pPr>
      <w:rPr>
        <w:rFonts w:hAnsi="Arial" w:cs="Times New Roman"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722"/>
        </w:tabs>
        <w:ind w:left="2722" w:hanging="681"/>
      </w:pPr>
      <w:rPr>
        <w:rFonts w:hint="default"/>
      </w:rPr>
    </w:lvl>
    <w:lvl w:ilvl="5">
      <w:start w:val="1"/>
      <w:numFmt w:val="upperRoman"/>
      <w:pStyle w:val="Schedule6"/>
      <w:lvlText w:val="(%6)"/>
      <w:lvlJc w:val="left"/>
      <w:pPr>
        <w:tabs>
          <w:tab w:val="num" w:pos="3402"/>
        </w:tabs>
        <w:ind w:left="3402" w:hanging="680"/>
      </w:pPr>
      <w:rPr>
        <w:rFonts w:hint="default"/>
      </w:rPr>
    </w:lvl>
    <w:lvl w:ilvl="6">
      <w:start w:val="1"/>
      <w:numFmt w:val="none"/>
      <w:lvlRestart w:val="0"/>
      <w:lvlText w:val=""/>
      <w:lvlJc w:val="left"/>
      <w:pPr>
        <w:ind w:left="3402" w:hanging="680"/>
      </w:pPr>
      <w:rPr>
        <w:rFonts w:hint="default"/>
      </w:rPr>
    </w:lvl>
    <w:lvl w:ilvl="7">
      <w:start w:val="1"/>
      <w:numFmt w:val="none"/>
      <w:lvlRestart w:val="0"/>
      <w:lvlText w:val=""/>
      <w:lvlJc w:val="left"/>
      <w:pPr>
        <w:ind w:left="3402" w:hanging="680"/>
      </w:pPr>
      <w:rPr>
        <w:rFonts w:hint="default"/>
      </w:rPr>
    </w:lvl>
    <w:lvl w:ilvl="8">
      <w:start w:val="1"/>
      <w:numFmt w:val="none"/>
      <w:lvlRestart w:val="0"/>
      <w:lvlText w:val=""/>
      <w:lvlJc w:val="left"/>
      <w:pPr>
        <w:ind w:left="3402" w:hanging="680"/>
      </w:pPr>
      <w:rPr>
        <w:rFonts w:hint="default"/>
      </w:rPr>
    </w:lvl>
  </w:abstractNum>
  <w:abstractNum w:abstractNumId="45" w15:restartNumberingAfterBreak="0">
    <w:nsid w:val="4CFE68D7"/>
    <w:multiLevelType w:val="multilevel"/>
    <w:tmpl w:val="6B8A2852"/>
    <w:styleLink w:val="LLalpha"/>
    <w:lvl w:ilvl="0">
      <w:start w:val="1"/>
      <w:numFmt w:val="lowerLetter"/>
      <w:pStyle w:val="alpha1"/>
      <w:lvlText w:val="(%1)"/>
      <w:lvlJc w:val="left"/>
      <w:pPr>
        <w:tabs>
          <w:tab w:val="num" w:pos="680"/>
        </w:tabs>
        <w:ind w:left="680" w:hanging="680"/>
      </w:pPr>
      <w:rPr>
        <w:rFonts w:hAnsi="Arial" w:cs="Times New Roman" w:hint="default"/>
      </w:rPr>
    </w:lvl>
    <w:lvl w:ilvl="1">
      <w:start w:val="1"/>
      <w:numFmt w:val="lowerLetter"/>
      <w:pStyle w:val="alpha2"/>
      <w:lvlText w:val="(%2)"/>
      <w:lvlJc w:val="left"/>
      <w:pPr>
        <w:tabs>
          <w:tab w:val="num" w:pos="1360"/>
        </w:tabs>
        <w:ind w:left="1360" w:hanging="680"/>
      </w:pPr>
      <w:rPr>
        <w:rFonts w:hint="default"/>
      </w:rPr>
    </w:lvl>
    <w:lvl w:ilvl="2">
      <w:start w:val="1"/>
      <w:numFmt w:val="lowerLetter"/>
      <w:pStyle w:val="alpha3"/>
      <w:lvlText w:val="(%3)"/>
      <w:lvlJc w:val="left"/>
      <w:pPr>
        <w:tabs>
          <w:tab w:val="num" w:pos="2040"/>
        </w:tabs>
        <w:ind w:left="2040" w:hanging="680"/>
      </w:pPr>
      <w:rPr>
        <w:rFonts w:hint="default"/>
      </w:rPr>
    </w:lvl>
    <w:lvl w:ilvl="3">
      <w:start w:val="1"/>
      <w:numFmt w:val="lowerLetter"/>
      <w:pStyle w:val="alpha4"/>
      <w:lvlText w:val="(%4)"/>
      <w:lvlJc w:val="left"/>
      <w:pPr>
        <w:tabs>
          <w:tab w:val="num" w:pos="2722"/>
        </w:tabs>
        <w:ind w:left="2722" w:hanging="682"/>
      </w:pPr>
      <w:rPr>
        <w:rFonts w:hint="default"/>
      </w:rPr>
    </w:lvl>
    <w:lvl w:ilvl="4">
      <w:start w:val="1"/>
      <w:numFmt w:val="lowerLetter"/>
      <w:pStyle w:val="alpha5"/>
      <w:lvlText w:val="(%5)"/>
      <w:lvlJc w:val="left"/>
      <w:pPr>
        <w:tabs>
          <w:tab w:val="num" w:pos="3402"/>
        </w:tabs>
        <w:ind w:left="3402" w:hanging="680"/>
      </w:pPr>
      <w:rPr>
        <w:rFonts w:hint="default"/>
      </w:rPr>
    </w:lvl>
    <w:lvl w:ilvl="5">
      <w:start w:val="1"/>
      <w:numFmt w:val="lowerLetter"/>
      <w:pStyle w:val="alpha6"/>
      <w:lvlText w:val="(%6)"/>
      <w:lvlJc w:val="left"/>
      <w:pPr>
        <w:tabs>
          <w:tab w:val="num" w:pos="4082"/>
        </w:tabs>
        <w:ind w:left="4082" w:hanging="680"/>
      </w:pPr>
      <w:rPr>
        <w:rFonts w:hint="default"/>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46" w15:restartNumberingAfterBreak="0">
    <w:nsid w:val="53C20CF1"/>
    <w:multiLevelType w:val="multilevel"/>
    <w:tmpl w:val="579ECC4A"/>
    <w:numStyleLink w:val="LLroman"/>
  </w:abstractNum>
  <w:abstractNum w:abstractNumId="47" w15:restartNumberingAfterBreak="0">
    <w:nsid w:val="54C56367"/>
    <w:multiLevelType w:val="multilevel"/>
    <w:tmpl w:val="9F565188"/>
    <w:styleLink w:val="LLTable"/>
    <w:lvl w:ilvl="0">
      <w:start w:val="1"/>
      <w:numFmt w:val="decimal"/>
      <w:lvlText w:val="%1"/>
      <w:lvlJc w:val="left"/>
      <w:pPr>
        <w:tabs>
          <w:tab w:val="num" w:pos="680"/>
        </w:tabs>
        <w:ind w:left="680" w:hanging="680"/>
      </w:pPr>
      <w:rPr>
        <w:rFonts w:hAnsi="Arial" w:cs="Times New Roman"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680"/>
        </w:tabs>
        <w:ind w:left="680" w:hanging="680"/>
      </w:pPr>
      <w:rPr>
        <w:rFonts w:hint="default"/>
        <w:b/>
        <w:i w:val="0"/>
        <w:sz w:val="17"/>
      </w:rPr>
    </w:lvl>
    <w:lvl w:ilvl="3">
      <w:start w:val="1"/>
      <w:numFmt w:val="lowerRoman"/>
      <w:lvlText w:val="(%4)"/>
      <w:lvlJc w:val="left"/>
      <w:pPr>
        <w:tabs>
          <w:tab w:val="num" w:pos="680"/>
        </w:tabs>
        <w:ind w:left="680" w:hanging="680"/>
      </w:pPr>
      <w:rPr>
        <w:rFonts w:hint="default"/>
      </w:rPr>
    </w:lvl>
    <w:lvl w:ilvl="4">
      <w:start w:val="1"/>
      <w:numFmt w:val="lowerLetter"/>
      <w:lvlText w:val="(%5)"/>
      <w:lvlJc w:val="left"/>
      <w:pPr>
        <w:tabs>
          <w:tab w:val="num" w:pos="680"/>
        </w:tabs>
        <w:ind w:left="680" w:hanging="680"/>
      </w:pPr>
      <w:rPr>
        <w:rFonts w:hint="default"/>
      </w:rPr>
    </w:lvl>
    <w:lvl w:ilvl="5">
      <w:start w:val="1"/>
      <w:numFmt w:val="upperRoman"/>
      <w:lvlText w:val="(%6)"/>
      <w:lvlJc w:val="left"/>
      <w:pPr>
        <w:tabs>
          <w:tab w:val="num" w:pos="680"/>
        </w:tabs>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48" w15:restartNumberingAfterBreak="0">
    <w:nsid w:val="56F71436"/>
    <w:multiLevelType w:val="multilevel"/>
    <w:tmpl w:val="383CCEC4"/>
    <w:numStyleLink w:val="LLdashbullet"/>
  </w:abstractNum>
  <w:abstractNum w:abstractNumId="49" w15:restartNumberingAfterBreak="0">
    <w:nsid w:val="5E547DDA"/>
    <w:multiLevelType w:val="multilevel"/>
    <w:tmpl w:val="C054F7D8"/>
    <w:numStyleLink w:val="LLTablebullet"/>
  </w:abstractNum>
  <w:abstractNum w:abstractNumId="50" w15:restartNumberingAfterBreak="0">
    <w:nsid w:val="5FBA1CD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5860861"/>
    <w:multiLevelType w:val="multilevel"/>
    <w:tmpl w:val="BB16DBE8"/>
    <w:styleLink w:val="LLRecitals"/>
    <w:lvl w:ilvl="0">
      <w:start w:val="1"/>
      <w:numFmt w:val="upperLetter"/>
      <w:pStyle w:val="Recitals"/>
      <w:lvlText w:val="(%1)"/>
      <w:lvlJc w:val="left"/>
      <w:pPr>
        <w:tabs>
          <w:tab w:val="num" w:pos="680"/>
        </w:tabs>
        <w:ind w:left="680" w:hanging="680"/>
      </w:pPr>
      <w:rPr>
        <w:rFonts w:hAnsi="Arial" w:cs="Times New Roman" w:hint="default"/>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52" w15:restartNumberingAfterBreak="0">
    <w:nsid w:val="6D8721FF"/>
    <w:multiLevelType w:val="multilevel"/>
    <w:tmpl w:val="FF669768"/>
    <w:lvl w:ilvl="0">
      <w:start w:val="1"/>
      <w:numFmt w:val="lowerLetter"/>
      <w:pStyle w:val="Tablealpha"/>
      <w:lvlText w:val="(%1)"/>
      <w:lvlJc w:val="left"/>
      <w:pPr>
        <w:tabs>
          <w:tab w:val="num" w:pos="680"/>
        </w:tabs>
        <w:ind w:left="680" w:hanging="680"/>
      </w:pPr>
      <w:rPr>
        <w:rFonts w:hAnsi="Arial" w:cs="Times New Roman" w:hint="default"/>
      </w:rPr>
    </w:lvl>
    <w:lvl w:ilvl="1">
      <w:start w:val="1"/>
      <w:numFmt w:val="none"/>
      <w:lvlText w:val="%2"/>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53" w15:restartNumberingAfterBreak="0">
    <w:nsid w:val="720A2EA5"/>
    <w:multiLevelType w:val="multilevel"/>
    <w:tmpl w:val="CD34D7B6"/>
    <w:numStyleLink w:val="FormCOBody"/>
  </w:abstractNum>
  <w:abstractNum w:abstractNumId="54" w15:restartNumberingAfterBreak="0">
    <w:nsid w:val="73717529"/>
    <w:multiLevelType w:val="multilevel"/>
    <w:tmpl w:val="09BA6932"/>
    <w:styleLink w:val="LLbullet"/>
    <w:lvl w:ilvl="0">
      <w:start w:val="1"/>
      <w:numFmt w:val="bullet"/>
      <w:pStyle w:val="bullet1"/>
      <w:lvlText w:val=""/>
      <w:lvlJc w:val="left"/>
      <w:pPr>
        <w:tabs>
          <w:tab w:val="num" w:pos="680"/>
        </w:tabs>
        <w:ind w:left="680" w:hanging="680"/>
      </w:pPr>
      <w:rPr>
        <w:rFonts w:ascii="Symbol" w:hAnsi="Symbol" w:cs="Times New Roman" w:hint="default"/>
        <w:color w:val="auto"/>
      </w:rPr>
    </w:lvl>
    <w:lvl w:ilvl="1">
      <w:start w:val="1"/>
      <w:numFmt w:val="bullet"/>
      <w:lvlRestart w:val="0"/>
      <w:pStyle w:val="bullet2"/>
      <w:lvlText w:val=""/>
      <w:lvlJc w:val="left"/>
      <w:pPr>
        <w:tabs>
          <w:tab w:val="num" w:pos="1361"/>
        </w:tabs>
        <w:ind w:left="1361" w:hanging="681"/>
      </w:pPr>
      <w:rPr>
        <w:rFonts w:ascii="Symbol" w:hAnsi="Symbol" w:cs="Times New Roman" w:hint="default"/>
        <w:color w:val="auto"/>
      </w:rPr>
    </w:lvl>
    <w:lvl w:ilvl="2">
      <w:start w:val="1"/>
      <w:numFmt w:val="bullet"/>
      <w:lvlRestart w:val="0"/>
      <w:pStyle w:val="bullet3"/>
      <w:lvlText w:val=""/>
      <w:lvlJc w:val="left"/>
      <w:pPr>
        <w:tabs>
          <w:tab w:val="num" w:pos="2041"/>
        </w:tabs>
        <w:ind w:left="2041" w:hanging="680"/>
      </w:pPr>
      <w:rPr>
        <w:rFonts w:ascii="Symbol" w:hAnsi="Symbol" w:cs="Times New Roman" w:hint="default"/>
        <w:color w:val="auto"/>
      </w:rPr>
    </w:lvl>
    <w:lvl w:ilvl="3">
      <w:start w:val="1"/>
      <w:numFmt w:val="bullet"/>
      <w:lvlRestart w:val="0"/>
      <w:pStyle w:val="bullet4"/>
      <w:lvlText w:val=""/>
      <w:lvlJc w:val="left"/>
      <w:pPr>
        <w:tabs>
          <w:tab w:val="num" w:pos="2722"/>
        </w:tabs>
        <w:ind w:left="2722" w:hanging="681"/>
      </w:pPr>
      <w:rPr>
        <w:rFonts w:ascii="Symbol" w:hAnsi="Symbol" w:cs="Times New Roman" w:hint="default"/>
        <w:color w:val="auto"/>
      </w:rPr>
    </w:lvl>
    <w:lvl w:ilvl="4">
      <w:start w:val="1"/>
      <w:numFmt w:val="bullet"/>
      <w:lvlRestart w:val="0"/>
      <w:pStyle w:val="bullet5"/>
      <w:lvlText w:val=""/>
      <w:lvlJc w:val="left"/>
      <w:pPr>
        <w:tabs>
          <w:tab w:val="num" w:pos="3402"/>
        </w:tabs>
        <w:ind w:left="3402" w:hanging="680"/>
      </w:pPr>
      <w:rPr>
        <w:rFonts w:ascii="Symbol" w:hAnsi="Symbol" w:cs="Times New Roman" w:hint="default"/>
        <w:color w:val="auto"/>
      </w:rPr>
    </w:lvl>
    <w:lvl w:ilvl="5">
      <w:start w:val="1"/>
      <w:numFmt w:val="bullet"/>
      <w:lvlRestart w:val="0"/>
      <w:pStyle w:val="bullet6"/>
      <w:lvlText w:val=""/>
      <w:lvlJc w:val="left"/>
      <w:pPr>
        <w:tabs>
          <w:tab w:val="num" w:pos="4082"/>
        </w:tabs>
        <w:ind w:left="4082" w:hanging="680"/>
      </w:pPr>
      <w:rPr>
        <w:rFonts w:ascii="Symbol" w:hAnsi="Symbol" w:cs="Times New Roman" w:hint="default"/>
        <w:color w:val="auto"/>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55" w15:restartNumberingAfterBreak="0">
    <w:nsid w:val="7C260529"/>
    <w:multiLevelType w:val="multilevel"/>
    <w:tmpl w:val="F49C9BD6"/>
    <w:numStyleLink w:val="LLUCRoman"/>
  </w:abstractNum>
  <w:num w:numId="1">
    <w:abstractNumId w:val="45"/>
  </w:num>
  <w:num w:numId="2">
    <w:abstractNumId w:val="54"/>
  </w:num>
  <w:num w:numId="3">
    <w:abstractNumId w:val="39"/>
  </w:num>
  <w:num w:numId="4">
    <w:abstractNumId w:val="32"/>
  </w:num>
  <w:num w:numId="5">
    <w:abstractNumId w:val="43"/>
  </w:num>
  <w:num w:numId="6">
    <w:abstractNumId w:val="14"/>
  </w:num>
  <w:num w:numId="7">
    <w:abstractNumId w:val="36"/>
  </w:num>
  <w:num w:numId="8">
    <w:abstractNumId w:val="27"/>
  </w:num>
  <w:num w:numId="9">
    <w:abstractNumId w:val="51"/>
  </w:num>
  <w:num w:numId="10">
    <w:abstractNumId w:val="22"/>
  </w:num>
  <w:num w:numId="11">
    <w:abstractNumId w:val="44"/>
  </w:num>
  <w:num w:numId="12">
    <w:abstractNumId w:val="20"/>
  </w:num>
  <w:num w:numId="13">
    <w:abstractNumId w:val="47"/>
  </w:num>
  <w:num w:numId="14">
    <w:abstractNumId w:val="30"/>
  </w:num>
  <w:num w:numId="15">
    <w:abstractNumId w:val="11"/>
  </w:num>
  <w:num w:numId="16">
    <w:abstractNumId w:val="40"/>
  </w:num>
  <w:num w:numId="17">
    <w:abstractNumId w:val="17"/>
  </w:num>
  <w:num w:numId="18">
    <w:abstractNumId w:val="29"/>
  </w:num>
  <w:num w:numId="19">
    <w:abstractNumId w:val="16"/>
  </w:num>
  <w:num w:numId="20">
    <w:abstractNumId w:val="49"/>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50"/>
  </w:num>
  <w:num w:numId="32">
    <w:abstractNumId w:val="25"/>
  </w:num>
  <w:num w:numId="33">
    <w:abstractNumId w:val="34"/>
  </w:num>
  <w:num w:numId="34">
    <w:abstractNumId w:val="28"/>
  </w:num>
  <w:num w:numId="35">
    <w:abstractNumId w:val="35"/>
  </w:num>
  <w:num w:numId="36">
    <w:abstractNumId w:val="53"/>
  </w:num>
  <w:num w:numId="37">
    <w:abstractNumId w:val="18"/>
  </w:num>
  <w:num w:numId="38">
    <w:abstractNumId w:val="48"/>
  </w:num>
  <w:num w:numId="39">
    <w:abstractNumId w:val="26"/>
  </w:num>
  <w:num w:numId="40">
    <w:abstractNumId w:val="37"/>
  </w:num>
  <w:num w:numId="41">
    <w:abstractNumId w:val="41"/>
  </w:num>
  <w:num w:numId="42">
    <w:abstractNumId w:val="15"/>
  </w:num>
  <w:num w:numId="43">
    <w:abstractNumId w:val="31"/>
  </w:num>
  <w:num w:numId="44">
    <w:abstractNumId w:val="10"/>
  </w:num>
  <w:num w:numId="45">
    <w:abstractNumId w:val="46"/>
    <w:lvlOverride w:ilvl="1">
      <w:lvl w:ilvl="1">
        <w:start w:val="1"/>
        <w:numFmt w:val="lowerRoman"/>
        <w:pStyle w:val="roman2"/>
        <w:lvlText w:val="(%2)"/>
        <w:lvlJc w:val="left"/>
        <w:pPr>
          <w:tabs>
            <w:tab w:val="num" w:pos="1360"/>
          </w:tabs>
          <w:ind w:left="1360" w:hanging="680"/>
        </w:pPr>
        <w:rPr>
          <w:rFonts w:hint="default"/>
          <w:sz w:val="22"/>
          <w:szCs w:val="22"/>
        </w:rPr>
      </w:lvl>
    </w:lvlOverride>
    <w:lvlOverride w:ilvl="2">
      <w:lvl w:ilvl="2">
        <w:start w:val="1"/>
        <w:numFmt w:val="lowerRoman"/>
        <w:pStyle w:val="roman3"/>
        <w:lvlText w:val="(%3)"/>
        <w:lvlJc w:val="left"/>
        <w:pPr>
          <w:tabs>
            <w:tab w:val="num" w:pos="2040"/>
          </w:tabs>
          <w:ind w:left="2040" w:hanging="680"/>
        </w:pPr>
        <w:rPr>
          <w:rFonts w:hint="default"/>
        </w:rPr>
      </w:lvl>
    </w:lvlOverride>
  </w:num>
  <w:num w:numId="46">
    <w:abstractNumId w:val="12"/>
  </w:num>
  <w:num w:numId="47">
    <w:abstractNumId w:val="24"/>
  </w:num>
  <w:num w:numId="48">
    <w:abstractNumId w:val="19"/>
  </w:num>
  <w:num w:numId="49">
    <w:abstractNumId w:val="21"/>
  </w:num>
  <w:num w:numId="50">
    <w:abstractNumId w:val="52"/>
  </w:num>
  <w:num w:numId="51">
    <w:abstractNumId w:val="38"/>
  </w:num>
  <w:num w:numId="52">
    <w:abstractNumId w:val="55"/>
  </w:num>
  <w:num w:numId="53">
    <w:abstractNumId w:val="13"/>
  </w:num>
  <w:num w:numId="54">
    <w:abstractNumId w:val="23"/>
  </w:num>
  <w:num w:numId="55">
    <w:abstractNumId w:val="42"/>
  </w:num>
  <w:num w:numId="56">
    <w:abstractNumId w:val="33"/>
  </w:num>
  <w:num w:numId="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Moves/>
  <w:doNotTrackFormatting/>
  <w:defaultTabStop w:val="68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BusinessUnitID" w:val="LinklatersLLP"/>
    <w:docVar w:name="TMS_CultureID" w:val="English-UK"/>
    <w:docVar w:name="TMS_OfficeID" w:val="London"/>
    <w:docVar w:name="TMS_TEMPLATE_ID" w:val="HouseStyle"/>
  </w:docVars>
  <w:rsids>
    <w:rsidRoot w:val="00C30609"/>
    <w:rsid w:val="00004861"/>
    <w:rsid w:val="00011990"/>
    <w:rsid w:val="00016FAA"/>
    <w:rsid w:val="00020602"/>
    <w:rsid w:val="00021833"/>
    <w:rsid w:val="0002770F"/>
    <w:rsid w:val="00031D3B"/>
    <w:rsid w:val="00037492"/>
    <w:rsid w:val="00043A5B"/>
    <w:rsid w:val="000508EF"/>
    <w:rsid w:val="000606C3"/>
    <w:rsid w:val="00062A85"/>
    <w:rsid w:val="000665B2"/>
    <w:rsid w:val="00072B06"/>
    <w:rsid w:val="00075BA9"/>
    <w:rsid w:val="0007706F"/>
    <w:rsid w:val="00081621"/>
    <w:rsid w:val="000921C6"/>
    <w:rsid w:val="000975FF"/>
    <w:rsid w:val="000D1148"/>
    <w:rsid w:val="000D5842"/>
    <w:rsid w:val="000E5B96"/>
    <w:rsid w:val="00102204"/>
    <w:rsid w:val="00112520"/>
    <w:rsid w:val="001163CC"/>
    <w:rsid w:val="001347D2"/>
    <w:rsid w:val="00160754"/>
    <w:rsid w:val="00160AA6"/>
    <w:rsid w:val="00160DCD"/>
    <w:rsid w:val="00180F8D"/>
    <w:rsid w:val="001824E6"/>
    <w:rsid w:val="00182605"/>
    <w:rsid w:val="00185707"/>
    <w:rsid w:val="001B052B"/>
    <w:rsid w:val="001B27B2"/>
    <w:rsid w:val="001B36DA"/>
    <w:rsid w:val="001C11B0"/>
    <w:rsid w:val="001C6A07"/>
    <w:rsid w:val="001E155F"/>
    <w:rsid w:val="001E1887"/>
    <w:rsid w:val="001E5A93"/>
    <w:rsid w:val="00204823"/>
    <w:rsid w:val="002063E8"/>
    <w:rsid w:val="002111DC"/>
    <w:rsid w:val="00234887"/>
    <w:rsid w:val="00244B87"/>
    <w:rsid w:val="002538CF"/>
    <w:rsid w:val="00266BD5"/>
    <w:rsid w:val="00270EB9"/>
    <w:rsid w:val="002774DB"/>
    <w:rsid w:val="00282FCB"/>
    <w:rsid w:val="00291AD3"/>
    <w:rsid w:val="0029625F"/>
    <w:rsid w:val="002A675A"/>
    <w:rsid w:val="002A6A04"/>
    <w:rsid w:val="002B0670"/>
    <w:rsid w:val="002B2A5F"/>
    <w:rsid w:val="002B4863"/>
    <w:rsid w:val="002C7FF0"/>
    <w:rsid w:val="002D0F1F"/>
    <w:rsid w:val="002F5B77"/>
    <w:rsid w:val="003001E5"/>
    <w:rsid w:val="00304CBF"/>
    <w:rsid w:val="00317950"/>
    <w:rsid w:val="00323FE9"/>
    <w:rsid w:val="00327787"/>
    <w:rsid w:val="003427F6"/>
    <w:rsid w:val="00350E2D"/>
    <w:rsid w:val="00354012"/>
    <w:rsid w:val="003662AA"/>
    <w:rsid w:val="00370C65"/>
    <w:rsid w:val="00371183"/>
    <w:rsid w:val="00371AB7"/>
    <w:rsid w:val="003940E5"/>
    <w:rsid w:val="003A1BEE"/>
    <w:rsid w:val="003A2737"/>
    <w:rsid w:val="003A2AB7"/>
    <w:rsid w:val="003A4194"/>
    <w:rsid w:val="003A683A"/>
    <w:rsid w:val="003B0964"/>
    <w:rsid w:val="003B0B81"/>
    <w:rsid w:val="003B5970"/>
    <w:rsid w:val="003F7B2A"/>
    <w:rsid w:val="00406FFB"/>
    <w:rsid w:val="00411BA3"/>
    <w:rsid w:val="00411DF4"/>
    <w:rsid w:val="00414908"/>
    <w:rsid w:val="004205C4"/>
    <w:rsid w:val="00422BD6"/>
    <w:rsid w:val="00436BF2"/>
    <w:rsid w:val="00451E22"/>
    <w:rsid w:val="004551A4"/>
    <w:rsid w:val="004620E7"/>
    <w:rsid w:val="00474C4D"/>
    <w:rsid w:val="00485155"/>
    <w:rsid w:val="0048643A"/>
    <w:rsid w:val="00493144"/>
    <w:rsid w:val="004B2229"/>
    <w:rsid w:val="004B4CA5"/>
    <w:rsid w:val="004C18CD"/>
    <w:rsid w:val="004C1B6F"/>
    <w:rsid w:val="004C3271"/>
    <w:rsid w:val="004C5DA6"/>
    <w:rsid w:val="004C793F"/>
    <w:rsid w:val="004E2158"/>
    <w:rsid w:val="004E5469"/>
    <w:rsid w:val="00501A98"/>
    <w:rsid w:val="00502F67"/>
    <w:rsid w:val="005136B7"/>
    <w:rsid w:val="00514E78"/>
    <w:rsid w:val="005230D3"/>
    <w:rsid w:val="005256FB"/>
    <w:rsid w:val="00560845"/>
    <w:rsid w:val="00561686"/>
    <w:rsid w:val="00595D34"/>
    <w:rsid w:val="005A2501"/>
    <w:rsid w:val="005A45AF"/>
    <w:rsid w:val="005A781F"/>
    <w:rsid w:val="005D0D46"/>
    <w:rsid w:val="005E3920"/>
    <w:rsid w:val="005E4CCC"/>
    <w:rsid w:val="005F1EFF"/>
    <w:rsid w:val="005F2666"/>
    <w:rsid w:val="005F5FC6"/>
    <w:rsid w:val="005F726F"/>
    <w:rsid w:val="00606A61"/>
    <w:rsid w:val="00606BD0"/>
    <w:rsid w:val="00615F8E"/>
    <w:rsid w:val="0063150C"/>
    <w:rsid w:val="006362D6"/>
    <w:rsid w:val="00644326"/>
    <w:rsid w:val="00653618"/>
    <w:rsid w:val="006A57C9"/>
    <w:rsid w:val="006A7AEA"/>
    <w:rsid w:val="006B3D1E"/>
    <w:rsid w:val="006B4432"/>
    <w:rsid w:val="006B48F2"/>
    <w:rsid w:val="006D168C"/>
    <w:rsid w:val="006E52F9"/>
    <w:rsid w:val="006F62DC"/>
    <w:rsid w:val="00703610"/>
    <w:rsid w:val="0070783C"/>
    <w:rsid w:val="007147A3"/>
    <w:rsid w:val="00725E64"/>
    <w:rsid w:val="00726D9B"/>
    <w:rsid w:val="00727209"/>
    <w:rsid w:val="0073075E"/>
    <w:rsid w:val="0073234B"/>
    <w:rsid w:val="007504F5"/>
    <w:rsid w:val="00756867"/>
    <w:rsid w:val="00757933"/>
    <w:rsid w:val="00762743"/>
    <w:rsid w:val="00765967"/>
    <w:rsid w:val="00775F58"/>
    <w:rsid w:val="00782908"/>
    <w:rsid w:val="00791C09"/>
    <w:rsid w:val="007A03DD"/>
    <w:rsid w:val="007B17F3"/>
    <w:rsid w:val="007B1C4D"/>
    <w:rsid w:val="007B1DCC"/>
    <w:rsid w:val="007B2073"/>
    <w:rsid w:val="007B2969"/>
    <w:rsid w:val="007B2E97"/>
    <w:rsid w:val="007C2E72"/>
    <w:rsid w:val="007D1E0B"/>
    <w:rsid w:val="007E785C"/>
    <w:rsid w:val="007F5EC5"/>
    <w:rsid w:val="008328BD"/>
    <w:rsid w:val="00834AEC"/>
    <w:rsid w:val="00836E6A"/>
    <w:rsid w:val="0083739C"/>
    <w:rsid w:val="0084230F"/>
    <w:rsid w:val="008445B3"/>
    <w:rsid w:val="008843B2"/>
    <w:rsid w:val="00893677"/>
    <w:rsid w:val="008A03BE"/>
    <w:rsid w:val="008A75A3"/>
    <w:rsid w:val="008B1D97"/>
    <w:rsid w:val="008B2EBD"/>
    <w:rsid w:val="008C55B6"/>
    <w:rsid w:val="008D09B6"/>
    <w:rsid w:val="008D2E1E"/>
    <w:rsid w:val="008F362D"/>
    <w:rsid w:val="008F4889"/>
    <w:rsid w:val="008F7FAE"/>
    <w:rsid w:val="009111BE"/>
    <w:rsid w:val="00921D1B"/>
    <w:rsid w:val="0093304A"/>
    <w:rsid w:val="0093377B"/>
    <w:rsid w:val="009420B5"/>
    <w:rsid w:val="00956AFB"/>
    <w:rsid w:val="00961697"/>
    <w:rsid w:val="00977741"/>
    <w:rsid w:val="0098164B"/>
    <w:rsid w:val="00982898"/>
    <w:rsid w:val="00997762"/>
    <w:rsid w:val="00997AA5"/>
    <w:rsid w:val="009A7A10"/>
    <w:rsid w:val="009B4D1A"/>
    <w:rsid w:val="009C44A0"/>
    <w:rsid w:val="009C491F"/>
    <w:rsid w:val="009C500A"/>
    <w:rsid w:val="009E6E4C"/>
    <w:rsid w:val="009F02DB"/>
    <w:rsid w:val="00A12482"/>
    <w:rsid w:val="00A170EE"/>
    <w:rsid w:val="00A233B3"/>
    <w:rsid w:val="00A26C01"/>
    <w:rsid w:val="00A34CE2"/>
    <w:rsid w:val="00A351AA"/>
    <w:rsid w:val="00A47253"/>
    <w:rsid w:val="00A619EF"/>
    <w:rsid w:val="00A6353E"/>
    <w:rsid w:val="00A6485C"/>
    <w:rsid w:val="00A649DE"/>
    <w:rsid w:val="00A802B6"/>
    <w:rsid w:val="00A87828"/>
    <w:rsid w:val="00A90873"/>
    <w:rsid w:val="00AB1E95"/>
    <w:rsid w:val="00AB26A1"/>
    <w:rsid w:val="00AC08BF"/>
    <w:rsid w:val="00AC73A1"/>
    <w:rsid w:val="00AC7E95"/>
    <w:rsid w:val="00AD6AAC"/>
    <w:rsid w:val="00AE721F"/>
    <w:rsid w:val="00AF123F"/>
    <w:rsid w:val="00AF56D5"/>
    <w:rsid w:val="00AF69C6"/>
    <w:rsid w:val="00B02EF2"/>
    <w:rsid w:val="00B1020E"/>
    <w:rsid w:val="00B152C6"/>
    <w:rsid w:val="00B17CA9"/>
    <w:rsid w:val="00B20A88"/>
    <w:rsid w:val="00B242E7"/>
    <w:rsid w:val="00B34F24"/>
    <w:rsid w:val="00B40FF7"/>
    <w:rsid w:val="00B416FE"/>
    <w:rsid w:val="00B47E4B"/>
    <w:rsid w:val="00B510CB"/>
    <w:rsid w:val="00B614AA"/>
    <w:rsid w:val="00B71AA0"/>
    <w:rsid w:val="00B74550"/>
    <w:rsid w:val="00B77D72"/>
    <w:rsid w:val="00B87837"/>
    <w:rsid w:val="00B922A0"/>
    <w:rsid w:val="00BA0253"/>
    <w:rsid w:val="00BB0A00"/>
    <w:rsid w:val="00BB7A29"/>
    <w:rsid w:val="00BC1E1A"/>
    <w:rsid w:val="00BC5681"/>
    <w:rsid w:val="00BD1781"/>
    <w:rsid w:val="00BD1C1D"/>
    <w:rsid w:val="00BD46CC"/>
    <w:rsid w:val="00BD698B"/>
    <w:rsid w:val="00BE52B4"/>
    <w:rsid w:val="00BF116A"/>
    <w:rsid w:val="00C079A2"/>
    <w:rsid w:val="00C07CF6"/>
    <w:rsid w:val="00C24576"/>
    <w:rsid w:val="00C30609"/>
    <w:rsid w:val="00C35413"/>
    <w:rsid w:val="00C36F4B"/>
    <w:rsid w:val="00C41222"/>
    <w:rsid w:val="00C41C4F"/>
    <w:rsid w:val="00C543FE"/>
    <w:rsid w:val="00C56D76"/>
    <w:rsid w:val="00C61471"/>
    <w:rsid w:val="00C65BF9"/>
    <w:rsid w:val="00C812E8"/>
    <w:rsid w:val="00C82590"/>
    <w:rsid w:val="00C85350"/>
    <w:rsid w:val="00C870D9"/>
    <w:rsid w:val="00CB53E6"/>
    <w:rsid w:val="00CB60C1"/>
    <w:rsid w:val="00CC19E9"/>
    <w:rsid w:val="00CC592F"/>
    <w:rsid w:val="00CC639B"/>
    <w:rsid w:val="00CE27E4"/>
    <w:rsid w:val="00CE6528"/>
    <w:rsid w:val="00CF1782"/>
    <w:rsid w:val="00CF2F0B"/>
    <w:rsid w:val="00CF562E"/>
    <w:rsid w:val="00D04307"/>
    <w:rsid w:val="00D23A38"/>
    <w:rsid w:val="00D263DB"/>
    <w:rsid w:val="00D375CA"/>
    <w:rsid w:val="00D41D74"/>
    <w:rsid w:val="00D4449F"/>
    <w:rsid w:val="00D5297B"/>
    <w:rsid w:val="00D63F28"/>
    <w:rsid w:val="00D71944"/>
    <w:rsid w:val="00D7347A"/>
    <w:rsid w:val="00D750C7"/>
    <w:rsid w:val="00D87336"/>
    <w:rsid w:val="00D95AE0"/>
    <w:rsid w:val="00DB5A0B"/>
    <w:rsid w:val="00DC3A5F"/>
    <w:rsid w:val="00DD3BC6"/>
    <w:rsid w:val="00DD567D"/>
    <w:rsid w:val="00DE018B"/>
    <w:rsid w:val="00DE041E"/>
    <w:rsid w:val="00DF1CAD"/>
    <w:rsid w:val="00E02078"/>
    <w:rsid w:val="00E101A4"/>
    <w:rsid w:val="00E13E37"/>
    <w:rsid w:val="00E257C1"/>
    <w:rsid w:val="00E30A7F"/>
    <w:rsid w:val="00E323E1"/>
    <w:rsid w:val="00E34498"/>
    <w:rsid w:val="00E530C5"/>
    <w:rsid w:val="00E54804"/>
    <w:rsid w:val="00E55E44"/>
    <w:rsid w:val="00E60DEF"/>
    <w:rsid w:val="00E73220"/>
    <w:rsid w:val="00E811B1"/>
    <w:rsid w:val="00EA46A9"/>
    <w:rsid w:val="00EA56DB"/>
    <w:rsid w:val="00EB4A42"/>
    <w:rsid w:val="00EC05B9"/>
    <w:rsid w:val="00EE41BE"/>
    <w:rsid w:val="00F129CB"/>
    <w:rsid w:val="00F12D94"/>
    <w:rsid w:val="00F13A3A"/>
    <w:rsid w:val="00F17C54"/>
    <w:rsid w:val="00F22D19"/>
    <w:rsid w:val="00F235F7"/>
    <w:rsid w:val="00F26634"/>
    <w:rsid w:val="00F706E7"/>
    <w:rsid w:val="00F9718A"/>
    <w:rsid w:val="00F978CE"/>
    <w:rsid w:val="00FA701E"/>
    <w:rsid w:val="00FB0938"/>
    <w:rsid w:val="00FC273F"/>
    <w:rsid w:val="00FD7E76"/>
    <w:rsid w:val="00FE1EEA"/>
    <w:rsid w:val="00FE583B"/>
    <w:rsid w:val="00FE60EA"/>
    <w:rsid w:val="00FF2A94"/>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9299A1"/>
  <w15:chartTrackingRefBased/>
  <w15:docId w15:val="{EEC1076F-BE4D-44D7-8FB9-9DEBAACE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unhideWhenUsed="1" w:qFormat="1"/>
    <w:lsdException w:name="heading 1" w:uiPriority="0" w:unhideWhenUsed="1"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iPriority="0" w:unhideWhenUsed="1"/>
    <w:lsdException w:name="endnote reference" w:uiPriority="0" w:unhideWhenUsed="1"/>
    <w:lsdException w:name="endnote text"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609"/>
    <w:pPr>
      <w:spacing w:after="140" w:line="290" w:lineRule="auto"/>
    </w:pPr>
    <w:rPr>
      <w:rFonts w:ascii="Times New Roman" w:eastAsia="Times New Roman" w:hAnsi="Times New Roman" w:cs="Times New Roman"/>
      <w:kern w:val="20"/>
      <w:sz w:val="20"/>
      <w:szCs w:val="20"/>
    </w:rPr>
  </w:style>
  <w:style w:type="paragraph" w:styleId="Heading1">
    <w:name w:val="heading 1"/>
    <w:basedOn w:val="Normal"/>
    <w:next w:val="Normal"/>
    <w:link w:val="Heading1Char"/>
    <w:unhideWhenUsed/>
    <w:qFormat/>
    <w:rsid w:val="00411DF4"/>
    <w:pPr>
      <w:numPr>
        <w:numId w:val="33"/>
      </w:numPr>
      <w:outlineLvl w:val="0"/>
    </w:pPr>
    <w:rPr>
      <w:rFonts w:cs="Arial"/>
      <w:bCs/>
      <w:szCs w:val="32"/>
      <w:lang w:eastAsia="en-GB"/>
    </w:rPr>
  </w:style>
  <w:style w:type="paragraph" w:styleId="Heading2">
    <w:name w:val="heading 2"/>
    <w:basedOn w:val="Normal"/>
    <w:next w:val="Normal"/>
    <w:link w:val="Heading2Char"/>
    <w:unhideWhenUsed/>
    <w:qFormat/>
    <w:rsid w:val="00411DF4"/>
    <w:pPr>
      <w:numPr>
        <w:ilvl w:val="1"/>
        <w:numId w:val="33"/>
      </w:numPr>
      <w:outlineLvl w:val="1"/>
    </w:pPr>
    <w:rPr>
      <w:rFonts w:cs="Arial"/>
      <w:bCs/>
      <w:iCs/>
      <w:szCs w:val="28"/>
      <w:lang w:eastAsia="en-GB"/>
    </w:rPr>
  </w:style>
  <w:style w:type="paragraph" w:styleId="Heading3">
    <w:name w:val="heading 3"/>
    <w:basedOn w:val="Normal"/>
    <w:next w:val="Normal"/>
    <w:link w:val="Heading3Char"/>
    <w:unhideWhenUsed/>
    <w:qFormat/>
    <w:rsid w:val="00411DF4"/>
    <w:pPr>
      <w:numPr>
        <w:ilvl w:val="2"/>
        <w:numId w:val="33"/>
      </w:numPr>
      <w:outlineLvl w:val="2"/>
    </w:pPr>
    <w:rPr>
      <w:rFonts w:cs="Arial"/>
      <w:bCs/>
      <w:szCs w:val="26"/>
      <w:lang w:eastAsia="en-GB"/>
    </w:rPr>
  </w:style>
  <w:style w:type="paragraph" w:styleId="Heading4">
    <w:name w:val="heading 4"/>
    <w:basedOn w:val="Normal"/>
    <w:next w:val="Normal"/>
    <w:link w:val="Heading4Char"/>
    <w:unhideWhenUsed/>
    <w:qFormat/>
    <w:rsid w:val="00411DF4"/>
    <w:pPr>
      <w:numPr>
        <w:ilvl w:val="3"/>
        <w:numId w:val="33"/>
      </w:numPr>
      <w:outlineLvl w:val="3"/>
    </w:pPr>
    <w:rPr>
      <w:bCs/>
      <w:szCs w:val="28"/>
      <w:lang w:eastAsia="en-GB"/>
    </w:rPr>
  </w:style>
  <w:style w:type="paragraph" w:styleId="Heading5">
    <w:name w:val="heading 5"/>
    <w:basedOn w:val="Normal"/>
    <w:next w:val="Normal"/>
    <w:link w:val="Heading5Char"/>
    <w:unhideWhenUsed/>
    <w:qFormat/>
    <w:rsid w:val="00411DF4"/>
    <w:pPr>
      <w:numPr>
        <w:ilvl w:val="4"/>
        <w:numId w:val="33"/>
      </w:numPr>
      <w:outlineLvl w:val="4"/>
    </w:pPr>
    <w:rPr>
      <w:bCs/>
      <w:iCs/>
      <w:szCs w:val="26"/>
      <w:lang w:eastAsia="en-GB"/>
    </w:rPr>
  </w:style>
  <w:style w:type="paragraph" w:styleId="Heading6">
    <w:name w:val="heading 6"/>
    <w:basedOn w:val="Normal"/>
    <w:next w:val="Normal"/>
    <w:link w:val="Heading6Char"/>
    <w:unhideWhenUsed/>
    <w:qFormat/>
    <w:rsid w:val="00411DF4"/>
    <w:pPr>
      <w:numPr>
        <w:ilvl w:val="5"/>
        <w:numId w:val="33"/>
      </w:numPr>
      <w:outlineLvl w:val="5"/>
    </w:pPr>
    <w:rPr>
      <w:bCs/>
      <w:lang w:eastAsia="en-GB"/>
    </w:rPr>
  </w:style>
  <w:style w:type="paragraph" w:styleId="Heading7">
    <w:name w:val="heading 7"/>
    <w:basedOn w:val="Normal"/>
    <w:next w:val="Normal"/>
    <w:link w:val="Heading7Char"/>
    <w:unhideWhenUsed/>
    <w:qFormat/>
    <w:rsid w:val="00411DF4"/>
    <w:pPr>
      <w:numPr>
        <w:ilvl w:val="6"/>
        <w:numId w:val="33"/>
      </w:numPr>
      <w:outlineLvl w:val="6"/>
    </w:pPr>
    <w:rPr>
      <w:szCs w:val="24"/>
      <w:lang w:eastAsia="en-GB"/>
    </w:rPr>
  </w:style>
  <w:style w:type="paragraph" w:styleId="Heading8">
    <w:name w:val="heading 8"/>
    <w:basedOn w:val="Normal"/>
    <w:next w:val="Normal"/>
    <w:link w:val="Heading8Char"/>
    <w:unhideWhenUsed/>
    <w:qFormat/>
    <w:rsid w:val="00411DF4"/>
    <w:pPr>
      <w:numPr>
        <w:ilvl w:val="7"/>
        <w:numId w:val="33"/>
      </w:numPr>
      <w:outlineLvl w:val="7"/>
    </w:pPr>
    <w:rPr>
      <w:iCs/>
      <w:szCs w:val="24"/>
      <w:lang w:eastAsia="en-GB"/>
    </w:rPr>
  </w:style>
  <w:style w:type="paragraph" w:styleId="Heading9">
    <w:name w:val="heading 9"/>
    <w:basedOn w:val="Normal"/>
    <w:next w:val="Normal"/>
    <w:link w:val="Heading9Char"/>
    <w:unhideWhenUsed/>
    <w:qFormat/>
    <w:rsid w:val="00411DF4"/>
    <w:pPr>
      <w:numPr>
        <w:ilvl w:val="8"/>
        <w:numId w:val="33"/>
      </w:numPr>
      <w:outlineLvl w:val="8"/>
    </w:pPr>
    <w:rPr>
      <w:rFonts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nhideWhenUsed/>
    <w:rsid w:val="008B2EB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FSDraft">
    <w:name w:val="zFSDraft"/>
    <w:basedOn w:val="Normal"/>
    <w:uiPriority w:val="99"/>
    <w:semiHidden/>
    <w:unhideWhenUsed/>
    <w:rsid w:val="00AF69C6"/>
  </w:style>
  <w:style w:type="paragraph" w:customStyle="1" w:styleId="zFSDate">
    <w:name w:val="zFSDate"/>
    <w:basedOn w:val="Normal"/>
    <w:uiPriority w:val="99"/>
    <w:semiHidden/>
    <w:unhideWhenUsed/>
    <w:rsid w:val="00AF69C6"/>
    <w:pPr>
      <w:spacing w:before="80" w:after="80"/>
    </w:pPr>
    <w:rPr>
      <w:sz w:val="24"/>
    </w:rPr>
  </w:style>
  <w:style w:type="paragraph" w:customStyle="1" w:styleId="zFSco-names">
    <w:name w:val="zFSco-names"/>
    <w:basedOn w:val="Normal"/>
    <w:next w:val="zFSand"/>
    <w:uiPriority w:val="99"/>
    <w:semiHidden/>
    <w:unhideWhenUsed/>
    <w:rsid w:val="0093377B"/>
    <w:pPr>
      <w:spacing w:before="120" w:after="120"/>
    </w:pPr>
    <w:rPr>
      <w:rFonts w:eastAsia="SimSun"/>
      <w:color w:val="000000" w:themeColor="text1"/>
      <w:kern w:val="24"/>
      <w:sz w:val="32"/>
      <w:szCs w:val="48"/>
    </w:rPr>
  </w:style>
  <w:style w:type="paragraph" w:customStyle="1" w:styleId="zFSand">
    <w:name w:val="zFSand"/>
    <w:basedOn w:val="Normal"/>
    <w:next w:val="zFSco-names"/>
    <w:uiPriority w:val="99"/>
    <w:unhideWhenUsed/>
    <w:rsid w:val="007B17F3"/>
    <w:pPr>
      <w:spacing w:after="180"/>
    </w:pPr>
    <w:rPr>
      <w:rFonts w:eastAsia="SimSun"/>
    </w:rPr>
  </w:style>
  <w:style w:type="paragraph" w:customStyle="1" w:styleId="zFSNarrative">
    <w:name w:val="zFSNarrative"/>
    <w:basedOn w:val="Normal"/>
    <w:uiPriority w:val="99"/>
    <w:semiHidden/>
    <w:unhideWhenUsed/>
    <w:rsid w:val="00AF69C6"/>
    <w:pPr>
      <w:spacing w:before="60" w:after="60"/>
    </w:pPr>
    <w:rPr>
      <w:color w:val="000000" w:themeColor="text1"/>
      <w:sz w:val="24"/>
    </w:rPr>
  </w:style>
  <w:style w:type="paragraph" w:customStyle="1" w:styleId="zFSTitle">
    <w:name w:val="zFSTitle"/>
    <w:basedOn w:val="Normal"/>
    <w:uiPriority w:val="99"/>
    <w:semiHidden/>
    <w:unhideWhenUsed/>
    <w:rsid w:val="00AF69C6"/>
    <w:pPr>
      <w:spacing w:before="60" w:after="60"/>
    </w:pPr>
    <w:rPr>
      <w:color w:val="AF005F" w:themeColor="text2"/>
      <w:sz w:val="36"/>
      <w:szCs w:val="32"/>
    </w:rPr>
  </w:style>
  <w:style w:type="paragraph" w:customStyle="1" w:styleId="zFSAddress">
    <w:name w:val="zFSAddress"/>
    <w:basedOn w:val="Normal"/>
    <w:uiPriority w:val="99"/>
    <w:semiHidden/>
    <w:unhideWhenUsed/>
    <w:rsid w:val="00A6485C"/>
    <w:rPr>
      <w:kern w:val="16"/>
      <w:sz w:val="16"/>
    </w:rPr>
  </w:style>
  <w:style w:type="paragraph" w:customStyle="1" w:styleId="zFSTel">
    <w:name w:val="zFSTel"/>
    <w:basedOn w:val="Normal"/>
    <w:uiPriority w:val="99"/>
    <w:semiHidden/>
    <w:unhideWhenUsed/>
    <w:rsid w:val="00A6485C"/>
    <w:rPr>
      <w:kern w:val="16"/>
      <w:sz w:val="16"/>
    </w:rPr>
  </w:style>
  <w:style w:type="paragraph" w:customStyle="1" w:styleId="zFSFax">
    <w:name w:val="zFSFax"/>
    <w:basedOn w:val="Normal"/>
    <w:uiPriority w:val="99"/>
    <w:semiHidden/>
    <w:unhideWhenUsed/>
    <w:rsid w:val="00A6485C"/>
    <w:rPr>
      <w:kern w:val="16"/>
      <w:sz w:val="16"/>
    </w:rPr>
  </w:style>
  <w:style w:type="paragraph" w:customStyle="1" w:styleId="zSFRef">
    <w:name w:val="zSFRef"/>
    <w:basedOn w:val="Normal"/>
    <w:uiPriority w:val="99"/>
    <w:semiHidden/>
    <w:unhideWhenUsed/>
    <w:rsid w:val="00AF69C6"/>
    <w:rPr>
      <w:kern w:val="16"/>
      <w:sz w:val="16"/>
    </w:rPr>
  </w:style>
  <w:style w:type="paragraph" w:customStyle="1" w:styleId="zFSAddress2">
    <w:name w:val="zFSAddress2"/>
    <w:basedOn w:val="Normal"/>
    <w:uiPriority w:val="99"/>
    <w:semiHidden/>
    <w:unhideWhenUsed/>
    <w:rsid w:val="00A6485C"/>
    <w:rPr>
      <w:kern w:val="16"/>
      <w:sz w:val="16"/>
    </w:rPr>
  </w:style>
  <w:style w:type="paragraph" w:customStyle="1" w:styleId="Body">
    <w:name w:val="Body"/>
    <w:basedOn w:val="Normal"/>
    <w:rsid w:val="00BB7A29"/>
    <w:pPr>
      <w:jc w:val="both"/>
    </w:pPr>
  </w:style>
  <w:style w:type="paragraph" w:styleId="Header">
    <w:name w:val="header"/>
    <w:basedOn w:val="Normal"/>
    <w:unhideWhenUsed/>
    <w:rsid w:val="00CF1782"/>
    <w:pPr>
      <w:tabs>
        <w:tab w:val="center" w:pos="4366"/>
        <w:tab w:val="right" w:pos="8732"/>
      </w:tabs>
    </w:pPr>
    <w:rPr>
      <w:szCs w:val="24"/>
      <w:lang w:eastAsia="en-GB"/>
    </w:rPr>
  </w:style>
  <w:style w:type="character" w:customStyle="1" w:styleId="Heading1Char">
    <w:name w:val="Heading 1 Char"/>
    <w:basedOn w:val="DefaultParagraphFont"/>
    <w:link w:val="Heading1"/>
    <w:rsid w:val="00FE583B"/>
    <w:rPr>
      <w:rFonts w:ascii="Times New Roman" w:eastAsia="Times New Roman" w:hAnsi="Times New Roman" w:cs="Arial"/>
      <w:bCs/>
      <w:kern w:val="20"/>
      <w:sz w:val="20"/>
      <w:szCs w:val="32"/>
      <w:lang w:eastAsia="en-GB"/>
    </w:rPr>
  </w:style>
  <w:style w:type="paragraph" w:styleId="Footer">
    <w:name w:val="footer"/>
    <w:basedOn w:val="Normal"/>
    <w:link w:val="FooterChar"/>
    <w:unhideWhenUsed/>
    <w:rsid w:val="00606BD0"/>
    <w:pPr>
      <w:spacing w:before="120" w:after="120"/>
      <w:jc w:val="both"/>
    </w:pPr>
    <w:rPr>
      <w:sz w:val="16"/>
    </w:rPr>
  </w:style>
  <w:style w:type="character" w:customStyle="1" w:styleId="FooterChar">
    <w:name w:val="Footer Char"/>
    <w:basedOn w:val="DefaultParagraphFont"/>
    <w:link w:val="Footer"/>
    <w:rsid w:val="00FE583B"/>
    <w:rPr>
      <w:rFonts w:ascii="Arial" w:hAnsi="Arial"/>
      <w:sz w:val="16"/>
    </w:rPr>
  </w:style>
  <w:style w:type="paragraph" w:customStyle="1" w:styleId="alpha1">
    <w:name w:val="alpha 1"/>
    <w:basedOn w:val="Normal"/>
    <w:rsid w:val="00D23A38"/>
    <w:pPr>
      <w:numPr>
        <w:numId w:val="37"/>
      </w:numPr>
      <w:jc w:val="both"/>
      <w:outlineLvl w:val="0"/>
    </w:pPr>
  </w:style>
  <w:style w:type="paragraph" w:customStyle="1" w:styleId="alpha2">
    <w:name w:val="alpha 2"/>
    <w:basedOn w:val="Normal"/>
    <w:rsid w:val="00D23A38"/>
    <w:pPr>
      <w:numPr>
        <w:ilvl w:val="1"/>
        <w:numId w:val="37"/>
      </w:numPr>
      <w:jc w:val="both"/>
      <w:outlineLvl w:val="1"/>
    </w:pPr>
  </w:style>
  <w:style w:type="paragraph" w:customStyle="1" w:styleId="alpha3">
    <w:name w:val="alpha 3"/>
    <w:basedOn w:val="Normal"/>
    <w:rsid w:val="00D23A38"/>
    <w:pPr>
      <w:numPr>
        <w:ilvl w:val="2"/>
        <w:numId w:val="37"/>
      </w:numPr>
      <w:jc w:val="both"/>
      <w:outlineLvl w:val="2"/>
    </w:pPr>
  </w:style>
  <w:style w:type="paragraph" w:customStyle="1" w:styleId="alpha4">
    <w:name w:val="alpha 4"/>
    <w:basedOn w:val="Normal"/>
    <w:rsid w:val="00D23A38"/>
    <w:pPr>
      <w:numPr>
        <w:ilvl w:val="3"/>
        <w:numId w:val="37"/>
      </w:numPr>
      <w:jc w:val="both"/>
      <w:outlineLvl w:val="3"/>
    </w:pPr>
  </w:style>
  <w:style w:type="paragraph" w:customStyle="1" w:styleId="alpha5">
    <w:name w:val="alpha 5"/>
    <w:basedOn w:val="Normal"/>
    <w:rsid w:val="00D23A38"/>
    <w:pPr>
      <w:numPr>
        <w:ilvl w:val="4"/>
        <w:numId w:val="37"/>
      </w:numPr>
      <w:jc w:val="both"/>
      <w:outlineLvl w:val="4"/>
    </w:pPr>
  </w:style>
  <w:style w:type="paragraph" w:customStyle="1" w:styleId="alpha6">
    <w:name w:val="alpha 6"/>
    <w:basedOn w:val="Normal"/>
    <w:rsid w:val="00D23A38"/>
    <w:pPr>
      <w:numPr>
        <w:ilvl w:val="5"/>
        <w:numId w:val="37"/>
      </w:numPr>
      <w:jc w:val="both"/>
      <w:outlineLvl w:val="5"/>
    </w:pPr>
  </w:style>
  <w:style w:type="paragraph" w:customStyle="1" w:styleId="Body1">
    <w:name w:val="Body 1"/>
    <w:basedOn w:val="Normal"/>
    <w:rsid w:val="00BA0253"/>
    <w:pPr>
      <w:ind w:left="680"/>
      <w:jc w:val="both"/>
    </w:pPr>
  </w:style>
  <w:style w:type="paragraph" w:customStyle="1" w:styleId="Body2">
    <w:name w:val="Body 2"/>
    <w:basedOn w:val="Normal"/>
    <w:rsid w:val="00BA0253"/>
    <w:pPr>
      <w:ind w:left="680"/>
      <w:jc w:val="both"/>
    </w:pPr>
  </w:style>
  <w:style w:type="paragraph" w:customStyle="1" w:styleId="Body3">
    <w:name w:val="Body 3"/>
    <w:basedOn w:val="Normal"/>
    <w:uiPriority w:val="99"/>
    <w:rsid w:val="00BA0253"/>
    <w:pPr>
      <w:ind w:left="1361"/>
      <w:jc w:val="both"/>
    </w:pPr>
  </w:style>
  <w:style w:type="paragraph" w:customStyle="1" w:styleId="Body4">
    <w:name w:val="Body 4"/>
    <w:basedOn w:val="Normal"/>
    <w:rsid w:val="00BA0253"/>
    <w:pPr>
      <w:ind w:left="2041"/>
      <w:jc w:val="both"/>
    </w:pPr>
  </w:style>
  <w:style w:type="paragraph" w:customStyle="1" w:styleId="Body5">
    <w:name w:val="Body 5"/>
    <w:basedOn w:val="Normal"/>
    <w:rsid w:val="00BA0253"/>
    <w:pPr>
      <w:ind w:left="2722"/>
      <w:jc w:val="both"/>
    </w:pPr>
  </w:style>
  <w:style w:type="paragraph" w:customStyle="1" w:styleId="Body6">
    <w:name w:val="Body 6"/>
    <w:basedOn w:val="Normal"/>
    <w:rsid w:val="00BA0253"/>
    <w:pPr>
      <w:ind w:left="3402"/>
      <w:jc w:val="both"/>
    </w:pPr>
  </w:style>
  <w:style w:type="paragraph" w:customStyle="1" w:styleId="bullet1">
    <w:name w:val="bullet 1"/>
    <w:basedOn w:val="Normal"/>
    <w:rsid w:val="00D23A38"/>
    <w:pPr>
      <w:numPr>
        <w:numId w:val="39"/>
      </w:numPr>
      <w:jc w:val="both"/>
      <w:outlineLvl w:val="0"/>
    </w:pPr>
  </w:style>
  <w:style w:type="paragraph" w:customStyle="1" w:styleId="bullet2">
    <w:name w:val="bullet 2"/>
    <w:basedOn w:val="Normal"/>
    <w:rsid w:val="00D23A38"/>
    <w:pPr>
      <w:numPr>
        <w:ilvl w:val="1"/>
        <w:numId w:val="39"/>
      </w:numPr>
      <w:jc w:val="both"/>
      <w:outlineLvl w:val="1"/>
    </w:pPr>
  </w:style>
  <w:style w:type="paragraph" w:customStyle="1" w:styleId="bullet3">
    <w:name w:val="bullet 3"/>
    <w:basedOn w:val="Normal"/>
    <w:rsid w:val="00D23A38"/>
    <w:pPr>
      <w:numPr>
        <w:ilvl w:val="2"/>
        <w:numId w:val="39"/>
      </w:numPr>
      <w:jc w:val="both"/>
      <w:outlineLvl w:val="2"/>
    </w:pPr>
  </w:style>
  <w:style w:type="paragraph" w:customStyle="1" w:styleId="bullet4">
    <w:name w:val="bullet 4"/>
    <w:basedOn w:val="Normal"/>
    <w:rsid w:val="00D23A38"/>
    <w:pPr>
      <w:numPr>
        <w:ilvl w:val="3"/>
        <w:numId w:val="39"/>
      </w:numPr>
      <w:jc w:val="both"/>
      <w:outlineLvl w:val="3"/>
    </w:pPr>
  </w:style>
  <w:style w:type="paragraph" w:customStyle="1" w:styleId="bullet5">
    <w:name w:val="bullet 5"/>
    <w:basedOn w:val="Normal"/>
    <w:rsid w:val="00D23A38"/>
    <w:pPr>
      <w:numPr>
        <w:ilvl w:val="4"/>
        <w:numId w:val="39"/>
      </w:numPr>
      <w:jc w:val="both"/>
      <w:outlineLvl w:val="4"/>
    </w:pPr>
  </w:style>
  <w:style w:type="paragraph" w:customStyle="1" w:styleId="bullet6">
    <w:name w:val="bullet 6"/>
    <w:basedOn w:val="Normal"/>
    <w:rsid w:val="00D23A38"/>
    <w:pPr>
      <w:numPr>
        <w:ilvl w:val="5"/>
        <w:numId w:val="39"/>
      </w:numPr>
      <w:jc w:val="both"/>
      <w:outlineLvl w:val="5"/>
    </w:pPr>
  </w:style>
  <w:style w:type="paragraph" w:customStyle="1" w:styleId="CellBody">
    <w:name w:val="CellBody"/>
    <w:basedOn w:val="Normal"/>
    <w:rsid w:val="002B0670"/>
    <w:pPr>
      <w:spacing w:before="60" w:after="60"/>
      <w:jc w:val="both"/>
    </w:pPr>
    <w:rPr>
      <w:sz w:val="22"/>
      <w:szCs w:val="22"/>
    </w:rPr>
  </w:style>
  <w:style w:type="paragraph" w:customStyle="1" w:styleId="CellHead">
    <w:name w:val="CellHead"/>
    <w:basedOn w:val="Normal"/>
    <w:rsid w:val="00F978CE"/>
    <w:pPr>
      <w:keepNext/>
      <w:spacing w:before="60" w:after="60" w:line="259" w:lineRule="auto"/>
    </w:pPr>
    <w:rPr>
      <w:b/>
    </w:rPr>
  </w:style>
  <w:style w:type="paragraph" w:customStyle="1" w:styleId="dashbullet1">
    <w:name w:val="dash bullet 1"/>
    <w:basedOn w:val="Normal"/>
    <w:rsid w:val="00D23A38"/>
    <w:pPr>
      <w:numPr>
        <w:numId w:val="38"/>
      </w:numPr>
      <w:jc w:val="both"/>
      <w:outlineLvl w:val="0"/>
    </w:pPr>
  </w:style>
  <w:style w:type="paragraph" w:customStyle="1" w:styleId="dashbullet2">
    <w:name w:val="dash bullet 2"/>
    <w:basedOn w:val="Normal"/>
    <w:rsid w:val="00D23A38"/>
    <w:pPr>
      <w:numPr>
        <w:ilvl w:val="1"/>
        <w:numId w:val="38"/>
      </w:numPr>
      <w:jc w:val="both"/>
      <w:outlineLvl w:val="1"/>
    </w:pPr>
  </w:style>
  <w:style w:type="paragraph" w:customStyle="1" w:styleId="dashbullet3">
    <w:name w:val="dash bullet 3"/>
    <w:basedOn w:val="Normal"/>
    <w:rsid w:val="00D23A38"/>
    <w:pPr>
      <w:numPr>
        <w:ilvl w:val="2"/>
        <w:numId w:val="38"/>
      </w:numPr>
      <w:jc w:val="both"/>
      <w:outlineLvl w:val="2"/>
    </w:pPr>
  </w:style>
  <w:style w:type="paragraph" w:customStyle="1" w:styleId="dashbullet4">
    <w:name w:val="dash bullet 4"/>
    <w:basedOn w:val="Normal"/>
    <w:rsid w:val="00D23A38"/>
    <w:pPr>
      <w:numPr>
        <w:ilvl w:val="3"/>
        <w:numId w:val="38"/>
      </w:numPr>
      <w:jc w:val="both"/>
      <w:outlineLvl w:val="3"/>
    </w:pPr>
  </w:style>
  <w:style w:type="paragraph" w:customStyle="1" w:styleId="dashbullet5">
    <w:name w:val="dash bullet 5"/>
    <w:basedOn w:val="Normal"/>
    <w:rsid w:val="00D23A38"/>
    <w:pPr>
      <w:numPr>
        <w:ilvl w:val="4"/>
        <w:numId w:val="38"/>
      </w:numPr>
      <w:jc w:val="both"/>
      <w:outlineLvl w:val="4"/>
    </w:pPr>
  </w:style>
  <w:style w:type="paragraph" w:customStyle="1" w:styleId="dashbullet6">
    <w:name w:val="dash bullet 6"/>
    <w:basedOn w:val="Normal"/>
    <w:rsid w:val="00D23A38"/>
    <w:pPr>
      <w:numPr>
        <w:ilvl w:val="5"/>
        <w:numId w:val="38"/>
      </w:numPr>
      <w:jc w:val="both"/>
      <w:outlineLvl w:val="5"/>
    </w:pPr>
  </w:style>
  <w:style w:type="paragraph" w:customStyle="1" w:styleId="DocExCode">
    <w:name w:val="DocExCode"/>
    <w:basedOn w:val="Normal"/>
    <w:rsid w:val="0084230F"/>
    <w:pPr>
      <w:pBdr>
        <w:top w:val="single" w:sz="4" w:space="1" w:color="auto"/>
      </w:pBdr>
    </w:pPr>
    <w:rPr>
      <w:sz w:val="16"/>
    </w:rPr>
  </w:style>
  <w:style w:type="paragraph" w:customStyle="1" w:styleId="DocExCode-NoLine">
    <w:name w:val="DocExCode - No Line"/>
    <w:basedOn w:val="DocExCode"/>
    <w:rsid w:val="0084230F"/>
    <w:pPr>
      <w:pBdr>
        <w:top w:val="none" w:sz="0" w:space="0" w:color="auto"/>
      </w:pBdr>
    </w:pPr>
  </w:style>
  <w:style w:type="paragraph" w:customStyle="1" w:styleId="doublealpha">
    <w:name w:val="double alpha"/>
    <w:basedOn w:val="Normal"/>
    <w:rsid w:val="00D23A38"/>
    <w:pPr>
      <w:numPr>
        <w:numId w:val="40"/>
      </w:numPr>
      <w:jc w:val="both"/>
    </w:pPr>
  </w:style>
  <w:style w:type="paragraph" w:customStyle="1" w:styleId="engageBody">
    <w:name w:val="engage_Body"/>
    <w:basedOn w:val="Normal"/>
    <w:rsid w:val="0084230F"/>
    <w:pPr>
      <w:jc w:val="both"/>
    </w:pPr>
    <w:rPr>
      <w:sz w:val="13"/>
    </w:rPr>
  </w:style>
  <w:style w:type="paragraph" w:customStyle="1" w:styleId="engageL1">
    <w:name w:val="engage_L1"/>
    <w:basedOn w:val="Normal"/>
    <w:rsid w:val="00725E64"/>
    <w:pPr>
      <w:keepNext/>
      <w:numPr>
        <w:numId w:val="41"/>
      </w:numPr>
    </w:pPr>
    <w:rPr>
      <w:b/>
      <w:sz w:val="13"/>
    </w:rPr>
  </w:style>
  <w:style w:type="paragraph" w:customStyle="1" w:styleId="engageL2">
    <w:name w:val="engage_L2"/>
    <w:basedOn w:val="Normal"/>
    <w:qFormat/>
    <w:rsid w:val="00D23A38"/>
    <w:pPr>
      <w:numPr>
        <w:ilvl w:val="1"/>
        <w:numId w:val="41"/>
      </w:numPr>
      <w:jc w:val="both"/>
    </w:pPr>
    <w:rPr>
      <w:sz w:val="13"/>
    </w:rPr>
  </w:style>
  <w:style w:type="paragraph" w:customStyle="1" w:styleId="engageTitle">
    <w:name w:val="engage_Title"/>
    <w:basedOn w:val="Normal"/>
    <w:next w:val="engageBody"/>
    <w:rsid w:val="0084230F"/>
    <w:pPr>
      <w:spacing w:after="240"/>
      <w:jc w:val="center"/>
    </w:pPr>
    <w:rPr>
      <w:b/>
    </w:rPr>
  </w:style>
  <w:style w:type="paragraph" w:customStyle="1" w:styleId="Level1">
    <w:name w:val="Level 1"/>
    <w:basedOn w:val="Normal"/>
    <w:next w:val="Body1"/>
    <w:rsid w:val="00A170EE"/>
    <w:pPr>
      <w:keepNext/>
      <w:numPr>
        <w:numId w:val="19"/>
      </w:numPr>
      <w:spacing w:before="280"/>
      <w:jc w:val="both"/>
      <w:outlineLvl w:val="0"/>
    </w:pPr>
    <w:rPr>
      <w:b/>
      <w:bCs/>
      <w:sz w:val="22"/>
      <w:szCs w:val="32"/>
    </w:rPr>
  </w:style>
  <w:style w:type="paragraph" w:customStyle="1" w:styleId="Head">
    <w:name w:val="Head"/>
    <w:basedOn w:val="Normal"/>
    <w:next w:val="Body"/>
    <w:rsid w:val="00A802B6"/>
    <w:pPr>
      <w:keepNext/>
      <w:spacing w:before="280"/>
      <w:jc w:val="both"/>
      <w:outlineLvl w:val="0"/>
    </w:pPr>
    <w:rPr>
      <w:b/>
      <w:kern w:val="28"/>
      <w:sz w:val="23"/>
    </w:rPr>
  </w:style>
  <w:style w:type="paragraph" w:customStyle="1" w:styleId="Head1">
    <w:name w:val="Head 1"/>
    <w:basedOn w:val="Normal"/>
    <w:next w:val="Body1"/>
    <w:qFormat/>
    <w:rsid w:val="00A802B6"/>
    <w:pPr>
      <w:keepNext/>
      <w:spacing w:before="280"/>
      <w:ind w:left="680"/>
      <w:jc w:val="both"/>
      <w:outlineLvl w:val="0"/>
    </w:pPr>
    <w:rPr>
      <w:b/>
      <w:kern w:val="22"/>
      <w:sz w:val="22"/>
    </w:rPr>
  </w:style>
  <w:style w:type="paragraph" w:customStyle="1" w:styleId="Head2">
    <w:name w:val="Head 2"/>
    <w:basedOn w:val="Normal"/>
    <w:next w:val="Body3"/>
    <w:rsid w:val="00A802B6"/>
    <w:pPr>
      <w:keepNext/>
      <w:spacing w:before="280" w:after="60"/>
      <w:ind w:left="1361"/>
      <w:jc w:val="both"/>
      <w:outlineLvl w:val="1"/>
    </w:pPr>
    <w:rPr>
      <w:b/>
      <w:kern w:val="21"/>
      <w:sz w:val="21"/>
    </w:rPr>
  </w:style>
  <w:style w:type="paragraph" w:customStyle="1" w:styleId="Head3">
    <w:name w:val="Head 3"/>
    <w:basedOn w:val="Normal"/>
    <w:next w:val="Body4"/>
    <w:rsid w:val="00A802B6"/>
    <w:pPr>
      <w:keepNext/>
      <w:spacing w:before="280" w:after="40"/>
      <w:ind w:left="2041"/>
      <w:jc w:val="both"/>
      <w:outlineLvl w:val="2"/>
    </w:pPr>
    <w:rPr>
      <w:b/>
    </w:rPr>
  </w:style>
  <w:style w:type="paragraph" w:customStyle="1" w:styleId="Level2">
    <w:name w:val="Level 2"/>
    <w:basedOn w:val="Normal"/>
    <w:qFormat/>
    <w:rsid w:val="00B77D72"/>
    <w:pPr>
      <w:numPr>
        <w:ilvl w:val="1"/>
        <w:numId w:val="19"/>
      </w:numPr>
      <w:jc w:val="both"/>
      <w:outlineLvl w:val="1"/>
    </w:pPr>
    <w:rPr>
      <w:szCs w:val="28"/>
    </w:rPr>
  </w:style>
  <w:style w:type="paragraph" w:customStyle="1" w:styleId="Level3">
    <w:name w:val="Level 3"/>
    <w:basedOn w:val="Normal"/>
    <w:rsid w:val="00514E78"/>
    <w:pPr>
      <w:numPr>
        <w:ilvl w:val="2"/>
        <w:numId w:val="19"/>
      </w:numPr>
      <w:jc w:val="both"/>
      <w:outlineLvl w:val="2"/>
    </w:pPr>
    <w:rPr>
      <w:szCs w:val="28"/>
    </w:rPr>
  </w:style>
  <w:style w:type="paragraph" w:customStyle="1" w:styleId="Level4">
    <w:name w:val="Level 4"/>
    <w:basedOn w:val="Normal"/>
    <w:rsid w:val="00514E78"/>
    <w:pPr>
      <w:numPr>
        <w:ilvl w:val="3"/>
        <w:numId w:val="19"/>
      </w:numPr>
      <w:jc w:val="both"/>
      <w:outlineLvl w:val="3"/>
    </w:pPr>
  </w:style>
  <w:style w:type="paragraph" w:customStyle="1" w:styleId="Level5">
    <w:name w:val="Level 5"/>
    <w:basedOn w:val="Normal"/>
    <w:rsid w:val="00514E78"/>
    <w:pPr>
      <w:numPr>
        <w:ilvl w:val="4"/>
        <w:numId w:val="19"/>
      </w:numPr>
      <w:jc w:val="both"/>
      <w:outlineLvl w:val="4"/>
    </w:pPr>
  </w:style>
  <w:style w:type="paragraph" w:customStyle="1" w:styleId="Level6">
    <w:name w:val="Level 6"/>
    <w:basedOn w:val="Normal"/>
    <w:rsid w:val="00514E78"/>
    <w:pPr>
      <w:numPr>
        <w:ilvl w:val="5"/>
        <w:numId w:val="19"/>
      </w:numPr>
      <w:jc w:val="both"/>
      <w:outlineLvl w:val="5"/>
    </w:pPr>
  </w:style>
  <w:style w:type="paragraph" w:customStyle="1" w:styleId="Level7">
    <w:name w:val="Level 7"/>
    <w:basedOn w:val="Normal"/>
    <w:rsid w:val="00B77D72"/>
    <w:pPr>
      <w:numPr>
        <w:ilvl w:val="6"/>
        <w:numId w:val="19"/>
      </w:numPr>
      <w:jc w:val="both"/>
      <w:outlineLvl w:val="6"/>
    </w:pPr>
  </w:style>
  <w:style w:type="paragraph" w:customStyle="1" w:styleId="Level8">
    <w:name w:val="Level 8"/>
    <w:basedOn w:val="Normal"/>
    <w:rsid w:val="00514E78"/>
    <w:pPr>
      <w:numPr>
        <w:ilvl w:val="7"/>
        <w:numId w:val="19"/>
      </w:numPr>
      <w:jc w:val="both"/>
      <w:outlineLvl w:val="7"/>
    </w:pPr>
  </w:style>
  <w:style w:type="paragraph" w:customStyle="1" w:styleId="Level9">
    <w:name w:val="Level 9"/>
    <w:basedOn w:val="Normal"/>
    <w:rsid w:val="00514E78"/>
    <w:pPr>
      <w:numPr>
        <w:ilvl w:val="8"/>
        <w:numId w:val="19"/>
      </w:numPr>
      <w:jc w:val="both"/>
      <w:outlineLvl w:val="8"/>
    </w:pPr>
  </w:style>
  <w:style w:type="paragraph" w:customStyle="1" w:styleId="ListNumbers">
    <w:name w:val="List Numbers"/>
    <w:basedOn w:val="Normal"/>
    <w:rsid w:val="008B1D97"/>
    <w:pPr>
      <w:numPr>
        <w:numId w:val="42"/>
      </w:numPr>
      <w:jc w:val="both"/>
      <w:outlineLvl w:val="0"/>
    </w:pPr>
  </w:style>
  <w:style w:type="paragraph" w:customStyle="1" w:styleId="Parties">
    <w:name w:val="Parties"/>
    <w:basedOn w:val="Normal"/>
    <w:rsid w:val="008B1D97"/>
    <w:pPr>
      <w:numPr>
        <w:numId w:val="43"/>
      </w:numPr>
      <w:jc w:val="both"/>
    </w:pPr>
  </w:style>
  <w:style w:type="paragraph" w:customStyle="1" w:styleId="Recitals">
    <w:name w:val="Recitals"/>
    <w:basedOn w:val="Normal"/>
    <w:rsid w:val="008B1D97"/>
    <w:pPr>
      <w:numPr>
        <w:numId w:val="44"/>
      </w:numPr>
      <w:jc w:val="both"/>
    </w:pPr>
  </w:style>
  <w:style w:type="paragraph" w:customStyle="1" w:styleId="roman1">
    <w:name w:val="roman 1"/>
    <w:basedOn w:val="Normal"/>
    <w:rsid w:val="008B1D97"/>
    <w:pPr>
      <w:numPr>
        <w:numId w:val="45"/>
      </w:numPr>
      <w:jc w:val="both"/>
      <w:outlineLvl w:val="0"/>
    </w:pPr>
  </w:style>
  <w:style w:type="paragraph" w:customStyle="1" w:styleId="roman2">
    <w:name w:val="roman 2"/>
    <w:basedOn w:val="Normal"/>
    <w:rsid w:val="008B1D97"/>
    <w:pPr>
      <w:numPr>
        <w:ilvl w:val="1"/>
        <w:numId w:val="45"/>
      </w:numPr>
      <w:jc w:val="both"/>
      <w:outlineLvl w:val="1"/>
    </w:pPr>
  </w:style>
  <w:style w:type="paragraph" w:customStyle="1" w:styleId="roman3">
    <w:name w:val="roman 3"/>
    <w:basedOn w:val="Normal"/>
    <w:rsid w:val="008B1D97"/>
    <w:pPr>
      <w:numPr>
        <w:ilvl w:val="2"/>
        <w:numId w:val="45"/>
      </w:numPr>
      <w:jc w:val="both"/>
      <w:outlineLvl w:val="2"/>
    </w:pPr>
  </w:style>
  <w:style w:type="paragraph" w:customStyle="1" w:styleId="roman4">
    <w:name w:val="roman 4"/>
    <w:basedOn w:val="Normal"/>
    <w:rsid w:val="008B1D97"/>
    <w:pPr>
      <w:numPr>
        <w:ilvl w:val="3"/>
        <w:numId w:val="45"/>
      </w:numPr>
      <w:jc w:val="both"/>
      <w:outlineLvl w:val="3"/>
    </w:pPr>
  </w:style>
  <w:style w:type="paragraph" w:customStyle="1" w:styleId="roman5">
    <w:name w:val="roman 5"/>
    <w:basedOn w:val="Normal"/>
    <w:rsid w:val="008B1D97"/>
    <w:pPr>
      <w:numPr>
        <w:ilvl w:val="4"/>
        <w:numId w:val="45"/>
      </w:numPr>
      <w:jc w:val="both"/>
      <w:outlineLvl w:val="4"/>
    </w:pPr>
  </w:style>
  <w:style w:type="paragraph" w:customStyle="1" w:styleId="roman6">
    <w:name w:val="roman 6"/>
    <w:basedOn w:val="Normal"/>
    <w:rsid w:val="008B1D97"/>
    <w:pPr>
      <w:numPr>
        <w:ilvl w:val="5"/>
        <w:numId w:val="45"/>
      </w:numPr>
      <w:jc w:val="both"/>
      <w:outlineLvl w:val="5"/>
    </w:pPr>
  </w:style>
  <w:style w:type="paragraph" w:customStyle="1" w:styleId="SchedApps">
    <w:name w:val="Sched/Apps"/>
    <w:basedOn w:val="Normal"/>
    <w:next w:val="Body"/>
    <w:rsid w:val="00F978CE"/>
    <w:pPr>
      <w:keepNext/>
      <w:pageBreakBefore/>
      <w:spacing w:after="240"/>
      <w:jc w:val="center"/>
      <w:outlineLvl w:val="3"/>
    </w:pPr>
    <w:rPr>
      <w:b/>
      <w:kern w:val="23"/>
      <w:sz w:val="23"/>
    </w:rPr>
  </w:style>
  <w:style w:type="paragraph" w:customStyle="1" w:styleId="Schedule1">
    <w:name w:val="Schedule 1"/>
    <w:basedOn w:val="Normal"/>
    <w:rsid w:val="008B1D97"/>
    <w:pPr>
      <w:numPr>
        <w:numId w:val="46"/>
      </w:numPr>
      <w:jc w:val="both"/>
      <w:outlineLvl w:val="0"/>
    </w:pPr>
  </w:style>
  <w:style w:type="paragraph" w:customStyle="1" w:styleId="Schedule2">
    <w:name w:val="Schedule 2"/>
    <w:basedOn w:val="Normal"/>
    <w:rsid w:val="008B1D97"/>
    <w:pPr>
      <w:numPr>
        <w:ilvl w:val="1"/>
        <w:numId w:val="46"/>
      </w:numPr>
      <w:jc w:val="both"/>
      <w:outlineLvl w:val="0"/>
    </w:pPr>
  </w:style>
  <w:style w:type="paragraph" w:customStyle="1" w:styleId="Schedule3">
    <w:name w:val="Schedule 3"/>
    <w:basedOn w:val="Normal"/>
    <w:rsid w:val="008B1D97"/>
    <w:pPr>
      <w:numPr>
        <w:ilvl w:val="2"/>
        <w:numId w:val="46"/>
      </w:numPr>
      <w:jc w:val="both"/>
      <w:outlineLvl w:val="1"/>
    </w:pPr>
  </w:style>
  <w:style w:type="paragraph" w:customStyle="1" w:styleId="Schedule4">
    <w:name w:val="Schedule 4"/>
    <w:basedOn w:val="Normal"/>
    <w:rsid w:val="008B1D97"/>
    <w:pPr>
      <w:numPr>
        <w:ilvl w:val="3"/>
        <w:numId w:val="46"/>
      </w:numPr>
      <w:jc w:val="both"/>
      <w:outlineLvl w:val="2"/>
    </w:pPr>
  </w:style>
  <w:style w:type="paragraph" w:customStyle="1" w:styleId="Schedule5">
    <w:name w:val="Schedule 5"/>
    <w:basedOn w:val="Normal"/>
    <w:rsid w:val="008B1D97"/>
    <w:pPr>
      <w:numPr>
        <w:ilvl w:val="4"/>
        <w:numId w:val="46"/>
      </w:numPr>
      <w:jc w:val="both"/>
      <w:outlineLvl w:val="3"/>
    </w:pPr>
  </w:style>
  <w:style w:type="paragraph" w:customStyle="1" w:styleId="Schedule6">
    <w:name w:val="Schedule 6"/>
    <w:basedOn w:val="Normal"/>
    <w:rsid w:val="008B1D97"/>
    <w:pPr>
      <w:numPr>
        <w:ilvl w:val="5"/>
        <w:numId w:val="46"/>
      </w:numPr>
      <w:jc w:val="both"/>
      <w:outlineLvl w:val="5"/>
    </w:pPr>
  </w:style>
  <w:style w:type="paragraph" w:customStyle="1" w:styleId="ScheduleHeading">
    <w:name w:val="Schedule Heading"/>
    <w:basedOn w:val="Normal"/>
    <w:next w:val="Body"/>
    <w:rsid w:val="00180F8D"/>
    <w:pPr>
      <w:keepNext/>
      <w:pageBreakBefore/>
      <w:numPr>
        <w:numId w:val="47"/>
      </w:numPr>
      <w:spacing w:after="240"/>
      <w:jc w:val="center"/>
      <w:outlineLvl w:val="3"/>
    </w:pPr>
    <w:rPr>
      <w:b/>
      <w:kern w:val="23"/>
      <w:sz w:val="23"/>
    </w:rPr>
  </w:style>
  <w:style w:type="paragraph" w:customStyle="1" w:styleId="SubHead">
    <w:name w:val="SubHead"/>
    <w:basedOn w:val="Normal"/>
    <w:next w:val="Body"/>
    <w:rsid w:val="00A170EE"/>
    <w:pPr>
      <w:keepNext/>
      <w:spacing w:before="120" w:after="60"/>
      <w:jc w:val="both"/>
      <w:outlineLvl w:val="0"/>
    </w:pPr>
    <w:rPr>
      <w:b/>
      <w:kern w:val="21"/>
      <w:sz w:val="21"/>
    </w:rPr>
  </w:style>
  <w:style w:type="paragraph" w:customStyle="1" w:styleId="TCLevel1">
    <w:name w:val="T+C Level 1"/>
    <w:basedOn w:val="Normal"/>
    <w:next w:val="TCLevel2"/>
    <w:rsid w:val="008B1D97"/>
    <w:pPr>
      <w:keepNext/>
      <w:numPr>
        <w:numId w:val="48"/>
      </w:numPr>
      <w:spacing w:before="140"/>
      <w:jc w:val="both"/>
      <w:outlineLvl w:val="0"/>
    </w:pPr>
    <w:rPr>
      <w:b/>
    </w:rPr>
  </w:style>
  <w:style w:type="paragraph" w:customStyle="1" w:styleId="TCLevel2">
    <w:name w:val="T+C Level 2"/>
    <w:basedOn w:val="Normal"/>
    <w:rsid w:val="008B1D97"/>
    <w:pPr>
      <w:numPr>
        <w:ilvl w:val="1"/>
        <w:numId w:val="48"/>
      </w:numPr>
      <w:jc w:val="both"/>
      <w:outlineLvl w:val="1"/>
    </w:pPr>
  </w:style>
  <w:style w:type="paragraph" w:customStyle="1" w:styleId="TCLevel3">
    <w:name w:val="T+C Level 3"/>
    <w:basedOn w:val="Normal"/>
    <w:rsid w:val="008B1D97"/>
    <w:pPr>
      <w:numPr>
        <w:ilvl w:val="2"/>
        <w:numId w:val="48"/>
      </w:numPr>
      <w:jc w:val="both"/>
      <w:outlineLvl w:val="2"/>
    </w:pPr>
  </w:style>
  <w:style w:type="paragraph" w:customStyle="1" w:styleId="TCLevel4">
    <w:name w:val="T+C Level 4"/>
    <w:basedOn w:val="Normal"/>
    <w:rsid w:val="008B1D97"/>
    <w:pPr>
      <w:numPr>
        <w:ilvl w:val="3"/>
        <w:numId w:val="48"/>
      </w:numPr>
      <w:jc w:val="both"/>
      <w:outlineLvl w:val="3"/>
    </w:pPr>
  </w:style>
  <w:style w:type="paragraph" w:customStyle="1" w:styleId="Table1">
    <w:name w:val="Table 1"/>
    <w:basedOn w:val="Normal"/>
    <w:rsid w:val="008B1D97"/>
    <w:pPr>
      <w:numPr>
        <w:numId w:val="49"/>
      </w:numPr>
      <w:spacing w:before="60" w:after="60"/>
      <w:outlineLvl w:val="0"/>
    </w:pPr>
  </w:style>
  <w:style w:type="paragraph" w:customStyle="1" w:styleId="Table2">
    <w:name w:val="Table 2"/>
    <w:basedOn w:val="Normal"/>
    <w:rsid w:val="008B1D97"/>
    <w:pPr>
      <w:numPr>
        <w:ilvl w:val="1"/>
        <w:numId w:val="49"/>
      </w:numPr>
      <w:spacing w:before="60" w:after="60"/>
      <w:outlineLvl w:val="0"/>
    </w:pPr>
  </w:style>
  <w:style w:type="paragraph" w:customStyle="1" w:styleId="Table3">
    <w:name w:val="Table 3"/>
    <w:basedOn w:val="Normal"/>
    <w:rsid w:val="008B1D97"/>
    <w:pPr>
      <w:numPr>
        <w:ilvl w:val="2"/>
        <w:numId w:val="49"/>
      </w:numPr>
      <w:spacing w:before="60" w:after="60"/>
      <w:outlineLvl w:val="0"/>
    </w:pPr>
  </w:style>
  <w:style w:type="paragraph" w:customStyle="1" w:styleId="Table4">
    <w:name w:val="Table 4"/>
    <w:basedOn w:val="Normal"/>
    <w:rsid w:val="008B1D97"/>
    <w:pPr>
      <w:numPr>
        <w:ilvl w:val="3"/>
        <w:numId w:val="49"/>
      </w:numPr>
      <w:spacing w:before="60" w:after="60"/>
      <w:outlineLvl w:val="0"/>
    </w:pPr>
  </w:style>
  <w:style w:type="paragraph" w:customStyle="1" w:styleId="Table5">
    <w:name w:val="Table 5"/>
    <w:basedOn w:val="Normal"/>
    <w:rsid w:val="008B1D97"/>
    <w:pPr>
      <w:numPr>
        <w:ilvl w:val="4"/>
        <w:numId w:val="49"/>
      </w:numPr>
      <w:spacing w:before="60" w:after="60"/>
      <w:outlineLvl w:val="0"/>
    </w:pPr>
  </w:style>
  <w:style w:type="paragraph" w:customStyle="1" w:styleId="Table6">
    <w:name w:val="Table 6"/>
    <w:basedOn w:val="Normal"/>
    <w:rsid w:val="008B1D97"/>
    <w:pPr>
      <w:numPr>
        <w:ilvl w:val="5"/>
        <w:numId w:val="49"/>
      </w:numPr>
      <w:spacing w:before="60" w:after="60"/>
      <w:outlineLvl w:val="0"/>
    </w:pPr>
  </w:style>
  <w:style w:type="paragraph" w:customStyle="1" w:styleId="Tablealpha">
    <w:name w:val="Table alpha"/>
    <w:basedOn w:val="CellBody"/>
    <w:rsid w:val="008B1D97"/>
    <w:pPr>
      <w:numPr>
        <w:numId w:val="50"/>
      </w:numPr>
    </w:pPr>
  </w:style>
  <w:style w:type="paragraph" w:customStyle="1" w:styleId="Tablebullet">
    <w:name w:val="Table bullet"/>
    <w:basedOn w:val="Normal"/>
    <w:rsid w:val="00A170EE"/>
    <w:pPr>
      <w:numPr>
        <w:numId w:val="20"/>
      </w:numPr>
      <w:spacing w:before="60" w:after="60"/>
    </w:pPr>
  </w:style>
  <w:style w:type="paragraph" w:customStyle="1" w:styleId="Tableroman">
    <w:name w:val="Table roman"/>
    <w:basedOn w:val="CellBody"/>
    <w:rsid w:val="00727209"/>
    <w:pPr>
      <w:numPr>
        <w:numId w:val="56"/>
      </w:numPr>
    </w:pPr>
    <w:rPr>
      <w:rFonts w:eastAsiaTheme="minorHAnsi"/>
    </w:rPr>
  </w:style>
  <w:style w:type="paragraph" w:styleId="TOAHeading">
    <w:name w:val="toa heading"/>
    <w:basedOn w:val="Normal"/>
    <w:next w:val="Normal"/>
    <w:uiPriority w:val="99"/>
    <w:unhideWhenUsed/>
    <w:rsid w:val="00C543FE"/>
    <w:pPr>
      <w:spacing w:before="120"/>
    </w:pPr>
    <w:rPr>
      <w:rFonts w:asciiTheme="majorHAnsi" w:eastAsiaTheme="majorEastAsia" w:hAnsiTheme="majorHAnsi" w:cstheme="majorBidi"/>
      <w:b/>
      <w:bCs/>
      <w:sz w:val="24"/>
      <w:szCs w:val="24"/>
    </w:rPr>
  </w:style>
  <w:style w:type="paragraph" w:styleId="Title">
    <w:name w:val="Title"/>
    <w:basedOn w:val="Normal"/>
    <w:next w:val="Body"/>
    <w:link w:val="TitleChar"/>
    <w:unhideWhenUsed/>
    <w:rsid w:val="00F978CE"/>
    <w:pPr>
      <w:keepNext/>
      <w:spacing w:after="240"/>
      <w:jc w:val="both"/>
      <w:outlineLvl w:val="0"/>
    </w:pPr>
    <w:rPr>
      <w:rFonts w:eastAsiaTheme="majorEastAsia" w:cs="Arial"/>
      <w:b/>
      <w:kern w:val="25"/>
      <w:sz w:val="25"/>
      <w:szCs w:val="56"/>
    </w:rPr>
  </w:style>
  <w:style w:type="character" w:customStyle="1" w:styleId="TitleChar">
    <w:name w:val="Title Char"/>
    <w:basedOn w:val="DefaultParagraphFont"/>
    <w:link w:val="Title"/>
    <w:rsid w:val="00FE583B"/>
    <w:rPr>
      <w:rFonts w:ascii="Arial" w:eastAsiaTheme="majorEastAsia" w:hAnsi="Arial" w:cs="Arial"/>
      <w:b/>
      <w:kern w:val="25"/>
      <w:sz w:val="25"/>
      <w:szCs w:val="56"/>
    </w:rPr>
  </w:style>
  <w:style w:type="paragraph" w:styleId="TOC1">
    <w:name w:val="toc 1"/>
    <w:basedOn w:val="Normal"/>
    <w:next w:val="Body"/>
    <w:unhideWhenUsed/>
    <w:rsid w:val="009C500A"/>
    <w:pPr>
      <w:spacing w:before="280"/>
    </w:pPr>
    <w:rPr>
      <w:szCs w:val="24"/>
      <w:lang w:eastAsia="en-GB"/>
    </w:rPr>
  </w:style>
  <w:style w:type="paragraph" w:styleId="TOC2">
    <w:name w:val="toc 2"/>
    <w:basedOn w:val="Normal"/>
    <w:next w:val="Body"/>
    <w:unhideWhenUsed/>
    <w:rsid w:val="009C500A"/>
    <w:pPr>
      <w:spacing w:before="280"/>
    </w:pPr>
    <w:rPr>
      <w:szCs w:val="24"/>
      <w:lang w:eastAsia="en-GB"/>
    </w:rPr>
  </w:style>
  <w:style w:type="paragraph" w:styleId="TOC3">
    <w:name w:val="toc 3"/>
    <w:basedOn w:val="Normal"/>
    <w:next w:val="Body"/>
    <w:unhideWhenUsed/>
    <w:rsid w:val="009C500A"/>
    <w:pPr>
      <w:spacing w:before="280"/>
      <w:ind w:left="680"/>
    </w:pPr>
    <w:rPr>
      <w:szCs w:val="24"/>
      <w:lang w:eastAsia="en-GB"/>
    </w:rPr>
  </w:style>
  <w:style w:type="paragraph" w:styleId="TOC4">
    <w:name w:val="toc 4"/>
    <w:basedOn w:val="Normal"/>
    <w:next w:val="Body"/>
    <w:unhideWhenUsed/>
    <w:rsid w:val="009C500A"/>
    <w:pPr>
      <w:spacing w:before="280"/>
      <w:ind w:left="680"/>
    </w:pPr>
    <w:rPr>
      <w:szCs w:val="24"/>
      <w:lang w:eastAsia="en-GB"/>
    </w:rPr>
  </w:style>
  <w:style w:type="paragraph" w:styleId="TOC5">
    <w:name w:val="toc 5"/>
    <w:basedOn w:val="Normal"/>
    <w:next w:val="Body"/>
    <w:unhideWhenUsed/>
    <w:rsid w:val="009C500A"/>
    <w:rPr>
      <w:szCs w:val="24"/>
      <w:lang w:eastAsia="en-GB"/>
    </w:rPr>
  </w:style>
  <w:style w:type="paragraph" w:styleId="TOC6">
    <w:name w:val="toc 6"/>
    <w:basedOn w:val="Normal"/>
    <w:next w:val="Body"/>
    <w:unhideWhenUsed/>
    <w:rsid w:val="009C500A"/>
    <w:rPr>
      <w:szCs w:val="24"/>
      <w:lang w:eastAsia="en-GB"/>
    </w:rPr>
  </w:style>
  <w:style w:type="paragraph" w:styleId="TOC7">
    <w:name w:val="toc 7"/>
    <w:basedOn w:val="Normal"/>
    <w:next w:val="Body"/>
    <w:unhideWhenUsed/>
    <w:rsid w:val="009C500A"/>
    <w:rPr>
      <w:szCs w:val="24"/>
      <w:lang w:eastAsia="en-GB"/>
    </w:rPr>
  </w:style>
  <w:style w:type="paragraph" w:styleId="TOC8">
    <w:name w:val="toc 8"/>
    <w:basedOn w:val="Normal"/>
    <w:next w:val="Body"/>
    <w:unhideWhenUsed/>
    <w:rsid w:val="009C500A"/>
    <w:rPr>
      <w:szCs w:val="24"/>
      <w:lang w:eastAsia="en-GB"/>
    </w:rPr>
  </w:style>
  <w:style w:type="paragraph" w:styleId="TOC9">
    <w:name w:val="toc 9"/>
    <w:basedOn w:val="Normal"/>
    <w:next w:val="Body"/>
    <w:unhideWhenUsed/>
    <w:rsid w:val="009C500A"/>
    <w:rPr>
      <w:szCs w:val="24"/>
      <w:lang w:eastAsia="en-GB"/>
    </w:rPr>
  </w:style>
  <w:style w:type="paragraph" w:customStyle="1" w:styleId="UCAlpha1">
    <w:name w:val="UCAlpha 1"/>
    <w:basedOn w:val="Normal"/>
    <w:rsid w:val="00A34CE2"/>
    <w:pPr>
      <w:numPr>
        <w:numId w:val="51"/>
      </w:numPr>
      <w:jc w:val="both"/>
      <w:outlineLvl w:val="0"/>
    </w:pPr>
  </w:style>
  <w:style w:type="paragraph" w:customStyle="1" w:styleId="UCAlpha2">
    <w:name w:val="UCAlpha 2"/>
    <w:basedOn w:val="Normal"/>
    <w:rsid w:val="00A34CE2"/>
    <w:pPr>
      <w:numPr>
        <w:ilvl w:val="1"/>
        <w:numId w:val="51"/>
      </w:numPr>
      <w:jc w:val="both"/>
      <w:outlineLvl w:val="1"/>
    </w:pPr>
  </w:style>
  <w:style w:type="paragraph" w:customStyle="1" w:styleId="UCAlpha3">
    <w:name w:val="UCAlpha 3"/>
    <w:basedOn w:val="Normal"/>
    <w:rsid w:val="00A34CE2"/>
    <w:pPr>
      <w:numPr>
        <w:ilvl w:val="2"/>
        <w:numId w:val="51"/>
      </w:numPr>
      <w:jc w:val="both"/>
      <w:outlineLvl w:val="2"/>
    </w:pPr>
  </w:style>
  <w:style w:type="paragraph" w:customStyle="1" w:styleId="UCAlpha4">
    <w:name w:val="UCAlpha 4"/>
    <w:basedOn w:val="Normal"/>
    <w:rsid w:val="00A34CE2"/>
    <w:pPr>
      <w:numPr>
        <w:ilvl w:val="3"/>
        <w:numId w:val="51"/>
      </w:numPr>
      <w:jc w:val="both"/>
      <w:outlineLvl w:val="3"/>
    </w:pPr>
  </w:style>
  <w:style w:type="paragraph" w:customStyle="1" w:styleId="UCAlpha5">
    <w:name w:val="UCAlpha 5"/>
    <w:basedOn w:val="Normal"/>
    <w:rsid w:val="00A34CE2"/>
    <w:pPr>
      <w:numPr>
        <w:ilvl w:val="4"/>
        <w:numId w:val="51"/>
      </w:numPr>
      <w:jc w:val="both"/>
      <w:outlineLvl w:val="4"/>
    </w:pPr>
  </w:style>
  <w:style w:type="paragraph" w:customStyle="1" w:styleId="UCAlpha6">
    <w:name w:val="UCAlpha 6"/>
    <w:basedOn w:val="Normal"/>
    <w:rsid w:val="00A34CE2"/>
    <w:pPr>
      <w:numPr>
        <w:ilvl w:val="5"/>
        <w:numId w:val="51"/>
      </w:numPr>
      <w:jc w:val="both"/>
      <w:outlineLvl w:val="5"/>
    </w:pPr>
  </w:style>
  <w:style w:type="paragraph" w:customStyle="1" w:styleId="UCRoman1">
    <w:name w:val="UCRoman 1"/>
    <w:basedOn w:val="Normal"/>
    <w:rsid w:val="00A34CE2"/>
    <w:pPr>
      <w:numPr>
        <w:numId w:val="52"/>
      </w:numPr>
      <w:jc w:val="both"/>
      <w:outlineLvl w:val="0"/>
    </w:pPr>
  </w:style>
  <w:style w:type="paragraph" w:customStyle="1" w:styleId="UCRoman2">
    <w:name w:val="UCRoman 2"/>
    <w:basedOn w:val="Normal"/>
    <w:rsid w:val="00A34CE2"/>
    <w:pPr>
      <w:numPr>
        <w:ilvl w:val="1"/>
        <w:numId w:val="52"/>
      </w:numPr>
      <w:jc w:val="both"/>
      <w:outlineLvl w:val="1"/>
    </w:pPr>
  </w:style>
  <w:style w:type="paragraph" w:customStyle="1" w:styleId="UCRoman3">
    <w:name w:val="UCRoman 3"/>
    <w:basedOn w:val="Normal"/>
    <w:rsid w:val="00A34CE2"/>
    <w:pPr>
      <w:numPr>
        <w:ilvl w:val="2"/>
        <w:numId w:val="52"/>
      </w:numPr>
      <w:jc w:val="both"/>
      <w:outlineLvl w:val="2"/>
    </w:pPr>
  </w:style>
  <w:style w:type="paragraph" w:customStyle="1" w:styleId="UCRoman4">
    <w:name w:val="UCRoman 4"/>
    <w:basedOn w:val="Normal"/>
    <w:rsid w:val="00A34CE2"/>
    <w:pPr>
      <w:numPr>
        <w:ilvl w:val="3"/>
        <w:numId w:val="52"/>
      </w:numPr>
      <w:jc w:val="both"/>
      <w:outlineLvl w:val="3"/>
    </w:pPr>
  </w:style>
  <w:style w:type="paragraph" w:customStyle="1" w:styleId="UCRoman5">
    <w:name w:val="UCRoman 5"/>
    <w:basedOn w:val="Normal"/>
    <w:rsid w:val="00A34CE2"/>
    <w:pPr>
      <w:numPr>
        <w:ilvl w:val="4"/>
        <w:numId w:val="52"/>
      </w:numPr>
      <w:jc w:val="both"/>
      <w:outlineLvl w:val="4"/>
    </w:pPr>
  </w:style>
  <w:style w:type="paragraph" w:customStyle="1" w:styleId="UCRoman6">
    <w:name w:val="UCRoman 6"/>
    <w:basedOn w:val="Normal"/>
    <w:rsid w:val="00A34CE2"/>
    <w:pPr>
      <w:numPr>
        <w:ilvl w:val="5"/>
        <w:numId w:val="52"/>
      </w:numPr>
      <w:jc w:val="both"/>
      <w:outlineLvl w:val="5"/>
    </w:pPr>
  </w:style>
  <w:style w:type="paragraph" w:styleId="FootnoteText">
    <w:name w:val="footnote text"/>
    <w:basedOn w:val="Normal"/>
    <w:link w:val="FootnoteTextChar"/>
    <w:unhideWhenUsed/>
    <w:qFormat/>
    <w:rsid w:val="00606BD0"/>
    <w:pPr>
      <w:spacing w:after="60" w:line="200" w:lineRule="atLeast"/>
      <w:ind w:left="227" w:hanging="227"/>
      <w:jc w:val="both"/>
    </w:pPr>
    <w:rPr>
      <w:sz w:val="16"/>
    </w:rPr>
  </w:style>
  <w:style w:type="character" w:customStyle="1" w:styleId="FootnoteTextChar">
    <w:name w:val="Footnote Text Char"/>
    <w:basedOn w:val="DefaultParagraphFont"/>
    <w:link w:val="FootnoteText"/>
    <w:rsid w:val="00FE583B"/>
    <w:rPr>
      <w:rFonts w:ascii="Arial" w:hAnsi="Arial"/>
      <w:sz w:val="16"/>
      <w:szCs w:val="20"/>
    </w:rPr>
  </w:style>
  <w:style w:type="paragraph" w:customStyle="1" w:styleId="zFSAmount">
    <w:name w:val="zFSAmount"/>
    <w:basedOn w:val="Normal"/>
    <w:semiHidden/>
    <w:unhideWhenUsed/>
    <w:rsid w:val="002D0F1F"/>
    <w:pPr>
      <w:spacing w:before="800"/>
      <w:jc w:val="center"/>
    </w:pPr>
    <w:rPr>
      <w:i/>
    </w:rPr>
  </w:style>
  <w:style w:type="paragraph" w:customStyle="1" w:styleId="zFSDescription">
    <w:name w:val="zFSDescription"/>
    <w:basedOn w:val="Normal"/>
    <w:semiHidden/>
    <w:unhideWhenUsed/>
    <w:rsid w:val="002D0F1F"/>
    <w:pPr>
      <w:jc w:val="center"/>
    </w:pPr>
    <w:rPr>
      <w:i/>
      <w:caps/>
    </w:rPr>
  </w:style>
  <w:style w:type="paragraph" w:customStyle="1" w:styleId="zFSFooter">
    <w:name w:val="zFSFooter"/>
    <w:basedOn w:val="Normal"/>
    <w:semiHidden/>
    <w:unhideWhenUsed/>
    <w:rsid w:val="002D0F1F"/>
    <w:pPr>
      <w:tabs>
        <w:tab w:val="left" w:pos="6521"/>
      </w:tabs>
      <w:spacing w:after="40"/>
    </w:pPr>
    <w:rPr>
      <w:sz w:val="16"/>
    </w:rPr>
  </w:style>
  <w:style w:type="paragraph" w:customStyle="1" w:styleId="zFSNameofDoc">
    <w:name w:val="zFSNameofDoc"/>
    <w:basedOn w:val="Body"/>
    <w:semiHidden/>
    <w:unhideWhenUsed/>
    <w:rsid w:val="002D0F1F"/>
    <w:pPr>
      <w:spacing w:before="300" w:after="400"/>
      <w:jc w:val="center"/>
    </w:pPr>
    <w:rPr>
      <w:caps/>
    </w:rPr>
  </w:style>
  <w:style w:type="numbering" w:customStyle="1" w:styleId="LLalpha">
    <w:name w:val="LL_alpha"/>
    <w:uiPriority w:val="99"/>
    <w:rsid w:val="00D23A38"/>
    <w:pPr>
      <w:numPr>
        <w:numId w:val="1"/>
      </w:numPr>
    </w:pPr>
  </w:style>
  <w:style w:type="numbering" w:customStyle="1" w:styleId="LLbullet">
    <w:name w:val="LL_bullet"/>
    <w:uiPriority w:val="99"/>
    <w:rsid w:val="00D23A38"/>
    <w:pPr>
      <w:numPr>
        <w:numId w:val="2"/>
      </w:numPr>
    </w:pPr>
  </w:style>
  <w:style w:type="numbering" w:customStyle="1" w:styleId="LLdashbullet">
    <w:name w:val="LL_dash bullet"/>
    <w:uiPriority w:val="99"/>
    <w:rsid w:val="00D23A38"/>
    <w:pPr>
      <w:numPr>
        <w:numId w:val="3"/>
      </w:numPr>
    </w:pPr>
  </w:style>
  <w:style w:type="numbering" w:customStyle="1" w:styleId="LLdoublealpha">
    <w:name w:val="LL_double alpha"/>
    <w:uiPriority w:val="99"/>
    <w:rsid w:val="00D23A38"/>
    <w:pPr>
      <w:numPr>
        <w:numId w:val="4"/>
      </w:numPr>
    </w:pPr>
  </w:style>
  <w:style w:type="numbering" w:customStyle="1" w:styleId="LLengage">
    <w:name w:val="LL_engage"/>
    <w:uiPriority w:val="99"/>
    <w:rsid w:val="00D23A38"/>
    <w:pPr>
      <w:numPr>
        <w:numId w:val="5"/>
      </w:numPr>
    </w:pPr>
  </w:style>
  <w:style w:type="numbering" w:customStyle="1" w:styleId="LLLevel">
    <w:name w:val="LL_Level"/>
    <w:uiPriority w:val="99"/>
    <w:rsid w:val="00514E78"/>
    <w:pPr>
      <w:numPr>
        <w:numId w:val="6"/>
      </w:numPr>
    </w:pPr>
  </w:style>
  <w:style w:type="numbering" w:customStyle="1" w:styleId="LLListNumbers">
    <w:name w:val="LL_List Numbers"/>
    <w:uiPriority w:val="99"/>
    <w:rsid w:val="008B1D97"/>
    <w:pPr>
      <w:numPr>
        <w:numId w:val="7"/>
      </w:numPr>
    </w:pPr>
  </w:style>
  <w:style w:type="numbering" w:customStyle="1" w:styleId="LLParties">
    <w:name w:val="LL_Parties"/>
    <w:uiPriority w:val="99"/>
    <w:rsid w:val="008B1D97"/>
    <w:pPr>
      <w:numPr>
        <w:numId w:val="8"/>
      </w:numPr>
    </w:pPr>
  </w:style>
  <w:style w:type="numbering" w:customStyle="1" w:styleId="LLRecitals">
    <w:name w:val="LL_Recitals"/>
    <w:uiPriority w:val="99"/>
    <w:rsid w:val="008B1D97"/>
    <w:pPr>
      <w:numPr>
        <w:numId w:val="9"/>
      </w:numPr>
    </w:pPr>
  </w:style>
  <w:style w:type="numbering" w:customStyle="1" w:styleId="LLroman">
    <w:name w:val="LL_roman"/>
    <w:uiPriority w:val="99"/>
    <w:rsid w:val="008B1D97"/>
    <w:pPr>
      <w:numPr>
        <w:numId w:val="10"/>
      </w:numPr>
    </w:pPr>
  </w:style>
  <w:style w:type="numbering" w:customStyle="1" w:styleId="LLSchedule">
    <w:name w:val="LL_Schedule"/>
    <w:uiPriority w:val="99"/>
    <w:rsid w:val="008B1D97"/>
    <w:pPr>
      <w:numPr>
        <w:numId w:val="11"/>
      </w:numPr>
    </w:pPr>
  </w:style>
  <w:style w:type="numbering" w:customStyle="1" w:styleId="LLTC">
    <w:name w:val="LL_T+C"/>
    <w:uiPriority w:val="99"/>
    <w:rsid w:val="008B1D97"/>
    <w:pPr>
      <w:numPr>
        <w:numId w:val="12"/>
      </w:numPr>
    </w:pPr>
  </w:style>
  <w:style w:type="numbering" w:customStyle="1" w:styleId="LLTable">
    <w:name w:val="LL_Table"/>
    <w:uiPriority w:val="99"/>
    <w:rsid w:val="008B1D97"/>
    <w:pPr>
      <w:numPr>
        <w:numId w:val="13"/>
      </w:numPr>
    </w:pPr>
  </w:style>
  <w:style w:type="numbering" w:customStyle="1" w:styleId="LLTablealpha">
    <w:name w:val="LL_Table alpha"/>
    <w:uiPriority w:val="99"/>
    <w:rsid w:val="008B1D97"/>
    <w:pPr>
      <w:numPr>
        <w:numId w:val="14"/>
      </w:numPr>
    </w:pPr>
  </w:style>
  <w:style w:type="numbering" w:customStyle="1" w:styleId="LLTablebullet">
    <w:name w:val="LL_Table bullet"/>
    <w:uiPriority w:val="99"/>
    <w:rsid w:val="00A170EE"/>
    <w:pPr>
      <w:numPr>
        <w:numId w:val="15"/>
      </w:numPr>
    </w:pPr>
  </w:style>
  <w:style w:type="numbering" w:customStyle="1" w:styleId="LLTableroman">
    <w:name w:val="LL_Table roman"/>
    <w:uiPriority w:val="99"/>
    <w:rsid w:val="00727209"/>
    <w:pPr>
      <w:numPr>
        <w:numId w:val="55"/>
      </w:numPr>
    </w:pPr>
  </w:style>
  <w:style w:type="numbering" w:customStyle="1" w:styleId="LLTOC">
    <w:name w:val="LL_TOC"/>
    <w:uiPriority w:val="99"/>
    <w:rsid w:val="006A7AEA"/>
    <w:pPr>
      <w:numPr>
        <w:numId w:val="16"/>
      </w:numPr>
    </w:pPr>
  </w:style>
  <w:style w:type="numbering" w:customStyle="1" w:styleId="LLUCAlpha">
    <w:name w:val="LL_UCAlpha"/>
    <w:uiPriority w:val="99"/>
    <w:rsid w:val="00A34CE2"/>
    <w:pPr>
      <w:numPr>
        <w:numId w:val="17"/>
      </w:numPr>
    </w:pPr>
  </w:style>
  <w:style w:type="numbering" w:customStyle="1" w:styleId="LLUCRoman">
    <w:name w:val="LL_UCRoman"/>
    <w:uiPriority w:val="99"/>
    <w:rsid w:val="00A34CE2"/>
    <w:pPr>
      <w:numPr>
        <w:numId w:val="18"/>
      </w:numPr>
    </w:pPr>
  </w:style>
  <w:style w:type="character" w:customStyle="1" w:styleId="zTokyoLogoCaption">
    <w:name w:val="zTokyoLogoCaption"/>
    <w:semiHidden/>
    <w:unhideWhenUsed/>
    <w:rsid w:val="00DB5A0B"/>
    <w:rPr>
      <w:rFonts w:ascii="MS Mincho" w:hAnsi="Arial" w:cs="Times New Roman"/>
      <w:sz w:val="13"/>
    </w:rPr>
  </w:style>
  <w:style w:type="character" w:customStyle="1" w:styleId="zTokyoLogoCaption2">
    <w:name w:val="zTokyoLogoCaption2"/>
    <w:semiHidden/>
    <w:unhideWhenUsed/>
    <w:rsid w:val="00DB5A0B"/>
    <w:rPr>
      <w:rFonts w:ascii="MS Mincho" w:hAnsi="Arial" w:cs="Times New Roman"/>
      <w:sz w:val="16"/>
    </w:rPr>
  </w:style>
  <w:style w:type="character" w:customStyle="1" w:styleId="Heading2Char">
    <w:name w:val="Heading 2 Char"/>
    <w:basedOn w:val="DefaultParagraphFont"/>
    <w:link w:val="Heading2"/>
    <w:rsid w:val="00FE583B"/>
    <w:rPr>
      <w:rFonts w:ascii="Times New Roman" w:eastAsia="Times New Roman" w:hAnsi="Times New Roman" w:cs="Arial"/>
      <w:bCs/>
      <w:iCs/>
      <w:kern w:val="20"/>
      <w:sz w:val="20"/>
      <w:szCs w:val="28"/>
      <w:lang w:eastAsia="en-GB"/>
    </w:rPr>
  </w:style>
  <w:style w:type="character" w:customStyle="1" w:styleId="Heading3Char">
    <w:name w:val="Heading 3 Char"/>
    <w:basedOn w:val="DefaultParagraphFont"/>
    <w:link w:val="Heading3"/>
    <w:rsid w:val="00FE583B"/>
    <w:rPr>
      <w:rFonts w:ascii="Times New Roman" w:eastAsia="Times New Roman" w:hAnsi="Times New Roman" w:cs="Arial"/>
      <w:bCs/>
      <w:kern w:val="20"/>
      <w:sz w:val="20"/>
      <w:szCs w:val="26"/>
      <w:lang w:eastAsia="en-GB"/>
    </w:rPr>
  </w:style>
  <w:style w:type="character" w:customStyle="1" w:styleId="Heading4Char">
    <w:name w:val="Heading 4 Char"/>
    <w:basedOn w:val="DefaultParagraphFont"/>
    <w:link w:val="Heading4"/>
    <w:rsid w:val="00FE583B"/>
    <w:rPr>
      <w:rFonts w:ascii="Times New Roman" w:eastAsia="Times New Roman" w:hAnsi="Times New Roman" w:cs="Times New Roman"/>
      <w:bCs/>
      <w:kern w:val="20"/>
      <w:sz w:val="20"/>
      <w:szCs w:val="28"/>
      <w:lang w:eastAsia="en-GB"/>
    </w:rPr>
  </w:style>
  <w:style w:type="character" w:customStyle="1" w:styleId="Heading5Char">
    <w:name w:val="Heading 5 Char"/>
    <w:basedOn w:val="DefaultParagraphFont"/>
    <w:link w:val="Heading5"/>
    <w:rsid w:val="00FE583B"/>
    <w:rPr>
      <w:rFonts w:ascii="Times New Roman" w:eastAsia="Times New Roman" w:hAnsi="Times New Roman" w:cs="Times New Roman"/>
      <w:bCs/>
      <w:iCs/>
      <w:kern w:val="20"/>
      <w:sz w:val="20"/>
      <w:szCs w:val="26"/>
      <w:lang w:eastAsia="en-GB"/>
    </w:rPr>
  </w:style>
  <w:style w:type="character" w:customStyle="1" w:styleId="Heading6Char">
    <w:name w:val="Heading 6 Char"/>
    <w:basedOn w:val="DefaultParagraphFont"/>
    <w:link w:val="Heading6"/>
    <w:rsid w:val="00FE583B"/>
    <w:rPr>
      <w:rFonts w:ascii="Times New Roman" w:eastAsia="Times New Roman" w:hAnsi="Times New Roman" w:cs="Times New Roman"/>
      <w:bCs/>
      <w:kern w:val="20"/>
      <w:sz w:val="20"/>
      <w:szCs w:val="20"/>
      <w:lang w:eastAsia="en-GB"/>
    </w:rPr>
  </w:style>
  <w:style w:type="character" w:customStyle="1" w:styleId="Heading7Char">
    <w:name w:val="Heading 7 Char"/>
    <w:basedOn w:val="DefaultParagraphFont"/>
    <w:link w:val="Heading7"/>
    <w:rsid w:val="00FE583B"/>
    <w:rPr>
      <w:rFonts w:ascii="Times New Roman" w:eastAsia="Times New Roman" w:hAnsi="Times New Roman" w:cs="Times New Roman"/>
      <w:kern w:val="20"/>
      <w:sz w:val="20"/>
      <w:szCs w:val="24"/>
      <w:lang w:eastAsia="en-GB"/>
    </w:rPr>
  </w:style>
  <w:style w:type="character" w:customStyle="1" w:styleId="Heading8Char">
    <w:name w:val="Heading 8 Char"/>
    <w:basedOn w:val="DefaultParagraphFont"/>
    <w:link w:val="Heading8"/>
    <w:rsid w:val="00FE583B"/>
    <w:rPr>
      <w:rFonts w:ascii="Times New Roman" w:eastAsia="Times New Roman" w:hAnsi="Times New Roman" w:cs="Times New Roman"/>
      <w:iCs/>
      <w:kern w:val="20"/>
      <w:sz w:val="20"/>
      <w:szCs w:val="24"/>
      <w:lang w:eastAsia="en-GB"/>
    </w:rPr>
  </w:style>
  <w:style w:type="character" w:customStyle="1" w:styleId="Heading9Char">
    <w:name w:val="Heading 9 Char"/>
    <w:basedOn w:val="DefaultParagraphFont"/>
    <w:link w:val="Heading9"/>
    <w:rsid w:val="00FE583B"/>
    <w:rPr>
      <w:rFonts w:ascii="Times New Roman" w:eastAsia="Times New Roman" w:hAnsi="Times New Roman" w:cs="Arial"/>
      <w:kern w:val="20"/>
      <w:sz w:val="20"/>
      <w:szCs w:val="20"/>
      <w:lang w:eastAsia="en-GB"/>
    </w:rPr>
  </w:style>
  <w:style w:type="numbering" w:styleId="111111">
    <w:name w:val="Outline List 2"/>
    <w:basedOn w:val="NoList"/>
    <w:uiPriority w:val="99"/>
    <w:semiHidden/>
    <w:unhideWhenUsed/>
    <w:rsid w:val="00F978CE"/>
    <w:pPr>
      <w:numPr>
        <w:numId w:val="31"/>
      </w:numPr>
    </w:pPr>
  </w:style>
  <w:style w:type="numbering" w:styleId="1ai">
    <w:name w:val="Outline List 1"/>
    <w:basedOn w:val="NoList"/>
    <w:uiPriority w:val="99"/>
    <w:semiHidden/>
    <w:unhideWhenUsed/>
    <w:rsid w:val="00F978CE"/>
    <w:pPr>
      <w:numPr>
        <w:numId w:val="32"/>
      </w:numPr>
    </w:pPr>
  </w:style>
  <w:style w:type="numbering" w:styleId="ArticleSection">
    <w:name w:val="Outline List 3"/>
    <w:basedOn w:val="NoList"/>
    <w:uiPriority w:val="99"/>
    <w:semiHidden/>
    <w:unhideWhenUsed/>
    <w:rsid w:val="00F978CE"/>
    <w:pPr>
      <w:numPr>
        <w:numId w:val="33"/>
      </w:numPr>
    </w:pPr>
  </w:style>
  <w:style w:type="paragraph" w:styleId="BalloonText">
    <w:name w:val="Balloon Text"/>
    <w:basedOn w:val="Normal"/>
    <w:link w:val="BalloonTextChar"/>
    <w:uiPriority w:val="99"/>
    <w:unhideWhenUsed/>
    <w:rsid w:val="00F978CE"/>
    <w:rPr>
      <w:rFonts w:ascii="Segoe UI" w:hAnsi="Segoe UI" w:cs="Segoe UI"/>
      <w:sz w:val="18"/>
      <w:szCs w:val="18"/>
    </w:rPr>
  </w:style>
  <w:style w:type="character" w:customStyle="1" w:styleId="BalloonTextChar">
    <w:name w:val="Balloon Text Char"/>
    <w:basedOn w:val="DefaultParagraphFont"/>
    <w:link w:val="BalloonText"/>
    <w:uiPriority w:val="99"/>
    <w:rsid w:val="00FE583B"/>
    <w:rPr>
      <w:rFonts w:ascii="Segoe UI" w:hAnsi="Segoe UI" w:cs="Segoe UI"/>
      <w:sz w:val="18"/>
      <w:szCs w:val="18"/>
    </w:rPr>
  </w:style>
  <w:style w:type="paragraph" w:styleId="Bibliography">
    <w:name w:val="Bibliography"/>
    <w:basedOn w:val="Normal"/>
    <w:next w:val="Normal"/>
    <w:uiPriority w:val="37"/>
    <w:unhideWhenUsed/>
    <w:rsid w:val="00F978CE"/>
  </w:style>
  <w:style w:type="paragraph" w:styleId="BlockText">
    <w:name w:val="Block Text"/>
    <w:basedOn w:val="Normal"/>
    <w:uiPriority w:val="99"/>
    <w:unhideWhenUsed/>
    <w:rsid w:val="00F978CE"/>
    <w:pPr>
      <w:pBdr>
        <w:top w:val="single" w:sz="2" w:space="10" w:color="AF005F" w:themeColor="accent1"/>
        <w:left w:val="single" w:sz="2" w:space="10" w:color="AF005F" w:themeColor="accent1"/>
        <w:bottom w:val="single" w:sz="2" w:space="10" w:color="AF005F" w:themeColor="accent1"/>
        <w:right w:val="single" w:sz="2" w:space="10" w:color="AF005F" w:themeColor="accent1"/>
      </w:pBdr>
      <w:ind w:left="1152" w:right="1152"/>
    </w:pPr>
    <w:rPr>
      <w:rFonts w:asciiTheme="minorHAnsi" w:eastAsiaTheme="minorEastAsia" w:hAnsiTheme="minorHAnsi"/>
      <w:i/>
      <w:iCs/>
      <w:color w:val="AF005F" w:themeColor="accent1"/>
    </w:rPr>
  </w:style>
  <w:style w:type="paragraph" w:styleId="BodyText">
    <w:name w:val="Body Text"/>
    <w:basedOn w:val="Normal"/>
    <w:link w:val="BodyTextChar"/>
    <w:uiPriority w:val="99"/>
    <w:unhideWhenUsed/>
    <w:rsid w:val="00F978CE"/>
    <w:pPr>
      <w:spacing w:after="120"/>
    </w:pPr>
  </w:style>
  <w:style w:type="character" w:customStyle="1" w:styleId="BodyTextChar">
    <w:name w:val="Body Text Char"/>
    <w:basedOn w:val="DefaultParagraphFont"/>
    <w:link w:val="BodyText"/>
    <w:uiPriority w:val="99"/>
    <w:rsid w:val="00FE583B"/>
    <w:rPr>
      <w:rFonts w:ascii="Arial" w:hAnsi="Arial"/>
      <w:sz w:val="20"/>
    </w:rPr>
  </w:style>
  <w:style w:type="paragraph" w:styleId="BodyText2">
    <w:name w:val="Body Text 2"/>
    <w:basedOn w:val="Normal"/>
    <w:link w:val="BodyText2Char"/>
    <w:uiPriority w:val="99"/>
    <w:unhideWhenUsed/>
    <w:rsid w:val="00F978CE"/>
    <w:pPr>
      <w:spacing w:after="120" w:line="480" w:lineRule="auto"/>
    </w:pPr>
  </w:style>
  <w:style w:type="character" w:customStyle="1" w:styleId="BodyText2Char">
    <w:name w:val="Body Text 2 Char"/>
    <w:basedOn w:val="DefaultParagraphFont"/>
    <w:link w:val="BodyText2"/>
    <w:uiPriority w:val="99"/>
    <w:rsid w:val="00FE583B"/>
    <w:rPr>
      <w:rFonts w:ascii="Arial" w:hAnsi="Arial"/>
      <w:sz w:val="20"/>
    </w:rPr>
  </w:style>
  <w:style w:type="paragraph" w:styleId="BodyText3">
    <w:name w:val="Body Text 3"/>
    <w:basedOn w:val="Normal"/>
    <w:link w:val="BodyText3Char"/>
    <w:uiPriority w:val="99"/>
    <w:unhideWhenUsed/>
    <w:rsid w:val="00F978CE"/>
    <w:pPr>
      <w:spacing w:after="120"/>
    </w:pPr>
    <w:rPr>
      <w:sz w:val="16"/>
      <w:szCs w:val="16"/>
    </w:rPr>
  </w:style>
  <w:style w:type="character" w:customStyle="1" w:styleId="BodyText3Char">
    <w:name w:val="Body Text 3 Char"/>
    <w:basedOn w:val="DefaultParagraphFont"/>
    <w:link w:val="BodyText3"/>
    <w:uiPriority w:val="99"/>
    <w:rsid w:val="00FE583B"/>
    <w:rPr>
      <w:rFonts w:ascii="Arial" w:hAnsi="Arial"/>
      <w:sz w:val="16"/>
      <w:szCs w:val="16"/>
    </w:rPr>
  </w:style>
  <w:style w:type="paragraph" w:styleId="BodyTextFirstIndent">
    <w:name w:val="Body Text First Indent"/>
    <w:basedOn w:val="BodyText"/>
    <w:link w:val="BodyTextFirstIndentChar"/>
    <w:uiPriority w:val="99"/>
    <w:unhideWhenUsed/>
    <w:rsid w:val="00F978CE"/>
    <w:pPr>
      <w:spacing w:after="0"/>
      <w:ind w:firstLine="360"/>
    </w:pPr>
  </w:style>
  <w:style w:type="character" w:customStyle="1" w:styleId="BodyTextFirstIndentChar">
    <w:name w:val="Body Text First Indent Char"/>
    <w:basedOn w:val="BodyTextChar"/>
    <w:link w:val="BodyTextFirstIndent"/>
    <w:uiPriority w:val="99"/>
    <w:rsid w:val="00FE583B"/>
    <w:rPr>
      <w:rFonts w:ascii="Arial" w:hAnsi="Arial"/>
      <w:sz w:val="20"/>
    </w:rPr>
  </w:style>
  <w:style w:type="paragraph" w:styleId="BodyTextIndent">
    <w:name w:val="Body Text Indent"/>
    <w:basedOn w:val="Normal"/>
    <w:link w:val="BodyTextIndentChar"/>
    <w:uiPriority w:val="99"/>
    <w:unhideWhenUsed/>
    <w:rsid w:val="00F978CE"/>
    <w:pPr>
      <w:spacing w:after="120"/>
      <w:ind w:left="283"/>
    </w:pPr>
  </w:style>
  <w:style w:type="character" w:customStyle="1" w:styleId="BodyTextIndentChar">
    <w:name w:val="Body Text Indent Char"/>
    <w:basedOn w:val="DefaultParagraphFont"/>
    <w:link w:val="BodyTextIndent"/>
    <w:uiPriority w:val="99"/>
    <w:rsid w:val="00FE583B"/>
    <w:rPr>
      <w:rFonts w:ascii="Arial" w:hAnsi="Arial"/>
      <w:sz w:val="20"/>
    </w:rPr>
  </w:style>
  <w:style w:type="paragraph" w:styleId="BodyTextFirstIndent2">
    <w:name w:val="Body Text First Indent 2"/>
    <w:basedOn w:val="BodyTextIndent"/>
    <w:link w:val="BodyTextFirstIndent2Char"/>
    <w:uiPriority w:val="99"/>
    <w:unhideWhenUsed/>
    <w:rsid w:val="00F978CE"/>
    <w:pPr>
      <w:spacing w:after="0"/>
      <w:ind w:left="360" w:firstLine="360"/>
    </w:pPr>
  </w:style>
  <w:style w:type="character" w:customStyle="1" w:styleId="BodyTextFirstIndent2Char">
    <w:name w:val="Body Text First Indent 2 Char"/>
    <w:basedOn w:val="BodyTextIndentChar"/>
    <w:link w:val="BodyTextFirstIndent2"/>
    <w:uiPriority w:val="99"/>
    <w:rsid w:val="00FE583B"/>
    <w:rPr>
      <w:rFonts w:ascii="Arial" w:hAnsi="Arial"/>
      <w:sz w:val="20"/>
    </w:rPr>
  </w:style>
  <w:style w:type="paragraph" w:styleId="BodyTextIndent2">
    <w:name w:val="Body Text Indent 2"/>
    <w:basedOn w:val="Normal"/>
    <w:link w:val="BodyTextIndent2Char"/>
    <w:uiPriority w:val="99"/>
    <w:unhideWhenUsed/>
    <w:rsid w:val="00F978CE"/>
    <w:pPr>
      <w:spacing w:after="120" w:line="480" w:lineRule="auto"/>
      <w:ind w:left="283"/>
    </w:pPr>
  </w:style>
  <w:style w:type="character" w:customStyle="1" w:styleId="BodyTextIndent2Char">
    <w:name w:val="Body Text Indent 2 Char"/>
    <w:basedOn w:val="DefaultParagraphFont"/>
    <w:link w:val="BodyTextIndent2"/>
    <w:uiPriority w:val="99"/>
    <w:rsid w:val="00FE583B"/>
    <w:rPr>
      <w:rFonts w:ascii="Arial" w:hAnsi="Arial"/>
      <w:sz w:val="20"/>
    </w:rPr>
  </w:style>
  <w:style w:type="paragraph" w:styleId="BodyTextIndent3">
    <w:name w:val="Body Text Indent 3"/>
    <w:basedOn w:val="Normal"/>
    <w:link w:val="BodyTextIndent3Char"/>
    <w:uiPriority w:val="99"/>
    <w:unhideWhenUsed/>
    <w:rsid w:val="00F978CE"/>
    <w:pPr>
      <w:spacing w:after="120"/>
      <w:ind w:left="283"/>
    </w:pPr>
    <w:rPr>
      <w:sz w:val="16"/>
      <w:szCs w:val="16"/>
    </w:rPr>
  </w:style>
  <w:style w:type="character" w:customStyle="1" w:styleId="BodyTextIndent3Char">
    <w:name w:val="Body Text Indent 3 Char"/>
    <w:basedOn w:val="DefaultParagraphFont"/>
    <w:link w:val="BodyTextIndent3"/>
    <w:uiPriority w:val="99"/>
    <w:rsid w:val="00FE583B"/>
    <w:rPr>
      <w:rFonts w:ascii="Arial" w:hAnsi="Arial"/>
      <w:sz w:val="16"/>
      <w:szCs w:val="16"/>
    </w:rPr>
  </w:style>
  <w:style w:type="character" w:styleId="BookTitle">
    <w:name w:val="Book Title"/>
    <w:basedOn w:val="DefaultParagraphFont"/>
    <w:uiPriority w:val="99"/>
    <w:unhideWhenUsed/>
    <w:qFormat/>
    <w:rsid w:val="00F978CE"/>
    <w:rPr>
      <w:b/>
      <w:bCs/>
      <w:i/>
      <w:iCs/>
      <w:spacing w:val="5"/>
    </w:rPr>
  </w:style>
  <w:style w:type="paragraph" w:styleId="Caption">
    <w:name w:val="caption"/>
    <w:basedOn w:val="Normal"/>
    <w:next w:val="Normal"/>
    <w:uiPriority w:val="35"/>
    <w:unhideWhenUsed/>
    <w:qFormat/>
    <w:rsid w:val="00F978CE"/>
    <w:pPr>
      <w:spacing w:after="200"/>
    </w:pPr>
    <w:rPr>
      <w:i/>
      <w:iCs/>
      <w:color w:val="AF005F" w:themeColor="text2"/>
      <w:sz w:val="18"/>
      <w:szCs w:val="18"/>
    </w:rPr>
  </w:style>
  <w:style w:type="paragraph" w:styleId="Closing">
    <w:name w:val="Closing"/>
    <w:basedOn w:val="Normal"/>
    <w:link w:val="ClosingChar"/>
    <w:uiPriority w:val="99"/>
    <w:unhideWhenUsed/>
    <w:rsid w:val="00F978CE"/>
    <w:pPr>
      <w:ind w:left="4252"/>
    </w:pPr>
  </w:style>
  <w:style w:type="character" w:customStyle="1" w:styleId="ClosingChar">
    <w:name w:val="Closing Char"/>
    <w:basedOn w:val="DefaultParagraphFont"/>
    <w:link w:val="Closing"/>
    <w:uiPriority w:val="99"/>
    <w:rsid w:val="00FE583B"/>
    <w:rPr>
      <w:rFonts w:ascii="Arial" w:hAnsi="Arial"/>
      <w:sz w:val="20"/>
    </w:rPr>
  </w:style>
  <w:style w:type="table" w:styleId="ColorfulGrid-Accent4">
    <w:name w:val="Colorful Grid Accent 4"/>
    <w:basedOn w:val="Table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AEA" w:themeFill="accent5" w:themeFillTint="33"/>
    </w:tcPr>
    <w:tblStylePr w:type="firstRow">
      <w:rPr>
        <w:b/>
        <w:bCs/>
      </w:rPr>
      <w:tblPr/>
      <w:tcPr>
        <w:shd w:val="clear" w:color="auto" w:fill="D5D5D5" w:themeFill="accent5" w:themeFillTint="66"/>
      </w:tcPr>
    </w:tblStylePr>
    <w:tblStylePr w:type="lastRow">
      <w:rPr>
        <w:b/>
        <w:bCs/>
        <w:color w:val="000000" w:themeColor="text1"/>
      </w:rPr>
      <w:tblPr/>
      <w:tcPr>
        <w:shd w:val="clear" w:color="auto" w:fill="D5D5D5" w:themeFill="accent5" w:themeFillTint="66"/>
      </w:tcPr>
    </w:tblStylePr>
    <w:tblStylePr w:type="firstCol">
      <w:rPr>
        <w:color w:val="FFFFFF" w:themeColor="background1"/>
      </w:rPr>
      <w:tblPr/>
      <w:tcPr>
        <w:shd w:val="clear" w:color="auto" w:fill="707070" w:themeFill="accent5" w:themeFillShade="BF"/>
      </w:tcPr>
    </w:tblStylePr>
    <w:tblStylePr w:type="lastCol">
      <w:rPr>
        <w:color w:val="FFFFFF" w:themeColor="background1"/>
      </w:rPr>
      <w:tblPr/>
      <w:tcPr>
        <w:shd w:val="clear" w:color="auto" w:fill="707070" w:themeFill="accent5" w:themeFillShade="BF"/>
      </w:tcPr>
    </w:tblStylePr>
    <w:tblStylePr w:type="band1Vert">
      <w:tblPr/>
      <w:tcPr>
        <w:shd w:val="clear" w:color="auto" w:fill="CACACA" w:themeFill="accent5" w:themeFillTint="7F"/>
      </w:tcPr>
    </w:tblStylePr>
    <w:tblStylePr w:type="band1Horz">
      <w:tblPr/>
      <w:tcPr>
        <w:shd w:val="clear" w:color="auto" w:fill="CACACA" w:themeFill="accent5" w:themeFillTint="7F"/>
      </w:tcPr>
    </w:tblStylePr>
  </w:style>
  <w:style w:type="table" w:styleId="ColorfulGrid-Accent6">
    <w:name w:val="Colorful Grid Accent 6"/>
    <w:basedOn w:val="Table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3F3" w:themeFill="accent6" w:themeFillTint="33"/>
    </w:tcPr>
    <w:tblStylePr w:type="firstRow">
      <w:rPr>
        <w:b/>
        <w:bCs/>
      </w:rPr>
      <w:tblPr/>
      <w:tcPr>
        <w:shd w:val="clear" w:color="auto" w:fill="E7E7E7" w:themeFill="accent6" w:themeFillTint="66"/>
      </w:tcPr>
    </w:tblStylePr>
    <w:tblStylePr w:type="lastRow">
      <w:rPr>
        <w:b/>
        <w:bCs/>
        <w:color w:val="000000" w:themeColor="text1"/>
      </w:rPr>
      <w:tblPr/>
      <w:tcPr>
        <w:shd w:val="clear" w:color="auto" w:fill="E7E7E7" w:themeFill="accent6" w:themeFillTint="66"/>
      </w:tcPr>
    </w:tblStylePr>
    <w:tblStylePr w:type="firstCol">
      <w:rPr>
        <w:color w:val="FFFFFF" w:themeColor="background1"/>
      </w:rPr>
      <w:tblPr/>
      <w:tcPr>
        <w:shd w:val="clear" w:color="auto" w:fill="929292" w:themeFill="accent6" w:themeFillShade="BF"/>
      </w:tcPr>
    </w:tblStylePr>
    <w:tblStylePr w:type="lastCol">
      <w:rPr>
        <w:color w:val="FFFFFF" w:themeColor="background1"/>
      </w:rPr>
      <w:tblPr/>
      <w:tcPr>
        <w:shd w:val="clear" w:color="auto" w:fill="929292" w:themeFill="accent6" w:themeFillShade="BF"/>
      </w:tcPr>
    </w:tblStylePr>
    <w:tblStylePr w:type="band1Vert">
      <w:tblPr/>
      <w:tcPr>
        <w:shd w:val="clear" w:color="auto" w:fill="E1E1E1" w:themeFill="accent6" w:themeFillTint="7F"/>
      </w:tcPr>
    </w:tblStylePr>
    <w:tblStylePr w:type="band1Horz">
      <w:tblPr/>
      <w:tcPr>
        <w:shd w:val="clear" w:color="auto" w:fill="E1E1E1" w:themeFill="accent6" w:themeFillTint="7F"/>
      </w:tcPr>
    </w:tblStylePr>
  </w:style>
  <w:style w:type="table" w:styleId="ColorfulList">
    <w:name w:val="Colorful List"/>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FDEEF" w:themeFill="accent1"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CD8" w:themeFill="accent1" w:themeFillTint="3F"/>
      </w:tcPr>
    </w:tblStylePr>
    <w:tblStylePr w:type="band1Horz">
      <w:tblPr/>
      <w:tcPr>
        <w:shd w:val="clear" w:color="auto" w:fill="FFBCE0" w:themeFill="accent1" w:themeFillTint="33"/>
      </w:tcPr>
    </w:tblStylePr>
  </w:style>
  <w:style w:type="table" w:styleId="ColorfulList-Accent2">
    <w:name w:val="Colorful List Accent 2"/>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9EAF2" w:themeFill="accent2"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ADF" w:themeFill="accent2" w:themeFillTint="3F"/>
      </w:tcPr>
    </w:tblStylePr>
    <w:tblStylePr w:type="band1Horz">
      <w:tblPr/>
      <w:tcPr>
        <w:shd w:val="clear" w:color="auto" w:fill="F3D4E5" w:themeFill="accent2" w:themeFillTint="33"/>
      </w:tcPr>
    </w:tblStylePr>
  </w:style>
  <w:style w:type="table" w:styleId="ColorfulList-Accent3">
    <w:name w:val="Colorful List Accent 3"/>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AEF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6E5" w:themeFill="accent3" w:themeFillTint="3F"/>
      </w:tcPr>
    </w:tblStylePr>
    <w:tblStylePr w:type="band1Horz">
      <w:tblPr/>
      <w:tcPr>
        <w:shd w:val="clear" w:color="auto" w:fill="F4DEEA" w:themeFill="accent3" w:themeFillTint="33"/>
      </w:tcPr>
    </w:tblStylePr>
  </w:style>
  <w:style w:type="table" w:styleId="ColorfulList-Accent4">
    <w:name w:val="Colorful List Accent 4"/>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B4387B" w:themeFill="accent3" w:themeFillShade="CC"/>
      </w:tcPr>
    </w:tblStylePr>
    <w:tblStylePr w:type="lastRow">
      <w:rPr>
        <w:b/>
        <w:bCs/>
        <w:color w:val="B4387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4F4F4" w:themeFill="accent5" w:themeFillTint="19"/>
    </w:tcPr>
    <w:tblStylePr w:type="firstRow">
      <w:rPr>
        <w:b/>
        <w:bCs/>
        <w:color w:val="FFFFFF" w:themeColor="background1"/>
      </w:rPr>
      <w:tblPr/>
      <w:tcPr>
        <w:tcBorders>
          <w:bottom w:val="single" w:sz="12" w:space="0" w:color="FFFFFF" w:themeColor="background1"/>
        </w:tcBorders>
        <w:shd w:val="clear" w:color="auto" w:fill="9C9C9C" w:themeFill="accent6" w:themeFillShade="CC"/>
      </w:tcPr>
    </w:tblStylePr>
    <w:tblStylePr w:type="lastRow">
      <w:rPr>
        <w:b/>
        <w:bCs/>
        <w:color w:val="9C9C9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5" w:themeFillTint="3F"/>
      </w:tcPr>
    </w:tblStylePr>
    <w:tblStylePr w:type="band1Horz">
      <w:tblPr/>
      <w:tcPr>
        <w:shd w:val="clear" w:color="auto" w:fill="EAEAEA" w:themeFill="accent5" w:themeFillTint="33"/>
      </w:tcPr>
    </w:tblStylePr>
  </w:style>
  <w:style w:type="table" w:styleId="ColorfulList-Accent6">
    <w:name w:val="Colorful List Accent 6"/>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9F9F9" w:themeFill="accent6" w:themeFillTint="19"/>
    </w:tcPr>
    <w:tblStylePr w:type="firstRow">
      <w:rPr>
        <w:b/>
        <w:bCs/>
        <w:color w:val="FFFFFF" w:themeColor="background1"/>
      </w:rPr>
      <w:tblPr/>
      <w:tcPr>
        <w:tcBorders>
          <w:bottom w:val="single" w:sz="12" w:space="0" w:color="FFFFFF" w:themeColor="background1"/>
        </w:tcBorders>
        <w:shd w:val="clear" w:color="auto" w:fill="787878" w:themeFill="accent5" w:themeFillShade="CC"/>
      </w:tcPr>
    </w:tblStylePr>
    <w:tblStylePr w:type="lastRow">
      <w:rPr>
        <w:b/>
        <w:bCs/>
        <w:color w:val="78787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hemeFill="accent6" w:themeFillTint="3F"/>
      </w:tcPr>
    </w:tblStylePr>
    <w:tblStylePr w:type="band1Horz">
      <w:tblPr/>
      <w:tcPr>
        <w:shd w:val="clear" w:color="auto" w:fill="F3F3F3" w:themeFill="accent6" w:themeFillTint="33"/>
      </w:tcPr>
    </w:tblStylePr>
  </w:style>
  <w:style w:type="table" w:styleId="ColorfulShading">
    <w:name w:val="Colorful Shading"/>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AF005F" w:themeColor="accent1"/>
        <w:bottom w:val="single" w:sz="4" w:space="0" w:color="AF005F" w:themeColor="accent1"/>
        <w:right w:val="single" w:sz="4" w:space="0" w:color="AF005F" w:themeColor="accent1"/>
        <w:insideH w:val="single" w:sz="4" w:space="0" w:color="FFFFFF" w:themeColor="background1"/>
        <w:insideV w:val="single" w:sz="4" w:space="0" w:color="FFFFFF" w:themeColor="background1"/>
      </w:tblBorders>
    </w:tblPr>
    <w:tcPr>
      <w:shd w:val="clear" w:color="auto" w:fill="FFDEEF" w:themeFill="accent1"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038" w:themeFill="accent1" w:themeFillShade="99"/>
      </w:tcPr>
    </w:tblStylePr>
    <w:tblStylePr w:type="firstCol">
      <w:rPr>
        <w:color w:val="FFFFFF" w:themeColor="background1"/>
      </w:rPr>
      <w:tblPr/>
      <w:tcPr>
        <w:tcBorders>
          <w:top w:val="nil"/>
          <w:left w:val="nil"/>
          <w:bottom w:val="nil"/>
          <w:right w:val="nil"/>
          <w:insideH w:val="single" w:sz="4" w:space="0" w:color="690038" w:themeColor="accent1" w:themeShade="99"/>
          <w:insideV w:val="nil"/>
        </w:tcBorders>
        <w:shd w:val="clear" w:color="auto" w:fill="6900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038" w:themeFill="accent1" w:themeFillShade="99"/>
      </w:tcPr>
    </w:tblStylePr>
    <w:tblStylePr w:type="band1Vert">
      <w:tblPr/>
      <w:tcPr>
        <w:shd w:val="clear" w:color="auto" w:fill="FF79C1" w:themeFill="accent1" w:themeFillTint="66"/>
      </w:tcPr>
    </w:tblStylePr>
    <w:tblStylePr w:type="band1Horz">
      <w:tblPr/>
      <w:tcPr>
        <w:shd w:val="clear" w:color="auto" w:fill="FF58B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BF337F" w:themeColor="accent2"/>
        <w:bottom w:val="single" w:sz="4" w:space="0" w:color="BF337F" w:themeColor="accent2"/>
        <w:right w:val="single" w:sz="4" w:space="0" w:color="BF337F" w:themeColor="accent2"/>
        <w:insideH w:val="single" w:sz="4" w:space="0" w:color="FFFFFF" w:themeColor="background1"/>
        <w:insideV w:val="single" w:sz="4" w:space="0" w:color="FFFFFF" w:themeColor="background1"/>
      </w:tblBorders>
    </w:tblPr>
    <w:tcPr>
      <w:shd w:val="clear" w:color="auto" w:fill="F9EAF2" w:themeFill="accent2"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1E4B" w:themeFill="accent2" w:themeFillShade="99"/>
      </w:tcPr>
    </w:tblStylePr>
    <w:tblStylePr w:type="firstCol">
      <w:rPr>
        <w:color w:val="FFFFFF" w:themeColor="background1"/>
      </w:rPr>
      <w:tblPr/>
      <w:tcPr>
        <w:tcBorders>
          <w:top w:val="nil"/>
          <w:left w:val="nil"/>
          <w:bottom w:val="nil"/>
          <w:right w:val="nil"/>
          <w:insideH w:val="single" w:sz="4" w:space="0" w:color="721E4B" w:themeColor="accent2" w:themeShade="99"/>
          <w:insideV w:val="nil"/>
        </w:tcBorders>
        <w:shd w:val="clear" w:color="auto" w:fill="721E4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21E4B" w:themeFill="accent2" w:themeFillShade="99"/>
      </w:tcPr>
    </w:tblStylePr>
    <w:tblStylePr w:type="band1Vert">
      <w:tblPr/>
      <w:tcPr>
        <w:shd w:val="clear" w:color="auto" w:fill="E8AACB" w:themeFill="accent2" w:themeFillTint="66"/>
      </w:tcPr>
    </w:tblStylePr>
    <w:tblStylePr w:type="band1Horz">
      <w:tblPr/>
      <w:tcPr>
        <w:shd w:val="clear" w:color="auto" w:fill="E295B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808080" w:themeColor="accent4"/>
        <w:left w:val="single" w:sz="4" w:space="0" w:color="CC5C99" w:themeColor="accent3"/>
        <w:bottom w:val="single" w:sz="4" w:space="0" w:color="CC5C99" w:themeColor="accent3"/>
        <w:right w:val="single" w:sz="4" w:space="0" w:color="CC5C99" w:themeColor="accent3"/>
        <w:insideH w:val="single" w:sz="4" w:space="0" w:color="FFFFFF" w:themeColor="background1"/>
        <w:insideV w:val="single" w:sz="4" w:space="0" w:color="FFFFFF" w:themeColor="background1"/>
      </w:tblBorders>
    </w:tblPr>
    <w:tcPr>
      <w:shd w:val="clear" w:color="auto" w:fill="FAEF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2A5C" w:themeFill="accent3" w:themeFillShade="99"/>
      </w:tcPr>
    </w:tblStylePr>
    <w:tblStylePr w:type="firstCol">
      <w:rPr>
        <w:color w:val="FFFFFF" w:themeColor="background1"/>
      </w:rPr>
      <w:tblPr/>
      <w:tcPr>
        <w:tcBorders>
          <w:top w:val="nil"/>
          <w:left w:val="nil"/>
          <w:bottom w:val="nil"/>
          <w:right w:val="nil"/>
          <w:insideH w:val="single" w:sz="4" w:space="0" w:color="872A5C" w:themeColor="accent3" w:themeShade="99"/>
          <w:insideV w:val="nil"/>
        </w:tcBorders>
        <w:shd w:val="clear" w:color="auto" w:fill="872A5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72A5C" w:themeFill="accent3" w:themeFillShade="99"/>
      </w:tcPr>
    </w:tblStylePr>
    <w:tblStylePr w:type="band1Vert">
      <w:tblPr/>
      <w:tcPr>
        <w:shd w:val="clear" w:color="auto" w:fill="EABDD6" w:themeFill="accent3" w:themeFillTint="66"/>
      </w:tcPr>
    </w:tblStylePr>
    <w:tblStylePr w:type="band1Horz">
      <w:tblPr/>
      <w:tcPr>
        <w:shd w:val="clear" w:color="auto" w:fill="E5ADCB" w:themeFill="accent3" w:themeFillTint="7F"/>
      </w:tcPr>
    </w:tblStylePr>
  </w:style>
  <w:style w:type="table" w:styleId="ColorfulShading-Accent4">
    <w:name w:val="Colorful Shading Accent 4"/>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CC5C99"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CC5C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C3C3C3" w:themeColor="accent6"/>
        <w:left w:val="single" w:sz="4" w:space="0" w:color="969696" w:themeColor="accent5"/>
        <w:bottom w:val="single" w:sz="4" w:space="0" w:color="969696" w:themeColor="accent5"/>
        <w:right w:val="single" w:sz="4" w:space="0" w:color="969696" w:themeColor="accent5"/>
        <w:insideH w:val="single" w:sz="4" w:space="0" w:color="FFFFFF" w:themeColor="background1"/>
        <w:insideV w:val="single" w:sz="4" w:space="0" w:color="FFFFFF" w:themeColor="background1"/>
      </w:tblBorders>
    </w:tblPr>
    <w:tcPr>
      <w:shd w:val="clear" w:color="auto" w:fill="F4F4F4" w:themeFill="accent5" w:themeFillTint="19"/>
    </w:tcPr>
    <w:tblStylePr w:type="firstRow">
      <w:rPr>
        <w:b/>
        <w:bCs/>
      </w:rPr>
      <w:tblPr/>
      <w:tcPr>
        <w:tcBorders>
          <w:top w:val="nil"/>
          <w:left w:val="nil"/>
          <w:bottom w:val="single" w:sz="24" w:space="0" w:color="C3C3C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5" w:themeFillShade="99"/>
      </w:tcPr>
    </w:tblStylePr>
    <w:tblStylePr w:type="firstCol">
      <w:rPr>
        <w:color w:val="FFFFFF" w:themeColor="background1"/>
      </w:rPr>
      <w:tblPr/>
      <w:tcPr>
        <w:tcBorders>
          <w:top w:val="nil"/>
          <w:left w:val="nil"/>
          <w:bottom w:val="nil"/>
          <w:right w:val="nil"/>
          <w:insideH w:val="single" w:sz="4" w:space="0" w:color="5A5A5A" w:themeColor="accent5" w:themeShade="99"/>
          <w:insideV w:val="nil"/>
        </w:tcBorders>
        <w:shd w:val="clear" w:color="auto" w:fill="5A5A5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5" w:themeFillShade="99"/>
      </w:tcPr>
    </w:tblStylePr>
    <w:tblStylePr w:type="band1Vert">
      <w:tblPr/>
      <w:tcPr>
        <w:shd w:val="clear" w:color="auto" w:fill="D5D5D5" w:themeFill="accent5" w:themeFillTint="66"/>
      </w:tcPr>
    </w:tblStylePr>
    <w:tblStylePr w:type="band1Horz">
      <w:tblPr/>
      <w:tcPr>
        <w:shd w:val="clear" w:color="auto" w:fill="CACA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969696" w:themeColor="accent5"/>
        <w:left w:val="single" w:sz="4" w:space="0" w:color="C3C3C3" w:themeColor="accent6"/>
        <w:bottom w:val="single" w:sz="4" w:space="0" w:color="C3C3C3" w:themeColor="accent6"/>
        <w:right w:val="single" w:sz="4" w:space="0" w:color="C3C3C3" w:themeColor="accent6"/>
        <w:insideH w:val="single" w:sz="4" w:space="0" w:color="FFFFFF" w:themeColor="background1"/>
        <w:insideV w:val="single" w:sz="4" w:space="0" w:color="FFFFFF" w:themeColor="background1"/>
      </w:tblBorders>
    </w:tblPr>
    <w:tcPr>
      <w:shd w:val="clear" w:color="auto" w:fill="F9F9F9" w:themeFill="accent6" w:themeFillTint="19"/>
    </w:tcPr>
    <w:tblStylePr w:type="firstRow">
      <w:rPr>
        <w:b/>
        <w:bCs/>
      </w:rPr>
      <w:tblPr/>
      <w:tcPr>
        <w:tcBorders>
          <w:top w:val="nil"/>
          <w:left w:val="nil"/>
          <w:bottom w:val="single" w:sz="24" w:space="0" w:color="96969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7575" w:themeFill="accent6" w:themeFillShade="99"/>
      </w:tcPr>
    </w:tblStylePr>
    <w:tblStylePr w:type="firstCol">
      <w:rPr>
        <w:color w:val="FFFFFF" w:themeColor="background1"/>
      </w:rPr>
      <w:tblPr/>
      <w:tcPr>
        <w:tcBorders>
          <w:top w:val="nil"/>
          <w:left w:val="nil"/>
          <w:bottom w:val="nil"/>
          <w:right w:val="nil"/>
          <w:insideH w:val="single" w:sz="4" w:space="0" w:color="757575" w:themeColor="accent6" w:themeShade="99"/>
          <w:insideV w:val="nil"/>
        </w:tcBorders>
        <w:shd w:val="clear" w:color="auto" w:fill="75757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57575" w:themeFill="accent6" w:themeFillShade="99"/>
      </w:tcPr>
    </w:tblStylePr>
    <w:tblStylePr w:type="band1Vert">
      <w:tblPr/>
      <w:tcPr>
        <w:shd w:val="clear" w:color="auto" w:fill="E7E7E7" w:themeFill="accent6" w:themeFillTint="66"/>
      </w:tcPr>
    </w:tblStylePr>
    <w:tblStylePr w:type="band1Horz">
      <w:tblPr/>
      <w:tcPr>
        <w:shd w:val="clear" w:color="auto" w:fill="E1E1E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F978CE"/>
    <w:rPr>
      <w:sz w:val="16"/>
      <w:szCs w:val="16"/>
    </w:rPr>
  </w:style>
  <w:style w:type="paragraph" w:styleId="CommentText">
    <w:name w:val="annotation text"/>
    <w:basedOn w:val="Normal"/>
    <w:link w:val="CommentTextChar"/>
    <w:uiPriority w:val="99"/>
    <w:unhideWhenUsed/>
    <w:rsid w:val="00F978CE"/>
  </w:style>
  <w:style w:type="character" w:customStyle="1" w:styleId="CommentTextChar">
    <w:name w:val="Comment Text Char"/>
    <w:basedOn w:val="DefaultParagraphFont"/>
    <w:link w:val="CommentText"/>
    <w:uiPriority w:val="99"/>
    <w:rsid w:val="00FE583B"/>
    <w:rPr>
      <w:rFonts w:ascii="Arial" w:hAnsi="Arial"/>
      <w:sz w:val="20"/>
      <w:szCs w:val="20"/>
    </w:rPr>
  </w:style>
  <w:style w:type="paragraph" w:styleId="CommentSubject">
    <w:name w:val="annotation subject"/>
    <w:basedOn w:val="CommentText"/>
    <w:next w:val="CommentText"/>
    <w:link w:val="CommentSubjectChar"/>
    <w:uiPriority w:val="99"/>
    <w:unhideWhenUsed/>
    <w:rsid w:val="00F978CE"/>
    <w:rPr>
      <w:b/>
      <w:bCs/>
    </w:rPr>
  </w:style>
  <w:style w:type="character" w:customStyle="1" w:styleId="CommentSubjectChar">
    <w:name w:val="Comment Subject Char"/>
    <w:basedOn w:val="CommentTextChar"/>
    <w:link w:val="CommentSubject"/>
    <w:uiPriority w:val="99"/>
    <w:rsid w:val="00FE583B"/>
    <w:rPr>
      <w:rFonts w:ascii="Arial" w:hAnsi="Arial"/>
      <w:b/>
      <w:bCs/>
      <w:sz w:val="20"/>
      <w:szCs w:val="20"/>
    </w:rPr>
  </w:style>
  <w:style w:type="table" w:styleId="DarkList">
    <w:name w:val="Dark List"/>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AF005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02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0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046" w:themeFill="accent1" w:themeFillShade="BF"/>
      </w:tcPr>
    </w:tblStylePr>
    <w:tblStylePr w:type="band1Vert">
      <w:tblPr/>
      <w:tcPr>
        <w:tcBorders>
          <w:top w:val="nil"/>
          <w:left w:val="nil"/>
          <w:bottom w:val="nil"/>
          <w:right w:val="nil"/>
          <w:insideH w:val="nil"/>
          <w:insideV w:val="nil"/>
        </w:tcBorders>
        <w:shd w:val="clear" w:color="auto" w:fill="830046" w:themeFill="accent1" w:themeFillShade="BF"/>
      </w:tcPr>
    </w:tblStylePr>
    <w:tblStylePr w:type="band1Horz">
      <w:tblPr/>
      <w:tcPr>
        <w:tcBorders>
          <w:top w:val="nil"/>
          <w:left w:val="nil"/>
          <w:bottom w:val="nil"/>
          <w:right w:val="nil"/>
          <w:insideH w:val="nil"/>
          <w:insideV w:val="nil"/>
        </w:tcBorders>
        <w:shd w:val="clear" w:color="auto" w:fill="830046" w:themeFill="accent1" w:themeFillShade="BF"/>
      </w:tcPr>
    </w:tblStylePr>
  </w:style>
  <w:style w:type="table" w:styleId="DarkList-Accent2">
    <w:name w:val="Dark List Accent 2"/>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BF337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19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E265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E265E" w:themeFill="accent2" w:themeFillShade="BF"/>
      </w:tcPr>
    </w:tblStylePr>
    <w:tblStylePr w:type="band1Vert">
      <w:tblPr/>
      <w:tcPr>
        <w:tcBorders>
          <w:top w:val="nil"/>
          <w:left w:val="nil"/>
          <w:bottom w:val="nil"/>
          <w:right w:val="nil"/>
          <w:insideH w:val="nil"/>
          <w:insideV w:val="nil"/>
        </w:tcBorders>
        <w:shd w:val="clear" w:color="auto" w:fill="8E265E" w:themeFill="accent2" w:themeFillShade="BF"/>
      </w:tcPr>
    </w:tblStylePr>
    <w:tblStylePr w:type="band1Horz">
      <w:tblPr/>
      <w:tcPr>
        <w:tcBorders>
          <w:top w:val="nil"/>
          <w:left w:val="nil"/>
          <w:bottom w:val="nil"/>
          <w:right w:val="nil"/>
          <w:insideH w:val="nil"/>
          <w:insideV w:val="nil"/>
        </w:tcBorders>
        <w:shd w:val="clear" w:color="auto" w:fill="8E265E" w:themeFill="accent2" w:themeFillShade="BF"/>
      </w:tcPr>
    </w:tblStylePr>
  </w:style>
  <w:style w:type="table" w:styleId="DarkList-Accent3">
    <w:name w:val="Dark List Accent 3"/>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CC5C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23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8357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83573" w:themeFill="accent3" w:themeFillShade="BF"/>
      </w:tcPr>
    </w:tblStylePr>
    <w:tblStylePr w:type="band1Vert">
      <w:tblPr/>
      <w:tcPr>
        <w:tcBorders>
          <w:top w:val="nil"/>
          <w:left w:val="nil"/>
          <w:bottom w:val="nil"/>
          <w:right w:val="nil"/>
          <w:insideH w:val="nil"/>
          <w:insideV w:val="nil"/>
        </w:tcBorders>
        <w:shd w:val="clear" w:color="auto" w:fill="A83573" w:themeFill="accent3" w:themeFillShade="BF"/>
      </w:tcPr>
    </w:tblStylePr>
    <w:tblStylePr w:type="band1Horz">
      <w:tblPr/>
      <w:tcPr>
        <w:tcBorders>
          <w:top w:val="nil"/>
          <w:left w:val="nil"/>
          <w:bottom w:val="nil"/>
          <w:right w:val="nil"/>
          <w:insideH w:val="nil"/>
          <w:insideV w:val="nil"/>
        </w:tcBorders>
        <w:shd w:val="clear" w:color="auto" w:fill="A83573" w:themeFill="accent3" w:themeFillShade="BF"/>
      </w:tcPr>
    </w:tblStylePr>
  </w:style>
  <w:style w:type="table" w:styleId="DarkList-Accent4">
    <w:name w:val="Dark List Accent 4"/>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96969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5" w:themeFillShade="BF"/>
      </w:tcPr>
    </w:tblStylePr>
    <w:tblStylePr w:type="band1Vert">
      <w:tblPr/>
      <w:tcPr>
        <w:tcBorders>
          <w:top w:val="nil"/>
          <w:left w:val="nil"/>
          <w:bottom w:val="nil"/>
          <w:right w:val="nil"/>
          <w:insideH w:val="nil"/>
          <w:insideV w:val="nil"/>
        </w:tcBorders>
        <w:shd w:val="clear" w:color="auto" w:fill="707070" w:themeFill="accent5" w:themeFillShade="BF"/>
      </w:tcPr>
    </w:tblStylePr>
    <w:tblStylePr w:type="band1Horz">
      <w:tblPr/>
      <w:tcPr>
        <w:tcBorders>
          <w:top w:val="nil"/>
          <w:left w:val="nil"/>
          <w:bottom w:val="nil"/>
          <w:right w:val="nil"/>
          <w:insideH w:val="nil"/>
          <w:insideV w:val="nil"/>
        </w:tcBorders>
        <w:shd w:val="clear" w:color="auto" w:fill="707070" w:themeFill="accent5" w:themeFillShade="BF"/>
      </w:tcPr>
    </w:tblStylePr>
  </w:style>
  <w:style w:type="table" w:styleId="DarkList-Accent6">
    <w:name w:val="Dark List Accent 6"/>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C3C3C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16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2929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29292" w:themeFill="accent6" w:themeFillShade="BF"/>
      </w:tcPr>
    </w:tblStylePr>
    <w:tblStylePr w:type="band1Vert">
      <w:tblPr/>
      <w:tcPr>
        <w:tcBorders>
          <w:top w:val="nil"/>
          <w:left w:val="nil"/>
          <w:bottom w:val="nil"/>
          <w:right w:val="nil"/>
          <w:insideH w:val="nil"/>
          <w:insideV w:val="nil"/>
        </w:tcBorders>
        <w:shd w:val="clear" w:color="auto" w:fill="929292" w:themeFill="accent6" w:themeFillShade="BF"/>
      </w:tcPr>
    </w:tblStylePr>
    <w:tblStylePr w:type="band1Horz">
      <w:tblPr/>
      <w:tcPr>
        <w:tcBorders>
          <w:top w:val="nil"/>
          <w:left w:val="nil"/>
          <w:bottom w:val="nil"/>
          <w:right w:val="nil"/>
          <w:insideH w:val="nil"/>
          <w:insideV w:val="nil"/>
        </w:tcBorders>
        <w:shd w:val="clear" w:color="auto" w:fill="929292" w:themeFill="accent6" w:themeFillShade="BF"/>
      </w:tcPr>
    </w:tblStylePr>
  </w:style>
  <w:style w:type="paragraph" w:styleId="Date">
    <w:name w:val="Date"/>
    <w:basedOn w:val="Normal"/>
    <w:next w:val="Normal"/>
    <w:link w:val="DateChar"/>
    <w:uiPriority w:val="99"/>
    <w:unhideWhenUsed/>
    <w:rsid w:val="00F978CE"/>
  </w:style>
  <w:style w:type="character" w:customStyle="1" w:styleId="DateChar">
    <w:name w:val="Date Char"/>
    <w:basedOn w:val="DefaultParagraphFont"/>
    <w:link w:val="Date"/>
    <w:uiPriority w:val="99"/>
    <w:rsid w:val="00FE583B"/>
    <w:rPr>
      <w:rFonts w:ascii="Arial" w:hAnsi="Arial"/>
      <w:sz w:val="20"/>
    </w:rPr>
  </w:style>
  <w:style w:type="paragraph" w:styleId="DocumentMap">
    <w:name w:val="Document Map"/>
    <w:basedOn w:val="Normal"/>
    <w:link w:val="DocumentMapChar"/>
    <w:uiPriority w:val="99"/>
    <w:unhideWhenUsed/>
    <w:rsid w:val="00F978CE"/>
    <w:rPr>
      <w:rFonts w:ascii="Segoe UI" w:hAnsi="Segoe UI" w:cs="Segoe UI"/>
      <w:sz w:val="16"/>
      <w:szCs w:val="16"/>
    </w:rPr>
  </w:style>
  <w:style w:type="character" w:customStyle="1" w:styleId="DocumentMapChar">
    <w:name w:val="Document Map Char"/>
    <w:basedOn w:val="DefaultParagraphFont"/>
    <w:link w:val="DocumentMap"/>
    <w:uiPriority w:val="99"/>
    <w:rsid w:val="00FE583B"/>
    <w:rPr>
      <w:rFonts w:ascii="Segoe UI" w:hAnsi="Segoe UI" w:cs="Segoe UI"/>
      <w:sz w:val="16"/>
      <w:szCs w:val="16"/>
    </w:rPr>
  </w:style>
  <w:style w:type="paragraph" w:styleId="E-mailSignature">
    <w:name w:val="E-mail Signature"/>
    <w:basedOn w:val="Normal"/>
    <w:link w:val="E-mailSignatureChar"/>
    <w:uiPriority w:val="99"/>
    <w:unhideWhenUsed/>
    <w:rsid w:val="00F978CE"/>
  </w:style>
  <w:style w:type="character" w:customStyle="1" w:styleId="E-mailSignatureChar">
    <w:name w:val="E-mail Signature Char"/>
    <w:basedOn w:val="DefaultParagraphFont"/>
    <w:link w:val="E-mailSignature"/>
    <w:uiPriority w:val="99"/>
    <w:rsid w:val="00FE583B"/>
    <w:rPr>
      <w:rFonts w:ascii="Arial" w:hAnsi="Arial"/>
      <w:sz w:val="20"/>
    </w:rPr>
  </w:style>
  <w:style w:type="character" w:styleId="Emphasis">
    <w:name w:val="Emphasis"/>
    <w:basedOn w:val="DefaultParagraphFont"/>
    <w:uiPriority w:val="99"/>
    <w:unhideWhenUsed/>
    <w:qFormat/>
    <w:rsid w:val="00F978CE"/>
    <w:rPr>
      <w:i/>
      <w:iCs/>
    </w:rPr>
  </w:style>
  <w:style w:type="character" w:styleId="EndnoteReference">
    <w:name w:val="endnote reference"/>
    <w:basedOn w:val="DefaultParagraphFont"/>
    <w:unhideWhenUsed/>
    <w:rsid w:val="00F978CE"/>
    <w:rPr>
      <w:vertAlign w:val="superscript"/>
    </w:rPr>
  </w:style>
  <w:style w:type="paragraph" w:styleId="EndnoteText">
    <w:name w:val="endnote text"/>
    <w:basedOn w:val="Normal"/>
    <w:link w:val="EndnoteTextChar"/>
    <w:unhideWhenUsed/>
    <w:rsid w:val="00F978CE"/>
  </w:style>
  <w:style w:type="character" w:customStyle="1" w:styleId="EndnoteTextChar">
    <w:name w:val="Endnote Text Char"/>
    <w:basedOn w:val="DefaultParagraphFont"/>
    <w:link w:val="EndnoteText"/>
    <w:rsid w:val="00FE583B"/>
    <w:rPr>
      <w:rFonts w:ascii="Arial" w:hAnsi="Arial"/>
      <w:sz w:val="20"/>
      <w:szCs w:val="20"/>
    </w:rPr>
  </w:style>
  <w:style w:type="paragraph" w:styleId="EnvelopeAddress">
    <w:name w:val="envelope address"/>
    <w:basedOn w:val="Normal"/>
    <w:uiPriority w:val="99"/>
    <w:unhideWhenUsed/>
    <w:rsid w:val="00F978C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978CE"/>
    <w:rPr>
      <w:rFonts w:asciiTheme="majorHAnsi" w:eastAsiaTheme="majorEastAsia" w:hAnsiTheme="majorHAnsi" w:cstheme="majorBidi"/>
    </w:rPr>
  </w:style>
  <w:style w:type="character" w:styleId="FollowedHyperlink">
    <w:name w:val="FollowedHyperlink"/>
    <w:basedOn w:val="DefaultParagraphFont"/>
    <w:uiPriority w:val="99"/>
    <w:unhideWhenUsed/>
    <w:rsid w:val="00F978CE"/>
    <w:rPr>
      <w:color w:val="ECC4DA" w:themeColor="followedHyperlink"/>
      <w:u w:val="single"/>
    </w:rPr>
  </w:style>
  <w:style w:type="character" w:styleId="FootnoteReference">
    <w:name w:val="footnote reference"/>
    <w:basedOn w:val="DefaultParagraphFont"/>
    <w:uiPriority w:val="99"/>
    <w:unhideWhenUsed/>
    <w:rsid w:val="00F978CE"/>
    <w:rPr>
      <w:vertAlign w:val="superscript"/>
    </w:rPr>
  </w:style>
  <w:style w:type="table" w:styleId="GridTable1Light">
    <w:name w:val="Grid Table 1 Light"/>
    <w:basedOn w:val="TableNormal"/>
    <w:uiPriority w:val="46"/>
    <w:unhideWhenUsed/>
    <w:rsid w:val="00F978C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unhideWhenUsed/>
    <w:rsid w:val="00F978CE"/>
    <w:pPr>
      <w:spacing w:after="0" w:line="240" w:lineRule="auto"/>
    </w:pPr>
    <w:tblPr>
      <w:tblStyleRowBandSize w:val="1"/>
      <w:tblStyleColBandSize w:val="1"/>
      <w:tblBorders>
        <w:top w:val="single" w:sz="4" w:space="0" w:color="E8AACB" w:themeColor="accent2" w:themeTint="66"/>
        <w:left w:val="single" w:sz="4" w:space="0" w:color="E8AACB" w:themeColor="accent2" w:themeTint="66"/>
        <w:bottom w:val="single" w:sz="4" w:space="0" w:color="E8AACB" w:themeColor="accent2" w:themeTint="66"/>
        <w:right w:val="single" w:sz="4" w:space="0" w:color="E8AACB" w:themeColor="accent2" w:themeTint="66"/>
        <w:insideH w:val="single" w:sz="4" w:space="0" w:color="E8AACB" w:themeColor="accent2" w:themeTint="66"/>
        <w:insideV w:val="single" w:sz="4" w:space="0" w:color="E8AACB" w:themeColor="accent2" w:themeTint="66"/>
      </w:tblBorders>
    </w:tblPr>
    <w:tblStylePr w:type="firstRow">
      <w:rPr>
        <w:b/>
        <w:bCs/>
      </w:rPr>
      <w:tblPr/>
      <w:tcPr>
        <w:tcBorders>
          <w:bottom w:val="single" w:sz="12" w:space="0" w:color="DD7FB2" w:themeColor="accent2" w:themeTint="99"/>
        </w:tcBorders>
      </w:tcPr>
    </w:tblStylePr>
    <w:tblStylePr w:type="lastRow">
      <w:rPr>
        <w:b/>
        <w:bCs/>
      </w:rPr>
      <w:tblPr/>
      <w:tcPr>
        <w:tcBorders>
          <w:top w:val="double" w:sz="2" w:space="0" w:color="DD7FB2"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unhideWhenUsed/>
    <w:rsid w:val="00F978CE"/>
    <w:pPr>
      <w:spacing w:after="0" w:line="240" w:lineRule="auto"/>
    </w:pPr>
    <w:tblPr>
      <w:tblStyleRowBandSize w:val="1"/>
      <w:tblStyleColBandSize w:val="1"/>
      <w:tblBorders>
        <w:top w:val="single" w:sz="4" w:space="0" w:color="EABDD6" w:themeColor="accent3" w:themeTint="66"/>
        <w:left w:val="single" w:sz="4" w:space="0" w:color="EABDD6" w:themeColor="accent3" w:themeTint="66"/>
        <w:bottom w:val="single" w:sz="4" w:space="0" w:color="EABDD6" w:themeColor="accent3" w:themeTint="66"/>
        <w:right w:val="single" w:sz="4" w:space="0" w:color="EABDD6" w:themeColor="accent3" w:themeTint="66"/>
        <w:insideH w:val="single" w:sz="4" w:space="0" w:color="EABDD6" w:themeColor="accent3" w:themeTint="66"/>
        <w:insideV w:val="single" w:sz="4" w:space="0" w:color="EABDD6" w:themeColor="accent3" w:themeTint="66"/>
      </w:tblBorders>
    </w:tblPr>
    <w:tblStylePr w:type="firstRow">
      <w:rPr>
        <w:b/>
        <w:bCs/>
      </w:rPr>
      <w:tblPr/>
      <w:tcPr>
        <w:tcBorders>
          <w:bottom w:val="single" w:sz="12" w:space="0" w:color="E09DC1" w:themeColor="accent3" w:themeTint="99"/>
        </w:tcBorders>
      </w:tcPr>
    </w:tblStylePr>
    <w:tblStylePr w:type="lastRow">
      <w:rPr>
        <w:b/>
        <w:bCs/>
      </w:rPr>
      <w:tblPr/>
      <w:tcPr>
        <w:tcBorders>
          <w:top w:val="double" w:sz="2" w:space="0" w:color="E09DC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unhideWhenUsed/>
    <w:rsid w:val="00F978CE"/>
    <w:pPr>
      <w:spacing w:after="0" w:line="240" w:lineRule="auto"/>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unhideWhenUsed/>
    <w:rsid w:val="00F978CE"/>
    <w:pPr>
      <w:spacing w:after="0" w:line="240" w:lineRule="auto"/>
    </w:pPr>
    <w:tblPr>
      <w:tblStyleRowBandSize w:val="1"/>
      <w:tblStyleColBandSize w:val="1"/>
      <w:tblBorders>
        <w:top w:val="single" w:sz="4" w:space="0" w:color="D5D5D5" w:themeColor="accent5" w:themeTint="66"/>
        <w:left w:val="single" w:sz="4" w:space="0" w:color="D5D5D5" w:themeColor="accent5" w:themeTint="66"/>
        <w:bottom w:val="single" w:sz="4" w:space="0" w:color="D5D5D5" w:themeColor="accent5" w:themeTint="66"/>
        <w:right w:val="single" w:sz="4" w:space="0" w:color="D5D5D5" w:themeColor="accent5" w:themeTint="66"/>
        <w:insideH w:val="single" w:sz="4" w:space="0" w:color="D5D5D5" w:themeColor="accent5" w:themeTint="66"/>
        <w:insideV w:val="single" w:sz="4" w:space="0" w:color="D5D5D5" w:themeColor="accent5" w:themeTint="66"/>
      </w:tblBorders>
    </w:tblPr>
    <w:tblStylePr w:type="firstRow">
      <w:rPr>
        <w:b/>
        <w:bCs/>
      </w:rPr>
      <w:tblPr/>
      <w:tcPr>
        <w:tcBorders>
          <w:bottom w:val="single" w:sz="12" w:space="0" w:color="C0C0C0" w:themeColor="accent5" w:themeTint="99"/>
        </w:tcBorders>
      </w:tcPr>
    </w:tblStylePr>
    <w:tblStylePr w:type="lastRow">
      <w:rPr>
        <w:b/>
        <w:bCs/>
      </w:rPr>
      <w:tblPr/>
      <w:tcPr>
        <w:tcBorders>
          <w:top w:val="double" w:sz="2" w:space="0" w:color="C0C0C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unhideWhenUsed/>
    <w:rsid w:val="00F978CE"/>
    <w:pPr>
      <w:spacing w:after="0" w:line="240" w:lineRule="auto"/>
    </w:pPr>
    <w:tblPr>
      <w:tblStyleRowBandSize w:val="1"/>
      <w:tblStyleColBandSize w:val="1"/>
      <w:tblBorders>
        <w:top w:val="single" w:sz="4" w:space="0" w:color="E7E7E7" w:themeColor="accent6" w:themeTint="66"/>
        <w:left w:val="single" w:sz="4" w:space="0" w:color="E7E7E7" w:themeColor="accent6" w:themeTint="66"/>
        <w:bottom w:val="single" w:sz="4" w:space="0" w:color="E7E7E7" w:themeColor="accent6" w:themeTint="66"/>
        <w:right w:val="single" w:sz="4" w:space="0" w:color="E7E7E7" w:themeColor="accent6" w:themeTint="66"/>
        <w:insideH w:val="single" w:sz="4" w:space="0" w:color="E7E7E7" w:themeColor="accent6" w:themeTint="66"/>
        <w:insideV w:val="single" w:sz="4" w:space="0" w:color="E7E7E7" w:themeColor="accent6" w:themeTint="66"/>
      </w:tblBorders>
    </w:tblPr>
    <w:tblStylePr w:type="firstRow">
      <w:rPr>
        <w:b/>
        <w:bCs/>
      </w:rPr>
      <w:tblPr/>
      <w:tcPr>
        <w:tcBorders>
          <w:bottom w:val="single" w:sz="12" w:space="0" w:color="DBDBDB" w:themeColor="accent6" w:themeTint="99"/>
        </w:tcBorders>
      </w:tcPr>
    </w:tblStylePr>
    <w:tblStylePr w:type="lastRow">
      <w:rPr>
        <w:b/>
        <w:bCs/>
      </w:rPr>
      <w:tblPr/>
      <w:tcPr>
        <w:tcBorders>
          <w:top w:val="double" w:sz="2" w:space="0" w:color="DBDBD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unhideWhenUsed/>
    <w:rsid w:val="00F978C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unhideWhenUsed/>
    <w:rsid w:val="00F978CE"/>
    <w:pPr>
      <w:spacing w:after="0" w:line="240" w:lineRule="auto"/>
    </w:pPr>
    <w:tblPr>
      <w:tblStyleRowBandSize w:val="1"/>
      <w:tblStyleColBandSize w:val="1"/>
      <w:tblBorders>
        <w:top w:val="single" w:sz="2" w:space="0" w:color="FF36A2" w:themeColor="accent1" w:themeTint="99"/>
        <w:bottom w:val="single" w:sz="2" w:space="0" w:color="FF36A2" w:themeColor="accent1" w:themeTint="99"/>
        <w:insideH w:val="single" w:sz="2" w:space="0" w:color="FF36A2" w:themeColor="accent1" w:themeTint="99"/>
        <w:insideV w:val="single" w:sz="2" w:space="0" w:color="FF36A2" w:themeColor="accent1" w:themeTint="99"/>
      </w:tblBorders>
    </w:tblPr>
    <w:tblStylePr w:type="firstRow">
      <w:rPr>
        <w:b/>
        <w:bCs/>
      </w:rPr>
      <w:tblPr/>
      <w:tcPr>
        <w:tcBorders>
          <w:top w:val="nil"/>
          <w:bottom w:val="single" w:sz="12" w:space="0" w:color="FF36A2" w:themeColor="accent1" w:themeTint="99"/>
          <w:insideH w:val="nil"/>
          <w:insideV w:val="nil"/>
        </w:tcBorders>
        <w:shd w:val="clear" w:color="auto" w:fill="FFFFFF" w:themeFill="background1"/>
      </w:tcPr>
    </w:tblStylePr>
    <w:tblStylePr w:type="lastRow">
      <w:rPr>
        <w:b/>
        <w:bCs/>
      </w:rPr>
      <w:tblPr/>
      <w:tcPr>
        <w:tcBorders>
          <w:top w:val="double" w:sz="2" w:space="0" w:color="FF36A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GridTable2-Accent2">
    <w:name w:val="Grid Table 2 Accent 2"/>
    <w:basedOn w:val="TableNormal"/>
    <w:uiPriority w:val="47"/>
    <w:unhideWhenUsed/>
    <w:rsid w:val="00F978CE"/>
    <w:pPr>
      <w:spacing w:after="0" w:line="240" w:lineRule="auto"/>
    </w:pPr>
    <w:tblPr>
      <w:tblStyleRowBandSize w:val="1"/>
      <w:tblStyleColBandSize w:val="1"/>
      <w:tblBorders>
        <w:top w:val="single" w:sz="2" w:space="0" w:color="DD7FB2" w:themeColor="accent2" w:themeTint="99"/>
        <w:bottom w:val="single" w:sz="2" w:space="0" w:color="DD7FB2" w:themeColor="accent2" w:themeTint="99"/>
        <w:insideH w:val="single" w:sz="2" w:space="0" w:color="DD7FB2" w:themeColor="accent2" w:themeTint="99"/>
        <w:insideV w:val="single" w:sz="2" w:space="0" w:color="DD7FB2" w:themeColor="accent2" w:themeTint="99"/>
      </w:tblBorders>
    </w:tblPr>
    <w:tblStylePr w:type="firstRow">
      <w:rPr>
        <w:b/>
        <w:bCs/>
      </w:rPr>
      <w:tblPr/>
      <w:tcPr>
        <w:tcBorders>
          <w:top w:val="nil"/>
          <w:bottom w:val="single" w:sz="12" w:space="0" w:color="DD7FB2" w:themeColor="accent2" w:themeTint="99"/>
          <w:insideH w:val="nil"/>
          <w:insideV w:val="nil"/>
        </w:tcBorders>
        <w:shd w:val="clear" w:color="auto" w:fill="FFFFFF" w:themeFill="background1"/>
      </w:tcPr>
    </w:tblStylePr>
    <w:tblStylePr w:type="lastRow">
      <w:rPr>
        <w:b/>
        <w:bCs/>
      </w:rPr>
      <w:tblPr/>
      <w:tcPr>
        <w:tcBorders>
          <w:top w:val="double" w:sz="2" w:space="0" w:color="DD7FB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GridTable2-Accent3">
    <w:name w:val="Grid Table 2 Accent 3"/>
    <w:basedOn w:val="TableNormal"/>
    <w:uiPriority w:val="47"/>
    <w:unhideWhenUsed/>
    <w:rsid w:val="00F978CE"/>
    <w:pPr>
      <w:spacing w:after="0" w:line="240" w:lineRule="auto"/>
    </w:pPr>
    <w:tblPr>
      <w:tblStyleRowBandSize w:val="1"/>
      <w:tblStyleColBandSize w:val="1"/>
      <w:tblBorders>
        <w:top w:val="single" w:sz="2" w:space="0" w:color="E09DC1" w:themeColor="accent3" w:themeTint="99"/>
        <w:bottom w:val="single" w:sz="2" w:space="0" w:color="E09DC1" w:themeColor="accent3" w:themeTint="99"/>
        <w:insideH w:val="single" w:sz="2" w:space="0" w:color="E09DC1" w:themeColor="accent3" w:themeTint="99"/>
        <w:insideV w:val="single" w:sz="2" w:space="0" w:color="E09DC1" w:themeColor="accent3" w:themeTint="99"/>
      </w:tblBorders>
    </w:tblPr>
    <w:tblStylePr w:type="firstRow">
      <w:rPr>
        <w:b/>
        <w:bCs/>
      </w:rPr>
      <w:tblPr/>
      <w:tcPr>
        <w:tcBorders>
          <w:top w:val="nil"/>
          <w:bottom w:val="single" w:sz="12" w:space="0" w:color="E09DC1" w:themeColor="accent3" w:themeTint="99"/>
          <w:insideH w:val="nil"/>
          <w:insideV w:val="nil"/>
        </w:tcBorders>
        <w:shd w:val="clear" w:color="auto" w:fill="FFFFFF" w:themeFill="background1"/>
      </w:tcPr>
    </w:tblStylePr>
    <w:tblStylePr w:type="lastRow">
      <w:rPr>
        <w:b/>
        <w:bCs/>
      </w:rPr>
      <w:tblPr/>
      <w:tcPr>
        <w:tcBorders>
          <w:top w:val="double" w:sz="2" w:space="0" w:color="E09DC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GridTable2-Accent4">
    <w:name w:val="Grid Table 2 Accent 4"/>
    <w:basedOn w:val="TableNormal"/>
    <w:uiPriority w:val="47"/>
    <w:unhideWhenUsed/>
    <w:rsid w:val="00F978CE"/>
    <w:pPr>
      <w:spacing w:after="0" w:line="240" w:lineRule="auto"/>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unhideWhenUsed/>
    <w:rsid w:val="00F978CE"/>
    <w:pPr>
      <w:spacing w:after="0" w:line="240" w:lineRule="auto"/>
    </w:pPr>
    <w:tblPr>
      <w:tblStyleRowBandSize w:val="1"/>
      <w:tblStyleColBandSize w:val="1"/>
      <w:tblBorders>
        <w:top w:val="single" w:sz="2" w:space="0" w:color="C0C0C0" w:themeColor="accent5" w:themeTint="99"/>
        <w:bottom w:val="single" w:sz="2" w:space="0" w:color="C0C0C0" w:themeColor="accent5" w:themeTint="99"/>
        <w:insideH w:val="single" w:sz="2" w:space="0" w:color="C0C0C0" w:themeColor="accent5" w:themeTint="99"/>
        <w:insideV w:val="single" w:sz="2" w:space="0" w:color="C0C0C0" w:themeColor="accent5" w:themeTint="99"/>
      </w:tblBorders>
    </w:tblPr>
    <w:tblStylePr w:type="firstRow">
      <w:rPr>
        <w:b/>
        <w:bCs/>
      </w:rPr>
      <w:tblPr/>
      <w:tcPr>
        <w:tcBorders>
          <w:top w:val="nil"/>
          <w:bottom w:val="single" w:sz="12" w:space="0" w:color="C0C0C0" w:themeColor="accent5" w:themeTint="99"/>
          <w:insideH w:val="nil"/>
          <w:insideV w:val="nil"/>
        </w:tcBorders>
        <w:shd w:val="clear" w:color="auto" w:fill="FFFFFF" w:themeFill="background1"/>
      </w:tcPr>
    </w:tblStylePr>
    <w:tblStylePr w:type="lastRow">
      <w:rPr>
        <w:b/>
        <w:bCs/>
      </w:rPr>
      <w:tblPr/>
      <w:tcPr>
        <w:tcBorders>
          <w:top w:val="double" w:sz="2" w:space="0" w:color="C0C0C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GridTable2-Accent6">
    <w:name w:val="Grid Table 2 Accent 6"/>
    <w:basedOn w:val="TableNormal"/>
    <w:uiPriority w:val="47"/>
    <w:unhideWhenUsed/>
    <w:rsid w:val="00F978CE"/>
    <w:pPr>
      <w:spacing w:after="0" w:line="240" w:lineRule="auto"/>
    </w:pPr>
    <w:tblPr>
      <w:tblStyleRowBandSize w:val="1"/>
      <w:tblStyleColBandSize w:val="1"/>
      <w:tblBorders>
        <w:top w:val="single" w:sz="2" w:space="0" w:color="DBDBDB" w:themeColor="accent6" w:themeTint="99"/>
        <w:bottom w:val="single" w:sz="2" w:space="0" w:color="DBDBDB" w:themeColor="accent6" w:themeTint="99"/>
        <w:insideH w:val="single" w:sz="2" w:space="0" w:color="DBDBDB" w:themeColor="accent6" w:themeTint="99"/>
        <w:insideV w:val="single" w:sz="2" w:space="0" w:color="DBDBDB" w:themeColor="accent6" w:themeTint="99"/>
      </w:tblBorders>
    </w:tblPr>
    <w:tblStylePr w:type="firstRow">
      <w:rPr>
        <w:b/>
        <w:bCs/>
      </w:rPr>
      <w:tblPr/>
      <w:tcPr>
        <w:tcBorders>
          <w:top w:val="nil"/>
          <w:bottom w:val="single" w:sz="12" w:space="0" w:color="DBDBDB" w:themeColor="accent6" w:themeTint="99"/>
          <w:insideH w:val="nil"/>
          <w:insideV w:val="nil"/>
        </w:tcBorders>
        <w:shd w:val="clear" w:color="auto" w:fill="FFFFFF" w:themeFill="background1"/>
      </w:tcPr>
    </w:tblStylePr>
    <w:tblStylePr w:type="lastRow">
      <w:rPr>
        <w:b/>
        <w:bCs/>
      </w:rPr>
      <w:tblPr/>
      <w:tcPr>
        <w:tcBorders>
          <w:top w:val="double" w:sz="2" w:space="0" w:color="DBDBD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GridTable3">
    <w:name w:val="Grid Table 3"/>
    <w:basedOn w:val="TableNormal"/>
    <w:uiPriority w:val="48"/>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bottom w:val="single" w:sz="4" w:space="0" w:color="FF36A2" w:themeColor="accent1" w:themeTint="99"/>
        </w:tcBorders>
      </w:tcPr>
    </w:tblStylePr>
    <w:tblStylePr w:type="nwCell">
      <w:tblPr/>
      <w:tcPr>
        <w:tcBorders>
          <w:bottom w:val="single" w:sz="4" w:space="0" w:color="FF36A2" w:themeColor="accent1" w:themeTint="99"/>
        </w:tcBorders>
      </w:tcPr>
    </w:tblStylePr>
    <w:tblStylePr w:type="seCell">
      <w:tblPr/>
      <w:tcPr>
        <w:tcBorders>
          <w:top w:val="single" w:sz="4" w:space="0" w:color="FF36A2" w:themeColor="accent1" w:themeTint="99"/>
        </w:tcBorders>
      </w:tcPr>
    </w:tblStylePr>
    <w:tblStylePr w:type="swCell">
      <w:tblPr/>
      <w:tcPr>
        <w:tcBorders>
          <w:top w:val="single" w:sz="4" w:space="0" w:color="FF36A2" w:themeColor="accent1" w:themeTint="99"/>
        </w:tcBorders>
      </w:tcPr>
    </w:tblStylePr>
  </w:style>
  <w:style w:type="table" w:styleId="GridTable3-Accent2">
    <w:name w:val="Grid Table 3 Accent 2"/>
    <w:basedOn w:val="TableNormal"/>
    <w:uiPriority w:val="48"/>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bottom w:val="single" w:sz="4" w:space="0" w:color="DD7FB2" w:themeColor="accent2" w:themeTint="99"/>
        </w:tcBorders>
      </w:tcPr>
    </w:tblStylePr>
    <w:tblStylePr w:type="nwCell">
      <w:tblPr/>
      <w:tcPr>
        <w:tcBorders>
          <w:bottom w:val="single" w:sz="4" w:space="0" w:color="DD7FB2" w:themeColor="accent2" w:themeTint="99"/>
        </w:tcBorders>
      </w:tcPr>
    </w:tblStylePr>
    <w:tblStylePr w:type="seCell">
      <w:tblPr/>
      <w:tcPr>
        <w:tcBorders>
          <w:top w:val="single" w:sz="4" w:space="0" w:color="DD7FB2" w:themeColor="accent2" w:themeTint="99"/>
        </w:tcBorders>
      </w:tcPr>
    </w:tblStylePr>
    <w:tblStylePr w:type="swCell">
      <w:tblPr/>
      <w:tcPr>
        <w:tcBorders>
          <w:top w:val="single" w:sz="4" w:space="0" w:color="DD7FB2" w:themeColor="accent2" w:themeTint="99"/>
        </w:tcBorders>
      </w:tcPr>
    </w:tblStylePr>
  </w:style>
  <w:style w:type="table" w:styleId="GridTable3-Accent3">
    <w:name w:val="Grid Table 3 Accent 3"/>
    <w:basedOn w:val="TableNormal"/>
    <w:uiPriority w:val="48"/>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bottom w:val="single" w:sz="4" w:space="0" w:color="E09DC1" w:themeColor="accent3" w:themeTint="99"/>
        </w:tcBorders>
      </w:tcPr>
    </w:tblStylePr>
    <w:tblStylePr w:type="nwCell">
      <w:tblPr/>
      <w:tcPr>
        <w:tcBorders>
          <w:bottom w:val="single" w:sz="4" w:space="0" w:color="E09DC1" w:themeColor="accent3" w:themeTint="99"/>
        </w:tcBorders>
      </w:tcPr>
    </w:tblStylePr>
    <w:tblStylePr w:type="seCell">
      <w:tblPr/>
      <w:tcPr>
        <w:tcBorders>
          <w:top w:val="single" w:sz="4" w:space="0" w:color="E09DC1" w:themeColor="accent3" w:themeTint="99"/>
        </w:tcBorders>
      </w:tcPr>
    </w:tblStylePr>
    <w:tblStylePr w:type="swCell">
      <w:tblPr/>
      <w:tcPr>
        <w:tcBorders>
          <w:top w:val="single" w:sz="4" w:space="0" w:color="E09DC1" w:themeColor="accent3" w:themeTint="99"/>
        </w:tcBorders>
      </w:tcPr>
    </w:tblStylePr>
  </w:style>
  <w:style w:type="table" w:styleId="GridTable3-Accent4">
    <w:name w:val="Grid Table 3 Accent 4"/>
    <w:basedOn w:val="TableNormal"/>
    <w:uiPriority w:val="48"/>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bottom w:val="single" w:sz="4" w:space="0" w:color="C0C0C0" w:themeColor="accent5" w:themeTint="99"/>
        </w:tcBorders>
      </w:tcPr>
    </w:tblStylePr>
    <w:tblStylePr w:type="nwCell">
      <w:tblPr/>
      <w:tcPr>
        <w:tcBorders>
          <w:bottom w:val="single" w:sz="4" w:space="0" w:color="C0C0C0" w:themeColor="accent5" w:themeTint="99"/>
        </w:tcBorders>
      </w:tcPr>
    </w:tblStylePr>
    <w:tblStylePr w:type="seCell">
      <w:tblPr/>
      <w:tcPr>
        <w:tcBorders>
          <w:top w:val="single" w:sz="4" w:space="0" w:color="C0C0C0" w:themeColor="accent5" w:themeTint="99"/>
        </w:tcBorders>
      </w:tcPr>
    </w:tblStylePr>
    <w:tblStylePr w:type="swCell">
      <w:tblPr/>
      <w:tcPr>
        <w:tcBorders>
          <w:top w:val="single" w:sz="4" w:space="0" w:color="C0C0C0" w:themeColor="accent5" w:themeTint="99"/>
        </w:tcBorders>
      </w:tcPr>
    </w:tblStylePr>
  </w:style>
  <w:style w:type="table" w:styleId="GridTable3-Accent6">
    <w:name w:val="Grid Table 3 Accent 6"/>
    <w:basedOn w:val="TableNormal"/>
    <w:uiPriority w:val="48"/>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bottom w:val="single" w:sz="4" w:space="0" w:color="DBDBDB" w:themeColor="accent6" w:themeTint="99"/>
        </w:tcBorders>
      </w:tcPr>
    </w:tblStylePr>
    <w:tblStylePr w:type="nwCell">
      <w:tblPr/>
      <w:tcPr>
        <w:tcBorders>
          <w:bottom w:val="single" w:sz="4" w:space="0" w:color="DBDBDB" w:themeColor="accent6" w:themeTint="99"/>
        </w:tcBorders>
      </w:tcPr>
    </w:tblStylePr>
    <w:tblStylePr w:type="seCell">
      <w:tblPr/>
      <w:tcPr>
        <w:tcBorders>
          <w:top w:val="single" w:sz="4" w:space="0" w:color="DBDBDB" w:themeColor="accent6" w:themeTint="99"/>
        </w:tcBorders>
      </w:tcPr>
    </w:tblStylePr>
    <w:tblStylePr w:type="swCell">
      <w:tblPr/>
      <w:tcPr>
        <w:tcBorders>
          <w:top w:val="single" w:sz="4" w:space="0" w:color="DBDBDB" w:themeColor="accent6" w:themeTint="99"/>
        </w:tcBorders>
      </w:tcPr>
    </w:tblStylePr>
  </w:style>
  <w:style w:type="table" w:styleId="GridTable4">
    <w:name w:val="Grid Table 4"/>
    <w:basedOn w:val="TableNormal"/>
    <w:uiPriority w:val="49"/>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color w:val="FFFFFF" w:themeColor="background1"/>
      </w:rPr>
      <w:tblPr/>
      <w:tcPr>
        <w:tcBorders>
          <w:top w:val="single" w:sz="4" w:space="0" w:color="AF005F" w:themeColor="accent1"/>
          <w:left w:val="single" w:sz="4" w:space="0" w:color="AF005F" w:themeColor="accent1"/>
          <w:bottom w:val="single" w:sz="4" w:space="0" w:color="AF005F" w:themeColor="accent1"/>
          <w:right w:val="single" w:sz="4" w:space="0" w:color="AF005F" w:themeColor="accent1"/>
          <w:insideH w:val="nil"/>
          <w:insideV w:val="nil"/>
        </w:tcBorders>
        <w:shd w:val="clear" w:color="auto" w:fill="AF005F" w:themeFill="accent1"/>
      </w:tcPr>
    </w:tblStylePr>
    <w:tblStylePr w:type="lastRow">
      <w:rPr>
        <w:b/>
        <w:bCs/>
      </w:rPr>
      <w:tblPr/>
      <w:tcPr>
        <w:tcBorders>
          <w:top w:val="double" w:sz="4" w:space="0" w:color="AF005F" w:themeColor="accent1"/>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GridTable4-Accent2">
    <w:name w:val="Grid Table 4 Accent 2"/>
    <w:basedOn w:val="TableNormal"/>
    <w:uiPriority w:val="49"/>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color w:val="FFFFFF" w:themeColor="background1"/>
      </w:rPr>
      <w:tblPr/>
      <w:tcPr>
        <w:tcBorders>
          <w:top w:val="single" w:sz="4" w:space="0" w:color="BF337F" w:themeColor="accent2"/>
          <w:left w:val="single" w:sz="4" w:space="0" w:color="BF337F" w:themeColor="accent2"/>
          <w:bottom w:val="single" w:sz="4" w:space="0" w:color="BF337F" w:themeColor="accent2"/>
          <w:right w:val="single" w:sz="4" w:space="0" w:color="BF337F" w:themeColor="accent2"/>
          <w:insideH w:val="nil"/>
          <w:insideV w:val="nil"/>
        </w:tcBorders>
        <w:shd w:val="clear" w:color="auto" w:fill="BF337F" w:themeFill="accent2"/>
      </w:tcPr>
    </w:tblStylePr>
    <w:tblStylePr w:type="lastRow">
      <w:rPr>
        <w:b/>
        <w:bCs/>
      </w:rPr>
      <w:tblPr/>
      <w:tcPr>
        <w:tcBorders>
          <w:top w:val="double" w:sz="4" w:space="0" w:color="BF337F" w:themeColor="accent2"/>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GridTable4-Accent3">
    <w:name w:val="Grid Table 4 Accent 3"/>
    <w:basedOn w:val="TableNormal"/>
    <w:uiPriority w:val="49"/>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color w:val="FFFFFF" w:themeColor="background1"/>
      </w:rPr>
      <w:tblPr/>
      <w:tcPr>
        <w:tcBorders>
          <w:top w:val="single" w:sz="4" w:space="0" w:color="CC5C99" w:themeColor="accent3"/>
          <w:left w:val="single" w:sz="4" w:space="0" w:color="CC5C99" w:themeColor="accent3"/>
          <w:bottom w:val="single" w:sz="4" w:space="0" w:color="CC5C99" w:themeColor="accent3"/>
          <w:right w:val="single" w:sz="4" w:space="0" w:color="CC5C99" w:themeColor="accent3"/>
          <w:insideH w:val="nil"/>
          <w:insideV w:val="nil"/>
        </w:tcBorders>
        <w:shd w:val="clear" w:color="auto" w:fill="CC5C99" w:themeFill="accent3"/>
      </w:tcPr>
    </w:tblStylePr>
    <w:tblStylePr w:type="lastRow">
      <w:rPr>
        <w:b/>
        <w:bCs/>
      </w:rPr>
      <w:tblPr/>
      <w:tcPr>
        <w:tcBorders>
          <w:top w:val="double" w:sz="4" w:space="0" w:color="CC5C99" w:themeColor="accent3"/>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GridTable4-Accent4">
    <w:name w:val="Grid Table 4 Accent 4"/>
    <w:basedOn w:val="TableNormal"/>
    <w:uiPriority w:val="49"/>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color w:val="FFFFFF" w:themeColor="background1"/>
      </w:rPr>
      <w:tblPr/>
      <w:tcPr>
        <w:tcBorders>
          <w:top w:val="single" w:sz="4" w:space="0" w:color="969696" w:themeColor="accent5"/>
          <w:left w:val="single" w:sz="4" w:space="0" w:color="969696" w:themeColor="accent5"/>
          <w:bottom w:val="single" w:sz="4" w:space="0" w:color="969696" w:themeColor="accent5"/>
          <w:right w:val="single" w:sz="4" w:space="0" w:color="969696" w:themeColor="accent5"/>
          <w:insideH w:val="nil"/>
          <w:insideV w:val="nil"/>
        </w:tcBorders>
        <w:shd w:val="clear" w:color="auto" w:fill="969696" w:themeFill="accent5"/>
      </w:tcPr>
    </w:tblStylePr>
    <w:tblStylePr w:type="lastRow">
      <w:rPr>
        <w:b/>
        <w:bCs/>
      </w:rPr>
      <w:tblPr/>
      <w:tcPr>
        <w:tcBorders>
          <w:top w:val="double" w:sz="4" w:space="0" w:color="969696" w:themeColor="accent5"/>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GridTable4-Accent6">
    <w:name w:val="Grid Table 4 Accent 6"/>
    <w:basedOn w:val="TableNormal"/>
    <w:uiPriority w:val="49"/>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color w:val="FFFFFF" w:themeColor="background1"/>
      </w:rPr>
      <w:tblPr/>
      <w:tcPr>
        <w:tcBorders>
          <w:top w:val="single" w:sz="4" w:space="0" w:color="C3C3C3" w:themeColor="accent6"/>
          <w:left w:val="single" w:sz="4" w:space="0" w:color="C3C3C3" w:themeColor="accent6"/>
          <w:bottom w:val="single" w:sz="4" w:space="0" w:color="C3C3C3" w:themeColor="accent6"/>
          <w:right w:val="single" w:sz="4" w:space="0" w:color="C3C3C3" w:themeColor="accent6"/>
          <w:insideH w:val="nil"/>
          <w:insideV w:val="nil"/>
        </w:tcBorders>
        <w:shd w:val="clear" w:color="auto" w:fill="C3C3C3" w:themeFill="accent6"/>
      </w:tcPr>
    </w:tblStylePr>
    <w:tblStylePr w:type="lastRow">
      <w:rPr>
        <w:b/>
        <w:bCs/>
      </w:rPr>
      <w:tblPr/>
      <w:tcPr>
        <w:tcBorders>
          <w:top w:val="double" w:sz="4" w:space="0" w:color="C3C3C3" w:themeColor="accent6"/>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GridTable5Dark">
    <w:name w:val="Grid Table 5 Dark"/>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C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005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005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005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005F" w:themeFill="accent1"/>
      </w:tcPr>
    </w:tblStylePr>
    <w:tblStylePr w:type="band1Vert">
      <w:tblPr/>
      <w:tcPr>
        <w:shd w:val="clear" w:color="auto" w:fill="FF79C1" w:themeFill="accent1" w:themeFillTint="66"/>
      </w:tcPr>
    </w:tblStylePr>
    <w:tblStylePr w:type="band1Horz">
      <w:tblPr/>
      <w:tcPr>
        <w:shd w:val="clear" w:color="auto" w:fill="FF79C1" w:themeFill="accent1" w:themeFillTint="66"/>
      </w:tcPr>
    </w:tblStylePr>
  </w:style>
  <w:style w:type="table" w:styleId="GridTable5Dark-Accent2">
    <w:name w:val="Grid Table 5 Dark Accent 2"/>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4E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337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337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337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337F" w:themeFill="accent2"/>
      </w:tcPr>
    </w:tblStylePr>
    <w:tblStylePr w:type="band1Vert">
      <w:tblPr/>
      <w:tcPr>
        <w:shd w:val="clear" w:color="auto" w:fill="E8AACB" w:themeFill="accent2" w:themeFillTint="66"/>
      </w:tcPr>
    </w:tblStylePr>
    <w:tblStylePr w:type="band1Horz">
      <w:tblPr/>
      <w:tcPr>
        <w:shd w:val="clear" w:color="auto" w:fill="E8AACB" w:themeFill="accent2" w:themeFillTint="66"/>
      </w:tcPr>
    </w:tblStylePr>
  </w:style>
  <w:style w:type="table" w:styleId="GridTable5Dark-Accent3">
    <w:name w:val="Grid Table 5 Dark Accent 3"/>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E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5C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5C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5C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5C99" w:themeFill="accent3"/>
      </w:tcPr>
    </w:tblStylePr>
    <w:tblStylePr w:type="band1Vert">
      <w:tblPr/>
      <w:tcPr>
        <w:shd w:val="clear" w:color="auto" w:fill="EABDD6" w:themeFill="accent3" w:themeFillTint="66"/>
      </w:tcPr>
    </w:tblStylePr>
    <w:tblStylePr w:type="band1Horz">
      <w:tblPr/>
      <w:tcPr>
        <w:shd w:val="clear" w:color="auto" w:fill="EABDD6" w:themeFill="accent3" w:themeFillTint="66"/>
      </w:tcPr>
    </w:tblStylePr>
  </w:style>
  <w:style w:type="table" w:styleId="GridTable5Dark-Accent4">
    <w:name w:val="Grid Table 5 Dark Accent 4"/>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5"/>
      </w:tcPr>
    </w:tblStylePr>
    <w:tblStylePr w:type="band1Vert">
      <w:tblPr/>
      <w:tcPr>
        <w:shd w:val="clear" w:color="auto" w:fill="D5D5D5" w:themeFill="accent5" w:themeFillTint="66"/>
      </w:tcPr>
    </w:tblStylePr>
    <w:tblStylePr w:type="band1Horz">
      <w:tblPr/>
      <w:tcPr>
        <w:shd w:val="clear" w:color="auto" w:fill="D5D5D5" w:themeFill="accent5" w:themeFillTint="66"/>
      </w:tcPr>
    </w:tblStylePr>
  </w:style>
  <w:style w:type="table" w:styleId="GridTable5Dark-Accent6">
    <w:name w:val="Grid Table 5 Dark Accent 6"/>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3F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C3C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C3C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C3C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C3C3" w:themeFill="accent6"/>
      </w:tcPr>
    </w:tblStylePr>
    <w:tblStylePr w:type="band1Vert">
      <w:tblPr/>
      <w:tcPr>
        <w:shd w:val="clear" w:color="auto" w:fill="E7E7E7" w:themeFill="accent6" w:themeFillTint="66"/>
      </w:tcPr>
    </w:tblStylePr>
    <w:tblStylePr w:type="band1Horz">
      <w:tblPr/>
      <w:tcPr>
        <w:shd w:val="clear" w:color="auto" w:fill="E7E7E7" w:themeFill="accent6" w:themeFillTint="66"/>
      </w:tcPr>
    </w:tblStylePr>
  </w:style>
  <w:style w:type="table" w:styleId="GridTable6Colorful">
    <w:name w:val="Grid Table 6 Colorful"/>
    <w:basedOn w:val="TableNormal"/>
    <w:uiPriority w:val="51"/>
    <w:unhideWhenUsed/>
    <w:rsid w:val="00F978C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unhideWhenUsed/>
    <w:rsid w:val="00F978CE"/>
    <w:pPr>
      <w:spacing w:after="0" w:line="240" w:lineRule="auto"/>
    </w:pPr>
    <w:rPr>
      <w:color w:val="830046" w:themeColor="accent1" w:themeShade="BF"/>
    </w:r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bottom w:val="single" w:sz="12" w:space="0" w:color="FF36A2" w:themeColor="accent1" w:themeTint="99"/>
        </w:tcBorders>
      </w:tcPr>
    </w:tblStylePr>
    <w:tblStylePr w:type="lastRow">
      <w:rPr>
        <w:b/>
        <w:bCs/>
      </w:rPr>
      <w:tblPr/>
      <w:tcPr>
        <w:tcBorders>
          <w:top w:val="doub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GridTable6Colorful-Accent2">
    <w:name w:val="Grid Table 6 Colorful Accent 2"/>
    <w:basedOn w:val="TableNormal"/>
    <w:uiPriority w:val="51"/>
    <w:unhideWhenUsed/>
    <w:rsid w:val="00F978CE"/>
    <w:pPr>
      <w:spacing w:after="0" w:line="240" w:lineRule="auto"/>
    </w:pPr>
    <w:rPr>
      <w:color w:val="8E265E" w:themeColor="accent2" w:themeShade="BF"/>
    </w:r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bottom w:val="single" w:sz="12" w:space="0" w:color="DD7FB2" w:themeColor="accent2" w:themeTint="99"/>
        </w:tcBorders>
      </w:tcPr>
    </w:tblStylePr>
    <w:tblStylePr w:type="lastRow">
      <w:rPr>
        <w:b/>
        <w:bCs/>
      </w:rPr>
      <w:tblPr/>
      <w:tcPr>
        <w:tcBorders>
          <w:top w:val="doub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GridTable6Colorful-Accent3">
    <w:name w:val="Grid Table 6 Colorful Accent 3"/>
    <w:basedOn w:val="TableNormal"/>
    <w:uiPriority w:val="51"/>
    <w:unhideWhenUsed/>
    <w:rsid w:val="00F978CE"/>
    <w:pPr>
      <w:spacing w:after="0" w:line="240" w:lineRule="auto"/>
    </w:pPr>
    <w:rPr>
      <w:color w:val="A83573" w:themeColor="accent3" w:themeShade="BF"/>
    </w:r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bottom w:val="single" w:sz="12" w:space="0" w:color="E09DC1" w:themeColor="accent3" w:themeTint="99"/>
        </w:tcBorders>
      </w:tcPr>
    </w:tblStylePr>
    <w:tblStylePr w:type="lastRow">
      <w:rPr>
        <w:b/>
        <w:bCs/>
      </w:rPr>
      <w:tblPr/>
      <w:tcPr>
        <w:tcBorders>
          <w:top w:val="doub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GridTable6Colorful-Accent4">
    <w:name w:val="Grid Table 6 Colorful Accent 4"/>
    <w:basedOn w:val="TableNormal"/>
    <w:uiPriority w:val="51"/>
    <w:unhideWhenUsed/>
    <w:rsid w:val="00F978CE"/>
    <w:pPr>
      <w:spacing w:after="0"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unhideWhenUsed/>
    <w:rsid w:val="00F978CE"/>
    <w:pPr>
      <w:spacing w:after="0" w:line="240" w:lineRule="auto"/>
    </w:pPr>
    <w:rPr>
      <w:color w:val="707070" w:themeColor="accent5" w:themeShade="BF"/>
    </w:r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bottom w:val="single" w:sz="12" w:space="0" w:color="C0C0C0" w:themeColor="accent5" w:themeTint="99"/>
        </w:tcBorders>
      </w:tcPr>
    </w:tblStylePr>
    <w:tblStylePr w:type="lastRow">
      <w:rPr>
        <w:b/>
        <w:bCs/>
      </w:rPr>
      <w:tblPr/>
      <w:tcPr>
        <w:tcBorders>
          <w:top w:val="doub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GridTable6Colorful-Accent6">
    <w:name w:val="Grid Table 6 Colorful Accent 6"/>
    <w:basedOn w:val="TableNormal"/>
    <w:uiPriority w:val="51"/>
    <w:unhideWhenUsed/>
    <w:rsid w:val="00F978CE"/>
    <w:pPr>
      <w:spacing w:after="0" w:line="240" w:lineRule="auto"/>
    </w:pPr>
    <w:rPr>
      <w:color w:val="929292" w:themeColor="accent6" w:themeShade="BF"/>
    </w:r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bottom w:val="single" w:sz="12" w:space="0" w:color="DBDBDB" w:themeColor="accent6" w:themeTint="99"/>
        </w:tcBorders>
      </w:tcPr>
    </w:tblStylePr>
    <w:tblStylePr w:type="lastRow">
      <w:rPr>
        <w:b/>
        <w:bCs/>
      </w:rPr>
      <w:tblPr/>
      <w:tcPr>
        <w:tcBorders>
          <w:top w:val="doub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GridTable7Colorful">
    <w:name w:val="Grid Table 7 Colorful"/>
    <w:basedOn w:val="TableNormal"/>
    <w:uiPriority w:val="52"/>
    <w:unhideWhenUsed/>
    <w:rsid w:val="00F978C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unhideWhenUsed/>
    <w:rsid w:val="00F978CE"/>
    <w:pPr>
      <w:spacing w:after="0" w:line="240" w:lineRule="auto"/>
    </w:pPr>
    <w:rPr>
      <w:color w:val="830046" w:themeColor="accent1" w:themeShade="BF"/>
    </w:r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bottom w:val="single" w:sz="4" w:space="0" w:color="FF36A2" w:themeColor="accent1" w:themeTint="99"/>
        </w:tcBorders>
      </w:tcPr>
    </w:tblStylePr>
    <w:tblStylePr w:type="nwCell">
      <w:tblPr/>
      <w:tcPr>
        <w:tcBorders>
          <w:bottom w:val="single" w:sz="4" w:space="0" w:color="FF36A2" w:themeColor="accent1" w:themeTint="99"/>
        </w:tcBorders>
      </w:tcPr>
    </w:tblStylePr>
    <w:tblStylePr w:type="seCell">
      <w:tblPr/>
      <w:tcPr>
        <w:tcBorders>
          <w:top w:val="single" w:sz="4" w:space="0" w:color="FF36A2" w:themeColor="accent1" w:themeTint="99"/>
        </w:tcBorders>
      </w:tcPr>
    </w:tblStylePr>
    <w:tblStylePr w:type="swCell">
      <w:tblPr/>
      <w:tcPr>
        <w:tcBorders>
          <w:top w:val="single" w:sz="4" w:space="0" w:color="FF36A2" w:themeColor="accent1" w:themeTint="99"/>
        </w:tcBorders>
      </w:tcPr>
    </w:tblStylePr>
  </w:style>
  <w:style w:type="table" w:styleId="GridTable7Colorful-Accent2">
    <w:name w:val="Grid Table 7 Colorful Accent 2"/>
    <w:basedOn w:val="TableNormal"/>
    <w:uiPriority w:val="52"/>
    <w:unhideWhenUsed/>
    <w:rsid w:val="00F978CE"/>
    <w:pPr>
      <w:spacing w:after="0" w:line="240" w:lineRule="auto"/>
    </w:pPr>
    <w:rPr>
      <w:color w:val="8E265E" w:themeColor="accent2" w:themeShade="BF"/>
    </w:r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bottom w:val="single" w:sz="4" w:space="0" w:color="DD7FB2" w:themeColor="accent2" w:themeTint="99"/>
        </w:tcBorders>
      </w:tcPr>
    </w:tblStylePr>
    <w:tblStylePr w:type="nwCell">
      <w:tblPr/>
      <w:tcPr>
        <w:tcBorders>
          <w:bottom w:val="single" w:sz="4" w:space="0" w:color="DD7FB2" w:themeColor="accent2" w:themeTint="99"/>
        </w:tcBorders>
      </w:tcPr>
    </w:tblStylePr>
    <w:tblStylePr w:type="seCell">
      <w:tblPr/>
      <w:tcPr>
        <w:tcBorders>
          <w:top w:val="single" w:sz="4" w:space="0" w:color="DD7FB2" w:themeColor="accent2" w:themeTint="99"/>
        </w:tcBorders>
      </w:tcPr>
    </w:tblStylePr>
    <w:tblStylePr w:type="swCell">
      <w:tblPr/>
      <w:tcPr>
        <w:tcBorders>
          <w:top w:val="single" w:sz="4" w:space="0" w:color="DD7FB2" w:themeColor="accent2" w:themeTint="99"/>
        </w:tcBorders>
      </w:tcPr>
    </w:tblStylePr>
  </w:style>
  <w:style w:type="table" w:styleId="GridTable7Colorful-Accent3">
    <w:name w:val="Grid Table 7 Colorful Accent 3"/>
    <w:basedOn w:val="TableNormal"/>
    <w:uiPriority w:val="52"/>
    <w:unhideWhenUsed/>
    <w:rsid w:val="00F978CE"/>
    <w:pPr>
      <w:spacing w:after="0" w:line="240" w:lineRule="auto"/>
    </w:pPr>
    <w:rPr>
      <w:color w:val="A83573" w:themeColor="accent3" w:themeShade="BF"/>
    </w:r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bottom w:val="single" w:sz="4" w:space="0" w:color="E09DC1" w:themeColor="accent3" w:themeTint="99"/>
        </w:tcBorders>
      </w:tcPr>
    </w:tblStylePr>
    <w:tblStylePr w:type="nwCell">
      <w:tblPr/>
      <w:tcPr>
        <w:tcBorders>
          <w:bottom w:val="single" w:sz="4" w:space="0" w:color="E09DC1" w:themeColor="accent3" w:themeTint="99"/>
        </w:tcBorders>
      </w:tcPr>
    </w:tblStylePr>
    <w:tblStylePr w:type="seCell">
      <w:tblPr/>
      <w:tcPr>
        <w:tcBorders>
          <w:top w:val="single" w:sz="4" w:space="0" w:color="E09DC1" w:themeColor="accent3" w:themeTint="99"/>
        </w:tcBorders>
      </w:tcPr>
    </w:tblStylePr>
    <w:tblStylePr w:type="swCell">
      <w:tblPr/>
      <w:tcPr>
        <w:tcBorders>
          <w:top w:val="single" w:sz="4" w:space="0" w:color="E09DC1" w:themeColor="accent3" w:themeTint="99"/>
        </w:tcBorders>
      </w:tcPr>
    </w:tblStylePr>
  </w:style>
  <w:style w:type="table" w:styleId="GridTable7Colorful-Accent4">
    <w:name w:val="Grid Table 7 Colorful Accent 4"/>
    <w:basedOn w:val="TableNormal"/>
    <w:uiPriority w:val="52"/>
    <w:unhideWhenUsed/>
    <w:rsid w:val="00F978CE"/>
    <w:pPr>
      <w:spacing w:after="0"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unhideWhenUsed/>
    <w:rsid w:val="00F978CE"/>
    <w:pPr>
      <w:spacing w:after="0" w:line="240" w:lineRule="auto"/>
    </w:pPr>
    <w:rPr>
      <w:color w:val="707070" w:themeColor="accent5" w:themeShade="BF"/>
    </w:r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bottom w:val="single" w:sz="4" w:space="0" w:color="C0C0C0" w:themeColor="accent5" w:themeTint="99"/>
        </w:tcBorders>
      </w:tcPr>
    </w:tblStylePr>
    <w:tblStylePr w:type="nwCell">
      <w:tblPr/>
      <w:tcPr>
        <w:tcBorders>
          <w:bottom w:val="single" w:sz="4" w:space="0" w:color="C0C0C0" w:themeColor="accent5" w:themeTint="99"/>
        </w:tcBorders>
      </w:tcPr>
    </w:tblStylePr>
    <w:tblStylePr w:type="seCell">
      <w:tblPr/>
      <w:tcPr>
        <w:tcBorders>
          <w:top w:val="single" w:sz="4" w:space="0" w:color="C0C0C0" w:themeColor="accent5" w:themeTint="99"/>
        </w:tcBorders>
      </w:tcPr>
    </w:tblStylePr>
    <w:tblStylePr w:type="swCell">
      <w:tblPr/>
      <w:tcPr>
        <w:tcBorders>
          <w:top w:val="single" w:sz="4" w:space="0" w:color="C0C0C0" w:themeColor="accent5" w:themeTint="99"/>
        </w:tcBorders>
      </w:tcPr>
    </w:tblStylePr>
  </w:style>
  <w:style w:type="table" w:styleId="GridTable7Colorful-Accent6">
    <w:name w:val="Grid Table 7 Colorful Accent 6"/>
    <w:basedOn w:val="TableNormal"/>
    <w:uiPriority w:val="52"/>
    <w:unhideWhenUsed/>
    <w:rsid w:val="00F978CE"/>
    <w:pPr>
      <w:spacing w:after="0" w:line="240" w:lineRule="auto"/>
    </w:pPr>
    <w:rPr>
      <w:color w:val="929292" w:themeColor="accent6" w:themeShade="BF"/>
    </w:r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bottom w:val="single" w:sz="4" w:space="0" w:color="DBDBDB" w:themeColor="accent6" w:themeTint="99"/>
        </w:tcBorders>
      </w:tcPr>
    </w:tblStylePr>
    <w:tblStylePr w:type="nwCell">
      <w:tblPr/>
      <w:tcPr>
        <w:tcBorders>
          <w:bottom w:val="single" w:sz="4" w:space="0" w:color="DBDBDB" w:themeColor="accent6" w:themeTint="99"/>
        </w:tcBorders>
      </w:tcPr>
    </w:tblStylePr>
    <w:tblStylePr w:type="seCell">
      <w:tblPr/>
      <w:tcPr>
        <w:tcBorders>
          <w:top w:val="single" w:sz="4" w:space="0" w:color="DBDBDB" w:themeColor="accent6" w:themeTint="99"/>
        </w:tcBorders>
      </w:tcPr>
    </w:tblStylePr>
    <w:tblStylePr w:type="swCell">
      <w:tblPr/>
      <w:tcPr>
        <w:tcBorders>
          <w:top w:val="single" w:sz="4" w:space="0" w:color="DBDBDB" w:themeColor="accent6" w:themeTint="99"/>
        </w:tcBorders>
      </w:tcPr>
    </w:tblStylePr>
  </w:style>
  <w:style w:type="character" w:styleId="Hashtag">
    <w:name w:val="Hashtag"/>
    <w:basedOn w:val="DefaultParagraphFont"/>
    <w:uiPriority w:val="99"/>
    <w:unhideWhenUsed/>
    <w:rsid w:val="00F978CE"/>
    <w:rPr>
      <w:color w:val="2B579A"/>
      <w:shd w:val="clear" w:color="auto" w:fill="E6E6E6"/>
    </w:rPr>
  </w:style>
  <w:style w:type="character" w:styleId="HTMLAcronym">
    <w:name w:val="HTML Acronym"/>
    <w:basedOn w:val="DefaultParagraphFont"/>
    <w:uiPriority w:val="99"/>
    <w:unhideWhenUsed/>
    <w:rsid w:val="00F978CE"/>
  </w:style>
  <w:style w:type="paragraph" w:styleId="HTMLAddress">
    <w:name w:val="HTML Address"/>
    <w:basedOn w:val="Normal"/>
    <w:link w:val="HTMLAddressChar"/>
    <w:uiPriority w:val="99"/>
    <w:unhideWhenUsed/>
    <w:rsid w:val="00F978CE"/>
    <w:rPr>
      <w:i/>
      <w:iCs/>
    </w:rPr>
  </w:style>
  <w:style w:type="character" w:customStyle="1" w:styleId="HTMLAddressChar">
    <w:name w:val="HTML Address Char"/>
    <w:basedOn w:val="DefaultParagraphFont"/>
    <w:link w:val="HTMLAddress"/>
    <w:uiPriority w:val="99"/>
    <w:rsid w:val="00FE583B"/>
    <w:rPr>
      <w:rFonts w:ascii="Arial" w:hAnsi="Arial"/>
      <w:i/>
      <w:iCs/>
      <w:sz w:val="20"/>
    </w:rPr>
  </w:style>
  <w:style w:type="character" w:styleId="HTMLCite">
    <w:name w:val="HTML Cite"/>
    <w:basedOn w:val="DefaultParagraphFont"/>
    <w:uiPriority w:val="99"/>
    <w:unhideWhenUsed/>
    <w:rsid w:val="00F978CE"/>
    <w:rPr>
      <w:i/>
      <w:iCs/>
    </w:rPr>
  </w:style>
  <w:style w:type="character" w:styleId="HTMLCode">
    <w:name w:val="HTML Code"/>
    <w:basedOn w:val="DefaultParagraphFont"/>
    <w:uiPriority w:val="99"/>
    <w:unhideWhenUsed/>
    <w:rsid w:val="00F978CE"/>
    <w:rPr>
      <w:rFonts w:ascii="Consolas" w:hAnsi="Consolas"/>
      <w:sz w:val="20"/>
      <w:szCs w:val="20"/>
    </w:rPr>
  </w:style>
  <w:style w:type="character" w:styleId="HTMLDefinition">
    <w:name w:val="HTML Definition"/>
    <w:basedOn w:val="DefaultParagraphFont"/>
    <w:uiPriority w:val="99"/>
    <w:unhideWhenUsed/>
    <w:rsid w:val="00F978CE"/>
    <w:rPr>
      <w:i/>
      <w:iCs/>
    </w:rPr>
  </w:style>
  <w:style w:type="character" w:styleId="HTMLKeyboard">
    <w:name w:val="HTML Keyboard"/>
    <w:basedOn w:val="DefaultParagraphFont"/>
    <w:uiPriority w:val="99"/>
    <w:unhideWhenUsed/>
    <w:rsid w:val="00F978CE"/>
    <w:rPr>
      <w:rFonts w:ascii="Consolas" w:hAnsi="Consolas"/>
      <w:sz w:val="20"/>
      <w:szCs w:val="20"/>
    </w:rPr>
  </w:style>
  <w:style w:type="paragraph" w:styleId="HTMLPreformatted">
    <w:name w:val="HTML Preformatted"/>
    <w:basedOn w:val="Normal"/>
    <w:link w:val="HTMLPreformattedChar"/>
    <w:uiPriority w:val="99"/>
    <w:unhideWhenUsed/>
    <w:rsid w:val="00F978CE"/>
    <w:rPr>
      <w:rFonts w:ascii="Consolas" w:hAnsi="Consolas"/>
    </w:rPr>
  </w:style>
  <w:style w:type="character" w:customStyle="1" w:styleId="HTMLPreformattedChar">
    <w:name w:val="HTML Preformatted Char"/>
    <w:basedOn w:val="DefaultParagraphFont"/>
    <w:link w:val="HTMLPreformatted"/>
    <w:uiPriority w:val="99"/>
    <w:rsid w:val="00FE583B"/>
    <w:rPr>
      <w:rFonts w:ascii="Consolas" w:hAnsi="Consolas"/>
      <w:sz w:val="20"/>
      <w:szCs w:val="20"/>
    </w:rPr>
  </w:style>
  <w:style w:type="character" w:styleId="HTMLSample">
    <w:name w:val="HTML Sample"/>
    <w:basedOn w:val="DefaultParagraphFont"/>
    <w:uiPriority w:val="99"/>
    <w:unhideWhenUsed/>
    <w:rsid w:val="00F978CE"/>
    <w:rPr>
      <w:rFonts w:ascii="Consolas" w:hAnsi="Consolas"/>
      <w:sz w:val="24"/>
      <w:szCs w:val="24"/>
    </w:rPr>
  </w:style>
  <w:style w:type="character" w:styleId="HTMLTypewriter">
    <w:name w:val="HTML Typewriter"/>
    <w:basedOn w:val="DefaultParagraphFont"/>
    <w:uiPriority w:val="99"/>
    <w:unhideWhenUsed/>
    <w:rsid w:val="00F978CE"/>
    <w:rPr>
      <w:rFonts w:ascii="Consolas" w:hAnsi="Consolas"/>
      <w:sz w:val="20"/>
      <w:szCs w:val="20"/>
    </w:rPr>
  </w:style>
  <w:style w:type="character" w:styleId="HTMLVariable">
    <w:name w:val="HTML Variable"/>
    <w:basedOn w:val="DefaultParagraphFont"/>
    <w:uiPriority w:val="99"/>
    <w:unhideWhenUsed/>
    <w:rsid w:val="00F978CE"/>
    <w:rPr>
      <w:i/>
      <w:iCs/>
    </w:rPr>
  </w:style>
  <w:style w:type="character" w:styleId="Hyperlink">
    <w:name w:val="Hyperlink"/>
    <w:basedOn w:val="DefaultParagraphFont"/>
    <w:uiPriority w:val="99"/>
    <w:unhideWhenUsed/>
    <w:rsid w:val="00F978CE"/>
    <w:rPr>
      <w:color w:val="D985B2" w:themeColor="hyperlink"/>
      <w:u w:val="single"/>
    </w:rPr>
  </w:style>
  <w:style w:type="paragraph" w:styleId="Index1">
    <w:name w:val="index 1"/>
    <w:basedOn w:val="Normal"/>
    <w:next w:val="Normal"/>
    <w:autoRedefine/>
    <w:uiPriority w:val="99"/>
    <w:unhideWhenUsed/>
    <w:rsid w:val="00F978CE"/>
    <w:pPr>
      <w:ind w:left="200" w:hanging="200"/>
    </w:pPr>
  </w:style>
  <w:style w:type="paragraph" w:styleId="Index2">
    <w:name w:val="index 2"/>
    <w:basedOn w:val="Normal"/>
    <w:next w:val="Normal"/>
    <w:autoRedefine/>
    <w:uiPriority w:val="99"/>
    <w:unhideWhenUsed/>
    <w:rsid w:val="00F978CE"/>
    <w:pPr>
      <w:ind w:left="400" w:hanging="200"/>
    </w:pPr>
  </w:style>
  <w:style w:type="paragraph" w:styleId="Index3">
    <w:name w:val="index 3"/>
    <w:basedOn w:val="Normal"/>
    <w:next w:val="Normal"/>
    <w:autoRedefine/>
    <w:uiPriority w:val="99"/>
    <w:unhideWhenUsed/>
    <w:rsid w:val="00F978CE"/>
    <w:pPr>
      <w:ind w:left="600" w:hanging="200"/>
    </w:pPr>
  </w:style>
  <w:style w:type="paragraph" w:styleId="Index4">
    <w:name w:val="index 4"/>
    <w:basedOn w:val="Normal"/>
    <w:next w:val="Normal"/>
    <w:autoRedefine/>
    <w:uiPriority w:val="99"/>
    <w:unhideWhenUsed/>
    <w:rsid w:val="00F978CE"/>
    <w:pPr>
      <w:ind w:left="800" w:hanging="200"/>
    </w:pPr>
  </w:style>
  <w:style w:type="paragraph" w:styleId="Index5">
    <w:name w:val="index 5"/>
    <w:basedOn w:val="Normal"/>
    <w:next w:val="Normal"/>
    <w:autoRedefine/>
    <w:uiPriority w:val="99"/>
    <w:unhideWhenUsed/>
    <w:rsid w:val="00F978CE"/>
    <w:pPr>
      <w:ind w:left="1000" w:hanging="200"/>
    </w:pPr>
  </w:style>
  <w:style w:type="paragraph" w:styleId="Index6">
    <w:name w:val="index 6"/>
    <w:basedOn w:val="Normal"/>
    <w:next w:val="Normal"/>
    <w:autoRedefine/>
    <w:uiPriority w:val="99"/>
    <w:unhideWhenUsed/>
    <w:rsid w:val="00F978CE"/>
    <w:pPr>
      <w:ind w:left="1200" w:hanging="200"/>
    </w:pPr>
  </w:style>
  <w:style w:type="paragraph" w:styleId="Index7">
    <w:name w:val="index 7"/>
    <w:basedOn w:val="Normal"/>
    <w:next w:val="Normal"/>
    <w:autoRedefine/>
    <w:uiPriority w:val="99"/>
    <w:unhideWhenUsed/>
    <w:rsid w:val="00F978CE"/>
    <w:pPr>
      <w:ind w:left="1400" w:hanging="200"/>
    </w:pPr>
  </w:style>
  <w:style w:type="paragraph" w:styleId="Index8">
    <w:name w:val="index 8"/>
    <w:basedOn w:val="Normal"/>
    <w:next w:val="Normal"/>
    <w:autoRedefine/>
    <w:uiPriority w:val="99"/>
    <w:unhideWhenUsed/>
    <w:rsid w:val="00F978CE"/>
    <w:pPr>
      <w:ind w:left="1600" w:hanging="200"/>
    </w:pPr>
  </w:style>
  <w:style w:type="paragraph" w:styleId="Index9">
    <w:name w:val="index 9"/>
    <w:basedOn w:val="Normal"/>
    <w:next w:val="Normal"/>
    <w:autoRedefine/>
    <w:uiPriority w:val="99"/>
    <w:unhideWhenUsed/>
    <w:rsid w:val="00F978CE"/>
    <w:pPr>
      <w:ind w:left="1800" w:hanging="200"/>
    </w:pPr>
  </w:style>
  <w:style w:type="paragraph" w:styleId="IndexHeading">
    <w:name w:val="index heading"/>
    <w:basedOn w:val="Normal"/>
    <w:next w:val="Index1"/>
    <w:uiPriority w:val="99"/>
    <w:unhideWhenUsed/>
    <w:rsid w:val="00F978CE"/>
    <w:rPr>
      <w:rFonts w:asciiTheme="majorHAnsi" w:eastAsiaTheme="majorEastAsia" w:hAnsiTheme="majorHAnsi" w:cstheme="majorBidi"/>
      <w:b/>
      <w:bCs/>
    </w:rPr>
  </w:style>
  <w:style w:type="character" w:styleId="IntenseEmphasis">
    <w:name w:val="Intense Emphasis"/>
    <w:basedOn w:val="DefaultParagraphFont"/>
    <w:uiPriority w:val="99"/>
    <w:unhideWhenUsed/>
    <w:qFormat/>
    <w:rsid w:val="00F978CE"/>
    <w:rPr>
      <w:i/>
      <w:iCs/>
      <w:color w:val="AF005F" w:themeColor="accent1"/>
    </w:rPr>
  </w:style>
  <w:style w:type="paragraph" w:styleId="IntenseQuote">
    <w:name w:val="Intense Quote"/>
    <w:basedOn w:val="Normal"/>
    <w:next w:val="Normal"/>
    <w:link w:val="IntenseQuoteChar"/>
    <w:uiPriority w:val="99"/>
    <w:unhideWhenUsed/>
    <w:qFormat/>
    <w:rsid w:val="00F978CE"/>
    <w:pPr>
      <w:pBdr>
        <w:top w:val="single" w:sz="4" w:space="10" w:color="AF005F" w:themeColor="accent1"/>
        <w:bottom w:val="single" w:sz="4" w:space="10" w:color="AF005F" w:themeColor="accent1"/>
      </w:pBdr>
      <w:spacing w:before="360" w:after="360"/>
      <w:ind w:left="864" w:right="864"/>
      <w:jc w:val="center"/>
    </w:pPr>
    <w:rPr>
      <w:i/>
      <w:iCs/>
      <w:color w:val="AF005F" w:themeColor="accent1"/>
    </w:rPr>
  </w:style>
  <w:style w:type="character" w:customStyle="1" w:styleId="IntenseQuoteChar">
    <w:name w:val="Intense Quote Char"/>
    <w:basedOn w:val="DefaultParagraphFont"/>
    <w:link w:val="IntenseQuote"/>
    <w:uiPriority w:val="99"/>
    <w:rsid w:val="00FE583B"/>
    <w:rPr>
      <w:rFonts w:ascii="Arial" w:hAnsi="Arial"/>
      <w:i/>
      <w:iCs/>
      <w:color w:val="AF005F" w:themeColor="accent1"/>
      <w:sz w:val="20"/>
    </w:rPr>
  </w:style>
  <w:style w:type="character" w:styleId="IntenseReference">
    <w:name w:val="Intense Reference"/>
    <w:basedOn w:val="DefaultParagraphFont"/>
    <w:uiPriority w:val="99"/>
    <w:unhideWhenUsed/>
    <w:qFormat/>
    <w:rsid w:val="00F978CE"/>
    <w:rPr>
      <w:b/>
      <w:bCs/>
      <w:smallCaps/>
      <w:color w:val="AF005F" w:themeColor="accent1"/>
      <w:spacing w:val="5"/>
    </w:rPr>
  </w:style>
  <w:style w:type="table" w:styleId="LightGrid">
    <w:name w:val="Light Grid"/>
    <w:basedOn w:val="TableNormal"/>
    <w:uiPriority w:val="62"/>
    <w:unhideWhenUsed/>
    <w:rsid w:val="00F978C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unhideWhenUsed/>
    <w:rsid w:val="00F978CE"/>
    <w:pPr>
      <w:spacing w:after="0" w:line="240" w:lineRule="auto"/>
    </w:p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insideH w:val="single" w:sz="8" w:space="0" w:color="AF005F" w:themeColor="accent1"/>
        <w:insideV w:val="single" w:sz="8" w:space="0" w:color="AF005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005F" w:themeColor="accent1"/>
          <w:left w:val="single" w:sz="8" w:space="0" w:color="AF005F" w:themeColor="accent1"/>
          <w:bottom w:val="single" w:sz="18" w:space="0" w:color="AF005F" w:themeColor="accent1"/>
          <w:right w:val="single" w:sz="8" w:space="0" w:color="AF005F" w:themeColor="accent1"/>
          <w:insideH w:val="nil"/>
          <w:insideV w:val="single" w:sz="8" w:space="0" w:color="AF005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005F" w:themeColor="accent1"/>
          <w:left w:val="single" w:sz="8" w:space="0" w:color="AF005F" w:themeColor="accent1"/>
          <w:bottom w:val="single" w:sz="8" w:space="0" w:color="AF005F" w:themeColor="accent1"/>
          <w:right w:val="single" w:sz="8" w:space="0" w:color="AF005F" w:themeColor="accent1"/>
          <w:insideH w:val="nil"/>
          <w:insideV w:val="single" w:sz="8" w:space="0" w:color="AF005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tblStylePr w:type="band1Vert">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shd w:val="clear" w:color="auto" w:fill="FFACD8" w:themeFill="accent1" w:themeFillTint="3F"/>
      </w:tcPr>
    </w:tblStylePr>
    <w:tblStylePr w:type="band1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insideV w:val="single" w:sz="8" w:space="0" w:color="AF005F" w:themeColor="accent1"/>
        </w:tcBorders>
        <w:shd w:val="clear" w:color="auto" w:fill="FFACD8" w:themeFill="accent1" w:themeFillTint="3F"/>
      </w:tcPr>
    </w:tblStylePr>
    <w:tblStylePr w:type="band2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insideV w:val="single" w:sz="8" w:space="0" w:color="AF005F" w:themeColor="accent1"/>
        </w:tcBorders>
      </w:tcPr>
    </w:tblStylePr>
  </w:style>
  <w:style w:type="table" w:styleId="LightGrid-Accent2">
    <w:name w:val="Light Grid Accent 2"/>
    <w:basedOn w:val="TableNormal"/>
    <w:uiPriority w:val="62"/>
    <w:unhideWhenUsed/>
    <w:rsid w:val="00F978CE"/>
    <w:pPr>
      <w:spacing w:after="0" w:line="240" w:lineRule="auto"/>
    </w:p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insideH w:val="single" w:sz="8" w:space="0" w:color="BF337F" w:themeColor="accent2"/>
        <w:insideV w:val="single" w:sz="8" w:space="0" w:color="BF337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337F" w:themeColor="accent2"/>
          <w:left w:val="single" w:sz="8" w:space="0" w:color="BF337F" w:themeColor="accent2"/>
          <w:bottom w:val="single" w:sz="18" w:space="0" w:color="BF337F" w:themeColor="accent2"/>
          <w:right w:val="single" w:sz="8" w:space="0" w:color="BF337F" w:themeColor="accent2"/>
          <w:insideH w:val="nil"/>
          <w:insideV w:val="single" w:sz="8" w:space="0" w:color="BF337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337F" w:themeColor="accent2"/>
          <w:left w:val="single" w:sz="8" w:space="0" w:color="BF337F" w:themeColor="accent2"/>
          <w:bottom w:val="single" w:sz="8" w:space="0" w:color="BF337F" w:themeColor="accent2"/>
          <w:right w:val="single" w:sz="8" w:space="0" w:color="BF337F" w:themeColor="accent2"/>
          <w:insideH w:val="nil"/>
          <w:insideV w:val="single" w:sz="8" w:space="0" w:color="BF337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tblStylePr w:type="band1Vert">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shd w:val="clear" w:color="auto" w:fill="F1CADF" w:themeFill="accent2" w:themeFillTint="3F"/>
      </w:tcPr>
    </w:tblStylePr>
    <w:tblStylePr w:type="band1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insideV w:val="single" w:sz="8" w:space="0" w:color="BF337F" w:themeColor="accent2"/>
        </w:tcBorders>
        <w:shd w:val="clear" w:color="auto" w:fill="F1CADF" w:themeFill="accent2" w:themeFillTint="3F"/>
      </w:tcPr>
    </w:tblStylePr>
    <w:tblStylePr w:type="band2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insideV w:val="single" w:sz="8" w:space="0" w:color="BF337F" w:themeColor="accent2"/>
        </w:tcBorders>
      </w:tcPr>
    </w:tblStylePr>
  </w:style>
  <w:style w:type="table" w:styleId="LightGrid-Accent3">
    <w:name w:val="Light Grid Accent 3"/>
    <w:basedOn w:val="TableNormal"/>
    <w:uiPriority w:val="62"/>
    <w:unhideWhenUsed/>
    <w:rsid w:val="00F978CE"/>
    <w:pPr>
      <w:spacing w:after="0" w:line="240" w:lineRule="auto"/>
    </w:p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insideH w:val="single" w:sz="8" w:space="0" w:color="CC5C99" w:themeColor="accent3"/>
        <w:insideV w:val="single" w:sz="8" w:space="0" w:color="CC5C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5C99" w:themeColor="accent3"/>
          <w:left w:val="single" w:sz="8" w:space="0" w:color="CC5C99" w:themeColor="accent3"/>
          <w:bottom w:val="single" w:sz="18" w:space="0" w:color="CC5C99" w:themeColor="accent3"/>
          <w:right w:val="single" w:sz="8" w:space="0" w:color="CC5C99" w:themeColor="accent3"/>
          <w:insideH w:val="nil"/>
          <w:insideV w:val="single" w:sz="8" w:space="0" w:color="CC5C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5C99" w:themeColor="accent3"/>
          <w:left w:val="single" w:sz="8" w:space="0" w:color="CC5C99" w:themeColor="accent3"/>
          <w:bottom w:val="single" w:sz="8" w:space="0" w:color="CC5C99" w:themeColor="accent3"/>
          <w:right w:val="single" w:sz="8" w:space="0" w:color="CC5C99" w:themeColor="accent3"/>
          <w:insideH w:val="nil"/>
          <w:insideV w:val="single" w:sz="8" w:space="0" w:color="CC5C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tblStylePr w:type="band1Vert">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shd w:val="clear" w:color="auto" w:fill="F2D6E5" w:themeFill="accent3" w:themeFillTint="3F"/>
      </w:tcPr>
    </w:tblStylePr>
    <w:tblStylePr w:type="band1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insideV w:val="single" w:sz="8" w:space="0" w:color="CC5C99" w:themeColor="accent3"/>
        </w:tcBorders>
        <w:shd w:val="clear" w:color="auto" w:fill="F2D6E5" w:themeFill="accent3" w:themeFillTint="3F"/>
      </w:tcPr>
    </w:tblStylePr>
    <w:tblStylePr w:type="band2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insideV w:val="single" w:sz="8" w:space="0" w:color="CC5C99" w:themeColor="accent3"/>
        </w:tcBorders>
      </w:tcPr>
    </w:tblStylePr>
  </w:style>
  <w:style w:type="table" w:styleId="LightGrid-Accent4">
    <w:name w:val="Light Grid Accent 4"/>
    <w:basedOn w:val="TableNormal"/>
    <w:uiPriority w:val="62"/>
    <w:unhideWhenUsed/>
    <w:rsid w:val="00F978CE"/>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unhideWhenUsed/>
    <w:rsid w:val="00F978CE"/>
    <w:pPr>
      <w:spacing w:after="0" w:line="240" w:lineRule="auto"/>
    </w:p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insideH w:val="single" w:sz="8" w:space="0" w:color="969696" w:themeColor="accent5"/>
        <w:insideV w:val="single" w:sz="8" w:space="0" w:color="96969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5"/>
          <w:left w:val="single" w:sz="8" w:space="0" w:color="969696" w:themeColor="accent5"/>
          <w:bottom w:val="single" w:sz="18" w:space="0" w:color="969696" w:themeColor="accent5"/>
          <w:right w:val="single" w:sz="8" w:space="0" w:color="969696" w:themeColor="accent5"/>
          <w:insideH w:val="nil"/>
          <w:insideV w:val="single" w:sz="8" w:space="0" w:color="96969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5"/>
          <w:left w:val="single" w:sz="8" w:space="0" w:color="969696" w:themeColor="accent5"/>
          <w:bottom w:val="single" w:sz="8" w:space="0" w:color="969696" w:themeColor="accent5"/>
          <w:right w:val="single" w:sz="8" w:space="0" w:color="969696" w:themeColor="accent5"/>
          <w:insideH w:val="nil"/>
          <w:insideV w:val="single" w:sz="8" w:space="0" w:color="96969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tblStylePr w:type="band1Vert">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shd w:val="clear" w:color="auto" w:fill="E5E5E5" w:themeFill="accent5" w:themeFillTint="3F"/>
      </w:tcPr>
    </w:tblStylePr>
    <w:tblStylePr w:type="band1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insideV w:val="single" w:sz="8" w:space="0" w:color="969696" w:themeColor="accent5"/>
        </w:tcBorders>
        <w:shd w:val="clear" w:color="auto" w:fill="E5E5E5" w:themeFill="accent5" w:themeFillTint="3F"/>
      </w:tcPr>
    </w:tblStylePr>
    <w:tblStylePr w:type="band2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insideV w:val="single" w:sz="8" w:space="0" w:color="969696" w:themeColor="accent5"/>
        </w:tcBorders>
      </w:tcPr>
    </w:tblStylePr>
  </w:style>
  <w:style w:type="table" w:styleId="LightGrid-Accent6">
    <w:name w:val="Light Grid Accent 6"/>
    <w:basedOn w:val="TableNormal"/>
    <w:uiPriority w:val="62"/>
    <w:unhideWhenUsed/>
    <w:rsid w:val="00F978CE"/>
    <w:pPr>
      <w:spacing w:after="0" w:line="240" w:lineRule="auto"/>
    </w:p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insideH w:val="single" w:sz="8" w:space="0" w:color="C3C3C3" w:themeColor="accent6"/>
        <w:insideV w:val="single" w:sz="8" w:space="0" w:color="C3C3C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C3C3" w:themeColor="accent6"/>
          <w:left w:val="single" w:sz="8" w:space="0" w:color="C3C3C3" w:themeColor="accent6"/>
          <w:bottom w:val="single" w:sz="18" w:space="0" w:color="C3C3C3" w:themeColor="accent6"/>
          <w:right w:val="single" w:sz="8" w:space="0" w:color="C3C3C3" w:themeColor="accent6"/>
          <w:insideH w:val="nil"/>
          <w:insideV w:val="single" w:sz="8" w:space="0" w:color="C3C3C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C3C3" w:themeColor="accent6"/>
          <w:left w:val="single" w:sz="8" w:space="0" w:color="C3C3C3" w:themeColor="accent6"/>
          <w:bottom w:val="single" w:sz="8" w:space="0" w:color="C3C3C3" w:themeColor="accent6"/>
          <w:right w:val="single" w:sz="8" w:space="0" w:color="C3C3C3" w:themeColor="accent6"/>
          <w:insideH w:val="nil"/>
          <w:insideV w:val="single" w:sz="8" w:space="0" w:color="C3C3C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tblStylePr w:type="band1Vert">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shd w:val="clear" w:color="auto" w:fill="F0F0F0" w:themeFill="accent6" w:themeFillTint="3F"/>
      </w:tcPr>
    </w:tblStylePr>
    <w:tblStylePr w:type="band1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insideV w:val="single" w:sz="8" w:space="0" w:color="C3C3C3" w:themeColor="accent6"/>
        </w:tcBorders>
        <w:shd w:val="clear" w:color="auto" w:fill="F0F0F0" w:themeFill="accent6" w:themeFillTint="3F"/>
      </w:tcPr>
    </w:tblStylePr>
    <w:tblStylePr w:type="band2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insideV w:val="single" w:sz="8" w:space="0" w:color="C3C3C3" w:themeColor="accent6"/>
        </w:tcBorders>
      </w:tcPr>
    </w:tblStylePr>
  </w:style>
  <w:style w:type="table" w:styleId="LightList">
    <w:name w:val="Light List"/>
    <w:basedOn w:val="TableNormal"/>
    <w:uiPriority w:val="61"/>
    <w:unhideWhenUsed/>
    <w:rsid w:val="00F978C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unhideWhenUsed/>
    <w:rsid w:val="00F978CE"/>
    <w:pPr>
      <w:spacing w:after="0" w:line="240" w:lineRule="auto"/>
    </w:p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tblBorders>
    </w:tblPr>
    <w:tblStylePr w:type="firstRow">
      <w:pPr>
        <w:spacing w:before="0" w:after="0" w:line="240" w:lineRule="auto"/>
      </w:pPr>
      <w:rPr>
        <w:b/>
        <w:bCs/>
        <w:color w:val="FFFFFF" w:themeColor="background1"/>
      </w:rPr>
      <w:tblPr/>
      <w:tcPr>
        <w:shd w:val="clear" w:color="auto" w:fill="AF005F" w:themeFill="accent1"/>
      </w:tcPr>
    </w:tblStylePr>
    <w:tblStylePr w:type="lastRow">
      <w:pPr>
        <w:spacing w:before="0" w:after="0" w:line="240" w:lineRule="auto"/>
      </w:pPr>
      <w:rPr>
        <w:b/>
        <w:bCs/>
      </w:rPr>
      <w:tblPr/>
      <w:tcPr>
        <w:tcBorders>
          <w:top w:val="double" w:sz="6" w:space="0" w:color="AF005F" w:themeColor="accent1"/>
          <w:left w:val="single" w:sz="8" w:space="0" w:color="AF005F" w:themeColor="accent1"/>
          <w:bottom w:val="single" w:sz="8" w:space="0" w:color="AF005F" w:themeColor="accent1"/>
          <w:right w:val="single" w:sz="8" w:space="0" w:color="AF005F" w:themeColor="accent1"/>
        </w:tcBorders>
      </w:tcPr>
    </w:tblStylePr>
    <w:tblStylePr w:type="firstCol">
      <w:rPr>
        <w:b/>
        <w:bCs/>
      </w:rPr>
    </w:tblStylePr>
    <w:tblStylePr w:type="lastCol">
      <w:rPr>
        <w:b/>
        <w:bCs/>
      </w:rPr>
    </w:tblStylePr>
    <w:tblStylePr w:type="band1Vert">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tblStylePr w:type="band1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style>
  <w:style w:type="table" w:styleId="LightList-Accent2">
    <w:name w:val="Light List Accent 2"/>
    <w:basedOn w:val="TableNormal"/>
    <w:uiPriority w:val="61"/>
    <w:unhideWhenUsed/>
    <w:rsid w:val="00F978CE"/>
    <w:pPr>
      <w:spacing w:after="0" w:line="240" w:lineRule="auto"/>
    </w:p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tblBorders>
    </w:tblPr>
    <w:tblStylePr w:type="firstRow">
      <w:pPr>
        <w:spacing w:before="0" w:after="0" w:line="240" w:lineRule="auto"/>
      </w:pPr>
      <w:rPr>
        <w:b/>
        <w:bCs/>
        <w:color w:val="FFFFFF" w:themeColor="background1"/>
      </w:rPr>
      <w:tblPr/>
      <w:tcPr>
        <w:shd w:val="clear" w:color="auto" w:fill="BF337F" w:themeFill="accent2"/>
      </w:tcPr>
    </w:tblStylePr>
    <w:tblStylePr w:type="lastRow">
      <w:pPr>
        <w:spacing w:before="0" w:after="0" w:line="240" w:lineRule="auto"/>
      </w:pPr>
      <w:rPr>
        <w:b/>
        <w:bCs/>
      </w:rPr>
      <w:tblPr/>
      <w:tcPr>
        <w:tcBorders>
          <w:top w:val="double" w:sz="6" w:space="0" w:color="BF337F" w:themeColor="accent2"/>
          <w:left w:val="single" w:sz="8" w:space="0" w:color="BF337F" w:themeColor="accent2"/>
          <w:bottom w:val="single" w:sz="8" w:space="0" w:color="BF337F" w:themeColor="accent2"/>
          <w:right w:val="single" w:sz="8" w:space="0" w:color="BF337F" w:themeColor="accent2"/>
        </w:tcBorders>
      </w:tcPr>
    </w:tblStylePr>
    <w:tblStylePr w:type="firstCol">
      <w:rPr>
        <w:b/>
        <w:bCs/>
      </w:rPr>
    </w:tblStylePr>
    <w:tblStylePr w:type="lastCol">
      <w:rPr>
        <w:b/>
        <w:bCs/>
      </w:rPr>
    </w:tblStylePr>
    <w:tblStylePr w:type="band1Vert">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tblStylePr w:type="band1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style>
  <w:style w:type="table" w:styleId="LightList-Accent3">
    <w:name w:val="Light List Accent 3"/>
    <w:basedOn w:val="TableNormal"/>
    <w:uiPriority w:val="61"/>
    <w:unhideWhenUsed/>
    <w:rsid w:val="00F978CE"/>
    <w:pPr>
      <w:spacing w:after="0" w:line="240" w:lineRule="auto"/>
    </w:p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tblBorders>
    </w:tblPr>
    <w:tblStylePr w:type="firstRow">
      <w:pPr>
        <w:spacing w:before="0" w:after="0" w:line="240" w:lineRule="auto"/>
      </w:pPr>
      <w:rPr>
        <w:b/>
        <w:bCs/>
        <w:color w:val="FFFFFF" w:themeColor="background1"/>
      </w:rPr>
      <w:tblPr/>
      <w:tcPr>
        <w:shd w:val="clear" w:color="auto" w:fill="CC5C99" w:themeFill="accent3"/>
      </w:tcPr>
    </w:tblStylePr>
    <w:tblStylePr w:type="lastRow">
      <w:pPr>
        <w:spacing w:before="0" w:after="0" w:line="240" w:lineRule="auto"/>
      </w:pPr>
      <w:rPr>
        <w:b/>
        <w:bCs/>
      </w:rPr>
      <w:tblPr/>
      <w:tcPr>
        <w:tcBorders>
          <w:top w:val="double" w:sz="6" w:space="0" w:color="CC5C99" w:themeColor="accent3"/>
          <w:left w:val="single" w:sz="8" w:space="0" w:color="CC5C99" w:themeColor="accent3"/>
          <w:bottom w:val="single" w:sz="8" w:space="0" w:color="CC5C99" w:themeColor="accent3"/>
          <w:right w:val="single" w:sz="8" w:space="0" w:color="CC5C99" w:themeColor="accent3"/>
        </w:tcBorders>
      </w:tcPr>
    </w:tblStylePr>
    <w:tblStylePr w:type="firstCol">
      <w:rPr>
        <w:b/>
        <w:bCs/>
      </w:rPr>
    </w:tblStylePr>
    <w:tblStylePr w:type="lastCol">
      <w:rPr>
        <w:b/>
        <w:bCs/>
      </w:rPr>
    </w:tblStylePr>
    <w:tblStylePr w:type="band1Vert">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tblStylePr w:type="band1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style>
  <w:style w:type="table" w:styleId="LightList-Accent4">
    <w:name w:val="Light List Accent 4"/>
    <w:basedOn w:val="TableNormal"/>
    <w:uiPriority w:val="61"/>
    <w:unhideWhenUsed/>
    <w:rsid w:val="00F978CE"/>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unhideWhenUsed/>
    <w:rsid w:val="00F978CE"/>
    <w:pPr>
      <w:spacing w:after="0" w:line="240" w:lineRule="auto"/>
    </w:p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tblBorders>
    </w:tblPr>
    <w:tblStylePr w:type="firstRow">
      <w:pPr>
        <w:spacing w:before="0" w:after="0" w:line="240" w:lineRule="auto"/>
      </w:pPr>
      <w:rPr>
        <w:b/>
        <w:bCs/>
        <w:color w:val="FFFFFF" w:themeColor="background1"/>
      </w:rPr>
      <w:tblPr/>
      <w:tcPr>
        <w:shd w:val="clear" w:color="auto" w:fill="969696" w:themeFill="accent5"/>
      </w:tcPr>
    </w:tblStylePr>
    <w:tblStylePr w:type="lastRow">
      <w:pPr>
        <w:spacing w:before="0" w:after="0" w:line="240" w:lineRule="auto"/>
      </w:pPr>
      <w:rPr>
        <w:b/>
        <w:bCs/>
      </w:rPr>
      <w:tblPr/>
      <w:tcPr>
        <w:tcBorders>
          <w:top w:val="double" w:sz="6" w:space="0" w:color="969696" w:themeColor="accent5"/>
          <w:left w:val="single" w:sz="8" w:space="0" w:color="969696" w:themeColor="accent5"/>
          <w:bottom w:val="single" w:sz="8" w:space="0" w:color="969696" w:themeColor="accent5"/>
          <w:right w:val="single" w:sz="8" w:space="0" w:color="969696" w:themeColor="accent5"/>
        </w:tcBorders>
      </w:tcPr>
    </w:tblStylePr>
    <w:tblStylePr w:type="firstCol">
      <w:rPr>
        <w:b/>
        <w:bCs/>
      </w:rPr>
    </w:tblStylePr>
    <w:tblStylePr w:type="lastCol">
      <w:rPr>
        <w:b/>
        <w:bCs/>
      </w:rPr>
    </w:tblStylePr>
    <w:tblStylePr w:type="band1Vert">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tblStylePr w:type="band1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style>
  <w:style w:type="table" w:styleId="LightList-Accent6">
    <w:name w:val="Light List Accent 6"/>
    <w:basedOn w:val="TableNormal"/>
    <w:uiPriority w:val="61"/>
    <w:unhideWhenUsed/>
    <w:rsid w:val="00F978CE"/>
    <w:pPr>
      <w:spacing w:after="0" w:line="240" w:lineRule="auto"/>
    </w:p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tblBorders>
    </w:tblPr>
    <w:tblStylePr w:type="firstRow">
      <w:pPr>
        <w:spacing w:before="0" w:after="0" w:line="240" w:lineRule="auto"/>
      </w:pPr>
      <w:rPr>
        <w:b/>
        <w:bCs/>
        <w:color w:val="FFFFFF" w:themeColor="background1"/>
      </w:rPr>
      <w:tblPr/>
      <w:tcPr>
        <w:shd w:val="clear" w:color="auto" w:fill="C3C3C3" w:themeFill="accent6"/>
      </w:tcPr>
    </w:tblStylePr>
    <w:tblStylePr w:type="lastRow">
      <w:pPr>
        <w:spacing w:before="0" w:after="0" w:line="240" w:lineRule="auto"/>
      </w:pPr>
      <w:rPr>
        <w:b/>
        <w:bCs/>
      </w:rPr>
      <w:tblPr/>
      <w:tcPr>
        <w:tcBorders>
          <w:top w:val="double" w:sz="6" w:space="0" w:color="C3C3C3" w:themeColor="accent6"/>
          <w:left w:val="single" w:sz="8" w:space="0" w:color="C3C3C3" w:themeColor="accent6"/>
          <w:bottom w:val="single" w:sz="8" w:space="0" w:color="C3C3C3" w:themeColor="accent6"/>
          <w:right w:val="single" w:sz="8" w:space="0" w:color="C3C3C3" w:themeColor="accent6"/>
        </w:tcBorders>
      </w:tcPr>
    </w:tblStylePr>
    <w:tblStylePr w:type="firstCol">
      <w:rPr>
        <w:b/>
        <w:bCs/>
      </w:rPr>
    </w:tblStylePr>
    <w:tblStylePr w:type="lastCol">
      <w:rPr>
        <w:b/>
        <w:bCs/>
      </w:rPr>
    </w:tblStylePr>
    <w:tblStylePr w:type="band1Vert">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tblStylePr w:type="band1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style>
  <w:style w:type="table" w:styleId="LightShading">
    <w:name w:val="Light Shading"/>
    <w:basedOn w:val="TableNormal"/>
    <w:uiPriority w:val="60"/>
    <w:unhideWhenUsed/>
    <w:rsid w:val="00F978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F978CE"/>
    <w:pPr>
      <w:spacing w:after="0" w:line="240" w:lineRule="auto"/>
    </w:pPr>
    <w:rPr>
      <w:color w:val="830046" w:themeColor="accent1" w:themeShade="BF"/>
    </w:rPr>
    <w:tblPr>
      <w:tblStyleRowBandSize w:val="1"/>
      <w:tblStyleColBandSize w:val="1"/>
      <w:tblBorders>
        <w:top w:val="single" w:sz="8" w:space="0" w:color="AF005F" w:themeColor="accent1"/>
        <w:bottom w:val="single" w:sz="8" w:space="0" w:color="AF005F" w:themeColor="accent1"/>
      </w:tblBorders>
    </w:tblPr>
    <w:tblStylePr w:type="firstRow">
      <w:pPr>
        <w:spacing w:before="0" w:after="0" w:line="240" w:lineRule="auto"/>
      </w:pPr>
      <w:rPr>
        <w:b/>
        <w:bCs/>
      </w:rPr>
      <w:tblPr/>
      <w:tcPr>
        <w:tcBorders>
          <w:top w:val="single" w:sz="8" w:space="0" w:color="AF005F" w:themeColor="accent1"/>
          <w:left w:val="nil"/>
          <w:bottom w:val="single" w:sz="8" w:space="0" w:color="AF005F" w:themeColor="accent1"/>
          <w:right w:val="nil"/>
          <w:insideH w:val="nil"/>
          <w:insideV w:val="nil"/>
        </w:tcBorders>
      </w:tcPr>
    </w:tblStylePr>
    <w:tblStylePr w:type="lastRow">
      <w:pPr>
        <w:spacing w:before="0" w:after="0" w:line="240" w:lineRule="auto"/>
      </w:pPr>
      <w:rPr>
        <w:b/>
        <w:bCs/>
      </w:rPr>
      <w:tblPr/>
      <w:tcPr>
        <w:tcBorders>
          <w:top w:val="single" w:sz="8" w:space="0" w:color="AF005F" w:themeColor="accent1"/>
          <w:left w:val="nil"/>
          <w:bottom w:val="single" w:sz="8" w:space="0" w:color="AF005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CD8" w:themeFill="accent1" w:themeFillTint="3F"/>
      </w:tcPr>
    </w:tblStylePr>
    <w:tblStylePr w:type="band1Horz">
      <w:tblPr/>
      <w:tcPr>
        <w:tcBorders>
          <w:left w:val="nil"/>
          <w:right w:val="nil"/>
          <w:insideH w:val="nil"/>
          <w:insideV w:val="nil"/>
        </w:tcBorders>
        <w:shd w:val="clear" w:color="auto" w:fill="FFACD8" w:themeFill="accent1" w:themeFillTint="3F"/>
      </w:tcPr>
    </w:tblStylePr>
  </w:style>
  <w:style w:type="table" w:styleId="LightShading-Accent2">
    <w:name w:val="Light Shading Accent 2"/>
    <w:basedOn w:val="TableNormal"/>
    <w:uiPriority w:val="60"/>
    <w:unhideWhenUsed/>
    <w:rsid w:val="00F978CE"/>
    <w:pPr>
      <w:spacing w:after="0" w:line="240" w:lineRule="auto"/>
    </w:pPr>
    <w:rPr>
      <w:color w:val="8E265E" w:themeColor="accent2" w:themeShade="BF"/>
    </w:rPr>
    <w:tblPr>
      <w:tblStyleRowBandSize w:val="1"/>
      <w:tblStyleColBandSize w:val="1"/>
      <w:tblBorders>
        <w:top w:val="single" w:sz="8" w:space="0" w:color="BF337F" w:themeColor="accent2"/>
        <w:bottom w:val="single" w:sz="8" w:space="0" w:color="BF337F" w:themeColor="accent2"/>
      </w:tblBorders>
    </w:tblPr>
    <w:tblStylePr w:type="firstRow">
      <w:pPr>
        <w:spacing w:before="0" w:after="0" w:line="240" w:lineRule="auto"/>
      </w:pPr>
      <w:rPr>
        <w:b/>
        <w:bCs/>
      </w:rPr>
      <w:tblPr/>
      <w:tcPr>
        <w:tcBorders>
          <w:top w:val="single" w:sz="8" w:space="0" w:color="BF337F" w:themeColor="accent2"/>
          <w:left w:val="nil"/>
          <w:bottom w:val="single" w:sz="8" w:space="0" w:color="BF337F" w:themeColor="accent2"/>
          <w:right w:val="nil"/>
          <w:insideH w:val="nil"/>
          <w:insideV w:val="nil"/>
        </w:tcBorders>
      </w:tcPr>
    </w:tblStylePr>
    <w:tblStylePr w:type="lastRow">
      <w:pPr>
        <w:spacing w:before="0" w:after="0" w:line="240" w:lineRule="auto"/>
      </w:pPr>
      <w:rPr>
        <w:b/>
        <w:bCs/>
      </w:rPr>
      <w:tblPr/>
      <w:tcPr>
        <w:tcBorders>
          <w:top w:val="single" w:sz="8" w:space="0" w:color="BF337F" w:themeColor="accent2"/>
          <w:left w:val="nil"/>
          <w:bottom w:val="single" w:sz="8" w:space="0" w:color="BF337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ADF" w:themeFill="accent2" w:themeFillTint="3F"/>
      </w:tcPr>
    </w:tblStylePr>
    <w:tblStylePr w:type="band1Horz">
      <w:tblPr/>
      <w:tcPr>
        <w:tcBorders>
          <w:left w:val="nil"/>
          <w:right w:val="nil"/>
          <w:insideH w:val="nil"/>
          <w:insideV w:val="nil"/>
        </w:tcBorders>
        <w:shd w:val="clear" w:color="auto" w:fill="F1CADF" w:themeFill="accent2" w:themeFillTint="3F"/>
      </w:tcPr>
    </w:tblStylePr>
  </w:style>
  <w:style w:type="table" w:styleId="LightShading-Accent3">
    <w:name w:val="Light Shading Accent 3"/>
    <w:basedOn w:val="TableNormal"/>
    <w:uiPriority w:val="60"/>
    <w:unhideWhenUsed/>
    <w:rsid w:val="00F978CE"/>
    <w:pPr>
      <w:spacing w:after="0" w:line="240" w:lineRule="auto"/>
    </w:pPr>
    <w:rPr>
      <w:color w:val="A83573" w:themeColor="accent3" w:themeShade="BF"/>
    </w:rPr>
    <w:tblPr>
      <w:tblStyleRowBandSize w:val="1"/>
      <w:tblStyleColBandSize w:val="1"/>
      <w:tblBorders>
        <w:top w:val="single" w:sz="8" w:space="0" w:color="CC5C99" w:themeColor="accent3"/>
        <w:bottom w:val="single" w:sz="8" w:space="0" w:color="CC5C99" w:themeColor="accent3"/>
      </w:tblBorders>
    </w:tblPr>
    <w:tblStylePr w:type="firstRow">
      <w:pPr>
        <w:spacing w:before="0" w:after="0" w:line="240" w:lineRule="auto"/>
      </w:pPr>
      <w:rPr>
        <w:b/>
        <w:bCs/>
      </w:rPr>
      <w:tblPr/>
      <w:tcPr>
        <w:tcBorders>
          <w:top w:val="single" w:sz="8" w:space="0" w:color="CC5C99" w:themeColor="accent3"/>
          <w:left w:val="nil"/>
          <w:bottom w:val="single" w:sz="8" w:space="0" w:color="CC5C99" w:themeColor="accent3"/>
          <w:right w:val="nil"/>
          <w:insideH w:val="nil"/>
          <w:insideV w:val="nil"/>
        </w:tcBorders>
      </w:tcPr>
    </w:tblStylePr>
    <w:tblStylePr w:type="lastRow">
      <w:pPr>
        <w:spacing w:before="0" w:after="0" w:line="240" w:lineRule="auto"/>
      </w:pPr>
      <w:rPr>
        <w:b/>
        <w:bCs/>
      </w:rPr>
      <w:tblPr/>
      <w:tcPr>
        <w:tcBorders>
          <w:top w:val="single" w:sz="8" w:space="0" w:color="CC5C99" w:themeColor="accent3"/>
          <w:left w:val="nil"/>
          <w:bottom w:val="single" w:sz="8" w:space="0" w:color="CC5C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6E5" w:themeFill="accent3" w:themeFillTint="3F"/>
      </w:tcPr>
    </w:tblStylePr>
    <w:tblStylePr w:type="band1Horz">
      <w:tblPr/>
      <w:tcPr>
        <w:tcBorders>
          <w:left w:val="nil"/>
          <w:right w:val="nil"/>
          <w:insideH w:val="nil"/>
          <w:insideV w:val="nil"/>
        </w:tcBorders>
        <w:shd w:val="clear" w:color="auto" w:fill="F2D6E5" w:themeFill="accent3" w:themeFillTint="3F"/>
      </w:tcPr>
    </w:tblStylePr>
  </w:style>
  <w:style w:type="table" w:styleId="LightShading-Accent4">
    <w:name w:val="Light Shading Accent 4"/>
    <w:basedOn w:val="TableNormal"/>
    <w:uiPriority w:val="60"/>
    <w:unhideWhenUsed/>
    <w:rsid w:val="00F978CE"/>
    <w:pPr>
      <w:spacing w:after="0" w:line="240" w:lineRule="auto"/>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unhideWhenUsed/>
    <w:rsid w:val="00F978CE"/>
    <w:pPr>
      <w:spacing w:after="0" w:line="240" w:lineRule="auto"/>
    </w:pPr>
    <w:rPr>
      <w:color w:val="707070" w:themeColor="accent5" w:themeShade="BF"/>
    </w:rPr>
    <w:tblPr>
      <w:tblStyleRowBandSize w:val="1"/>
      <w:tblStyleColBandSize w:val="1"/>
      <w:tblBorders>
        <w:top w:val="single" w:sz="8" w:space="0" w:color="969696" w:themeColor="accent5"/>
        <w:bottom w:val="single" w:sz="8" w:space="0" w:color="969696" w:themeColor="accent5"/>
      </w:tblBorders>
    </w:tblPr>
    <w:tblStylePr w:type="fir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la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5" w:themeFillTint="3F"/>
      </w:tcPr>
    </w:tblStylePr>
    <w:tblStylePr w:type="band1Horz">
      <w:tblPr/>
      <w:tcPr>
        <w:tcBorders>
          <w:left w:val="nil"/>
          <w:right w:val="nil"/>
          <w:insideH w:val="nil"/>
          <w:insideV w:val="nil"/>
        </w:tcBorders>
        <w:shd w:val="clear" w:color="auto" w:fill="E5E5E5" w:themeFill="accent5" w:themeFillTint="3F"/>
      </w:tcPr>
    </w:tblStylePr>
  </w:style>
  <w:style w:type="table" w:styleId="LightShading-Accent6">
    <w:name w:val="Light Shading Accent 6"/>
    <w:basedOn w:val="TableNormal"/>
    <w:uiPriority w:val="60"/>
    <w:unhideWhenUsed/>
    <w:rsid w:val="00F978CE"/>
    <w:pPr>
      <w:spacing w:after="0" w:line="240" w:lineRule="auto"/>
    </w:pPr>
    <w:rPr>
      <w:color w:val="929292" w:themeColor="accent6" w:themeShade="BF"/>
    </w:rPr>
    <w:tblPr>
      <w:tblStyleRowBandSize w:val="1"/>
      <w:tblStyleColBandSize w:val="1"/>
      <w:tblBorders>
        <w:top w:val="single" w:sz="8" w:space="0" w:color="C3C3C3" w:themeColor="accent6"/>
        <w:bottom w:val="single" w:sz="8" w:space="0" w:color="C3C3C3" w:themeColor="accent6"/>
      </w:tblBorders>
    </w:tblPr>
    <w:tblStylePr w:type="firstRow">
      <w:pPr>
        <w:spacing w:before="0" w:after="0" w:line="240" w:lineRule="auto"/>
      </w:pPr>
      <w:rPr>
        <w:b/>
        <w:bCs/>
      </w:rPr>
      <w:tblPr/>
      <w:tcPr>
        <w:tcBorders>
          <w:top w:val="single" w:sz="8" w:space="0" w:color="C3C3C3" w:themeColor="accent6"/>
          <w:left w:val="nil"/>
          <w:bottom w:val="single" w:sz="8" w:space="0" w:color="C3C3C3" w:themeColor="accent6"/>
          <w:right w:val="nil"/>
          <w:insideH w:val="nil"/>
          <w:insideV w:val="nil"/>
        </w:tcBorders>
      </w:tcPr>
    </w:tblStylePr>
    <w:tblStylePr w:type="lastRow">
      <w:pPr>
        <w:spacing w:before="0" w:after="0" w:line="240" w:lineRule="auto"/>
      </w:pPr>
      <w:rPr>
        <w:b/>
        <w:bCs/>
      </w:rPr>
      <w:tblPr/>
      <w:tcPr>
        <w:tcBorders>
          <w:top w:val="single" w:sz="8" w:space="0" w:color="C3C3C3" w:themeColor="accent6"/>
          <w:left w:val="nil"/>
          <w:bottom w:val="single" w:sz="8" w:space="0" w:color="C3C3C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hemeFill="accent6" w:themeFillTint="3F"/>
      </w:tcPr>
    </w:tblStylePr>
    <w:tblStylePr w:type="band1Horz">
      <w:tblPr/>
      <w:tcPr>
        <w:tcBorders>
          <w:left w:val="nil"/>
          <w:right w:val="nil"/>
          <w:insideH w:val="nil"/>
          <w:insideV w:val="nil"/>
        </w:tcBorders>
        <w:shd w:val="clear" w:color="auto" w:fill="F0F0F0" w:themeFill="accent6" w:themeFillTint="3F"/>
      </w:tcPr>
    </w:tblStylePr>
  </w:style>
  <w:style w:type="character" w:styleId="LineNumber">
    <w:name w:val="line number"/>
    <w:basedOn w:val="DefaultParagraphFont"/>
    <w:uiPriority w:val="99"/>
    <w:unhideWhenUsed/>
    <w:rsid w:val="00F978CE"/>
  </w:style>
  <w:style w:type="paragraph" w:styleId="List">
    <w:name w:val="List"/>
    <w:basedOn w:val="Normal"/>
    <w:uiPriority w:val="99"/>
    <w:unhideWhenUsed/>
    <w:rsid w:val="00F978CE"/>
    <w:pPr>
      <w:ind w:left="283" w:hanging="283"/>
      <w:contextualSpacing/>
    </w:pPr>
  </w:style>
  <w:style w:type="paragraph" w:styleId="List2">
    <w:name w:val="List 2"/>
    <w:basedOn w:val="Normal"/>
    <w:uiPriority w:val="99"/>
    <w:unhideWhenUsed/>
    <w:rsid w:val="00F978CE"/>
    <w:pPr>
      <w:ind w:left="566" w:hanging="283"/>
      <w:contextualSpacing/>
    </w:pPr>
  </w:style>
  <w:style w:type="paragraph" w:styleId="List3">
    <w:name w:val="List 3"/>
    <w:basedOn w:val="Normal"/>
    <w:uiPriority w:val="99"/>
    <w:unhideWhenUsed/>
    <w:rsid w:val="00F978CE"/>
    <w:pPr>
      <w:ind w:left="849" w:hanging="283"/>
      <w:contextualSpacing/>
    </w:pPr>
  </w:style>
  <w:style w:type="paragraph" w:styleId="List4">
    <w:name w:val="List 4"/>
    <w:basedOn w:val="Normal"/>
    <w:uiPriority w:val="99"/>
    <w:unhideWhenUsed/>
    <w:rsid w:val="00F978CE"/>
    <w:pPr>
      <w:ind w:left="1132" w:hanging="283"/>
      <w:contextualSpacing/>
    </w:pPr>
  </w:style>
  <w:style w:type="paragraph" w:styleId="List5">
    <w:name w:val="List 5"/>
    <w:basedOn w:val="Normal"/>
    <w:uiPriority w:val="99"/>
    <w:unhideWhenUsed/>
    <w:rsid w:val="00F978CE"/>
    <w:pPr>
      <w:ind w:left="1415" w:hanging="283"/>
      <w:contextualSpacing/>
    </w:pPr>
  </w:style>
  <w:style w:type="paragraph" w:styleId="ListBullet">
    <w:name w:val="List Bullet"/>
    <w:basedOn w:val="Normal"/>
    <w:uiPriority w:val="99"/>
    <w:unhideWhenUsed/>
    <w:rsid w:val="00F978CE"/>
    <w:pPr>
      <w:numPr>
        <w:numId w:val="21"/>
      </w:numPr>
      <w:contextualSpacing/>
    </w:pPr>
  </w:style>
  <w:style w:type="paragraph" w:styleId="ListBullet2">
    <w:name w:val="List Bullet 2"/>
    <w:basedOn w:val="Normal"/>
    <w:uiPriority w:val="99"/>
    <w:unhideWhenUsed/>
    <w:rsid w:val="00F978CE"/>
    <w:pPr>
      <w:numPr>
        <w:numId w:val="22"/>
      </w:numPr>
      <w:contextualSpacing/>
    </w:pPr>
  </w:style>
  <w:style w:type="paragraph" w:styleId="ListBullet3">
    <w:name w:val="List Bullet 3"/>
    <w:basedOn w:val="Normal"/>
    <w:uiPriority w:val="99"/>
    <w:unhideWhenUsed/>
    <w:rsid w:val="00F978CE"/>
    <w:pPr>
      <w:numPr>
        <w:numId w:val="23"/>
      </w:numPr>
      <w:contextualSpacing/>
    </w:pPr>
  </w:style>
  <w:style w:type="paragraph" w:styleId="ListBullet4">
    <w:name w:val="List Bullet 4"/>
    <w:basedOn w:val="Normal"/>
    <w:uiPriority w:val="99"/>
    <w:unhideWhenUsed/>
    <w:rsid w:val="00F978CE"/>
    <w:pPr>
      <w:numPr>
        <w:numId w:val="24"/>
      </w:numPr>
      <w:contextualSpacing/>
    </w:pPr>
  </w:style>
  <w:style w:type="paragraph" w:styleId="ListBullet5">
    <w:name w:val="List Bullet 5"/>
    <w:basedOn w:val="Normal"/>
    <w:uiPriority w:val="99"/>
    <w:unhideWhenUsed/>
    <w:rsid w:val="00F978CE"/>
    <w:pPr>
      <w:numPr>
        <w:numId w:val="25"/>
      </w:numPr>
      <w:contextualSpacing/>
    </w:pPr>
  </w:style>
  <w:style w:type="paragraph" w:styleId="ListContinue">
    <w:name w:val="List Continue"/>
    <w:basedOn w:val="Normal"/>
    <w:uiPriority w:val="99"/>
    <w:unhideWhenUsed/>
    <w:rsid w:val="00F978CE"/>
    <w:pPr>
      <w:spacing w:after="120"/>
      <w:ind w:left="283"/>
      <w:contextualSpacing/>
    </w:pPr>
  </w:style>
  <w:style w:type="paragraph" w:styleId="ListContinue2">
    <w:name w:val="List Continue 2"/>
    <w:basedOn w:val="Normal"/>
    <w:uiPriority w:val="99"/>
    <w:unhideWhenUsed/>
    <w:rsid w:val="00F978CE"/>
    <w:pPr>
      <w:spacing w:after="120"/>
      <w:ind w:left="566"/>
      <w:contextualSpacing/>
    </w:pPr>
  </w:style>
  <w:style w:type="paragraph" w:styleId="ListContinue3">
    <w:name w:val="List Continue 3"/>
    <w:basedOn w:val="Normal"/>
    <w:uiPriority w:val="99"/>
    <w:unhideWhenUsed/>
    <w:rsid w:val="00F978CE"/>
    <w:pPr>
      <w:spacing w:after="120"/>
      <w:ind w:left="849"/>
      <w:contextualSpacing/>
    </w:pPr>
  </w:style>
  <w:style w:type="paragraph" w:styleId="ListContinue4">
    <w:name w:val="List Continue 4"/>
    <w:basedOn w:val="Normal"/>
    <w:uiPriority w:val="99"/>
    <w:unhideWhenUsed/>
    <w:rsid w:val="00F978CE"/>
    <w:pPr>
      <w:spacing w:after="120"/>
      <w:ind w:left="1132"/>
      <w:contextualSpacing/>
    </w:pPr>
  </w:style>
  <w:style w:type="paragraph" w:styleId="ListContinue5">
    <w:name w:val="List Continue 5"/>
    <w:basedOn w:val="Normal"/>
    <w:uiPriority w:val="99"/>
    <w:unhideWhenUsed/>
    <w:rsid w:val="00F978CE"/>
    <w:pPr>
      <w:spacing w:after="120"/>
      <w:ind w:left="1415"/>
      <w:contextualSpacing/>
    </w:pPr>
  </w:style>
  <w:style w:type="paragraph" w:styleId="ListNumber">
    <w:name w:val="List Number"/>
    <w:basedOn w:val="Normal"/>
    <w:uiPriority w:val="99"/>
    <w:unhideWhenUsed/>
    <w:rsid w:val="00F978CE"/>
    <w:pPr>
      <w:numPr>
        <w:numId w:val="26"/>
      </w:numPr>
      <w:contextualSpacing/>
    </w:pPr>
  </w:style>
  <w:style w:type="paragraph" w:styleId="ListNumber2">
    <w:name w:val="List Number 2"/>
    <w:basedOn w:val="Normal"/>
    <w:uiPriority w:val="99"/>
    <w:unhideWhenUsed/>
    <w:rsid w:val="00F978CE"/>
    <w:pPr>
      <w:numPr>
        <w:numId w:val="27"/>
      </w:numPr>
      <w:contextualSpacing/>
    </w:pPr>
  </w:style>
  <w:style w:type="paragraph" w:styleId="ListNumber3">
    <w:name w:val="List Number 3"/>
    <w:basedOn w:val="Normal"/>
    <w:uiPriority w:val="99"/>
    <w:unhideWhenUsed/>
    <w:rsid w:val="00F978CE"/>
    <w:pPr>
      <w:numPr>
        <w:numId w:val="28"/>
      </w:numPr>
      <w:contextualSpacing/>
    </w:pPr>
  </w:style>
  <w:style w:type="paragraph" w:styleId="ListNumber4">
    <w:name w:val="List Number 4"/>
    <w:basedOn w:val="Normal"/>
    <w:uiPriority w:val="99"/>
    <w:unhideWhenUsed/>
    <w:rsid w:val="00F978CE"/>
    <w:pPr>
      <w:numPr>
        <w:numId w:val="29"/>
      </w:numPr>
      <w:contextualSpacing/>
    </w:pPr>
  </w:style>
  <w:style w:type="paragraph" w:styleId="ListNumber5">
    <w:name w:val="List Number 5"/>
    <w:basedOn w:val="Normal"/>
    <w:uiPriority w:val="99"/>
    <w:unhideWhenUsed/>
    <w:rsid w:val="00F978CE"/>
    <w:pPr>
      <w:numPr>
        <w:numId w:val="30"/>
      </w:numPr>
      <w:contextualSpacing/>
    </w:pPr>
  </w:style>
  <w:style w:type="paragraph" w:styleId="ListParagraph">
    <w:name w:val="List Paragraph"/>
    <w:basedOn w:val="Normal"/>
    <w:uiPriority w:val="34"/>
    <w:unhideWhenUsed/>
    <w:qFormat/>
    <w:rsid w:val="00F978CE"/>
    <w:pPr>
      <w:ind w:left="720"/>
      <w:contextualSpacing/>
    </w:pPr>
  </w:style>
  <w:style w:type="table" w:styleId="ListTable1Light">
    <w:name w:val="List Table 1 Light"/>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FF36A2" w:themeColor="accent1" w:themeTint="99"/>
        </w:tcBorders>
      </w:tcPr>
    </w:tblStylePr>
    <w:tblStylePr w:type="lastRow">
      <w:rPr>
        <w:b/>
        <w:bCs/>
      </w:rPr>
      <w:tblPr/>
      <w:tcPr>
        <w:tcBorders>
          <w:top w:val="sing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1Light-Accent2">
    <w:name w:val="List Table 1 Light Accent 2"/>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DD7FB2" w:themeColor="accent2" w:themeTint="99"/>
        </w:tcBorders>
      </w:tcPr>
    </w:tblStylePr>
    <w:tblStylePr w:type="lastRow">
      <w:rPr>
        <w:b/>
        <w:bCs/>
      </w:rPr>
      <w:tblPr/>
      <w:tcPr>
        <w:tcBorders>
          <w:top w:val="sing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1Light-Accent3">
    <w:name w:val="List Table 1 Light Accent 3"/>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E09DC1" w:themeColor="accent3" w:themeTint="99"/>
        </w:tcBorders>
      </w:tcPr>
    </w:tblStylePr>
    <w:tblStylePr w:type="lastRow">
      <w:rPr>
        <w:b/>
        <w:bCs/>
      </w:rPr>
      <w:tblPr/>
      <w:tcPr>
        <w:tcBorders>
          <w:top w:val="sing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1Light-Accent4">
    <w:name w:val="List Table 1 Light Accent 4"/>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C0C0C0" w:themeColor="accent5" w:themeTint="99"/>
        </w:tcBorders>
      </w:tcPr>
    </w:tblStylePr>
    <w:tblStylePr w:type="lastRow">
      <w:rPr>
        <w:b/>
        <w:bCs/>
      </w:rPr>
      <w:tblPr/>
      <w:tcPr>
        <w:tcBorders>
          <w:top w:val="sing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1Light-Accent6">
    <w:name w:val="List Table 1 Light Accent 6"/>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DBDBDB" w:themeColor="accent6" w:themeTint="99"/>
        </w:tcBorders>
      </w:tcPr>
    </w:tblStylePr>
    <w:tblStylePr w:type="lastRow">
      <w:rPr>
        <w:b/>
        <w:bCs/>
      </w:rPr>
      <w:tblPr/>
      <w:tcPr>
        <w:tcBorders>
          <w:top w:val="sing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2">
    <w:name w:val="List Table 2"/>
    <w:basedOn w:val="TableNormal"/>
    <w:uiPriority w:val="47"/>
    <w:unhideWhenUsed/>
    <w:rsid w:val="00F978C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unhideWhenUsed/>
    <w:rsid w:val="00F978CE"/>
    <w:pPr>
      <w:spacing w:after="0" w:line="240" w:lineRule="auto"/>
    </w:pPr>
    <w:tblPr>
      <w:tblStyleRowBandSize w:val="1"/>
      <w:tblStyleColBandSize w:val="1"/>
      <w:tblBorders>
        <w:top w:val="single" w:sz="4" w:space="0" w:color="FF36A2" w:themeColor="accent1" w:themeTint="99"/>
        <w:bottom w:val="single" w:sz="4" w:space="0" w:color="FF36A2" w:themeColor="accent1" w:themeTint="99"/>
        <w:insideH w:val="single" w:sz="4" w:space="0" w:color="FF36A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2-Accent2">
    <w:name w:val="List Table 2 Accent 2"/>
    <w:basedOn w:val="TableNormal"/>
    <w:uiPriority w:val="47"/>
    <w:unhideWhenUsed/>
    <w:rsid w:val="00F978CE"/>
    <w:pPr>
      <w:spacing w:after="0" w:line="240" w:lineRule="auto"/>
    </w:pPr>
    <w:tblPr>
      <w:tblStyleRowBandSize w:val="1"/>
      <w:tblStyleColBandSize w:val="1"/>
      <w:tblBorders>
        <w:top w:val="single" w:sz="4" w:space="0" w:color="DD7FB2" w:themeColor="accent2" w:themeTint="99"/>
        <w:bottom w:val="single" w:sz="4" w:space="0" w:color="DD7FB2" w:themeColor="accent2" w:themeTint="99"/>
        <w:insideH w:val="single" w:sz="4" w:space="0" w:color="DD7FB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2-Accent3">
    <w:name w:val="List Table 2 Accent 3"/>
    <w:basedOn w:val="TableNormal"/>
    <w:uiPriority w:val="47"/>
    <w:unhideWhenUsed/>
    <w:rsid w:val="00F978CE"/>
    <w:pPr>
      <w:spacing w:after="0" w:line="240" w:lineRule="auto"/>
    </w:pPr>
    <w:tblPr>
      <w:tblStyleRowBandSize w:val="1"/>
      <w:tblStyleColBandSize w:val="1"/>
      <w:tblBorders>
        <w:top w:val="single" w:sz="4" w:space="0" w:color="E09DC1" w:themeColor="accent3" w:themeTint="99"/>
        <w:bottom w:val="single" w:sz="4" w:space="0" w:color="E09DC1" w:themeColor="accent3" w:themeTint="99"/>
        <w:insideH w:val="single" w:sz="4" w:space="0" w:color="E09DC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2-Accent4">
    <w:name w:val="List Table 2 Accent 4"/>
    <w:basedOn w:val="TableNormal"/>
    <w:uiPriority w:val="47"/>
    <w:unhideWhenUsed/>
    <w:rsid w:val="00F978CE"/>
    <w:pPr>
      <w:spacing w:after="0" w:line="240" w:lineRule="auto"/>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unhideWhenUsed/>
    <w:rsid w:val="00F978CE"/>
    <w:pPr>
      <w:spacing w:after="0" w:line="240" w:lineRule="auto"/>
    </w:pPr>
    <w:tblPr>
      <w:tblStyleRowBandSize w:val="1"/>
      <w:tblStyleColBandSize w:val="1"/>
      <w:tblBorders>
        <w:top w:val="single" w:sz="4" w:space="0" w:color="C0C0C0" w:themeColor="accent5" w:themeTint="99"/>
        <w:bottom w:val="single" w:sz="4" w:space="0" w:color="C0C0C0" w:themeColor="accent5" w:themeTint="99"/>
        <w:insideH w:val="single" w:sz="4" w:space="0" w:color="C0C0C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2-Accent6">
    <w:name w:val="List Table 2 Accent 6"/>
    <w:basedOn w:val="TableNormal"/>
    <w:uiPriority w:val="47"/>
    <w:unhideWhenUsed/>
    <w:rsid w:val="00F978CE"/>
    <w:pPr>
      <w:spacing w:after="0" w:line="240" w:lineRule="auto"/>
    </w:pPr>
    <w:tblPr>
      <w:tblStyleRowBandSize w:val="1"/>
      <w:tblStyleColBandSize w:val="1"/>
      <w:tblBorders>
        <w:top w:val="single" w:sz="4" w:space="0" w:color="DBDBDB" w:themeColor="accent6" w:themeTint="99"/>
        <w:bottom w:val="single" w:sz="4" w:space="0" w:color="DBDBDB" w:themeColor="accent6" w:themeTint="99"/>
        <w:insideH w:val="single" w:sz="4" w:space="0" w:color="DBDBD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3">
    <w:name w:val="List Table 3"/>
    <w:basedOn w:val="TableNormal"/>
    <w:uiPriority w:val="48"/>
    <w:unhideWhenUsed/>
    <w:rsid w:val="00F978C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unhideWhenUsed/>
    <w:rsid w:val="00F978CE"/>
    <w:pPr>
      <w:spacing w:after="0" w:line="240" w:lineRule="auto"/>
    </w:pPr>
    <w:tblPr>
      <w:tblStyleRowBandSize w:val="1"/>
      <w:tblStyleColBandSize w:val="1"/>
      <w:tblBorders>
        <w:top w:val="single" w:sz="4" w:space="0" w:color="AF005F" w:themeColor="accent1"/>
        <w:left w:val="single" w:sz="4" w:space="0" w:color="AF005F" w:themeColor="accent1"/>
        <w:bottom w:val="single" w:sz="4" w:space="0" w:color="AF005F" w:themeColor="accent1"/>
        <w:right w:val="single" w:sz="4" w:space="0" w:color="AF005F" w:themeColor="accent1"/>
      </w:tblBorders>
    </w:tblPr>
    <w:tblStylePr w:type="firstRow">
      <w:rPr>
        <w:b/>
        <w:bCs/>
        <w:color w:val="FFFFFF" w:themeColor="background1"/>
      </w:rPr>
      <w:tblPr/>
      <w:tcPr>
        <w:shd w:val="clear" w:color="auto" w:fill="AF005F" w:themeFill="accent1"/>
      </w:tcPr>
    </w:tblStylePr>
    <w:tblStylePr w:type="lastRow">
      <w:rPr>
        <w:b/>
        <w:bCs/>
      </w:rPr>
      <w:tblPr/>
      <w:tcPr>
        <w:tcBorders>
          <w:top w:val="double" w:sz="4" w:space="0" w:color="AF005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005F" w:themeColor="accent1"/>
          <w:right w:val="single" w:sz="4" w:space="0" w:color="AF005F" w:themeColor="accent1"/>
        </w:tcBorders>
      </w:tcPr>
    </w:tblStylePr>
    <w:tblStylePr w:type="band1Horz">
      <w:tblPr/>
      <w:tcPr>
        <w:tcBorders>
          <w:top w:val="single" w:sz="4" w:space="0" w:color="AF005F" w:themeColor="accent1"/>
          <w:bottom w:val="single" w:sz="4" w:space="0" w:color="AF005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005F" w:themeColor="accent1"/>
          <w:left w:val="nil"/>
        </w:tcBorders>
      </w:tcPr>
    </w:tblStylePr>
    <w:tblStylePr w:type="swCell">
      <w:tblPr/>
      <w:tcPr>
        <w:tcBorders>
          <w:top w:val="double" w:sz="4" w:space="0" w:color="AF005F" w:themeColor="accent1"/>
          <w:right w:val="nil"/>
        </w:tcBorders>
      </w:tcPr>
    </w:tblStylePr>
  </w:style>
  <w:style w:type="table" w:styleId="ListTable3-Accent2">
    <w:name w:val="List Table 3 Accent 2"/>
    <w:basedOn w:val="TableNormal"/>
    <w:uiPriority w:val="48"/>
    <w:unhideWhenUsed/>
    <w:rsid w:val="00F978CE"/>
    <w:pPr>
      <w:spacing w:after="0" w:line="240" w:lineRule="auto"/>
    </w:pPr>
    <w:tblPr>
      <w:tblStyleRowBandSize w:val="1"/>
      <w:tblStyleColBandSize w:val="1"/>
      <w:tblBorders>
        <w:top w:val="single" w:sz="4" w:space="0" w:color="BF337F" w:themeColor="accent2"/>
        <w:left w:val="single" w:sz="4" w:space="0" w:color="BF337F" w:themeColor="accent2"/>
        <w:bottom w:val="single" w:sz="4" w:space="0" w:color="BF337F" w:themeColor="accent2"/>
        <w:right w:val="single" w:sz="4" w:space="0" w:color="BF337F" w:themeColor="accent2"/>
      </w:tblBorders>
    </w:tblPr>
    <w:tblStylePr w:type="firstRow">
      <w:rPr>
        <w:b/>
        <w:bCs/>
        <w:color w:val="FFFFFF" w:themeColor="background1"/>
      </w:rPr>
      <w:tblPr/>
      <w:tcPr>
        <w:shd w:val="clear" w:color="auto" w:fill="BF337F" w:themeFill="accent2"/>
      </w:tcPr>
    </w:tblStylePr>
    <w:tblStylePr w:type="lastRow">
      <w:rPr>
        <w:b/>
        <w:bCs/>
      </w:rPr>
      <w:tblPr/>
      <w:tcPr>
        <w:tcBorders>
          <w:top w:val="double" w:sz="4" w:space="0" w:color="BF337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337F" w:themeColor="accent2"/>
          <w:right w:val="single" w:sz="4" w:space="0" w:color="BF337F" w:themeColor="accent2"/>
        </w:tcBorders>
      </w:tcPr>
    </w:tblStylePr>
    <w:tblStylePr w:type="band1Horz">
      <w:tblPr/>
      <w:tcPr>
        <w:tcBorders>
          <w:top w:val="single" w:sz="4" w:space="0" w:color="BF337F" w:themeColor="accent2"/>
          <w:bottom w:val="single" w:sz="4" w:space="0" w:color="BF337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337F" w:themeColor="accent2"/>
          <w:left w:val="nil"/>
        </w:tcBorders>
      </w:tcPr>
    </w:tblStylePr>
    <w:tblStylePr w:type="swCell">
      <w:tblPr/>
      <w:tcPr>
        <w:tcBorders>
          <w:top w:val="double" w:sz="4" w:space="0" w:color="BF337F" w:themeColor="accent2"/>
          <w:right w:val="nil"/>
        </w:tcBorders>
      </w:tcPr>
    </w:tblStylePr>
  </w:style>
  <w:style w:type="table" w:styleId="ListTable3-Accent3">
    <w:name w:val="List Table 3 Accent 3"/>
    <w:basedOn w:val="TableNormal"/>
    <w:uiPriority w:val="48"/>
    <w:unhideWhenUsed/>
    <w:rsid w:val="00F978CE"/>
    <w:pPr>
      <w:spacing w:after="0" w:line="240" w:lineRule="auto"/>
    </w:pPr>
    <w:tblPr>
      <w:tblStyleRowBandSize w:val="1"/>
      <w:tblStyleColBandSize w:val="1"/>
      <w:tblBorders>
        <w:top w:val="single" w:sz="4" w:space="0" w:color="CC5C99" w:themeColor="accent3"/>
        <w:left w:val="single" w:sz="4" w:space="0" w:color="CC5C99" w:themeColor="accent3"/>
        <w:bottom w:val="single" w:sz="4" w:space="0" w:color="CC5C99" w:themeColor="accent3"/>
        <w:right w:val="single" w:sz="4" w:space="0" w:color="CC5C99" w:themeColor="accent3"/>
      </w:tblBorders>
    </w:tblPr>
    <w:tblStylePr w:type="firstRow">
      <w:rPr>
        <w:b/>
        <w:bCs/>
        <w:color w:val="FFFFFF" w:themeColor="background1"/>
      </w:rPr>
      <w:tblPr/>
      <w:tcPr>
        <w:shd w:val="clear" w:color="auto" w:fill="CC5C99" w:themeFill="accent3"/>
      </w:tcPr>
    </w:tblStylePr>
    <w:tblStylePr w:type="lastRow">
      <w:rPr>
        <w:b/>
        <w:bCs/>
      </w:rPr>
      <w:tblPr/>
      <w:tcPr>
        <w:tcBorders>
          <w:top w:val="double" w:sz="4" w:space="0" w:color="CC5C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5C99" w:themeColor="accent3"/>
          <w:right w:val="single" w:sz="4" w:space="0" w:color="CC5C99" w:themeColor="accent3"/>
        </w:tcBorders>
      </w:tcPr>
    </w:tblStylePr>
    <w:tblStylePr w:type="band1Horz">
      <w:tblPr/>
      <w:tcPr>
        <w:tcBorders>
          <w:top w:val="single" w:sz="4" w:space="0" w:color="CC5C99" w:themeColor="accent3"/>
          <w:bottom w:val="single" w:sz="4" w:space="0" w:color="CC5C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5C99" w:themeColor="accent3"/>
          <w:left w:val="nil"/>
        </w:tcBorders>
      </w:tcPr>
    </w:tblStylePr>
    <w:tblStylePr w:type="swCell">
      <w:tblPr/>
      <w:tcPr>
        <w:tcBorders>
          <w:top w:val="double" w:sz="4" w:space="0" w:color="CC5C99" w:themeColor="accent3"/>
          <w:right w:val="nil"/>
        </w:tcBorders>
      </w:tcPr>
    </w:tblStylePr>
  </w:style>
  <w:style w:type="table" w:styleId="ListTable3-Accent4">
    <w:name w:val="List Table 3 Accent 4"/>
    <w:basedOn w:val="TableNormal"/>
    <w:uiPriority w:val="48"/>
    <w:unhideWhenUsed/>
    <w:rsid w:val="00F978CE"/>
    <w:pPr>
      <w:spacing w:after="0" w:line="240" w:lineRule="auto"/>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unhideWhenUsed/>
    <w:rsid w:val="00F978CE"/>
    <w:pPr>
      <w:spacing w:after="0" w:line="240" w:lineRule="auto"/>
    </w:pPr>
    <w:tblPr>
      <w:tblStyleRowBandSize w:val="1"/>
      <w:tblStyleColBandSize w:val="1"/>
      <w:tblBorders>
        <w:top w:val="single" w:sz="4" w:space="0" w:color="969696" w:themeColor="accent5"/>
        <w:left w:val="single" w:sz="4" w:space="0" w:color="969696" w:themeColor="accent5"/>
        <w:bottom w:val="single" w:sz="4" w:space="0" w:color="969696" w:themeColor="accent5"/>
        <w:right w:val="single" w:sz="4" w:space="0" w:color="969696" w:themeColor="accent5"/>
      </w:tblBorders>
    </w:tblPr>
    <w:tblStylePr w:type="firstRow">
      <w:rPr>
        <w:b/>
        <w:bCs/>
        <w:color w:val="FFFFFF" w:themeColor="background1"/>
      </w:rPr>
      <w:tblPr/>
      <w:tcPr>
        <w:shd w:val="clear" w:color="auto" w:fill="969696" w:themeFill="accent5"/>
      </w:tcPr>
    </w:tblStylePr>
    <w:tblStylePr w:type="lastRow">
      <w:rPr>
        <w:b/>
        <w:bCs/>
      </w:rPr>
      <w:tblPr/>
      <w:tcPr>
        <w:tcBorders>
          <w:top w:val="double" w:sz="4" w:space="0" w:color="96969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5"/>
          <w:right w:val="single" w:sz="4" w:space="0" w:color="969696" w:themeColor="accent5"/>
        </w:tcBorders>
      </w:tcPr>
    </w:tblStylePr>
    <w:tblStylePr w:type="band1Horz">
      <w:tblPr/>
      <w:tcPr>
        <w:tcBorders>
          <w:top w:val="single" w:sz="4" w:space="0" w:color="969696" w:themeColor="accent5"/>
          <w:bottom w:val="single" w:sz="4" w:space="0" w:color="96969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5"/>
          <w:left w:val="nil"/>
        </w:tcBorders>
      </w:tcPr>
    </w:tblStylePr>
    <w:tblStylePr w:type="swCell">
      <w:tblPr/>
      <w:tcPr>
        <w:tcBorders>
          <w:top w:val="double" w:sz="4" w:space="0" w:color="969696" w:themeColor="accent5"/>
          <w:right w:val="nil"/>
        </w:tcBorders>
      </w:tcPr>
    </w:tblStylePr>
  </w:style>
  <w:style w:type="table" w:styleId="ListTable3-Accent6">
    <w:name w:val="List Table 3 Accent 6"/>
    <w:basedOn w:val="TableNormal"/>
    <w:uiPriority w:val="48"/>
    <w:unhideWhenUsed/>
    <w:rsid w:val="00F978CE"/>
    <w:pPr>
      <w:spacing w:after="0" w:line="240" w:lineRule="auto"/>
    </w:pPr>
    <w:tblPr>
      <w:tblStyleRowBandSize w:val="1"/>
      <w:tblStyleColBandSize w:val="1"/>
      <w:tblBorders>
        <w:top w:val="single" w:sz="4" w:space="0" w:color="C3C3C3" w:themeColor="accent6"/>
        <w:left w:val="single" w:sz="4" w:space="0" w:color="C3C3C3" w:themeColor="accent6"/>
        <w:bottom w:val="single" w:sz="4" w:space="0" w:color="C3C3C3" w:themeColor="accent6"/>
        <w:right w:val="single" w:sz="4" w:space="0" w:color="C3C3C3" w:themeColor="accent6"/>
      </w:tblBorders>
    </w:tblPr>
    <w:tblStylePr w:type="firstRow">
      <w:rPr>
        <w:b/>
        <w:bCs/>
        <w:color w:val="FFFFFF" w:themeColor="background1"/>
      </w:rPr>
      <w:tblPr/>
      <w:tcPr>
        <w:shd w:val="clear" w:color="auto" w:fill="C3C3C3" w:themeFill="accent6"/>
      </w:tcPr>
    </w:tblStylePr>
    <w:tblStylePr w:type="lastRow">
      <w:rPr>
        <w:b/>
        <w:bCs/>
      </w:rPr>
      <w:tblPr/>
      <w:tcPr>
        <w:tcBorders>
          <w:top w:val="double" w:sz="4" w:space="0" w:color="C3C3C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C3C3" w:themeColor="accent6"/>
          <w:right w:val="single" w:sz="4" w:space="0" w:color="C3C3C3" w:themeColor="accent6"/>
        </w:tcBorders>
      </w:tcPr>
    </w:tblStylePr>
    <w:tblStylePr w:type="band1Horz">
      <w:tblPr/>
      <w:tcPr>
        <w:tcBorders>
          <w:top w:val="single" w:sz="4" w:space="0" w:color="C3C3C3" w:themeColor="accent6"/>
          <w:bottom w:val="single" w:sz="4" w:space="0" w:color="C3C3C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C3C3" w:themeColor="accent6"/>
          <w:left w:val="nil"/>
        </w:tcBorders>
      </w:tcPr>
    </w:tblStylePr>
    <w:tblStylePr w:type="swCell">
      <w:tblPr/>
      <w:tcPr>
        <w:tcBorders>
          <w:top w:val="double" w:sz="4" w:space="0" w:color="C3C3C3" w:themeColor="accent6"/>
          <w:right w:val="nil"/>
        </w:tcBorders>
      </w:tcPr>
    </w:tblStylePr>
  </w:style>
  <w:style w:type="table" w:styleId="ListTable4">
    <w:name w:val="List Table 4"/>
    <w:basedOn w:val="TableNormal"/>
    <w:uiPriority w:val="49"/>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tblBorders>
    </w:tblPr>
    <w:tblStylePr w:type="firstRow">
      <w:rPr>
        <w:b/>
        <w:bCs/>
        <w:color w:val="FFFFFF" w:themeColor="background1"/>
      </w:rPr>
      <w:tblPr/>
      <w:tcPr>
        <w:tcBorders>
          <w:top w:val="single" w:sz="4" w:space="0" w:color="AF005F" w:themeColor="accent1"/>
          <w:left w:val="single" w:sz="4" w:space="0" w:color="AF005F" w:themeColor="accent1"/>
          <w:bottom w:val="single" w:sz="4" w:space="0" w:color="AF005F" w:themeColor="accent1"/>
          <w:right w:val="single" w:sz="4" w:space="0" w:color="AF005F" w:themeColor="accent1"/>
          <w:insideH w:val="nil"/>
        </w:tcBorders>
        <w:shd w:val="clear" w:color="auto" w:fill="AF005F" w:themeFill="accent1"/>
      </w:tcPr>
    </w:tblStylePr>
    <w:tblStylePr w:type="lastRow">
      <w:rPr>
        <w:b/>
        <w:bCs/>
      </w:rPr>
      <w:tblPr/>
      <w:tcPr>
        <w:tcBorders>
          <w:top w:val="doub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4-Accent2">
    <w:name w:val="List Table 4 Accent 2"/>
    <w:basedOn w:val="TableNormal"/>
    <w:uiPriority w:val="49"/>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tblBorders>
    </w:tblPr>
    <w:tblStylePr w:type="firstRow">
      <w:rPr>
        <w:b/>
        <w:bCs/>
        <w:color w:val="FFFFFF" w:themeColor="background1"/>
      </w:rPr>
      <w:tblPr/>
      <w:tcPr>
        <w:tcBorders>
          <w:top w:val="single" w:sz="4" w:space="0" w:color="BF337F" w:themeColor="accent2"/>
          <w:left w:val="single" w:sz="4" w:space="0" w:color="BF337F" w:themeColor="accent2"/>
          <w:bottom w:val="single" w:sz="4" w:space="0" w:color="BF337F" w:themeColor="accent2"/>
          <w:right w:val="single" w:sz="4" w:space="0" w:color="BF337F" w:themeColor="accent2"/>
          <w:insideH w:val="nil"/>
        </w:tcBorders>
        <w:shd w:val="clear" w:color="auto" w:fill="BF337F" w:themeFill="accent2"/>
      </w:tcPr>
    </w:tblStylePr>
    <w:tblStylePr w:type="lastRow">
      <w:rPr>
        <w:b/>
        <w:bCs/>
      </w:rPr>
      <w:tblPr/>
      <w:tcPr>
        <w:tcBorders>
          <w:top w:val="doub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4-Accent3">
    <w:name w:val="List Table 4 Accent 3"/>
    <w:basedOn w:val="TableNormal"/>
    <w:uiPriority w:val="49"/>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tblBorders>
    </w:tblPr>
    <w:tblStylePr w:type="firstRow">
      <w:rPr>
        <w:b/>
        <w:bCs/>
        <w:color w:val="FFFFFF" w:themeColor="background1"/>
      </w:rPr>
      <w:tblPr/>
      <w:tcPr>
        <w:tcBorders>
          <w:top w:val="single" w:sz="4" w:space="0" w:color="CC5C99" w:themeColor="accent3"/>
          <w:left w:val="single" w:sz="4" w:space="0" w:color="CC5C99" w:themeColor="accent3"/>
          <w:bottom w:val="single" w:sz="4" w:space="0" w:color="CC5C99" w:themeColor="accent3"/>
          <w:right w:val="single" w:sz="4" w:space="0" w:color="CC5C99" w:themeColor="accent3"/>
          <w:insideH w:val="nil"/>
        </w:tcBorders>
        <w:shd w:val="clear" w:color="auto" w:fill="CC5C99" w:themeFill="accent3"/>
      </w:tcPr>
    </w:tblStylePr>
    <w:tblStylePr w:type="lastRow">
      <w:rPr>
        <w:b/>
        <w:bCs/>
      </w:rPr>
      <w:tblPr/>
      <w:tcPr>
        <w:tcBorders>
          <w:top w:val="doub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4-Accent4">
    <w:name w:val="List Table 4 Accent 4"/>
    <w:basedOn w:val="TableNormal"/>
    <w:uiPriority w:val="49"/>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tblBorders>
    </w:tblPr>
    <w:tblStylePr w:type="firstRow">
      <w:rPr>
        <w:b/>
        <w:bCs/>
        <w:color w:val="FFFFFF" w:themeColor="background1"/>
      </w:rPr>
      <w:tblPr/>
      <w:tcPr>
        <w:tcBorders>
          <w:top w:val="single" w:sz="4" w:space="0" w:color="969696" w:themeColor="accent5"/>
          <w:left w:val="single" w:sz="4" w:space="0" w:color="969696" w:themeColor="accent5"/>
          <w:bottom w:val="single" w:sz="4" w:space="0" w:color="969696" w:themeColor="accent5"/>
          <w:right w:val="single" w:sz="4" w:space="0" w:color="969696" w:themeColor="accent5"/>
          <w:insideH w:val="nil"/>
        </w:tcBorders>
        <w:shd w:val="clear" w:color="auto" w:fill="969696" w:themeFill="accent5"/>
      </w:tcPr>
    </w:tblStylePr>
    <w:tblStylePr w:type="lastRow">
      <w:rPr>
        <w:b/>
        <w:bCs/>
      </w:rPr>
      <w:tblPr/>
      <w:tcPr>
        <w:tcBorders>
          <w:top w:val="doub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4-Accent6">
    <w:name w:val="List Table 4 Accent 6"/>
    <w:basedOn w:val="TableNormal"/>
    <w:uiPriority w:val="49"/>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tblBorders>
    </w:tblPr>
    <w:tblStylePr w:type="firstRow">
      <w:rPr>
        <w:b/>
        <w:bCs/>
        <w:color w:val="FFFFFF" w:themeColor="background1"/>
      </w:rPr>
      <w:tblPr/>
      <w:tcPr>
        <w:tcBorders>
          <w:top w:val="single" w:sz="4" w:space="0" w:color="C3C3C3" w:themeColor="accent6"/>
          <w:left w:val="single" w:sz="4" w:space="0" w:color="C3C3C3" w:themeColor="accent6"/>
          <w:bottom w:val="single" w:sz="4" w:space="0" w:color="C3C3C3" w:themeColor="accent6"/>
          <w:right w:val="single" w:sz="4" w:space="0" w:color="C3C3C3" w:themeColor="accent6"/>
          <w:insideH w:val="nil"/>
        </w:tcBorders>
        <w:shd w:val="clear" w:color="auto" w:fill="C3C3C3" w:themeFill="accent6"/>
      </w:tcPr>
    </w:tblStylePr>
    <w:tblStylePr w:type="lastRow">
      <w:rPr>
        <w:b/>
        <w:bCs/>
      </w:rPr>
      <w:tblPr/>
      <w:tcPr>
        <w:tcBorders>
          <w:top w:val="doub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5Dark">
    <w:name w:val="List Table 5 Dark"/>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AF005F" w:themeColor="accent1"/>
        <w:left w:val="single" w:sz="24" w:space="0" w:color="AF005F" w:themeColor="accent1"/>
        <w:bottom w:val="single" w:sz="24" w:space="0" w:color="AF005F" w:themeColor="accent1"/>
        <w:right w:val="single" w:sz="24" w:space="0" w:color="AF005F" w:themeColor="accent1"/>
      </w:tblBorders>
    </w:tblPr>
    <w:tcPr>
      <w:shd w:val="clear" w:color="auto" w:fill="AF005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BF337F" w:themeColor="accent2"/>
        <w:left w:val="single" w:sz="24" w:space="0" w:color="BF337F" w:themeColor="accent2"/>
        <w:bottom w:val="single" w:sz="24" w:space="0" w:color="BF337F" w:themeColor="accent2"/>
        <w:right w:val="single" w:sz="24" w:space="0" w:color="BF337F" w:themeColor="accent2"/>
      </w:tblBorders>
    </w:tblPr>
    <w:tcPr>
      <w:shd w:val="clear" w:color="auto" w:fill="BF337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CC5C99" w:themeColor="accent3"/>
        <w:left w:val="single" w:sz="24" w:space="0" w:color="CC5C99" w:themeColor="accent3"/>
        <w:bottom w:val="single" w:sz="24" w:space="0" w:color="CC5C99" w:themeColor="accent3"/>
        <w:right w:val="single" w:sz="24" w:space="0" w:color="CC5C99" w:themeColor="accent3"/>
      </w:tblBorders>
    </w:tblPr>
    <w:tcPr>
      <w:shd w:val="clear" w:color="auto" w:fill="CC5C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969696" w:themeColor="accent5"/>
        <w:left w:val="single" w:sz="24" w:space="0" w:color="969696" w:themeColor="accent5"/>
        <w:bottom w:val="single" w:sz="24" w:space="0" w:color="969696" w:themeColor="accent5"/>
        <w:right w:val="single" w:sz="24" w:space="0" w:color="969696" w:themeColor="accent5"/>
      </w:tblBorders>
    </w:tblPr>
    <w:tcPr>
      <w:shd w:val="clear" w:color="auto" w:fill="96969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C3C3C3" w:themeColor="accent6"/>
        <w:left w:val="single" w:sz="24" w:space="0" w:color="C3C3C3" w:themeColor="accent6"/>
        <w:bottom w:val="single" w:sz="24" w:space="0" w:color="C3C3C3" w:themeColor="accent6"/>
        <w:right w:val="single" w:sz="24" w:space="0" w:color="C3C3C3" w:themeColor="accent6"/>
      </w:tblBorders>
    </w:tblPr>
    <w:tcPr>
      <w:shd w:val="clear" w:color="auto" w:fill="C3C3C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unhideWhenUsed/>
    <w:rsid w:val="00F978C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unhideWhenUsed/>
    <w:rsid w:val="00F978CE"/>
    <w:pPr>
      <w:spacing w:after="0" w:line="240" w:lineRule="auto"/>
    </w:pPr>
    <w:rPr>
      <w:color w:val="830046" w:themeColor="accent1" w:themeShade="BF"/>
    </w:rPr>
    <w:tblPr>
      <w:tblStyleRowBandSize w:val="1"/>
      <w:tblStyleColBandSize w:val="1"/>
      <w:tblBorders>
        <w:top w:val="single" w:sz="4" w:space="0" w:color="AF005F" w:themeColor="accent1"/>
        <w:bottom w:val="single" w:sz="4" w:space="0" w:color="AF005F" w:themeColor="accent1"/>
      </w:tblBorders>
    </w:tblPr>
    <w:tblStylePr w:type="firstRow">
      <w:rPr>
        <w:b/>
        <w:bCs/>
      </w:rPr>
      <w:tblPr/>
      <w:tcPr>
        <w:tcBorders>
          <w:bottom w:val="single" w:sz="4" w:space="0" w:color="AF005F" w:themeColor="accent1"/>
        </w:tcBorders>
      </w:tcPr>
    </w:tblStylePr>
    <w:tblStylePr w:type="lastRow">
      <w:rPr>
        <w:b/>
        <w:bCs/>
      </w:rPr>
      <w:tblPr/>
      <w:tcPr>
        <w:tcBorders>
          <w:top w:val="double" w:sz="4" w:space="0" w:color="AF005F" w:themeColor="accent1"/>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6Colorful-Accent2">
    <w:name w:val="List Table 6 Colorful Accent 2"/>
    <w:basedOn w:val="TableNormal"/>
    <w:uiPriority w:val="51"/>
    <w:unhideWhenUsed/>
    <w:rsid w:val="00F978CE"/>
    <w:pPr>
      <w:spacing w:after="0" w:line="240" w:lineRule="auto"/>
    </w:pPr>
    <w:rPr>
      <w:color w:val="8E265E" w:themeColor="accent2" w:themeShade="BF"/>
    </w:rPr>
    <w:tblPr>
      <w:tblStyleRowBandSize w:val="1"/>
      <w:tblStyleColBandSize w:val="1"/>
      <w:tblBorders>
        <w:top w:val="single" w:sz="4" w:space="0" w:color="BF337F" w:themeColor="accent2"/>
        <w:bottom w:val="single" w:sz="4" w:space="0" w:color="BF337F" w:themeColor="accent2"/>
      </w:tblBorders>
    </w:tblPr>
    <w:tblStylePr w:type="firstRow">
      <w:rPr>
        <w:b/>
        <w:bCs/>
      </w:rPr>
      <w:tblPr/>
      <w:tcPr>
        <w:tcBorders>
          <w:bottom w:val="single" w:sz="4" w:space="0" w:color="BF337F" w:themeColor="accent2"/>
        </w:tcBorders>
      </w:tcPr>
    </w:tblStylePr>
    <w:tblStylePr w:type="lastRow">
      <w:rPr>
        <w:b/>
        <w:bCs/>
      </w:rPr>
      <w:tblPr/>
      <w:tcPr>
        <w:tcBorders>
          <w:top w:val="double" w:sz="4" w:space="0" w:color="BF337F" w:themeColor="accent2"/>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6Colorful-Accent3">
    <w:name w:val="List Table 6 Colorful Accent 3"/>
    <w:basedOn w:val="TableNormal"/>
    <w:uiPriority w:val="51"/>
    <w:unhideWhenUsed/>
    <w:rsid w:val="00F978CE"/>
    <w:pPr>
      <w:spacing w:after="0" w:line="240" w:lineRule="auto"/>
    </w:pPr>
    <w:rPr>
      <w:color w:val="A83573" w:themeColor="accent3" w:themeShade="BF"/>
    </w:rPr>
    <w:tblPr>
      <w:tblStyleRowBandSize w:val="1"/>
      <w:tblStyleColBandSize w:val="1"/>
      <w:tblBorders>
        <w:top w:val="single" w:sz="4" w:space="0" w:color="CC5C99" w:themeColor="accent3"/>
        <w:bottom w:val="single" w:sz="4" w:space="0" w:color="CC5C99" w:themeColor="accent3"/>
      </w:tblBorders>
    </w:tblPr>
    <w:tblStylePr w:type="firstRow">
      <w:rPr>
        <w:b/>
        <w:bCs/>
      </w:rPr>
      <w:tblPr/>
      <w:tcPr>
        <w:tcBorders>
          <w:bottom w:val="single" w:sz="4" w:space="0" w:color="CC5C99" w:themeColor="accent3"/>
        </w:tcBorders>
      </w:tcPr>
    </w:tblStylePr>
    <w:tblStylePr w:type="lastRow">
      <w:rPr>
        <w:b/>
        <w:bCs/>
      </w:rPr>
      <w:tblPr/>
      <w:tcPr>
        <w:tcBorders>
          <w:top w:val="double" w:sz="4" w:space="0" w:color="CC5C99" w:themeColor="accent3"/>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6Colorful-Accent4">
    <w:name w:val="List Table 6 Colorful Accent 4"/>
    <w:basedOn w:val="TableNormal"/>
    <w:uiPriority w:val="51"/>
    <w:unhideWhenUsed/>
    <w:rsid w:val="00F978CE"/>
    <w:pPr>
      <w:spacing w:after="0" w:line="240" w:lineRule="auto"/>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unhideWhenUsed/>
    <w:rsid w:val="00F978CE"/>
    <w:pPr>
      <w:spacing w:after="0" w:line="240" w:lineRule="auto"/>
    </w:pPr>
    <w:rPr>
      <w:color w:val="707070" w:themeColor="accent5" w:themeShade="BF"/>
    </w:rPr>
    <w:tblPr>
      <w:tblStyleRowBandSize w:val="1"/>
      <w:tblStyleColBandSize w:val="1"/>
      <w:tblBorders>
        <w:top w:val="single" w:sz="4" w:space="0" w:color="969696" w:themeColor="accent5"/>
        <w:bottom w:val="single" w:sz="4" w:space="0" w:color="969696" w:themeColor="accent5"/>
      </w:tblBorders>
    </w:tblPr>
    <w:tblStylePr w:type="firstRow">
      <w:rPr>
        <w:b/>
        <w:bCs/>
      </w:rPr>
      <w:tblPr/>
      <w:tcPr>
        <w:tcBorders>
          <w:bottom w:val="single" w:sz="4" w:space="0" w:color="969696" w:themeColor="accent5"/>
        </w:tcBorders>
      </w:tcPr>
    </w:tblStylePr>
    <w:tblStylePr w:type="lastRow">
      <w:rPr>
        <w:b/>
        <w:bCs/>
      </w:rPr>
      <w:tblPr/>
      <w:tcPr>
        <w:tcBorders>
          <w:top w:val="double" w:sz="4" w:space="0" w:color="969696" w:themeColor="accent5"/>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6Colorful-Accent6">
    <w:name w:val="List Table 6 Colorful Accent 6"/>
    <w:basedOn w:val="TableNormal"/>
    <w:uiPriority w:val="51"/>
    <w:unhideWhenUsed/>
    <w:rsid w:val="00F978CE"/>
    <w:pPr>
      <w:spacing w:after="0" w:line="240" w:lineRule="auto"/>
    </w:pPr>
    <w:rPr>
      <w:color w:val="929292" w:themeColor="accent6" w:themeShade="BF"/>
    </w:rPr>
    <w:tblPr>
      <w:tblStyleRowBandSize w:val="1"/>
      <w:tblStyleColBandSize w:val="1"/>
      <w:tblBorders>
        <w:top w:val="single" w:sz="4" w:space="0" w:color="C3C3C3" w:themeColor="accent6"/>
        <w:bottom w:val="single" w:sz="4" w:space="0" w:color="C3C3C3" w:themeColor="accent6"/>
      </w:tblBorders>
    </w:tblPr>
    <w:tblStylePr w:type="firstRow">
      <w:rPr>
        <w:b/>
        <w:bCs/>
      </w:rPr>
      <w:tblPr/>
      <w:tcPr>
        <w:tcBorders>
          <w:bottom w:val="single" w:sz="4" w:space="0" w:color="C3C3C3" w:themeColor="accent6"/>
        </w:tcBorders>
      </w:tcPr>
    </w:tblStylePr>
    <w:tblStylePr w:type="lastRow">
      <w:rPr>
        <w:b/>
        <w:bCs/>
      </w:rPr>
      <w:tblPr/>
      <w:tcPr>
        <w:tcBorders>
          <w:top w:val="double" w:sz="4" w:space="0" w:color="C3C3C3" w:themeColor="accent6"/>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7Colorful">
    <w:name w:val="List Table 7 Colorful"/>
    <w:basedOn w:val="TableNormal"/>
    <w:uiPriority w:val="52"/>
    <w:unhideWhenUsed/>
    <w:rsid w:val="00F978C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unhideWhenUsed/>
    <w:rsid w:val="00F978CE"/>
    <w:pPr>
      <w:spacing w:after="0" w:line="240" w:lineRule="auto"/>
    </w:pPr>
    <w:rPr>
      <w:color w:val="83004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F005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005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005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005F" w:themeColor="accent1"/>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unhideWhenUsed/>
    <w:rsid w:val="00F978CE"/>
    <w:pPr>
      <w:spacing w:after="0" w:line="240" w:lineRule="auto"/>
    </w:pPr>
    <w:rPr>
      <w:color w:val="8E265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337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337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337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337F" w:themeColor="accent2"/>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unhideWhenUsed/>
    <w:rsid w:val="00F978CE"/>
    <w:pPr>
      <w:spacing w:after="0" w:line="240" w:lineRule="auto"/>
    </w:pPr>
    <w:rPr>
      <w:color w:val="A8357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5C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5C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5C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5C99" w:themeColor="accent3"/>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unhideWhenUsed/>
    <w:rsid w:val="00F978CE"/>
    <w:pPr>
      <w:spacing w:after="0" w:line="240" w:lineRule="auto"/>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unhideWhenUsed/>
    <w:rsid w:val="00F978CE"/>
    <w:pPr>
      <w:spacing w:after="0" w:line="240" w:lineRule="auto"/>
    </w:pPr>
    <w:rPr>
      <w:color w:val="70707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5"/>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unhideWhenUsed/>
    <w:rsid w:val="00F978CE"/>
    <w:pPr>
      <w:spacing w:after="0" w:line="240" w:lineRule="auto"/>
    </w:pPr>
    <w:rPr>
      <w:color w:val="92929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C3C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C3C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C3C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C3C3" w:themeColor="accent6"/>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unhideWhenUsed/>
    <w:rsid w:val="00F978C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rsid w:val="00FE583B"/>
    <w:rPr>
      <w:rFonts w:ascii="Consolas" w:hAnsi="Consolas"/>
      <w:sz w:val="20"/>
      <w:szCs w:val="20"/>
    </w:rPr>
  </w:style>
  <w:style w:type="table" w:styleId="MediumGrid1">
    <w:name w:val="Medium Grid 1"/>
    <w:basedOn w:val="TableNormal"/>
    <w:uiPriority w:val="67"/>
    <w:unhideWhenUsed/>
    <w:rsid w:val="00F978C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unhideWhenUsed/>
    <w:rsid w:val="00F978CE"/>
    <w:pPr>
      <w:spacing w:after="0" w:line="240" w:lineRule="auto"/>
    </w:pPr>
    <w:tblPr>
      <w:tblStyleRowBandSize w:val="1"/>
      <w:tblStyleColBandSize w:val="1"/>
      <w:tbl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single" w:sz="8" w:space="0" w:color="FF048B" w:themeColor="accent1" w:themeTint="BF"/>
        <w:insideV w:val="single" w:sz="8" w:space="0" w:color="FF048B" w:themeColor="accent1" w:themeTint="BF"/>
      </w:tblBorders>
    </w:tblPr>
    <w:tcPr>
      <w:shd w:val="clear" w:color="auto" w:fill="FFACD8" w:themeFill="accent1" w:themeFillTint="3F"/>
    </w:tcPr>
    <w:tblStylePr w:type="firstRow">
      <w:rPr>
        <w:b/>
        <w:bCs/>
      </w:rPr>
    </w:tblStylePr>
    <w:tblStylePr w:type="lastRow">
      <w:rPr>
        <w:b/>
        <w:bCs/>
      </w:rPr>
      <w:tblPr/>
      <w:tcPr>
        <w:tcBorders>
          <w:top w:val="single" w:sz="18" w:space="0" w:color="FF048B" w:themeColor="accent1" w:themeTint="BF"/>
        </w:tcBorders>
      </w:tcPr>
    </w:tblStylePr>
    <w:tblStylePr w:type="firstCol">
      <w:rPr>
        <w:b/>
        <w:bCs/>
      </w:rPr>
    </w:tblStylePr>
    <w:tblStylePr w:type="lastCol">
      <w:rPr>
        <w:b/>
        <w:bCs/>
      </w:rPr>
    </w:tblStylePr>
    <w:tblStylePr w:type="band1Vert">
      <w:tblPr/>
      <w:tcPr>
        <w:shd w:val="clear" w:color="auto" w:fill="FF58B2" w:themeFill="accent1" w:themeFillTint="7F"/>
      </w:tcPr>
    </w:tblStylePr>
    <w:tblStylePr w:type="band1Horz">
      <w:tblPr/>
      <w:tcPr>
        <w:shd w:val="clear" w:color="auto" w:fill="FF58B2" w:themeFill="accent1" w:themeFillTint="7F"/>
      </w:tcPr>
    </w:tblStylePr>
  </w:style>
  <w:style w:type="table" w:styleId="MediumGrid1-Accent2">
    <w:name w:val="Medium Grid 1 Accent 2"/>
    <w:basedOn w:val="TableNormal"/>
    <w:uiPriority w:val="67"/>
    <w:unhideWhenUsed/>
    <w:rsid w:val="00F978CE"/>
    <w:pPr>
      <w:spacing w:after="0" w:line="240" w:lineRule="auto"/>
    </w:pPr>
    <w:tblPr>
      <w:tblStyleRowBandSize w:val="1"/>
      <w:tblStyleColBandSize w:val="1"/>
      <w:tbl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single" w:sz="8" w:space="0" w:color="D4609F" w:themeColor="accent2" w:themeTint="BF"/>
        <w:insideV w:val="single" w:sz="8" w:space="0" w:color="D4609F" w:themeColor="accent2" w:themeTint="BF"/>
      </w:tblBorders>
    </w:tblPr>
    <w:tcPr>
      <w:shd w:val="clear" w:color="auto" w:fill="F1CADF" w:themeFill="accent2" w:themeFillTint="3F"/>
    </w:tcPr>
    <w:tblStylePr w:type="firstRow">
      <w:rPr>
        <w:b/>
        <w:bCs/>
      </w:rPr>
    </w:tblStylePr>
    <w:tblStylePr w:type="lastRow">
      <w:rPr>
        <w:b/>
        <w:bCs/>
      </w:rPr>
      <w:tblPr/>
      <w:tcPr>
        <w:tcBorders>
          <w:top w:val="single" w:sz="18" w:space="0" w:color="D4609F" w:themeColor="accent2" w:themeTint="BF"/>
        </w:tcBorders>
      </w:tcPr>
    </w:tblStylePr>
    <w:tblStylePr w:type="firstCol">
      <w:rPr>
        <w:b/>
        <w:bCs/>
      </w:rPr>
    </w:tblStylePr>
    <w:tblStylePr w:type="lastCol">
      <w:rPr>
        <w:b/>
        <w:bCs/>
      </w:rPr>
    </w:tblStylePr>
    <w:tblStylePr w:type="band1Vert">
      <w:tblPr/>
      <w:tcPr>
        <w:shd w:val="clear" w:color="auto" w:fill="E295BF" w:themeFill="accent2" w:themeFillTint="7F"/>
      </w:tcPr>
    </w:tblStylePr>
    <w:tblStylePr w:type="band1Horz">
      <w:tblPr/>
      <w:tcPr>
        <w:shd w:val="clear" w:color="auto" w:fill="E295BF" w:themeFill="accent2" w:themeFillTint="7F"/>
      </w:tcPr>
    </w:tblStylePr>
  </w:style>
  <w:style w:type="table" w:styleId="MediumGrid1-Accent3">
    <w:name w:val="Medium Grid 1 Accent 3"/>
    <w:basedOn w:val="TableNormal"/>
    <w:uiPriority w:val="67"/>
    <w:unhideWhenUsed/>
    <w:rsid w:val="00F978CE"/>
    <w:pPr>
      <w:spacing w:after="0" w:line="240" w:lineRule="auto"/>
    </w:pPr>
    <w:tblPr>
      <w:tblStyleRowBandSize w:val="1"/>
      <w:tblStyleColBandSize w:val="1"/>
      <w:tbl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single" w:sz="8" w:space="0" w:color="D884B2" w:themeColor="accent3" w:themeTint="BF"/>
        <w:insideV w:val="single" w:sz="8" w:space="0" w:color="D884B2" w:themeColor="accent3" w:themeTint="BF"/>
      </w:tblBorders>
    </w:tblPr>
    <w:tcPr>
      <w:shd w:val="clear" w:color="auto" w:fill="F2D6E5" w:themeFill="accent3" w:themeFillTint="3F"/>
    </w:tcPr>
    <w:tblStylePr w:type="firstRow">
      <w:rPr>
        <w:b/>
        <w:bCs/>
      </w:rPr>
    </w:tblStylePr>
    <w:tblStylePr w:type="lastRow">
      <w:rPr>
        <w:b/>
        <w:bCs/>
      </w:rPr>
      <w:tblPr/>
      <w:tcPr>
        <w:tcBorders>
          <w:top w:val="single" w:sz="18" w:space="0" w:color="D884B2" w:themeColor="accent3" w:themeTint="BF"/>
        </w:tcBorders>
      </w:tcPr>
    </w:tblStylePr>
    <w:tblStylePr w:type="firstCol">
      <w:rPr>
        <w:b/>
        <w:bCs/>
      </w:rPr>
    </w:tblStylePr>
    <w:tblStylePr w:type="lastCol">
      <w:rPr>
        <w:b/>
        <w:bCs/>
      </w:rPr>
    </w:tblStylePr>
    <w:tblStylePr w:type="band1Vert">
      <w:tblPr/>
      <w:tcPr>
        <w:shd w:val="clear" w:color="auto" w:fill="E5ADCB" w:themeFill="accent3" w:themeFillTint="7F"/>
      </w:tcPr>
    </w:tblStylePr>
    <w:tblStylePr w:type="band1Horz">
      <w:tblPr/>
      <w:tcPr>
        <w:shd w:val="clear" w:color="auto" w:fill="E5ADCB" w:themeFill="accent3" w:themeFillTint="7F"/>
      </w:tcPr>
    </w:tblStylePr>
  </w:style>
  <w:style w:type="table" w:styleId="MediumGrid1-Accent4">
    <w:name w:val="Medium Grid 1 Accent 4"/>
    <w:basedOn w:val="TableNormal"/>
    <w:uiPriority w:val="67"/>
    <w:unhideWhenUsed/>
    <w:rsid w:val="00F978CE"/>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unhideWhenUsed/>
    <w:rsid w:val="00F978CE"/>
    <w:pPr>
      <w:spacing w:after="0" w:line="240" w:lineRule="auto"/>
    </w:pPr>
    <w:tblPr>
      <w:tblStyleRowBandSize w:val="1"/>
      <w:tblStyleColBandSize w:val="1"/>
      <w:tbl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single" w:sz="8" w:space="0" w:color="B0B0B0" w:themeColor="accent5" w:themeTint="BF"/>
        <w:insideV w:val="single" w:sz="8" w:space="0" w:color="B0B0B0" w:themeColor="accent5" w:themeTint="BF"/>
      </w:tblBorders>
    </w:tblPr>
    <w:tcPr>
      <w:shd w:val="clear" w:color="auto" w:fill="E5E5E5" w:themeFill="accent5" w:themeFillTint="3F"/>
    </w:tcPr>
    <w:tblStylePr w:type="firstRow">
      <w:rPr>
        <w:b/>
        <w:bCs/>
      </w:rPr>
    </w:tblStylePr>
    <w:tblStylePr w:type="lastRow">
      <w:rPr>
        <w:b/>
        <w:bCs/>
      </w:rPr>
      <w:tblPr/>
      <w:tcPr>
        <w:tcBorders>
          <w:top w:val="single" w:sz="18" w:space="0" w:color="B0B0B0" w:themeColor="accent5" w:themeTint="BF"/>
        </w:tcBorders>
      </w:tcPr>
    </w:tblStylePr>
    <w:tblStylePr w:type="firstCol">
      <w:rPr>
        <w:b/>
        <w:bCs/>
      </w:rPr>
    </w:tblStylePr>
    <w:tblStylePr w:type="lastCol">
      <w:rPr>
        <w:b/>
        <w:bCs/>
      </w:rPr>
    </w:tblStylePr>
    <w:tblStylePr w:type="band1Vert">
      <w:tblPr/>
      <w:tcPr>
        <w:shd w:val="clear" w:color="auto" w:fill="CACACA" w:themeFill="accent5" w:themeFillTint="7F"/>
      </w:tcPr>
    </w:tblStylePr>
    <w:tblStylePr w:type="band1Horz">
      <w:tblPr/>
      <w:tcPr>
        <w:shd w:val="clear" w:color="auto" w:fill="CACACA" w:themeFill="accent5" w:themeFillTint="7F"/>
      </w:tcPr>
    </w:tblStylePr>
  </w:style>
  <w:style w:type="table" w:styleId="MediumGrid1-Accent6">
    <w:name w:val="Medium Grid 1 Accent 6"/>
    <w:basedOn w:val="TableNormal"/>
    <w:uiPriority w:val="67"/>
    <w:unhideWhenUsed/>
    <w:rsid w:val="00F978CE"/>
    <w:pPr>
      <w:spacing w:after="0" w:line="240" w:lineRule="auto"/>
    </w:pPr>
    <w:tblPr>
      <w:tblStyleRowBandSize w:val="1"/>
      <w:tblStyleColBandSize w:val="1"/>
      <w:tbl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single" w:sz="8" w:space="0" w:color="D2D2D2" w:themeColor="accent6" w:themeTint="BF"/>
        <w:insideV w:val="single" w:sz="8" w:space="0" w:color="D2D2D2" w:themeColor="accent6" w:themeTint="BF"/>
      </w:tblBorders>
    </w:tblPr>
    <w:tcPr>
      <w:shd w:val="clear" w:color="auto" w:fill="F0F0F0" w:themeFill="accent6" w:themeFillTint="3F"/>
    </w:tcPr>
    <w:tblStylePr w:type="firstRow">
      <w:rPr>
        <w:b/>
        <w:bCs/>
      </w:rPr>
    </w:tblStylePr>
    <w:tblStylePr w:type="lastRow">
      <w:rPr>
        <w:b/>
        <w:bCs/>
      </w:rPr>
      <w:tblPr/>
      <w:tcPr>
        <w:tcBorders>
          <w:top w:val="single" w:sz="18" w:space="0" w:color="D2D2D2" w:themeColor="accent6" w:themeTint="BF"/>
        </w:tcBorders>
      </w:tcPr>
    </w:tblStylePr>
    <w:tblStylePr w:type="firstCol">
      <w:rPr>
        <w:b/>
        <w:bCs/>
      </w:rPr>
    </w:tblStylePr>
    <w:tblStylePr w:type="lastCol">
      <w:rPr>
        <w:b/>
        <w:bCs/>
      </w:rPr>
    </w:tblStylePr>
    <w:tblStylePr w:type="band1Vert">
      <w:tblPr/>
      <w:tcPr>
        <w:shd w:val="clear" w:color="auto" w:fill="E1E1E1" w:themeFill="accent6" w:themeFillTint="7F"/>
      </w:tcPr>
    </w:tblStylePr>
    <w:tblStylePr w:type="band1Horz">
      <w:tblPr/>
      <w:tcPr>
        <w:shd w:val="clear" w:color="auto" w:fill="E1E1E1" w:themeFill="accent6" w:themeFillTint="7F"/>
      </w:tcPr>
    </w:tblStylePr>
  </w:style>
  <w:style w:type="table" w:styleId="MediumGrid2">
    <w:name w:val="Medium Grid 2"/>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insideH w:val="single" w:sz="8" w:space="0" w:color="AF005F" w:themeColor="accent1"/>
        <w:insideV w:val="single" w:sz="8" w:space="0" w:color="AF005F" w:themeColor="accent1"/>
      </w:tblBorders>
    </w:tblPr>
    <w:tcPr>
      <w:shd w:val="clear" w:color="auto" w:fill="FFACD8" w:themeFill="accent1" w:themeFillTint="3F"/>
    </w:tcPr>
    <w:tblStylePr w:type="firstRow">
      <w:rPr>
        <w:b/>
        <w:bCs/>
        <w:color w:val="000000" w:themeColor="text1"/>
      </w:rPr>
      <w:tblPr/>
      <w:tcPr>
        <w:shd w:val="clear" w:color="auto" w:fill="FFDE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CE0" w:themeFill="accent1" w:themeFillTint="33"/>
      </w:tcPr>
    </w:tblStylePr>
    <w:tblStylePr w:type="band1Vert">
      <w:tblPr/>
      <w:tcPr>
        <w:shd w:val="clear" w:color="auto" w:fill="FF58B2" w:themeFill="accent1" w:themeFillTint="7F"/>
      </w:tcPr>
    </w:tblStylePr>
    <w:tblStylePr w:type="band1Horz">
      <w:tblPr/>
      <w:tcPr>
        <w:tcBorders>
          <w:insideH w:val="single" w:sz="6" w:space="0" w:color="AF005F" w:themeColor="accent1"/>
          <w:insideV w:val="single" w:sz="6" w:space="0" w:color="AF005F" w:themeColor="accent1"/>
        </w:tcBorders>
        <w:shd w:val="clear" w:color="auto" w:fill="FF58B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insideH w:val="single" w:sz="8" w:space="0" w:color="BF337F" w:themeColor="accent2"/>
        <w:insideV w:val="single" w:sz="8" w:space="0" w:color="BF337F" w:themeColor="accent2"/>
      </w:tblBorders>
    </w:tblPr>
    <w:tcPr>
      <w:shd w:val="clear" w:color="auto" w:fill="F1CADF" w:themeFill="accent2" w:themeFillTint="3F"/>
    </w:tcPr>
    <w:tblStylePr w:type="firstRow">
      <w:rPr>
        <w:b/>
        <w:bCs/>
        <w:color w:val="000000" w:themeColor="text1"/>
      </w:rPr>
      <w:tblPr/>
      <w:tcPr>
        <w:shd w:val="clear" w:color="auto" w:fill="F9EA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4E5" w:themeFill="accent2" w:themeFillTint="33"/>
      </w:tcPr>
    </w:tblStylePr>
    <w:tblStylePr w:type="band1Vert">
      <w:tblPr/>
      <w:tcPr>
        <w:shd w:val="clear" w:color="auto" w:fill="E295BF" w:themeFill="accent2" w:themeFillTint="7F"/>
      </w:tcPr>
    </w:tblStylePr>
    <w:tblStylePr w:type="band1Horz">
      <w:tblPr/>
      <w:tcPr>
        <w:tcBorders>
          <w:insideH w:val="single" w:sz="6" w:space="0" w:color="BF337F" w:themeColor="accent2"/>
          <w:insideV w:val="single" w:sz="6" w:space="0" w:color="BF337F" w:themeColor="accent2"/>
        </w:tcBorders>
        <w:shd w:val="clear" w:color="auto" w:fill="E295B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insideH w:val="single" w:sz="8" w:space="0" w:color="CC5C99" w:themeColor="accent3"/>
        <w:insideV w:val="single" w:sz="8" w:space="0" w:color="CC5C99" w:themeColor="accent3"/>
      </w:tblBorders>
    </w:tblPr>
    <w:tcPr>
      <w:shd w:val="clear" w:color="auto" w:fill="F2D6E5" w:themeFill="accent3" w:themeFillTint="3F"/>
    </w:tcPr>
    <w:tblStylePr w:type="firstRow">
      <w:rPr>
        <w:b/>
        <w:bCs/>
        <w:color w:val="000000" w:themeColor="text1"/>
      </w:rPr>
      <w:tblPr/>
      <w:tcPr>
        <w:shd w:val="clear" w:color="auto" w:fill="FAEF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EEA" w:themeFill="accent3" w:themeFillTint="33"/>
      </w:tcPr>
    </w:tblStylePr>
    <w:tblStylePr w:type="band1Vert">
      <w:tblPr/>
      <w:tcPr>
        <w:shd w:val="clear" w:color="auto" w:fill="E5ADCB" w:themeFill="accent3" w:themeFillTint="7F"/>
      </w:tcPr>
    </w:tblStylePr>
    <w:tblStylePr w:type="band1Horz">
      <w:tblPr/>
      <w:tcPr>
        <w:tcBorders>
          <w:insideH w:val="single" w:sz="6" w:space="0" w:color="CC5C99" w:themeColor="accent3"/>
          <w:insideV w:val="single" w:sz="6" w:space="0" w:color="CC5C99" w:themeColor="accent3"/>
        </w:tcBorders>
        <w:shd w:val="clear" w:color="auto" w:fill="E5ADC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insideH w:val="single" w:sz="8" w:space="0" w:color="969696" w:themeColor="accent5"/>
        <w:insideV w:val="single" w:sz="8" w:space="0" w:color="969696" w:themeColor="accent5"/>
      </w:tblBorders>
    </w:tblPr>
    <w:tcPr>
      <w:shd w:val="clear" w:color="auto" w:fill="E5E5E5" w:themeFill="accent5" w:themeFillTint="3F"/>
    </w:tcPr>
    <w:tblStylePr w:type="firstRow">
      <w:rPr>
        <w:b/>
        <w:bCs/>
        <w:color w:val="000000" w:themeColor="text1"/>
      </w:rPr>
      <w:tblPr/>
      <w:tcPr>
        <w:shd w:val="clear" w:color="auto" w:fill="F4F4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5" w:themeFillTint="33"/>
      </w:tcPr>
    </w:tblStylePr>
    <w:tblStylePr w:type="band1Vert">
      <w:tblPr/>
      <w:tcPr>
        <w:shd w:val="clear" w:color="auto" w:fill="CACACA" w:themeFill="accent5" w:themeFillTint="7F"/>
      </w:tcPr>
    </w:tblStylePr>
    <w:tblStylePr w:type="band1Horz">
      <w:tblPr/>
      <w:tcPr>
        <w:tcBorders>
          <w:insideH w:val="single" w:sz="6" w:space="0" w:color="969696" w:themeColor="accent5"/>
          <w:insideV w:val="single" w:sz="6" w:space="0" w:color="969696" w:themeColor="accent5"/>
        </w:tcBorders>
        <w:shd w:val="clear" w:color="auto" w:fill="CACA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insideH w:val="single" w:sz="8" w:space="0" w:color="C3C3C3" w:themeColor="accent6"/>
        <w:insideV w:val="single" w:sz="8" w:space="0" w:color="C3C3C3" w:themeColor="accent6"/>
      </w:tblBorders>
    </w:tblPr>
    <w:tcPr>
      <w:shd w:val="clear" w:color="auto" w:fill="F0F0F0" w:themeFill="accent6" w:themeFillTint="3F"/>
    </w:tcPr>
    <w:tblStylePr w:type="firstRow">
      <w:rPr>
        <w:b/>
        <w:bCs/>
        <w:color w:val="000000" w:themeColor="text1"/>
      </w:rPr>
      <w:tblPr/>
      <w:tcPr>
        <w:shd w:val="clear" w:color="auto" w:fill="F9F9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3F3" w:themeFill="accent6" w:themeFillTint="33"/>
      </w:tcPr>
    </w:tblStylePr>
    <w:tblStylePr w:type="band1Vert">
      <w:tblPr/>
      <w:tcPr>
        <w:shd w:val="clear" w:color="auto" w:fill="E1E1E1" w:themeFill="accent6" w:themeFillTint="7F"/>
      </w:tcPr>
    </w:tblStylePr>
    <w:tblStylePr w:type="band1Horz">
      <w:tblPr/>
      <w:tcPr>
        <w:tcBorders>
          <w:insideH w:val="single" w:sz="6" w:space="0" w:color="C3C3C3" w:themeColor="accent6"/>
          <w:insideV w:val="single" w:sz="6" w:space="0" w:color="C3C3C3" w:themeColor="accent6"/>
        </w:tcBorders>
        <w:shd w:val="clear" w:color="auto" w:fill="E1E1E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C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005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005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005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005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58B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58B2" w:themeFill="accent1" w:themeFillTint="7F"/>
      </w:tcPr>
    </w:tblStylePr>
  </w:style>
  <w:style w:type="table" w:styleId="MediumGrid3-Accent2">
    <w:name w:val="Medium Grid 3 Accent 2"/>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AD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337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337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337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337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95B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95BF" w:themeFill="accent2" w:themeFillTint="7F"/>
      </w:tcPr>
    </w:tblStylePr>
  </w:style>
  <w:style w:type="table" w:styleId="MediumGrid3-Accent3">
    <w:name w:val="Medium Grid 3 Accent 3"/>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D6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5C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5C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5C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5C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ADC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ADCB" w:themeFill="accent3" w:themeFillTint="7F"/>
      </w:tcPr>
    </w:tblStylePr>
  </w:style>
  <w:style w:type="table" w:styleId="MediumGrid3-Accent4">
    <w:name w:val="Medium Grid 3 Accent 4"/>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5" w:themeFillTint="7F"/>
      </w:tcPr>
    </w:tblStylePr>
  </w:style>
  <w:style w:type="table" w:styleId="MediumGrid3-Accent6">
    <w:name w:val="Medium Grid 3 Accent 6"/>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0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C3C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C3C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C3C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C3C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1E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1E1" w:themeFill="accent6" w:themeFillTint="7F"/>
      </w:tcPr>
    </w:tblStylePr>
  </w:style>
  <w:style w:type="table" w:styleId="MediumList1">
    <w:name w:val="Medium List 1"/>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AF00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AF005F" w:themeColor="accent1"/>
        <w:bottom w:val="single" w:sz="8" w:space="0" w:color="AF005F" w:themeColor="accent1"/>
      </w:tblBorders>
    </w:tblPr>
    <w:tblStylePr w:type="firstRow">
      <w:rPr>
        <w:rFonts w:asciiTheme="majorHAnsi" w:eastAsiaTheme="majorEastAsia" w:hAnsiTheme="majorHAnsi" w:cstheme="majorBidi"/>
      </w:rPr>
      <w:tblPr/>
      <w:tcPr>
        <w:tcBorders>
          <w:top w:val="nil"/>
          <w:bottom w:val="single" w:sz="8" w:space="0" w:color="AF005F" w:themeColor="accent1"/>
        </w:tcBorders>
      </w:tcPr>
    </w:tblStylePr>
    <w:tblStylePr w:type="lastRow">
      <w:rPr>
        <w:b/>
        <w:bCs/>
        <w:color w:val="AF005F" w:themeColor="text2"/>
      </w:rPr>
      <w:tblPr/>
      <w:tcPr>
        <w:tcBorders>
          <w:top w:val="single" w:sz="8" w:space="0" w:color="AF005F" w:themeColor="accent1"/>
          <w:bottom w:val="single" w:sz="8" w:space="0" w:color="AF005F" w:themeColor="accent1"/>
        </w:tcBorders>
      </w:tcPr>
    </w:tblStylePr>
    <w:tblStylePr w:type="firstCol">
      <w:rPr>
        <w:b/>
        <w:bCs/>
      </w:rPr>
    </w:tblStylePr>
    <w:tblStylePr w:type="lastCol">
      <w:rPr>
        <w:b/>
        <w:bCs/>
      </w:rPr>
      <w:tblPr/>
      <w:tcPr>
        <w:tcBorders>
          <w:top w:val="single" w:sz="8" w:space="0" w:color="AF005F" w:themeColor="accent1"/>
          <w:bottom w:val="single" w:sz="8" w:space="0" w:color="AF005F" w:themeColor="accent1"/>
        </w:tcBorders>
      </w:tcPr>
    </w:tblStylePr>
    <w:tblStylePr w:type="band1Vert">
      <w:tblPr/>
      <w:tcPr>
        <w:shd w:val="clear" w:color="auto" w:fill="FFACD8" w:themeFill="accent1" w:themeFillTint="3F"/>
      </w:tcPr>
    </w:tblStylePr>
    <w:tblStylePr w:type="band1Horz">
      <w:tblPr/>
      <w:tcPr>
        <w:shd w:val="clear" w:color="auto" w:fill="FFACD8" w:themeFill="accent1" w:themeFillTint="3F"/>
      </w:tcPr>
    </w:tblStylePr>
  </w:style>
  <w:style w:type="table" w:styleId="MediumList1-Accent2">
    <w:name w:val="Medium List 1 Accent 2"/>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BF337F" w:themeColor="accent2"/>
        <w:bottom w:val="single" w:sz="8" w:space="0" w:color="BF337F" w:themeColor="accent2"/>
      </w:tblBorders>
    </w:tblPr>
    <w:tblStylePr w:type="firstRow">
      <w:rPr>
        <w:rFonts w:asciiTheme="majorHAnsi" w:eastAsiaTheme="majorEastAsia" w:hAnsiTheme="majorHAnsi" w:cstheme="majorBidi"/>
      </w:rPr>
      <w:tblPr/>
      <w:tcPr>
        <w:tcBorders>
          <w:top w:val="nil"/>
          <w:bottom w:val="single" w:sz="8" w:space="0" w:color="BF337F" w:themeColor="accent2"/>
        </w:tcBorders>
      </w:tcPr>
    </w:tblStylePr>
    <w:tblStylePr w:type="lastRow">
      <w:rPr>
        <w:b/>
        <w:bCs/>
        <w:color w:val="AF005F" w:themeColor="text2"/>
      </w:rPr>
      <w:tblPr/>
      <w:tcPr>
        <w:tcBorders>
          <w:top w:val="single" w:sz="8" w:space="0" w:color="BF337F" w:themeColor="accent2"/>
          <w:bottom w:val="single" w:sz="8" w:space="0" w:color="BF337F" w:themeColor="accent2"/>
        </w:tcBorders>
      </w:tcPr>
    </w:tblStylePr>
    <w:tblStylePr w:type="firstCol">
      <w:rPr>
        <w:b/>
        <w:bCs/>
      </w:rPr>
    </w:tblStylePr>
    <w:tblStylePr w:type="lastCol">
      <w:rPr>
        <w:b/>
        <w:bCs/>
      </w:rPr>
      <w:tblPr/>
      <w:tcPr>
        <w:tcBorders>
          <w:top w:val="single" w:sz="8" w:space="0" w:color="BF337F" w:themeColor="accent2"/>
          <w:bottom w:val="single" w:sz="8" w:space="0" w:color="BF337F" w:themeColor="accent2"/>
        </w:tcBorders>
      </w:tcPr>
    </w:tblStylePr>
    <w:tblStylePr w:type="band1Vert">
      <w:tblPr/>
      <w:tcPr>
        <w:shd w:val="clear" w:color="auto" w:fill="F1CADF" w:themeFill="accent2" w:themeFillTint="3F"/>
      </w:tcPr>
    </w:tblStylePr>
    <w:tblStylePr w:type="band1Horz">
      <w:tblPr/>
      <w:tcPr>
        <w:shd w:val="clear" w:color="auto" w:fill="F1CADF" w:themeFill="accent2" w:themeFillTint="3F"/>
      </w:tcPr>
    </w:tblStylePr>
  </w:style>
  <w:style w:type="table" w:styleId="MediumList1-Accent3">
    <w:name w:val="Medium List 1 Accent 3"/>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CC5C99" w:themeColor="accent3"/>
        <w:bottom w:val="single" w:sz="8" w:space="0" w:color="CC5C99" w:themeColor="accent3"/>
      </w:tblBorders>
    </w:tblPr>
    <w:tblStylePr w:type="firstRow">
      <w:rPr>
        <w:rFonts w:asciiTheme="majorHAnsi" w:eastAsiaTheme="majorEastAsia" w:hAnsiTheme="majorHAnsi" w:cstheme="majorBidi"/>
      </w:rPr>
      <w:tblPr/>
      <w:tcPr>
        <w:tcBorders>
          <w:top w:val="nil"/>
          <w:bottom w:val="single" w:sz="8" w:space="0" w:color="CC5C99" w:themeColor="accent3"/>
        </w:tcBorders>
      </w:tcPr>
    </w:tblStylePr>
    <w:tblStylePr w:type="lastRow">
      <w:rPr>
        <w:b/>
        <w:bCs/>
        <w:color w:val="AF005F" w:themeColor="text2"/>
      </w:rPr>
      <w:tblPr/>
      <w:tcPr>
        <w:tcBorders>
          <w:top w:val="single" w:sz="8" w:space="0" w:color="CC5C99" w:themeColor="accent3"/>
          <w:bottom w:val="single" w:sz="8" w:space="0" w:color="CC5C99" w:themeColor="accent3"/>
        </w:tcBorders>
      </w:tcPr>
    </w:tblStylePr>
    <w:tblStylePr w:type="firstCol">
      <w:rPr>
        <w:b/>
        <w:bCs/>
      </w:rPr>
    </w:tblStylePr>
    <w:tblStylePr w:type="lastCol">
      <w:rPr>
        <w:b/>
        <w:bCs/>
      </w:rPr>
      <w:tblPr/>
      <w:tcPr>
        <w:tcBorders>
          <w:top w:val="single" w:sz="8" w:space="0" w:color="CC5C99" w:themeColor="accent3"/>
          <w:bottom w:val="single" w:sz="8" w:space="0" w:color="CC5C99" w:themeColor="accent3"/>
        </w:tcBorders>
      </w:tcPr>
    </w:tblStylePr>
    <w:tblStylePr w:type="band1Vert">
      <w:tblPr/>
      <w:tcPr>
        <w:shd w:val="clear" w:color="auto" w:fill="F2D6E5" w:themeFill="accent3" w:themeFillTint="3F"/>
      </w:tcPr>
    </w:tblStylePr>
    <w:tblStylePr w:type="band1Horz">
      <w:tblPr/>
      <w:tcPr>
        <w:shd w:val="clear" w:color="auto" w:fill="F2D6E5" w:themeFill="accent3" w:themeFillTint="3F"/>
      </w:tcPr>
    </w:tblStylePr>
  </w:style>
  <w:style w:type="table" w:styleId="MediumList1-Accent4">
    <w:name w:val="Medium List 1 Accent 4"/>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AF005F"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969696" w:themeColor="accent5"/>
        <w:bottom w:val="single" w:sz="8" w:space="0" w:color="969696" w:themeColor="accent5"/>
      </w:tblBorders>
    </w:tblPr>
    <w:tblStylePr w:type="firstRow">
      <w:rPr>
        <w:rFonts w:asciiTheme="majorHAnsi" w:eastAsiaTheme="majorEastAsia" w:hAnsiTheme="majorHAnsi" w:cstheme="majorBidi"/>
      </w:rPr>
      <w:tblPr/>
      <w:tcPr>
        <w:tcBorders>
          <w:top w:val="nil"/>
          <w:bottom w:val="single" w:sz="8" w:space="0" w:color="969696" w:themeColor="accent5"/>
        </w:tcBorders>
      </w:tcPr>
    </w:tblStylePr>
    <w:tblStylePr w:type="lastRow">
      <w:rPr>
        <w:b/>
        <w:bCs/>
        <w:color w:val="AF005F" w:themeColor="text2"/>
      </w:rPr>
      <w:tblPr/>
      <w:tcPr>
        <w:tcBorders>
          <w:top w:val="single" w:sz="8" w:space="0" w:color="969696" w:themeColor="accent5"/>
          <w:bottom w:val="single" w:sz="8" w:space="0" w:color="969696" w:themeColor="accent5"/>
        </w:tcBorders>
      </w:tcPr>
    </w:tblStylePr>
    <w:tblStylePr w:type="firstCol">
      <w:rPr>
        <w:b/>
        <w:bCs/>
      </w:rPr>
    </w:tblStylePr>
    <w:tblStylePr w:type="lastCol">
      <w:rPr>
        <w:b/>
        <w:bCs/>
      </w:rPr>
      <w:tblPr/>
      <w:tcPr>
        <w:tcBorders>
          <w:top w:val="single" w:sz="8" w:space="0" w:color="969696" w:themeColor="accent5"/>
          <w:bottom w:val="single" w:sz="8" w:space="0" w:color="969696" w:themeColor="accent5"/>
        </w:tcBorders>
      </w:tcPr>
    </w:tblStylePr>
    <w:tblStylePr w:type="band1Vert">
      <w:tblPr/>
      <w:tcPr>
        <w:shd w:val="clear" w:color="auto" w:fill="E5E5E5" w:themeFill="accent5" w:themeFillTint="3F"/>
      </w:tcPr>
    </w:tblStylePr>
    <w:tblStylePr w:type="band1Horz">
      <w:tblPr/>
      <w:tcPr>
        <w:shd w:val="clear" w:color="auto" w:fill="E5E5E5" w:themeFill="accent5" w:themeFillTint="3F"/>
      </w:tcPr>
    </w:tblStylePr>
  </w:style>
  <w:style w:type="table" w:styleId="MediumList1-Accent6">
    <w:name w:val="Medium List 1 Accent 6"/>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C3C3C3" w:themeColor="accent6"/>
        <w:bottom w:val="single" w:sz="8" w:space="0" w:color="C3C3C3" w:themeColor="accent6"/>
      </w:tblBorders>
    </w:tblPr>
    <w:tblStylePr w:type="firstRow">
      <w:rPr>
        <w:rFonts w:asciiTheme="majorHAnsi" w:eastAsiaTheme="majorEastAsia" w:hAnsiTheme="majorHAnsi" w:cstheme="majorBidi"/>
      </w:rPr>
      <w:tblPr/>
      <w:tcPr>
        <w:tcBorders>
          <w:top w:val="nil"/>
          <w:bottom w:val="single" w:sz="8" w:space="0" w:color="C3C3C3" w:themeColor="accent6"/>
        </w:tcBorders>
      </w:tcPr>
    </w:tblStylePr>
    <w:tblStylePr w:type="lastRow">
      <w:rPr>
        <w:b/>
        <w:bCs/>
        <w:color w:val="AF005F" w:themeColor="text2"/>
      </w:rPr>
      <w:tblPr/>
      <w:tcPr>
        <w:tcBorders>
          <w:top w:val="single" w:sz="8" w:space="0" w:color="C3C3C3" w:themeColor="accent6"/>
          <w:bottom w:val="single" w:sz="8" w:space="0" w:color="C3C3C3" w:themeColor="accent6"/>
        </w:tcBorders>
      </w:tcPr>
    </w:tblStylePr>
    <w:tblStylePr w:type="firstCol">
      <w:rPr>
        <w:b/>
        <w:bCs/>
      </w:rPr>
    </w:tblStylePr>
    <w:tblStylePr w:type="lastCol">
      <w:rPr>
        <w:b/>
        <w:bCs/>
      </w:rPr>
      <w:tblPr/>
      <w:tcPr>
        <w:tcBorders>
          <w:top w:val="single" w:sz="8" w:space="0" w:color="C3C3C3" w:themeColor="accent6"/>
          <w:bottom w:val="single" w:sz="8" w:space="0" w:color="C3C3C3" w:themeColor="accent6"/>
        </w:tcBorders>
      </w:tcPr>
    </w:tblStylePr>
    <w:tblStylePr w:type="band1Vert">
      <w:tblPr/>
      <w:tcPr>
        <w:shd w:val="clear" w:color="auto" w:fill="F0F0F0" w:themeFill="accent6" w:themeFillTint="3F"/>
      </w:tcPr>
    </w:tblStylePr>
    <w:tblStylePr w:type="band1Horz">
      <w:tblPr/>
      <w:tcPr>
        <w:shd w:val="clear" w:color="auto" w:fill="F0F0F0" w:themeFill="accent6" w:themeFillTint="3F"/>
      </w:tcPr>
    </w:tblStylePr>
  </w:style>
  <w:style w:type="table" w:styleId="MediumList2">
    <w:name w:val="Medium List 2"/>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tblBorders>
    </w:tblPr>
    <w:tblStylePr w:type="firstRow">
      <w:rPr>
        <w:sz w:val="24"/>
        <w:szCs w:val="24"/>
      </w:rPr>
      <w:tblPr/>
      <w:tcPr>
        <w:tcBorders>
          <w:top w:val="nil"/>
          <w:left w:val="nil"/>
          <w:bottom w:val="single" w:sz="24" w:space="0" w:color="AF005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005F" w:themeColor="accent1"/>
          <w:insideH w:val="nil"/>
          <w:insideV w:val="nil"/>
        </w:tcBorders>
        <w:shd w:val="clear" w:color="auto" w:fill="FFFFFF" w:themeFill="background1"/>
      </w:tcPr>
    </w:tblStylePr>
    <w:tblStylePr w:type="lastCol">
      <w:tblPr/>
      <w:tcPr>
        <w:tcBorders>
          <w:top w:val="nil"/>
          <w:left w:val="single" w:sz="8" w:space="0" w:color="AF005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CD8" w:themeFill="accent1" w:themeFillTint="3F"/>
      </w:tcPr>
    </w:tblStylePr>
    <w:tblStylePr w:type="band1Horz">
      <w:tblPr/>
      <w:tcPr>
        <w:tcBorders>
          <w:top w:val="nil"/>
          <w:bottom w:val="nil"/>
          <w:insideH w:val="nil"/>
          <w:insideV w:val="nil"/>
        </w:tcBorders>
        <w:shd w:val="clear" w:color="auto" w:fill="FFAC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tblBorders>
    </w:tblPr>
    <w:tblStylePr w:type="firstRow">
      <w:rPr>
        <w:sz w:val="24"/>
        <w:szCs w:val="24"/>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337F" w:themeColor="accent2"/>
          <w:insideH w:val="nil"/>
          <w:insideV w:val="nil"/>
        </w:tcBorders>
        <w:shd w:val="clear" w:color="auto" w:fill="FFFFFF" w:themeFill="background1"/>
      </w:tcPr>
    </w:tblStylePr>
    <w:tblStylePr w:type="lastCol">
      <w:tblPr/>
      <w:tcPr>
        <w:tcBorders>
          <w:top w:val="nil"/>
          <w:left w:val="single" w:sz="8" w:space="0" w:color="BF337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ADF" w:themeFill="accent2" w:themeFillTint="3F"/>
      </w:tcPr>
    </w:tblStylePr>
    <w:tblStylePr w:type="band1Horz">
      <w:tblPr/>
      <w:tcPr>
        <w:tcBorders>
          <w:top w:val="nil"/>
          <w:bottom w:val="nil"/>
          <w:insideH w:val="nil"/>
          <w:insideV w:val="nil"/>
        </w:tcBorders>
        <w:shd w:val="clear" w:color="auto" w:fill="F1CAD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tblBorders>
    </w:tblPr>
    <w:tblStylePr w:type="firstRow">
      <w:rPr>
        <w:sz w:val="24"/>
        <w:szCs w:val="24"/>
      </w:rPr>
      <w:tblPr/>
      <w:tcPr>
        <w:tcBorders>
          <w:top w:val="nil"/>
          <w:left w:val="nil"/>
          <w:bottom w:val="single" w:sz="24" w:space="0" w:color="CC5C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5C99" w:themeColor="accent3"/>
          <w:insideH w:val="nil"/>
          <w:insideV w:val="nil"/>
        </w:tcBorders>
        <w:shd w:val="clear" w:color="auto" w:fill="FFFFFF" w:themeFill="background1"/>
      </w:tcPr>
    </w:tblStylePr>
    <w:tblStylePr w:type="lastCol">
      <w:tblPr/>
      <w:tcPr>
        <w:tcBorders>
          <w:top w:val="nil"/>
          <w:left w:val="single" w:sz="8" w:space="0" w:color="CC5C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D6E5" w:themeFill="accent3" w:themeFillTint="3F"/>
      </w:tcPr>
    </w:tblStylePr>
    <w:tblStylePr w:type="band1Horz">
      <w:tblPr/>
      <w:tcPr>
        <w:tcBorders>
          <w:top w:val="nil"/>
          <w:bottom w:val="nil"/>
          <w:insideH w:val="nil"/>
          <w:insideV w:val="nil"/>
        </w:tcBorders>
        <w:shd w:val="clear" w:color="auto" w:fill="F2D6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tblBorders>
    </w:tblPr>
    <w:tblStylePr w:type="firstRow">
      <w:rPr>
        <w:sz w:val="24"/>
        <w:szCs w:val="24"/>
      </w:rPr>
      <w:tblPr/>
      <w:tcPr>
        <w:tcBorders>
          <w:top w:val="nil"/>
          <w:left w:val="nil"/>
          <w:bottom w:val="single" w:sz="24" w:space="0" w:color="96969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5"/>
          <w:insideH w:val="nil"/>
          <w:insideV w:val="nil"/>
        </w:tcBorders>
        <w:shd w:val="clear" w:color="auto" w:fill="FFFFFF" w:themeFill="background1"/>
      </w:tcPr>
    </w:tblStylePr>
    <w:tblStylePr w:type="lastCol">
      <w:tblPr/>
      <w:tcPr>
        <w:tcBorders>
          <w:top w:val="nil"/>
          <w:left w:val="single" w:sz="8" w:space="0" w:color="96969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5" w:themeFillTint="3F"/>
      </w:tcPr>
    </w:tblStylePr>
    <w:tblStylePr w:type="band1Horz">
      <w:tblPr/>
      <w:tcPr>
        <w:tcBorders>
          <w:top w:val="nil"/>
          <w:bottom w:val="nil"/>
          <w:insideH w:val="nil"/>
          <w:insideV w:val="nil"/>
        </w:tcBorders>
        <w:shd w:val="clear" w:color="auto" w:fill="E5E5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tblBorders>
    </w:tblPr>
    <w:tblStylePr w:type="firstRow">
      <w:rPr>
        <w:sz w:val="24"/>
        <w:szCs w:val="24"/>
      </w:rPr>
      <w:tblPr/>
      <w:tcPr>
        <w:tcBorders>
          <w:top w:val="nil"/>
          <w:left w:val="nil"/>
          <w:bottom w:val="single" w:sz="24" w:space="0" w:color="C3C3C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C3C3" w:themeColor="accent6"/>
          <w:insideH w:val="nil"/>
          <w:insideV w:val="nil"/>
        </w:tcBorders>
        <w:shd w:val="clear" w:color="auto" w:fill="FFFFFF" w:themeFill="background1"/>
      </w:tcPr>
    </w:tblStylePr>
    <w:tblStylePr w:type="lastCol">
      <w:tblPr/>
      <w:tcPr>
        <w:tcBorders>
          <w:top w:val="nil"/>
          <w:left w:val="single" w:sz="8" w:space="0" w:color="C3C3C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0F0" w:themeFill="accent6" w:themeFillTint="3F"/>
      </w:tcPr>
    </w:tblStylePr>
    <w:tblStylePr w:type="band1Horz">
      <w:tblPr/>
      <w:tcPr>
        <w:tcBorders>
          <w:top w:val="nil"/>
          <w:bottom w:val="nil"/>
          <w:insideH w:val="nil"/>
          <w:insideV w:val="nil"/>
        </w:tcBorders>
        <w:shd w:val="clear" w:color="auto" w:fill="F0F0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unhideWhenUsed/>
    <w:rsid w:val="00F978C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unhideWhenUsed/>
    <w:rsid w:val="00F978CE"/>
    <w:pPr>
      <w:spacing w:after="0" w:line="240" w:lineRule="auto"/>
    </w:pPr>
    <w:tblPr>
      <w:tblStyleRowBandSize w:val="1"/>
      <w:tblStyleColBandSize w:val="1"/>
      <w:tbl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single" w:sz="8" w:space="0" w:color="FF048B" w:themeColor="accent1" w:themeTint="BF"/>
      </w:tblBorders>
    </w:tblPr>
    <w:tblStylePr w:type="firstRow">
      <w:pPr>
        <w:spacing w:before="0" w:after="0" w:line="240" w:lineRule="auto"/>
      </w:pPr>
      <w:rPr>
        <w:b/>
        <w:bCs/>
        <w:color w:val="FFFFFF" w:themeColor="background1"/>
      </w:rPr>
      <w:tblPr/>
      <w:tcPr>
        <w:tc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nil"/>
          <w:insideV w:val="nil"/>
        </w:tcBorders>
        <w:shd w:val="clear" w:color="auto" w:fill="AF005F" w:themeFill="accent1"/>
      </w:tcPr>
    </w:tblStylePr>
    <w:tblStylePr w:type="lastRow">
      <w:pPr>
        <w:spacing w:before="0" w:after="0" w:line="240" w:lineRule="auto"/>
      </w:pPr>
      <w:rPr>
        <w:b/>
        <w:bCs/>
      </w:rPr>
      <w:tblPr/>
      <w:tcPr>
        <w:tcBorders>
          <w:top w:val="double" w:sz="6"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CD8" w:themeFill="accent1" w:themeFillTint="3F"/>
      </w:tcPr>
    </w:tblStylePr>
    <w:tblStylePr w:type="band1Horz">
      <w:tblPr/>
      <w:tcPr>
        <w:tcBorders>
          <w:insideH w:val="nil"/>
          <w:insideV w:val="nil"/>
        </w:tcBorders>
        <w:shd w:val="clear" w:color="auto" w:fill="FFAC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unhideWhenUsed/>
    <w:rsid w:val="00F978CE"/>
    <w:pPr>
      <w:spacing w:after="0" w:line="240" w:lineRule="auto"/>
    </w:pPr>
    <w:tblPr>
      <w:tblStyleRowBandSize w:val="1"/>
      <w:tblStyleColBandSize w:val="1"/>
      <w:tbl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single" w:sz="8" w:space="0" w:color="D4609F" w:themeColor="accent2" w:themeTint="BF"/>
      </w:tblBorders>
    </w:tblPr>
    <w:tblStylePr w:type="firstRow">
      <w:pPr>
        <w:spacing w:before="0" w:after="0" w:line="240" w:lineRule="auto"/>
      </w:pPr>
      <w:rPr>
        <w:b/>
        <w:bCs/>
        <w:color w:val="FFFFFF" w:themeColor="background1"/>
      </w:rPr>
      <w:tblPr/>
      <w:tcPr>
        <w:tc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nil"/>
          <w:insideV w:val="nil"/>
        </w:tcBorders>
        <w:shd w:val="clear" w:color="auto" w:fill="BF337F" w:themeFill="accent2"/>
      </w:tcPr>
    </w:tblStylePr>
    <w:tblStylePr w:type="lastRow">
      <w:pPr>
        <w:spacing w:before="0" w:after="0" w:line="240" w:lineRule="auto"/>
      </w:pPr>
      <w:rPr>
        <w:b/>
        <w:bCs/>
      </w:rPr>
      <w:tblPr/>
      <w:tcPr>
        <w:tcBorders>
          <w:top w:val="double" w:sz="6"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CADF" w:themeFill="accent2" w:themeFillTint="3F"/>
      </w:tcPr>
    </w:tblStylePr>
    <w:tblStylePr w:type="band1Horz">
      <w:tblPr/>
      <w:tcPr>
        <w:tcBorders>
          <w:insideH w:val="nil"/>
          <w:insideV w:val="nil"/>
        </w:tcBorders>
        <w:shd w:val="clear" w:color="auto" w:fill="F1CAD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unhideWhenUsed/>
    <w:rsid w:val="00F978CE"/>
    <w:pPr>
      <w:spacing w:after="0" w:line="240" w:lineRule="auto"/>
    </w:pPr>
    <w:tblPr>
      <w:tblStyleRowBandSize w:val="1"/>
      <w:tblStyleColBandSize w:val="1"/>
      <w:tbl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single" w:sz="8" w:space="0" w:color="D884B2" w:themeColor="accent3" w:themeTint="BF"/>
      </w:tblBorders>
    </w:tblPr>
    <w:tblStylePr w:type="firstRow">
      <w:pPr>
        <w:spacing w:before="0" w:after="0" w:line="240" w:lineRule="auto"/>
      </w:pPr>
      <w:rPr>
        <w:b/>
        <w:bCs/>
        <w:color w:val="FFFFFF" w:themeColor="background1"/>
      </w:rPr>
      <w:tblPr/>
      <w:tcPr>
        <w:tc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nil"/>
          <w:insideV w:val="nil"/>
        </w:tcBorders>
        <w:shd w:val="clear" w:color="auto" w:fill="CC5C99" w:themeFill="accent3"/>
      </w:tcPr>
    </w:tblStylePr>
    <w:tblStylePr w:type="lastRow">
      <w:pPr>
        <w:spacing w:before="0" w:after="0" w:line="240" w:lineRule="auto"/>
      </w:pPr>
      <w:rPr>
        <w:b/>
        <w:bCs/>
      </w:rPr>
      <w:tblPr/>
      <w:tcPr>
        <w:tcBorders>
          <w:top w:val="double" w:sz="6"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D6E5" w:themeFill="accent3" w:themeFillTint="3F"/>
      </w:tcPr>
    </w:tblStylePr>
    <w:tblStylePr w:type="band1Horz">
      <w:tblPr/>
      <w:tcPr>
        <w:tcBorders>
          <w:insideH w:val="nil"/>
          <w:insideV w:val="nil"/>
        </w:tcBorders>
        <w:shd w:val="clear" w:color="auto" w:fill="F2D6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unhideWhenUsed/>
    <w:rsid w:val="00F978CE"/>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unhideWhenUsed/>
    <w:rsid w:val="00F978CE"/>
    <w:pPr>
      <w:spacing w:after="0" w:line="240" w:lineRule="auto"/>
    </w:pPr>
    <w:tblPr>
      <w:tblStyleRowBandSize w:val="1"/>
      <w:tblStyleColBandSize w:val="1"/>
      <w:tbl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single" w:sz="8" w:space="0" w:color="B0B0B0" w:themeColor="accent5" w:themeTint="BF"/>
      </w:tblBorders>
    </w:tblPr>
    <w:tblStylePr w:type="firstRow">
      <w:pPr>
        <w:spacing w:before="0" w:after="0" w:line="240" w:lineRule="auto"/>
      </w:pPr>
      <w:rPr>
        <w:b/>
        <w:bCs/>
        <w:color w:val="FFFFFF" w:themeColor="background1"/>
      </w:rPr>
      <w:tblPr/>
      <w:tcPr>
        <w:tc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nil"/>
          <w:insideV w:val="nil"/>
        </w:tcBorders>
        <w:shd w:val="clear" w:color="auto" w:fill="969696" w:themeFill="accent5"/>
      </w:tcPr>
    </w:tblStylePr>
    <w:tblStylePr w:type="lastRow">
      <w:pPr>
        <w:spacing w:before="0" w:after="0" w:line="240" w:lineRule="auto"/>
      </w:pPr>
      <w:rPr>
        <w:b/>
        <w:bCs/>
      </w:rPr>
      <w:tblPr/>
      <w:tcPr>
        <w:tcBorders>
          <w:top w:val="double" w:sz="6"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5" w:themeFillTint="3F"/>
      </w:tcPr>
    </w:tblStylePr>
    <w:tblStylePr w:type="band1Horz">
      <w:tblPr/>
      <w:tcPr>
        <w:tcBorders>
          <w:insideH w:val="nil"/>
          <w:insideV w:val="nil"/>
        </w:tcBorders>
        <w:shd w:val="clear" w:color="auto" w:fill="E5E5E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unhideWhenUsed/>
    <w:rsid w:val="00F978CE"/>
    <w:pPr>
      <w:spacing w:after="0" w:line="240" w:lineRule="auto"/>
    </w:pPr>
    <w:tblPr>
      <w:tblStyleRowBandSize w:val="1"/>
      <w:tblStyleColBandSize w:val="1"/>
      <w:tbl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single" w:sz="8" w:space="0" w:color="D2D2D2" w:themeColor="accent6" w:themeTint="BF"/>
      </w:tblBorders>
    </w:tblPr>
    <w:tblStylePr w:type="firstRow">
      <w:pPr>
        <w:spacing w:before="0" w:after="0" w:line="240" w:lineRule="auto"/>
      </w:pPr>
      <w:rPr>
        <w:b/>
        <w:bCs/>
        <w:color w:val="FFFFFF" w:themeColor="background1"/>
      </w:rPr>
      <w:tblPr/>
      <w:tcPr>
        <w:tc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nil"/>
          <w:insideV w:val="nil"/>
        </w:tcBorders>
        <w:shd w:val="clear" w:color="auto" w:fill="C3C3C3" w:themeFill="accent6"/>
      </w:tcPr>
    </w:tblStylePr>
    <w:tblStylePr w:type="lastRow">
      <w:pPr>
        <w:spacing w:before="0" w:after="0" w:line="240" w:lineRule="auto"/>
      </w:pPr>
      <w:rPr>
        <w:b/>
        <w:bCs/>
      </w:rPr>
      <w:tblPr/>
      <w:tcPr>
        <w:tcBorders>
          <w:top w:val="double" w:sz="6"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0F0" w:themeFill="accent6" w:themeFillTint="3F"/>
      </w:tcPr>
    </w:tblStylePr>
    <w:tblStylePr w:type="band1Horz">
      <w:tblPr/>
      <w:tcPr>
        <w:tcBorders>
          <w:insideH w:val="nil"/>
          <w:insideV w:val="nil"/>
        </w:tcBorders>
        <w:shd w:val="clear" w:color="auto" w:fill="F0F0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F005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F005F" w:themeFill="accent1"/>
      </w:tcPr>
    </w:tblStylePr>
    <w:tblStylePr w:type="lastCol">
      <w:rPr>
        <w:b/>
        <w:bCs/>
        <w:color w:val="FFFFFF" w:themeColor="background1"/>
      </w:rPr>
      <w:tblPr/>
      <w:tcPr>
        <w:tcBorders>
          <w:left w:val="nil"/>
          <w:right w:val="nil"/>
          <w:insideH w:val="nil"/>
          <w:insideV w:val="nil"/>
        </w:tcBorders>
        <w:shd w:val="clear" w:color="auto" w:fill="AF005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337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337F" w:themeFill="accent2"/>
      </w:tcPr>
    </w:tblStylePr>
    <w:tblStylePr w:type="lastCol">
      <w:rPr>
        <w:b/>
        <w:bCs/>
        <w:color w:val="FFFFFF" w:themeColor="background1"/>
      </w:rPr>
      <w:tblPr/>
      <w:tcPr>
        <w:tcBorders>
          <w:left w:val="nil"/>
          <w:right w:val="nil"/>
          <w:insideH w:val="nil"/>
          <w:insideV w:val="nil"/>
        </w:tcBorders>
        <w:shd w:val="clear" w:color="auto" w:fill="BF337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5C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C5C99" w:themeFill="accent3"/>
      </w:tcPr>
    </w:tblStylePr>
    <w:tblStylePr w:type="lastCol">
      <w:rPr>
        <w:b/>
        <w:bCs/>
        <w:color w:val="FFFFFF" w:themeColor="background1"/>
      </w:rPr>
      <w:tblPr/>
      <w:tcPr>
        <w:tcBorders>
          <w:left w:val="nil"/>
          <w:right w:val="nil"/>
          <w:insideH w:val="nil"/>
          <w:insideV w:val="nil"/>
        </w:tcBorders>
        <w:shd w:val="clear" w:color="auto" w:fill="CC5C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5"/>
      </w:tcPr>
    </w:tblStylePr>
    <w:tblStylePr w:type="lastCol">
      <w:rPr>
        <w:b/>
        <w:bCs/>
        <w:color w:val="FFFFFF" w:themeColor="background1"/>
      </w:rPr>
      <w:tblPr/>
      <w:tcPr>
        <w:tcBorders>
          <w:left w:val="nil"/>
          <w:right w:val="nil"/>
          <w:insideH w:val="nil"/>
          <w:insideV w:val="nil"/>
        </w:tcBorders>
        <w:shd w:val="clear" w:color="auto" w:fill="96969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C3C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C3C3" w:themeFill="accent6"/>
      </w:tcPr>
    </w:tblStylePr>
    <w:tblStylePr w:type="lastCol">
      <w:rPr>
        <w:b/>
        <w:bCs/>
        <w:color w:val="FFFFFF" w:themeColor="background1"/>
      </w:rPr>
      <w:tblPr/>
      <w:tcPr>
        <w:tcBorders>
          <w:left w:val="nil"/>
          <w:right w:val="nil"/>
          <w:insideH w:val="nil"/>
          <w:insideV w:val="nil"/>
        </w:tcBorders>
        <w:shd w:val="clear" w:color="auto" w:fill="C3C3C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unhideWhenUsed/>
    <w:rsid w:val="00F978CE"/>
    <w:rPr>
      <w:color w:val="2B579A"/>
      <w:shd w:val="clear" w:color="auto" w:fill="E6E6E6"/>
    </w:rPr>
  </w:style>
  <w:style w:type="paragraph" w:styleId="MessageHeader">
    <w:name w:val="Message Header"/>
    <w:basedOn w:val="Normal"/>
    <w:link w:val="MessageHeaderChar"/>
    <w:uiPriority w:val="99"/>
    <w:unhideWhenUsed/>
    <w:rsid w:val="00F978C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FE583B"/>
    <w:rPr>
      <w:rFonts w:asciiTheme="majorHAnsi" w:eastAsiaTheme="majorEastAsia" w:hAnsiTheme="majorHAnsi" w:cstheme="majorBidi"/>
      <w:sz w:val="24"/>
      <w:szCs w:val="24"/>
      <w:shd w:val="pct20" w:color="auto" w:fill="auto"/>
    </w:rPr>
  </w:style>
  <w:style w:type="paragraph" w:styleId="NoSpacing">
    <w:name w:val="No Spacing"/>
    <w:uiPriority w:val="99"/>
    <w:unhideWhenUsed/>
    <w:qFormat/>
    <w:rsid w:val="00F978CE"/>
    <w:pPr>
      <w:spacing w:after="0" w:line="240" w:lineRule="auto"/>
    </w:pPr>
    <w:rPr>
      <w:rFonts w:ascii="Arial" w:hAnsi="Arial"/>
      <w:sz w:val="20"/>
    </w:rPr>
  </w:style>
  <w:style w:type="paragraph" w:styleId="NormalWeb">
    <w:name w:val="Normal (Web)"/>
    <w:basedOn w:val="Normal"/>
    <w:uiPriority w:val="99"/>
    <w:unhideWhenUsed/>
    <w:rsid w:val="00F978CE"/>
    <w:rPr>
      <w:sz w:val="24"/>
      <w:szCs w:val="24"/>
    </w:rPr>
  </w:style>
  <w:style w:type="paragraph" w:styleId="NormalIndent">
    <w:name w:val="Normal Indent"/>
    <w:basedOn w:val="Normal"/>
    <w:uiPriority w:val="99"/>
    <w:unhideWhenUsed/>
    <w:rsid w:val="00F978CE"/>
    <w:pPr>
      <w:ind w:left="720"/>
    </w:pPr>
  </w:style>
  <w:style w:type="paragraph" w:styleId="NoteHeading">
    <w:name w:val="Note Heading"/>
    <w:basedOn w:val="Normal"/>
    <w:next w:val="Normal"/>
    <w:link w:val="NoteHeadingChar"/>
    <w:uiPriority w:val="99"/>
    <w:unhideWhenUsed/>
    <w:rsid w:val="00F978CE"/>
  </w:style>
  <w:style w:type="character" w:customStyle="1" w:styleId="NoteHeadingChar">
    <w:name w:val="Note Heading Char"/>
    <w:basedOn w:val="DefaultParagraphFont"/>
    <w:link w:val="NoteHeading"/>
    <w:uiPriority w:val="99"/>
    <w:rsid w:val="00FE583B"/>
    <w:rPr>
      <w:rFonts w:ascii="Arial" w:hAnsi="Arial"/>
      <w:sz w:val="20"/>
    </w:rPr>
  </w:style>
  <w:style w:type="character" w:styleId="PageNumber">
    <w:name w:val="page number"/>
    <w:basedOn w:val="DefaultParagraphFont"/>
    <w:unhideWhenUsed/>
    <w:rsid w:val="00BC1E1A"/>
    <w:rPr>
      <w:sz w:val="20"/>
    </w:rPr>
  </w:style>
  <w:style w:type="character" w:styleId="PlaceholderText">
    <w:name w:val="Placeholder Text"/>
    <w:basedOn w:val="DefaultParagraphFont"/>
    <w:uiPriority w:val="99"/>
    <w:unhideWhenUsed/>
    <w:rsid w:val="00F978CE"/>
    <w:rPr>
      <w:color w:val="808080"/>
    </w:rPr>
  </w:style>
  <w:style w:type="table" w:styleId="PlainTable1">
    <w:name w:val="Plain Table 1"/>
    <w:basedOn w:val="TableNormal"/>
    <w:uiPriority w:val="41"/>
    <w:unhideWhenUsed/>
    <w:rsid w:val="00F978C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unhideWhenUsed/>
    <w:rsid w:val="00F978C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unhideWhenUsed/>
    <w:rsid w:val="00F978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unhideWhenUsed/>
    <w:rsid w:val="00F978C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unhideWhenUsed/>
    <w:rsid w:val="00F978C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F978CE"/>
    <w:rPr>
      <w:rFonts w:ascii="Consolas" w:hAnsi="Consolas"/>
      <w:sz w:val="21"/>
      <w:szCs w:val="21"/>
    </w:rPr>
  </w:style>
  <w:style w:type="character" w:customStyle="1" w:styleId="PlainTextChar">
    <w:name w:val="Plain Text Char"/>
    <w:basedOn w:val="DefaultParagraphFont"/>
    <w:link w:val="PlainText"/>
    <w:uiPriority w:val="99"/>
    <w:rsid w:val="00FE583B"/>
    <w:rPr>
      <w:rFonts w:ascii="Consolas" w:hAnsi="Consolas"/>
      <w:sz w:val="21"/>
      <w:szCs w:val="21"/>
    </w:rPr>
  </w:style>
  <w:style w:type="paragraph" w:styleId="Quote">
    <w:name w:val="Quote"/>
    <w:basedOn w:val="Normal"/>
    <w:next w:val="Normal"/>
    <w:link w:val="QuoteChar"/>
    <w:uiPriority w:val="99"/>
    <w:unhideWhenUsed/>
    <w:qFormat/>
    <w:rsid w:val="00F978C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FE583B"/>
    <w:rPr>
      <w:rFonts w:ascii="Arial" w:hAnsi="Arial"/>
      <w:i/>
      <w:iCs/>
      <w:color w:val="404040" w:themeColor="text1" w:themeTint="BF"/>
      <w:sz w:val="20"/>
    </w:rPr>
  </w:style>
  <w:style w:type="paragraph" w:styleId="Salutation">
    <w:name w:val="Salutation"/>
    <w:basedOn w:val="Normal"/>
    <w:next w:val="Normal"/>
    <w:link w:val="SalutationChar"/>
    <w:uiPriority w:val="99"/>
    <w:unhideWhenUsed/>
    <w:rsid w:val="00F978CE"/>
  </w:style>
  <w:style w:type="character" w:customStyle="1" w:styleId="SalutationChar">
    <w:name w:val="Salutation Char"/>
    <w:basedOn w:val="DefaultParagraphFont"/>
    <w:link w:val="Salutation"/>
    <w:uiPriority w:val="99"/>
    <w:rsid w:val="00FE583B"/>
    <w:rPr>
      <w:rFonts w:ascii="Arial" w:hAnsi="Arial"/>
      <w:sz w:val="20"/>
    </w:rPr>
  </w:style>
  <w:style w:type="paragraph" w:styleId="Signature">
    <w:name w:val="Signature"/>
    <w:basedOn w:val="Normal"/>
    <w:link w:val="SignatureChar"/>
    <w:uiPriority w:val="99"/>
    <w:unhideWhenUsed/>
    <w:rsid w:val="00F978CE"/>
    <w:pPr>
      <w:ind w:left="4252"/>
    </w:pPr>
  </w:style>
  <w:style w:type="character" w:customStyle="1" w:styleId="SignatureChar">
    <w:name w:val="Signature Char"/>
    <w:basedOn w:val="DefaultParagraphFont"/>
    <w:link w:val="Signature"/>
    <w:uiPriority w:val="99"/>
    <w:rsid w:val="00FE583B"/>
    <w:rPr>
      <w:rFonts w:ascii="Arial" w:hAnsi="Arial"/>
      <w:sz w:val="20"/>
    </w:rPr>
  </w:style>
  <w:style w:type="character" w:styleId="SmartHyperlink">
    <w:name w:val="Smart Hyperlink"/>
    <w:basedOn w:val="DefaultParagraphFont"/>
    <w:uiPriority w:val="99"/>
    <w:unhideWhenUsed/>
    <w:rsid w:val="00F978CE"/>
    <w:rPr>
      <w:u w:val="dotted"/>
    </w:rPr>
  </w:style>
  <w:style w:type="character" w:styleId="Strong">
    <w:name w:val="Strong"/>
    <w:basedOn w:val="DefaultParagraphFont"/>
    <w:uiPriority w:val="99"/>
    <w:unhideWhenUsed/>
    <w:qFormat/>
    <w:rsid w:val="00F978CE"/>
    <w:rPr>
      <w:b/>
      <w:bCs/>
    </w:rPr>
  </w:style>
  <w:style w:type="paragraph" w:styleId="Subtitle">
    <w:name w:val="Subtitle"/>
    <w:basedOn w:val="Normal"/>
    <w:next w:val="Normal"/>
    <w:link w:val="SubtitleChar"/>
    <w:uiPriority w:val="99"/>
    <w:unhideWhenUsed/>
    <w:qFormat/>
    <w:rsid w:val="00F978CE"/>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99"/>
    <w:rsid w:val="00FE583B"/>
    <w:rPr>
      <w:rFonts w:eastAsiaTheme="minorEastAsia"/>
      <w:color w:val="5A5A5A" w:themeColor="text1" w:themeTint="A5"/>
      <w:spacing w:val="15"/>
    </w:rPr>
  </w:style>
  <w:style w:type="character" w:styleId="SubtleEmphasis">
    <w:name w:val="Subtle Emphasis"/>
    <w:basedOn w:val="DefaultParagraphFont"/>
    <w:uiPriority w:val="99"/>
    <w:unhideWhenUsed/>
    <w:qFormat/>
    <w:rsid w:val="00F978CE"/>
    <w:rPr>
      <w:i/>
      <w:iCs/>
      <w:color w:val="404040" w:themeColor="text1" w:themeTint="BF"/>
    </w:rPr>
  </w:style>
  <w:style w:type="character" w:styleId="SubtleReference">
    <w:name w:val="Subtle Reference"/>
    <w:basedOn w:val="DefaultParagraphFont"/>
    <w:uiPriority w:val="99"/>
    <w:unhideWhenUsed/>
    <w:qFormat/>
    <w:rsid w:val="00F978CE"/>
    <w:rPr>
      <w:smallCaps/>
      <w:color w:val="5A5A5A" w:themeColor="text1" w:themeTint="A5"/>
    </w:rPr>
  </w:style>
  <w:style w:type="table" w:styleId="Table3Deffects1">
    <w:name w:val="Table 3D effects 1"/>
    <w:basedOn w:val="TableNormal"/>
    <w:uiPriority w:val="99"/>
    <w:unhideWhenUsed/>
    <w:rsid w:val="00F978CE"/>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F978CE"/>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F978CE"/>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F978CE"/>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F978CE"/>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F978CE"/>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F978CE"/>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F978CE"/>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F978CE"/>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F978CE"/>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F978CE"/>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F978CE"/>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F978CE"/>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F978CE"/>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F978CE"/>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F978CE"/>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F978CE"/>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F978CE"/>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F978CE"/>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F978CE"/>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F978CE"/>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F978CE"/>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unhideWhenUsed/>
    <w:rsid w:val="00F978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unhideWhenUsed/>
    <w:rsid w:val="00F978CE"/>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F978CE"/>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F978CE"/>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F978CE"/>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F978CE"/>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F978CE"/>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F978CE"/>
    <w:pPr>
      <w:ind w:left="200" w:hanging="200"/>
    </w:pPr>
  </w:style>
  <w:style w:type="paragraph" w:styleId="TableofFigures">
    <w:name w:val="table of figures"/>
    <w:basedOn w:val="Normal"/>
    <w:next w:val="Normal"/>
    <w:uiPriority w:val="99"/>
    <w:unhideWhenUsed/>
    <w:rsid w:val="00F978CE"/>
  </w:style>
  <w:style w:type="table" w:styleId="TableProfessional">
    <w:name w:val="Table Professional"/>
    <w:basedOn w:val="TableNormal"/>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F978CE"/>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F978CE"/>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F978CE"/>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F978CE"/>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F97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F978CE"/>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F978CE"/>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F978CE"/>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F978CE"/>
    <w:pPr>
      <w:keepNext/>
      <w:keepLines/>
      <w:numPr>
        <w:numId w:val="0"/>
      </w:numPr>
      <w:spacing w:before="240"/>
      <w:outlineLvl w:val="9"/>
    </w:pPr>
    <w:rPr>
      <w:rFonts w:asciiTheme="majorHAnsi" w:eastAsiaTheme="majorEastAsia" w:hAnsiTheme="majorHAnsi" w:cstheme="majorBidi"/>
      <w:bCs w:val="0"/>
      <w:color w:val="830046" w:themeColor="accent1" w:themeShade="BF"/>
      <w:sz w:val="32"/>
      <w:lang w:eastAsia="en-US"/>
    </w:rPr>
  </w:style>
  <w:style w:type="numbering" w:customStyle="1" w:styleId="LLScheduleHeading">
    <w:name w:val="LL_ScheduleHeading"/>
    <w:uiPriority w:val="99"/>
    <w:rsid w:val="008B1D97"/>
    <w:pPr>
      <w:numPr>
        <w:numId w:val="34"/>
      </w:numPr>
    </w:pPr>
  </w:style>
  <w:style w:type="paragraph" w:customStyle="1" w:styleId="zSFRefCentred">
    <w:name w:val="zSFRef Centred"/>
    <w:basedOn w:val="Normal"/>
    <w:semiHidden/>
    <w:unhideWhenUsed/>
    <w:rsid w:val="00350E2D"/>
    <w:pPr>
      <w:jc w:val="center"/>
    </w:pPr>
    <w:rPr>
      <w:kern w:val="16"/>
      <w:sz w:val="16"/>
    </w:rPr>
  </w:style>
  <w:style w:type="paragraph" w:customStyle="1" w:styleId="CObodynumbering">
    <w:name w:val="CO body numbering"/>
    <w:basedOn w:val="Normal"/>
    <w:rsid w:val="00725E64"/>
    <w:pPr>
      <w:numPr>
        <w:numId w:val="36"/>
      </w:numPr>
    </w:pPr>
    <w:rPr>
      <w:rFonts w:eastAsiaTheme="minorEastAsia"/>
      <w:szCs w:val="24"/>
    </w:rPr>
  </w:style>
  <w:style w:type="numbering" w:customStyle="1" w:styleId="FormCOBody">
    <w:name w:val="FormCOBody"/>
    <w:uiPriority w:val="99"/>
    <w:rsid w:val="00D23A38"/>
    <w:pPr>
      <w:numPr>
        <w:numId w:val="35"/>
      </w:numPr>
    </w:pPr>
  </w:style>
  <w:style w:type="paragraph" w:customStyle="1" w:styleId="zConfMarker">
    <w:name w:val="zConfMarker"/>
    <w:basedOn w:val="Normal"/>
    <w:semiHidden/>
    <w:unhideWhenUsed/>
    <w:rsid w:val="00B71AA0"/>
    <w:pPr>
      <w:jc w:val="right"/>
    </w:pPr>
    <w:rPr>
      <w:rFonts w:eastAsiaTheme="minorEastAsia"/>
      <w:b/>
      <w:sz w:val="16"/>
      <w:szCs w:val="24"/>
    </w:rPr>
  </w:style>
  <w:style w:type="paragraph" w:customStyle="1" w:styleId="zDate">
    <w:name w:val="zDate"/>
    <w:basedOn w:val="Normal"/>
    <w:semiHidden/>
    <w:unhideWhenUsed/>
    <w:rsid w:val="00B71AA0"/>
    <w:pPr>
      <w:spacing w:after="160"/>
    </w:pPr>
    <w:rPr>
      <w:rFonts w:eastAsiaTheme="minorEastAsia"/>
      <w:szCs w:val="24"/>
    </w:rPr>
  </w:style>
  <w:style w:type="paragraph" w:customStyle="1" w:styleId="zDocType">
    <w:name w:val="zDocType"/>
    <w:basedOn w:val="Normal"/>
    <w:semiHidden/>
    <w:unhideWhenUsed/>
    <w:rsid w:val="00B71AA0"/>
    <w:pPr>
      <w:spacing w:before="60" w:after="60"/>
      <w:ind w:left="91"/>
    </w:pPr>
    <w:rPr>
      <w:rFonts w:eastAsiaTheme="minorEastAsia"/>
      <w:b/>
      <w:noProof/>
      <w:color w:val="AF005F"/>
      <w:sz w:val="24"/>
      <w:szCs w:val="24"/>
    </w:rPr>
  </w:style>
  <w:style w:type="paragraph" w:customStyle="1" w:styleId="zDraftMarker">
    <w:name w:val="zDraftMarker"/>
    <w:basedOn w:val="Normal"/>
    <w:semiHidden/>
    <w:unhideWhenUsed/>
    <w:rsid w:val="00B71AA0"/>
    <w:rPr>
      <w:rFonts w:eastAsiaTheme="minorEastAsia"/>
      <w:noProof/>
      <w:color w:val="9A8C7E"/>
      <w:sz w:val="16"/>
      <w:szCs w:val="24"/>
    </w:rPr>
  </w:style>
  <w:style w:type="paragraph" w:customStyle="1" w:styleId="zFormEntries">
    <w:name w:val="zFormEntries"/>
    <w:basedOn w:val="Normal"/>
    <w:semiHidden/>
    <w:unhideWhenUsed/>
    <w:rsid w:val="00B71AA0"/>
    <w:pPr>
      <w:spacing w:before="60" w:after="60"/>
    </w:pPr>
    <w:rPr>
      <w:rFonts w:eastAsiaTheme="minorEastAsia"/>
      <w:szCs w:val="24"/>
    </w:rPr>
  </w:style>
  <w:style w:type="paragraph" w:customStyle="1" w:styleId="zFormHeaders">
    <w:name w:val="zFormHeaders"/>
    <w:basedOn w:val="Normal"/>
    <w:semiHidden/>
    <w:unhideWhenUsed/>
    <w:rsid w:val="00B71AA0"/>
    <w:pPr>
      <w:spacing w:before="60" w:after="60"/>
    </w:pPr>
    <w:rPr>
      <w:rFonts w:eastAsiaTheme="minorEastAsia"/>
      <w:noProof/>
      <w:szCs w:val="24"/>
    </w:rPr>
  </w:style>
  <w:style w:type="paragraph" w:customStyle="1" w:styleId="zLogo">
    <w:name w:val="zLogo"/>
    <w:basedOn w:val="Normal"/>
    <w:semiHidden/>
    <w:unhideWhenUsed/>
    <w:rsid w:val="00B71AA0"/>
    <w:pPr>
      <w:spacing w:after="160"/>
    </w:pPr>
    <w:rPr>
      <w:rFonts w:eastAsiaTheme="minorEastAsia"/>
      <w:noProof/>
      <w:szCs w:val="24"/>
    </w:rPr>
  </w:style>
  <w:style w:type="paragraph" w:customStyle="1" w:styleId="zLogoCaption">
    <w:name w:val="zLogoCaption"/>
    <w:basedOn w:val="Normal"/>
    <w:semiHidden/>
    <w:unhideWhenUsed/>
    <w:rsid w:val="00B71AA0"/>
    <w:rPr>
      <w:rFonts w:eastAsiaTheme="minorEastAsia"/>
      <w:noProof/>
      <w:sz w:val="16"/>
      <w:szCs w:val="24"/>
    </w:rPr>
  </w:style>
  <w:style w:type="paragraph" w:customStyle="1" w:styleId="zSpace">
    <w:name w:val="zSpace"/>
    <w:basedOn w:val="Normal"/>
    <w:semiHidden/>
    <w:unhideWhenUsed/>
    <w:rsid w:val="00B71AA0"/>
    <w:pPr>
      <w:spacing w:after="160"/>
    </w:pPr>
    <w:rPr>
      <w:rFonts w:eastAsiaTheme="minorEastAsia"/>
      <w:szCs w:val="24"/>
    </w:rPr>
  </w:style>
  <w:style w:type="paragraph" w:customStyle="1" w:styleId="zSpacerRow">
    <w:name w:val="zSpacerRow"/>
    <w:basedOn w:val="Normal"/>
    <w:semiHidden/>
    <w:unhideWhenUsed/>
    <w:rsid w:val="00B71AA0"/>
    <w:pPr>
      <w:spacing w:after="160"/>
    </w:pPr>
    <w:rPr>
      <w:rFonts w:eastAsiaTheme="minorEastAsia"/>
      <w:szCs w:val="24"/>
    </w:rPr>
  </w:style>
  <w:style w:type="paragraph" w:customStyle="1" w:styleId="zSubject">
    <w:name w:val="zSubject"/>
    <w:basedOn w:val="Normal"/>
    <w:semiHidden/>
    <w:unhideWhenUsed/>
    <w:rsid w:val="00B71AA0"/>
    <w:rPr>
      <w:rFonts w:eastAsiaTheme="minorEastAsia"/>
      <w:b/>
      <w:sz w:val="23"/>
      <w:szCs w:val="23"/>
    </w:rPr>
  </w:style>
  <w:style w:type="paragraph" w:customStyle="1" w:styleId="zFSNarrativeBanking">
    <w:name w:val="zFSNarrativeBanking"/>
    <w:basedOn w:val="Normal"/>
    <w:semiHidden/>
    <w:unhideWhenUsed/>
    <w:rsid w:val="00E257C1"/>
    <w:pPr>
      <w:spacing w:before="60" w:after="60"/>
    </w:pPr>
    <w:rPr>
      <w:color w:val="000000" w:themeColor="text1"/>
      <w:sz w:val="36"/>
    </w:rPr>
  </w:style>
  <w:style w:type="character" w:styleId="UnresolvedMention">
    <w:name w:val="Unresolved Mention"/>
    <w:basedOn w:val="DefaultParagraphFont"/>
    <w:uiPriority w:val="99"/>
    <w:unhideWhenUsed/>
    <w:rsid w:val="00371AB7"/>
    <w:rPr>
      <w:color w:val="605E5C"/>
      <w:shd w:val="clear" w:color="auto" w:fill="E1DFDD"/>
    </w:rPr>
  </w:style>
  <w:style w:type="table" w:styleId="ColorfulGrid">
    <w:name w:val="Colorful Grid"/>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CE0" w:themeFill="accent1" w:themeFillTint="33"/>
    </w:tcPr>
    <w:tblStylePr w:type="firstRow">
      <w:rPr>
        <w:b/>
        <w:bCs/>
      </w:rPr>
      <w:tblPr/>
      <w:tcPr>
        <w:shd w:val="clear" w:color="auto" w:fill="FF79C1" w:themeFill="accent1" w:themeFillTint="66"/>
      </w:tcPr>
    </w:tblStylePr>
    <w:tblStylePr w:type="lastRow">
      <w:rPr>
        <w:b/>
        <w:bCs/>
        <w:color w:val="000000" w:themeColor="text1"/>
      </w:rPr>
      <w:tblPr/>
      <w:tcPr>
        <w:shd w:val="clear" w:color="auto" w:fill="FF79C1" w:themeFill="accent1" w:themeFillTint="66"/>
      </w:tcPr>
    </w:tblStylePr>
    <w:tblStylePr w:type="firstCol">
      <w:rPr>
        <w:color w:val="FFFFFF" w:themeColor="background1"/>
      </w:rPr>
      <w:tblPr/>
      <w:tcPr>
        <w:shd w:val="clear" w:color="auto" w:fill="830046" w:themeFill="accent1" w:themeFillShade="BF"/>
      </w:tcPr>
    </w:tblStylePr>
    <w:tblStylePr w:type="lastCol">
      <w:rPr>
        <w:color w:val="FFFFFF" w:themeColor="background1"/>
      </w:rPr>
      <w:tblPr/>
      <w:tcPr>
        <w:shd w:val="clear" w:color="auto" w:fill="830046" w:themeFill="accent1" w:themeFillShade="BF"/>
      </w:tcPr>
    </w:tblStylePr>
    <w:tblStylePr w:type="band1Vert">
      <w:tblPr/>
      <w:tcPr>
        <w:shd w:val="clear" w:color="auto" w:fill="FF58B2" w:themeFill="accent1" w:themeFillTint="7F"/>
      </w:tcPr>
    </w:tblStylePr>
    <w:tblStylePr w:type="band1Horz">
      <w:tblPr/>
      <w:tcPr>
        <w:shd w:val="clear" w:color="auto" w:fill="FF58B2" w:themeFill="accent1" w:themeFillTint="7F"/>
      </w:tcPr>
    </w:tblStylePr>
  </w:style>
  <w:style w:type="table" w:styleId="ColorfulGrid-Accent2">
    <w:name w:val="Colorful Grid Accent 2"/>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D4E5" w:themeFill="accent2" w:themeFillTint="33"/>
    </w:tcPr>
    <w:tblStylePr w:type="firstRow">
      <w:rPr>
        <w:b/>
        <w:bCs/>
      </w:rPr>
      <w:tblPr/>
      <w:tcPr>
        <w:shd w:val="clear" w:color="auto" w:fill="E8AACB" w:themeFill="accent2" w:themeFillTint="66"/>
      </w:tcPr>
    </w:tblStylePr>
    <w:tblStylePr w:type="lastRow">
      <w:rPr>
        <w:b/>
        <w:bCs/>
        <w:color w:val="000000" w:themeColor="text1"/>
      </w:rPr>
      <w:tblPr/>
      <w:tcPr>
        <w:shd w:val="clear" w:color="auto" w:fill="E8AACB" w:themeFill="accent2" w:themeFillTint="66"/>
      </w:tcPr>
    </w:tblStylePr>
    <w:tblStylePr w:type="firstCol">
      <w:rPr>
        <w:color w:val="FFFFFF" w:themeColor="background1"/>
      </w:rPr>
      <w:tblPr/>
      <w:tcPr>
        <w:shd w:val="clear" w:color="auto" w:fill="8E265E" w:themeFill="accent2" w:themeFillShade="BF"/>
      </w:tcPr>
    </w:tblStylePr>
    <w:tblStylePr w:type="lastCol">
      <w:rPr>
        <w:color w:val="FFFFFF" w:themeColor="background1"/>
      </w:rPr>
      <w:tblPr/>
      <w:tcPr>
        <w:shd w:val="clear" w:color="auto" w:fill="8E265E" w:themeFill="accent2" w:themeFillShade="BF"/>
      </w:tcPr>
    </w:tblStylePr>
    <w:tblStylePr w:type="band1Vert">
      <w:tblPr/>
      <w:tcPr>
        <w:shd w:val="clear" w:color="auto" w:fill="E295BF" w:themeFill="accent2" w:themeFillTint="7F"/>
      </w:tcPr>
    </w:tblStylePr>
    <w:tblStylePr w:type="band1Horz">
      <w:tblPr/>
      <w:tcPr>
        <w:shd w:val="clear" w:color="auto" w:fill="E295BF" w:themeFill="accent2" w:themeFillTint="7F"/>
      </w:tcPr>
    </w:tblStylePr>
  </w:style>
  <w:style w:type="table" w:styleId="ColorfulGrid-Accent3">
    <w:name w:val="Colorful Grid Accent 3"/>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DEEA" w:themeFill="accent3" w:themeFillTint="33"/>
    </w:tcPr>
    <w:tblStylePr w:type="firstRow">
      <w:rPr>
        <w:b/>
        <w:bCs/>
      </w:rPr>
      <w:tblPr/>
      <w:tcPr>
        <w:shd w:val="clear" w:color="auto" w:fill="EABDD6" w:themeFill="accent3" w:themeFillTint="66"/>
      </w:tcPr>
    </w:tblStylePr>
    <w:tblStylePr w:type="lastRow">
      <w:rPr>
        <w:b/>
        <w:bCs/>
        <w:color w:val="000000" w:themeColor="text1"/>
      </w:rPr>
      <w:tblPr/>
      <w:tcPr>
        <w:shd w:val="clear" w:color="auto" w:fill="EABDD6" w:themeFill="accent3" w:themeFillTint="66"/>
      </w:tcPr>
    </w:tblStylePr>
    <w:tblStylePr w:type="firstCol">
      <w:rPr>
        <w:color w:val="FFFFFF" w:themeColor="background1"/>
      </w:rPr>
      <w:tblPr/>
      <w:tcPr>
        <w:shd w:val="clear" w:color="auto" w:fill="A83573" w:themeFill="accent3" w:themeFillShade="BF"/>
      </w:tcPr>
    </w:tblStylePr>
    <w:tblStylePr w:type="lastCol">
      <w:rPr>
        <w:color w:val="FFFFFF" w:themeColor="background1"/>
      </w:rPr>
      <w:tblPr/>
      <w:tcPr>
        <w:shd w:val="clear" w:color="auto" w:fill="A83573" w:themeFill="accent3" w:themeFillShade="BF"/>
      </w:tcPr>
    </w:tblStylePr>
    <w:tblStylePr w:type="band1Vert">
      <w:tblPr/>
      <w:tcPr>
        <w:shd w:val="clear" w:color="auto" w:fill="E5ADCB" w:themeFill="accent3" w:themeFillTint="7F"/>
      </w:tcPr>
    </w:tblStylePr>
    <w:tblStylePr w:type="band1Horz">
      <w:tblPr/>
      <w:tcPr>
        <w:shd w:val="clear" w:color="auto" w:fill="E5ADCB" w:themeFill="accent3" w:themeFillTint="7F"/>
      </w:tcPr>
    </w:tblStylePr>
  </w:style>
  <w:style w:type="table" w:styleId="GridTable1Light-Accent1">
    <w:name w:val="Grid Table 1 Light Accent 1"/>
    <w:basedOn w:val="TableNormal"/>
    <w:uiPriority w:val="46"/>
    <w:rsid w:val="00CC592F"/>
    <w:pPr>
      <w:spacing w:after="0" w:line="240" w:lineRule="auto"/>
    </w:pPr>
    <w:tblPr>
      <w:tblStyleRowBandSize w:val="1"/>
      <w:tblStyleColBandSize w:val="1"/>
      <w:tblBorders>
        <w:top w:val="single" w:sz="4" w:space="0" w:color="FF79C1" w:themeColor="accent1" w:themeTint="66"/>
        <w:left w:val="single" w:sz="4" w:space="0" w:color="FF79C1" w:themeColor="accent1" w:themeTint="66"/>
        <w:bottom w:val="single" w:sz="4" w:space="0" w:color="FF79C1" w:themeColor="accent1" w:themeTint="66"/>
        <w:right w:val="single" w:sz="4" w:space="0" w:color="FF79C1" w:themeColor="accent1" w:themeTint="66"/>
        <w:insideH w:val="single" w:sz="4" w:space="0" w:color="FF79C1" w:themeColor="accent1" w:themeTint="66"/>
        <w:insideV w:val="single" w:sz="4" w:space="0" w:color="FF79C1" w:themeColor="accent1" w:themeTint="66"/>
      </w:tblBorders>
    </w:tblPr>
    <w:tblStylePr w:type="firstRow">
      <w:rPr>
        <w:b/>
        <w:bCs/>
      </w:rPr>
      <w:tblPr/>
      <w:tcPr>
        <w:tcBorders>
          <w:bottom w:val="single" w:sz="12" w:space="0" w:color="FF36A2" w:themeColor="accent1" w:themeTint="99"/>
        </w:tcBorders>
      </w:tcPr>
    </w:tblStylePr>
    <w:tblStylePr w:type="lastRow">
      <w:rPr>
        <w:b/>
        <w:bCs/>
      </w:rPr>
      <w:tblPr/>
      <w:tcPr>
        <w:tcBorders>
          <w:top w:val="double" w:sz="2" w:space="0" w:color="FF36A2" w:themeColor="accent1" w:themeTint="99"/>
        </w:tcBorders>
      </w:tcPr>
    </w:tblStylePr>
    <w:tblStylePr w:type="firstCol">
      <w:rPr>
        <w:b/>
        <w:bCs/>
      </w:rPr>
    </w:tblStylePr>
    <w:tblStylePr w:type="lastCol">
      <w:rPr>
        <w:b/>
        <w:bCs/>
      </w:rPr>
    </w:tblStylePr>
  </w:style>
  <w:style w:type="paragraph" w:customStyle="1" w:styleId="Arabic2-1">
    <w:name w:val="Arabic 2-1."/>
    <w:basedOn w:val="Normal"/>
    <w:rsid w:val="00C30609"/>
    <w:pPr>
      <w:numPr>
        <w:numId w:val="53"/>
      </w:numPr>
      <w:jc w:val="both"/>
    </w:pPr>
  </w:style>
  <w:style w:type="character" w:customStyle="1" w:styleId="DocsCorpHyperlinkStyle">
    <w:name w:val="DocsCorpHyperlinkStyle"/>
    <w:basedOn w:val="DefaultParagraphFont"/>
    <w:uiPriority w:val="99"/>
    <w:unhideWhenUsed/>
    <w:rsid w:val="007B2073"/>
    <w:rPr>
      <w:color w:val="D985B2" w:themeColor="hyperlink"/>
      <w:u w:val="single"/>
    </w:rPr>
  </w:style>
  <w:style w:type="table" w:customStyle="1" w:styleId="TableGrid20">
    <w:name w:val="Table Grid2"/>
    <w:basedOn w:val="TableNormal"/>
    <w:next w:val="TableGrid"/>
    <w:unhideWhenUsed/>
    <w:rsid w:val="007E785C"/>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dotx" TargetMode="External"/></Relationships>
</file>

<file path=word/theme/theme1.xml><?xml version="1.0" encoding="utf-8"?>
<a:theme xmlns:a="http://schemas.openxmlformats.org/drawingml/2006/main" name="Linklaters HouseStyle">
  <a:themeElements>
    <a:clrScheme name="Linklaters HouseStyle colour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inklaters HouseStyle font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9525">
          <a:solidFill>
            <a:schemeClr val="tx1"/>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custClrLst>
    <a:custClr name="Secondary palette 1">
      <a:srgbClr val="999966"/>
    </a:custClr>
    <a:custClr name="Secondary palette 2">
      <a:srgbClr val="66CCCC"/>
    </a:custClr>
    <a:custClr name="Secondary palette 3">
      <a:srgbClr val="CCCC99"/>
    </a:custClr>
    <a:custClr name="Secondary palette 4">
      <a:srgbClr val="9999CC"/>
    </a:custClr>
    <a:custClr name="Secondary palette 5">
      <a:srgbClr val="669999"/>
    </a:custClr>
    <a:custClr name="Secondary palette 6">
      <a:srgbClr val="666699"/>
    </a:custClr>
    <a:custClr name="Secondary palette 7">
      <a:srgbClr val="99CCFF"/>
    </a:custClr>
    <a:custClr name="Secondary palette 8">
      <a:srgbClr val="99CC99"/>
    </a:custClr>
    <a:custClr name="Secondary palette 9">
      <a:srgbClr val="A9A197"/>
    </a:custClr>
    <a:custClr name="White">
      <a:srgbClr val="FFFFFF"/>
    </a:custClr>
    <a:custClr name="Magenta - 100%">
      <a:srgbClr val="AF005F"/>
    </a:custClr>
    <a:custClr name="Magenta - 80%">
      <a:srgbClr val="BF337F"/>
    </a:custClr>
    <a:custClr name="Magenta - 60%">
      <a:srgbClr val="CC5C99"/>
    </a:custClr>
    <a:custClr name="Magenta - 40%">
      <a:srgbClr val="D985B2"/>
    </a:custClr>
    <a:custClr name="Magenta - 20%">
      <a:srgbClr val="E5ADCC"/>
    </a:custClr>
    <a:custClr name="Magenta - 10%">
      <a:srgbClr val="ECC1DA"/>
    </a:custClr>
    <a:custClr name="Magenta + Black 20%">
      <a:srgbClr val="91004F"/>
    </a:custClr>
    <a:custClr name="Magenta + Black 35%">
      <a:srgbClr val="7B0041"/>
    </a:custClr>
    <a:custClr name="Magenta + Black 50%">
      <a:srgbClr val="660033"/>
    </a:custClr>
    <a:custClr name="White">
      <a:srgbClr val="FFFFFF"/>
    </a:custClr>
    <a:custClr name="Black - 100%">
      <a:srgbClr val="000000"/>
    </a:custClr>
    <a:custClr name="Black - 80%">
      <a:srgbClr val="4D4D4D"/>
    </a:custClr>
    <a:custClr name="Black - 60%">
      <a:srgbClr val="808080"/>
    </a:custClr>
    <a:custClr name="Black - 40%">
      <a:srgbClr val="969696"/>
    </a:custClr>
    <a:custClr name="Black - 20%">
      <a:srgbClr val="C3C3C3"/>
    </a:custClr>
    <a:custClr name="Black - 10%">
      <a:srgbClr val="E6E6E6"/>
    </a:custClr>
    <a:custClr name="White">
      <a:srgbClr val="FFFFFF"/>
    </a:custClr>
    <a:custClr name="White">
      <a:srgbClr val="FFFFFF"/>
    </a:custClr>
    <a:custClr name="White">
      <a:srgbClr val="FFFFFF"/>
    </a:custClr>
    <a:custClr name="White">
      <a:srgbClr val="FFFFFF"/>
    </a:custClr>
    <a:custClr name="Warm Grey 7 - 100%">
      <a:srgbClr val="B0A9A0"/>
    </a:custClr>
    <a:custClr name="Warm Grey 7 - 80%">
      <a:srgbClr val="BFBAB2"/>
    </a:custClr>
    <a:custClr name="Warm Grey 7 - 60%">
      <a:srgbClr val="CFCBC4"/>
    </a:custClr>
    <a:custClr name="Warm Grey 7 - 40%">
      <a:srgbClr val="DFDBD7"/>
    </a:custClr>
    <a:custClr name="Warm Grey 7 - 20%">
      <a:srgbClr val="EFEDEB"/>
    </a:custClr>
    <a:custClr name="Warm Grey 7 - 10%">
      <a:srgbClr val="F7F6F5"/>
    </a:custClr>
    <a:custClr name="White">
      <a:srgbClr val="FFFFFF"/>
    </a:custClr>
    <a:custClr name="Traffic light Red">
      <a:srgbClr val="FF5958"/>
    </a:custClr>
    <a:custClr name="Traffic light Yellow">
      <a:srgbClr val="FCB256"/>
    </a:custClr>
    <a:custClr name="Traffic light Green">
      <a:srgbClr val="8ECC66"/>
    </a:custClr>
    <a:custClr name="Warm Grey 4 - 100%">
      <a:srgbClr val="C9C1B8"/>
    </a:custClr>
    <a:custClr name="Warm Grey 4 - 80%">
      <a:srgbClr val="D9D5CE"/>
    </a:custClr>
    <a:custClr name="Warm Grey 4 - 60%">
      <a:srgbClr val="E2DEDA"/>
    </a:custClr>
    <a:custClr name="Warm Grey 4 - 40%">
      <a:srgbClr val="ECE9E7"/>
    </a:custClr>
    <a:custClr name="Warm Grey 4 - 20%">
      <a:srgbClr val="F6F5F3"/>
    </a:custClr>
    <a:custClr name="Warm Grey 4 - 10%">
      <a:srgbClr val="FAFAF8"/>
    </a:custClr>
    <a:custClr name="White">
      <a:srgbClr val="FFFFFF"/>
    </a:custClr>
    <a:custClr name="Alliance - Allens">
      <a:srgbClr val="0074BF"/>
    </a:custClr>
    <a:custClr name="Alliance - Webber Wentzel">
      <a:srgbClr val="F07D35"/>
    </a:custClr>
    <a:custClr name="Alliance - TTA">
      <a:srgbClr val="007272"/>
    </a:custClr>
  </a:custClrLst>
  <a:extLst>
    <a:ext uri="{05A4C25C-085E-4340-85A3-A5531E510DB2}">
      <thm15:themeFamily xmlns:thm15="http://schemas.microsoft.com/office/thememl/2012/main" name="Linklaters HouseStyle" id="{6E5DF409-2D9F-47EC-BD15-2F635E1084D7}" vid="{5B28F902-603F-4D67-A4EE-D9865CA66CB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8E498-19CB-4665-B955-95014E195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HouseStyle</Template>
  <TotalTime>781</TotalTime>
  <Pages>24</Pages>
  <Words>5148</Words>
  <Characters>26980</Characters>
  <Application>Microsoft Office Word</Application>
  <DocSecurity>0</DocSecurity>
  <Lines>1124</Lines>
  <Paragraphs>263</Paragraphs>
  <ScaleCrop>false</ScaleCrop>
  <HeadingPairs>
    <vt:vector size="2" baseType="variant">
      <vt:variant>
        <vt:lpstr>Title</vt:lpstr>
      </vt:variant>
      <vt:variant>
        <vt:i4>1</vt:i4>
      </vt:variant>
    </vt:vector>
  </HeadingPairs>
  <TitlesOfParts>
    <vt:vector size="1" baseType="lpstr">
      <vt:lpstr>HouseStyle</vt:lpstr>
    </vt:vector>
  </TitlesOfParts>
  <Company/>
  <LinksUpToDate>false</LinksUpToDate>
  <CharactersWithSpaces>31865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subject/>
  <dc:creator>Any Authorised User</dc:creator>
  <cp:keywords/>
  <dc:description/>
  <cp:lastModifiedBy>Any Authorised User</cp:lastModifiedBy>
  <cp:revision>75</cp:revision>
  <cp:lastPrinted>2019-05-22T09:35:00Z</cp:lastPrinted>
  <dcterms:created xsi:type="dcterms:W3CDTF">2021-11-18T22:00:00Z</dcterms:created>
  <dcterms:modified xsi:type="dcterms:W3CDTF">2021-11-29T16:29:00Z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Version">
    <vt:lpwstr>9.0</vt:lpwstr>
  </op:property>
  <op:property fmtid="{D5CDD505-2E9C-101B-9397-08002B2CF9AE}" pid="3" name="Document Number">
    <vt:lpwstr>A46322509</vt:lpwstr>
  </op:property>
  <op:property fmtid="{D5CDD505-2E9C-101B-9397-08002B2CF9AE}" pid="4" name="Last Modified">
    <vt:lpwstr>29 Nov 2021</vt:lpwstr>
  </op:property>
  <op:property fmtid="{D5CDD505-2E9C-101B-9397-08002B2CF9AE}" pid="5" name="Template Version">
    <vt:lpwstr>R.0007</vt:lpwstr>
  </op:property>
  <op:property fmtid="{D5CDD505-2E9C-101B-9397-08002B2CF9AE}" pid="6" name="CoverPage">
    <vt:lpwstr>No</vt:lpwstr>
  </op:property>
  <op:property fmtid="{D5CDD505-2E9C-101B-9397-08002B2CF9AE}" pid="7" name="Language">
    <vt:lpwstr>English (U.K.)</vt:lpwstr>
  </op:property>
  <op:property fmtid="{D5CDD505-2E9C-101B-9397-08002B2CF9AE}" pid="8" name="PaperSize">
    <vt:lpwstr>A4</vt:lpwstr>
  </op:property>
  <op:property fmtid="{D5CDD505-2E9C-101B-9397-08002B2CF9AE}" pid="9" name="Landscape">
    <vt:lpwstr> </vt:lpwstr>
  </op:property>
  <op:property fmtid="{D5CDD505-2E9C-101B-9397-08002B2CF9AE}" pid="10" name="HouseStyle">
    <vt:lpwstr>2</vt:lpwstr>
  </op:property>
  <op:property fmtid="{D5CDD505-2E9C-101B-9397-08002B2CF9AE}" pid="11" name="HSChanged">
    <vt:lpwstr>No</vt:lpwstr>
  </op:property>
  <op:property fmtid="{D5CDD505-2E9C-101B-9397-08002B2CF9AE}" pid="12" name="HeadPara">
    <vt:i4>1</vt:i4>
  </op:property>
  <op:property fmtid="{D5CDD505-2E9C-101B-9397-08002B2CF9AE}" pid="13" name="TOCInsert">
    <vt:lpwstr>Yes</vt:lpwstr>
  </op:property>
  <op:property fmtid="{D5CDD505-2E9C-101B-9397-08002B2CF9AE}" pid="14" name="TOCString">
    <vt:lpwstr> </vt:lpwstr>
  </op:property>
  <op:property fmtid="{D5CDD505-2E9C-101B-9397-08002B2CF9AE}" pid="15" name="TOCBold">
    <vt:lpwstr>Yes</vt:lpwstr>
  </op:property>
  <op:property fmtid="{D5CDD505-2E9C-101B-9397-08002B2CF9AE}" pid="16" name="Chinese">
    <vt:lpwstr>No</vt:lpwstr>
  </op:property>
  <op:property fmtid="{D5CDD505-2E9C-101B-9397-08002B2CF9AE}" pid="17" name="Lineleader">
    <vt:lpwstr>No</vt:lpwstr>
  </op:property>
  <op:property fmtid="{D5CDD505-2E9C-101B-9397-08002B2CF9AE}" pid="18" name="CoverPageType">
    <vt:lpwstr> </vt:lpwstr>
  </op:property>
  <op:property fmtid="{D5CDD505-2E9C-101B-9397-08002B2CF9AE}" pid="19" name="Client Code">
    <vt:lpwstr>10029737</vt:lpwstr>
  </op:property>
  <op:property fmtid="{D5CDD505-2E9C-101B-9397-08002B2CF9AE}" pid="20" name="DEDocumentLocation">
    <vt:lpwstr>C:\Users\ayaggarw\AppData\Local\Linklaters\DocExplorer\Attachments\Template II-L Observation Shift_LMA Lookback with Observation Shift_2021 Definitions.docx</vt:lpwstr>
  </op:property>
  <op:property fmtid="{D5CDD505-2E9C-101B-9397-08002B2CF9AE}" pid="21" name="Matter Number">
    <vt:lpwstr>L-254085</vt:lpwstr>
  </op:property>
  <op:property fmtid="{D5CDD505-2E9C-101B-9397-08002B2CF9AE}" pid="22" name="Mode">
    <vt:lpwstr>SendAs</vt:lpwstr>
  </op:property>
  <op:property fmtid="{D5CDD505-2E9C-101B-9397-08002B2CF9AE}" pid="23" name="ObjectID">
    <vt:lpwstr>09001dc8966ab05a</vt:lpwstr>
  </op:property>
  <op:property fmtid="{D5CDD505-2E9C-101B-9397-08002B2CF9AE}" pid="24" name="_MarkAsFinal">
    <vt:bool>false</vt:bool>
  </op:property>
</op:Properties>
</file>