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B308A3" w14:textId="77777777" w:rsidR="00115886" w:rsidRDefault="00115886" w:rsidP="008753E4">
      <w:pPr>
        <w:spacing w:after="0" w:line="240" w:lineRule="auto"/>
        <w:rPr>
          <w:rFonts w:ascii="Times New Roman" w:hAnsi="Times New Roman" w:cs="Times New Roman"/>
          <w:sz w:val="24"/>
          <w:szCs w:val="24"/>
        </w:rPr>
      </w:pPr>
    </w:p>
    <w:p w14:paraId="295F16B4" w14:textId="77777777" w:rsidR="00115886" w:rsidRDefault="00BE792A" w:rsidP="008753E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November </w:t>
      </w:r>
      <w:r w:rsidR="00950B6B">
        <w:rPr>
          <w:rFonts w:ascii="Times New Roman" w:hAnsi="Times New Roman" w:cs="Times New Roman"/>
          <w:sz w:val="24"/>
          <w:szCs w:val="24"/>
        </w:rPr>
        <w:t>18</w:t>
      </w:r>
      <w:r w:rsidR="00115886">
        <w:rPr>
          <w:rFonts w:ascii="Times New Roman" w:hAnsi="Times New Roman" w:cs="Times New Roman"/>
          <w:sz w:val="24"/>
          <w:szCs w:val="24"/>
        </w:rPr>
        <w:t>, 2019</w:t>
      </w:r>
    </w:p>
    <w:p w14:paraId="3FF6C7CB" w14:textId="77777777" w:rsidR="00115886" w:rsidRDefault="00115886" w:rsidP="008753E4">
      <w:pPr>
        <w:spacing w:after="0" w:line="240" w:lineRule="auto"/>
        <w:rPr>
          <w:rFonts w:ascii="Times New Roman" w:hAnsi="Times New Roman" w:cs="Times New Roman"/>
          <w:sz w:val="24"/>
          <w:szCs w:val="24"/>
        </w:rPr>
      </w:pPr>
    </w:p>
    <w:p w14:paraId="795B7D66"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Mr. Christopher Kirkpatrick </w:t>
      </w:r>
    </w:p>
    <w:p w14:paraId="45E6BD45"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Secretary </w:t>
      </w:r>
    </w:p>
    <w:p w14:paraId="3FF7ECCA"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U.S. Commodity Futures Trading Commission </w:t>
      </w:r>
    </w:p>
    <w:p w14:paraId="2543CA5D"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Three Lafayette Centre </w:t>
      </w:r>
    </w:p>
    <w:p w14:paraId="34B7287A"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1155 21st Street, N.W. </w:t>
      </w:r>
    </w:p>
    <w:p w14:paraId="7198B03A"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Washington, D.C. 20581 </w:t>
      </w:r>
    </w:p>
    <w:p w14:paraId="09AD8E18" w14:textId="77777777" w:rsidR="008753E4" w:rsidRPr="008753E4" w:rsidRDefault="008753E4" w:rsidP="008753E4">
      <w:pPr>
        <w:spacing w:after="0" w:line="240" w:lineRule="auto"/>
        <w:rPr>
          <w:rFonts w:ascii="Times New Roman" w:hAnsi="Times New Roman" w:cs="Times New Roman"/>
          <w:sz w:val="24"/>
          <w:szCs w:val="24"/>
        </w:rPr>
      </w:pPr>
    </w:p>
    <w:p w14:paraId="6230ED48"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Re: </w:t>
      </w:r>
      <w:r w:rsidR="00451A0B">
        <w:rPr>
          <w:rFonts w:ascii="Times New Roman" w:hAnsi="Times New Roman" w:cs="Times New Roman"/>
          <w:sz w:val="24"/>
          <w:szCs w:val="24"/>
        </w:rPr>
        <w:t>Registration with Alternative Compliance for Non-U.S. Derivatives Clearing Organizations; Notice of Proposed Rulemaking (RIN 3038-AE87)</w:t>
      </w:r>
      <w:r w:rsidRPr="008753E4">
        <w:rPr>
          <w:rFonts w:ascii="Times New Roman" w:hAnsi="Times New Roman" w:cs="Times New Roman"/>
          <w:sz w:val="24"/>
          <w:szCs w:val="24"/>
        </w:rPr>
        <w:t xml:space="preserve"> </w:t>
      </w:r>
    </w:p>
    <w:p w14:paraId="0A0BD6B3" w14:textId="77777777" w:rsidR="008753E4" w:rsidRPr="008753E4" w:rsidRDefault="008753E4" w:rsidP="008753E4">
      <w:pPr>
        <w:spacing w:after="0" w:line="240" w:lineRule="auto"/>
        <w:rPr>
          <w:rFonts w:ascii="Times New Roman" w:hAnsi="Times New Roman" w:cs="Times New Roman"/>
          <w:sz w:val="24"/>
          <w:szCs w:val="24"/>
        </w:rPr>
      </w:pPr>
    </w:p>
    <w:p w14:paraId="033847F4" w14:textId="77777777" w:rsidR="008753E4" w:rsidRPr="008753E4" w:rsidRDefault="008753E4" w:rsidP="008753E4">
      <w:pPr>
        <w:spacing w:after="0" w:line="240" w:lineRule="auto"/>
        <w:rPr>
          <w:rFonts w:ascii="Times New Roman" w:hAnsi="Times New Roman" w:cs="Times New Roman"/>
          <w:sz w:val="24"/>
          <w:szCs w:val="24"/>
        </w:rPr>
      </w:pPr>
      <w:r w:rsidRPr="008753E4">
        <w:rPr>
          <w:rFonts w:ascii="Times New Roman" w:hAnsi="Times New Roman" w:cs="Times New Roman"/>
          <w:sz w:val="24"/>
          <w:szCs w:val="24"/>
        </w:rPr>
        <w:t xml:space="preserve">Dear Secretary Kirkpatrick: </w:t>
      </w:r>
    </w:p>
    <w:p w14:paraId="212D1497" w14:textId="77777777" w:rsidR="008753E4" w:rsidRPr="008753E4" w:rsidRDefault="008753E4" w:rsidP="008753E4">
      <w:pPr>
        <w:spacing w:after="0" w:line="240" w:lineRule="auto"/>
        <w:rPr>
          <w:rFonts w:ascii="Times New Roman" w:hAnsi="Times New Roman" w:cs="Times New Roman"/>
          <w:sz w:val="24"/>
          <w:szCs w:val="24"/>
        </w:rPr>
      </w:pPr>
    </w:p>
    <w:p w14:paraId="597B9A21" w14:textId="77777777" w:rsidR="006D3EF7" w:rsidRDefault="008753E4" w:rsidP="008753E4">
      <w:pPr>
        <w:spacing w:after="0" w:line="240" w:lineRule="auto"/>
        <w:rPr>
          <w:rFonts w:ascii="Times New Roman" w:hAnsi="Times New Roman" w:cs="Times New Roman"/>
          <w:b/>
          <w:bCs/>
          <w:sz w:val="24"/>
          <w:szCs w:val="24"/>
        </w:rPr>
      </w:pPr>
      <w:r w:rsidRPr="008753E4">
        <w:rPr>
          <w:rFonts w:ascii="Times New Roman" w:hAnsi="Times New Roman" w:cs="Times New Roman"/>
          <w:sz w:val="24"/>
          <w:szCs w:val="24"/>
        </w:rPr>
        <w:t>The International Swaps and Derivatives Association, Inc. (</w:t>
      </w:r>
      <w:r w:rsidRPr="00115886">
        <w:rPr>
          <w:rFonts w:ascii="Times New Roman" w:hAnsi="Times New Roman" w:cs="Times New Roman"/>
          <w:b/>
          <w:sz w:val="24"/>
          <w:szCs w:val="24"/>
        </w:rPr>
        <w:t>“ISDA”</w:t>
      </w:r>
      <w:r w:rsidRPr="008753E4">
        <w:rPr>
          <w:rFonts w:ascii="Times New Roman" w:hAnsi="Times New Roman" w:cs="Times New Roman"/>
          <w:sz w:val="24"/>
          <w:szCs w:val="24"/>
        </w:rPr>
        <w:t>)</w:t>
      </w:r>
      <w:r w:rsidR="00171352">
        <w:rPr>
          <w:rStyle w:val="FootnoteReference"/>
          <w:rFonts w:ascii="Times New Roman" w:hAnsi="Times New Roman" w:cs="Times New Roman"/>
          <w:sz w:val="24"/>
          <w:szCs w:val="24"/>
        </w:rPr>
        <w:footnoteReference w:id="1"/>
      </w:r>
      <w:r w:rsidRPr="008753E4">
        <w:rPr>
          <w:rFonts w:ascii="Times New Roman" w:hAnsi="Times New Roman" w:cs="Times New Roman"/>
          <w:sz w:val="24"/>
          <w:szCs w:val="24"/>
        </w:rPr>
        <w:t xml:space="preserve"> appreciates the opportunity to provide comments to the U.S. Commodity Futures Trading Commission (</w:t>
      </w:r>
      <w:r w:rsidRPr="00115886">
        <w:rPr>
          <w:rFonts w:ascii="Times New Roman" w:hAnsi="Times New Roman" w:cs="Times New Roman"/>
          <w:b/>
          <w:sz w:val="24"/>
          <w:szCs w:val="24"/>
        </w:rPr>
        <w:t>“CFTC”</w:t>
      </w:r>
      <w:r w:rsidRPr="008753E4">
        <w:rPr>
          <w:rFonts w:ascii="Times New Roman" w:hAnsi="Times New Roman" w:cs="Times New Roman"/>
          <w:sz w:val="24"/>
          <w:szCs w:val="24"/>
        </w:rPr>
        <w:t xml:space="preserve"> or </w:t>
      </w:r>
      <w:r w:rsidRPr="00115886">
        <w:rPr>
          <w:rFonts w:ascii="Times New Roman" w:hAnsi="Times New Roman" w:cs="Times New Roman"/>
          <w:b/>
          <w:sz w:val="24"/>
          <w:szCs w:val="24"/>
        </w:rPr>
        <w:t>“Commission”</w:t>
      </w:r>
      <w:r w:rsidRPr="008753E4">
        <w:rPr>
          <w:rFonts w:ascii="Times New Roman" w:hAnsi="Times New Roman" w:cs="Times New Roman"/>
          <w:sz w:val="24"/>
          <w:szCs w:val="24"/>
        </w:rPr>
        <w:t xml:space="preserve">) regarding the Commission’s Notice of Proposed Rulemaking: </w:t>
      </w:r>
      <w:r w:rsidR="00451A0B">
        <w:rPr>
          <w:rFonts w:ascii="Times New Roman" w:hAnsi="Times New Roman" w:cs="Times New Roman"/>
          <w:sz w:val="24"/>
          <w:szCs w:val="24"/>
        </w:rPr>
        <w:t>Registration with Alternative Compliance for Non-U.S.</w:t>
      </w:r>
      <w:r w:rsidRPr="008753E4">
        <w:rPr>
          <w:rFonts w:ascii="Times New Roman" w:hAnsi="Times New Roman" w:cs="Times New Roman"/>
          <w:sz w:val="24"/>
          <w:szCs w:val="24"/>
        </w:rPr>
        <w:t xml:space="preserve"> Derivatives Clearing Organization</w:t>
      </w:r>
      <w:r w:rsidR="00967B41">
        <w:rPr>
          <w:rFonts w:ascii="Times New Roman" w:hAnsi="Times New Roman" w:cs="Times New Roman"/>
          <w:sz w:val="24"/>
          <w:szCs w:val="24"/>
        </w:rPr>
        <w:t>s</w:t>
      </w:r>
      <w:r w:rsidRPr="008753E4">
        <w:rPr>
          <w:rFonts w:ascii="Times New Roman" w:hAnsi="Times New Roman" w:cs="Times New Roman"/>
          <w:sz w:val="24"/>
          <w:szCs w:val="24"/>
        </w:rPr>
        <w:t xml:space="preserve"> </w:t>
      </w:r>
      <w:r w:rsidR="002E6D1B">
        <w:rPr>
          <w:rFonts w:ascii="Times New Roman" w:hAnsi="Times New Roman" w:cs="Times New Roman"/>
          <w:sz w:val="24"/>
          <w:szCs w:val="24"/>
        </w:rPr>
        <w:t>(</w:t>
      </w:r>
      <w:r w:rsidR="002E6D1B" w:rsidRPr="002E6D1B">
        <w:rPr>
          <w:rFonts w:ascii="Times New Roman" w:hAnsi="Times New Roman" w:cs="Times New Roman"/>
          <w:b/>
          <w:bCs/>
          <w:sz w:val="24"/>
          <w:szCs w:val="24"/>
        </w:rPr>
        <w:t>“DCO”</w:t>
      </w:r>
      <w:r w:rsidR="002E6D1B">
        <w:rPr>
          <w:rFonts w:ascii="Times New Roman" w:hAnsi="Times New Roman" w:cs="Times New Roman"/>
          <w:sz w:val="24"/>
          <w:szCs w:val="24"/>
        </w:rPr>
        <w:t xml:space="preserve">) </w:t>
      </w:r>
      <w:r w:rsidRPr="008753E4">
        <w:rPr>
          <w:rFonts w:ascii="Times New Roman" w:hAnsi="Times New Roman" w:cs="Times New Roman"/>
          <w:sz w:val="24"/>
          <w:szCs w:val="24"/>
        </w:rPr>
        <w:t xml:space="preserve">Registration (the </w:t>
      </w:r>
      <w:r w:rsidRPr="002D7EA4">
        <w:rPr>
          <w:rFonts w:ascii="Times New Roman" w:hAnsi="Times New Roman" w:cs="Times New Roman"/>
          <w:b/>
          <w:sz w:val="24"/>
          <w:szCs w:val="24"/>
        </w:rPr>
        <w:t>“Proposal”</w:t>
      </w:r>
      <w:r w:rsidRPr="008753E4">
        <w:rPr>
          <w:rFonts w:ascii="Times New Roman" w:hAnsi="Times New Roman" w:cs="Times New Roman"/>
          <w:sz w:val="24"/>
          <w:szCs w:val="24"/>
        </w:rPr>
        <w:t>)</w:t>
      </w:r>
      <w:r w:rsidR="002E6D1B">
        <w:rPr>
          <w:rFonts w:ascii="Times New Roman" w:hAnsi="Times New Roman" w:cs="Times New Roman"/>
          <w:sz w:val="24"/>
          <w:szCs w:val="24"/>
        </w:rPr>
        <w:t xml:space="preserve"> published on July </w:t>
      </w:r>
      <w:r w:rsidR="00451A0B">
        <w:rPr>
          <w:rFonts w:ascii="Times New Roman" w:hAnsi="Times New Roman" w:cs="Times New Roman"/>
          <w:sz w:val="24"/>
          <w:szCs w:val="24"/>
        </w:rPr>
        <w:t>19</w:t>
      </w:r>
      <w:r w:rsidR="002E6D1B">
        <w:rPr>
          <w:rFonts w:ascii="Times New Roman" w:hAnsi="Times New Roman" w:cs="Times New Roman"/>
          <w:sz w:val="24"/>
          <w:szCs w:val="24"/>
        </w:rPr>
        <w:t>, 2019.</w:t>
      </w:r>
      <w:r w:rsidR="00DC62E8">
        <w:rPr>
          <w:rStyle w:val="FootnoteReference"/>
          <w:rFonts w:ascii="Times New Roman" w:hAnsi="Times New Roman" w:cs="Times New Roman"/>
          <w:sz w:val="24"/>
          <w:szCs w:val="24"/>
        </w:rPr>
        <w:footnoteReference w:id="2"/>
      </w:r>
      <w:r w:rsidR="002E6D1B">
        <w:rPr>
          <w:rFonts w:ascii="Times New Roman" w:hAnsi="Times New Roman" w:cs="Times New Roman"/>
          <w:sz w:val="24"/>
          <w:szCs w:val="24"/>
        </w:rPr>
        <w:t xml:space="preserve"> </w:t>
      </w:r>
    </w:p>
    <w:p w14:paraId="75D4DA72" w14:textId="77777777" w:rsidR="006D3EF7" w:rsidRDefault="006D3EF7" w:rsidP="008753E4">
      <w:pPr>
        <w:spacing w:after="0" w:line="240" w:lineRule="auto"/>
        <w:rPr>
          <w:rFonts w:ascii="Times New Roman" w:hAnsi="Times New Roman" w:cs="Times New Roman"/>
          <w:b/>
          <w:bCs/>
          <w:sz w:val="24"/>
          <w:szCs w:val="24"/>
        </w:rPr>
      </w:pPr>
    </w:p>
    <w:p w14:paraId="01CD4E4A" w14:textId="77777777" w:rsidR="00685C12" w:rsidRDefault="00685C12"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ISDA generally supports the Commission’s proposed alternative compliance framework for non-U.S. DCOs</w:t>
      </w:r>
      <w:r w:rsidR="00967B41">
        <w:rPr>
          <w:rFonts w:ascii="Times New Roman" w:hAnsi="Times New Roman" w:cs="Times New Roman"/>
          <w:sz w:val="24"/>
          <w:szCs w:val="24"/>
        </w:rPr>
        <w:t xml:space="preserve"> and the proposed </w:t>
      </w:r>
      <w:r>
        <w:rPr>
          <w:rFonts w:ascii="Times New Roman" w:hAnsi="Times New Roman" w:cs="Times New Roman"/>
          <w:sz w:val="24"/>
          <w:szCs w:val="24"/>
        </w:rPr>
        <w:t>territorial, risk-based approach to the regulation of central clearing counterparties (</w:t>
      </w:r>
      <w:r w:rsidRPr="00685C12">
        <w:rPr>
          <w:rFonts w:ascii="Times New Roman" w:hAnsi="Times New Roman" w:cs="Times New Roman"/>
          <w:b/>
          <w:sz w:val="24"/>
          <w:szCs w:val="24"/>
        </w:rPr>
        <w:t>“CCPs”</w:t>
      </w:r>
      <w:r>
        <w:rPr>
          <w:rFonts w:ascii="Times New Roman" w:hAnsi="Times New Roman" w:cs="Times New Roman"/>
          <w:sz w:val="24"/>
          <w:szCs w:val="24"/>
        </w:rPr>
        <w:t>)</w:t>
      </w:r>
      <w:r w:rsidR="00967B41">
        <w:rPr>
          <w:rFonts w:ascii="Times New Roman" w:hAnsi="Times New Roman" w:cs="Times New Roman"/>
          <w:sz w:val="24"/>
          <w:szCs w:val="24"/>
        </w:rPr>
        <w:t>.</w:t>
      </w:r>
      <w:r w:rsidR="002E5A5F">
        <w:rPr>
          <w:rStyle w:val="FootnoteReference"/>
          <w:rFonts w:ascii="Times New Roman" w:hAnsi="Times New Roman" w:cs="Times New Roman"/>
          <w:sz w:val="24"/>
          <w:szCs w:val="24"/>
        </w:rPr>
        <w:footnoteReference w:id="3"/>
      </w:r>
      <w:r w:rsidR="00967B41">
        <w:rPr>
          <w:rFonts w:ascii="Times New Roman" w:hAnsi="Times New Roman" w:cs="Times New Roman"/>
          <w:sz w:val="24"/>
          <w:szCs w:val="24"/>
        </w:rPr>
        <w:t xml:space="preserve"> </w:t>
      </w:r>
      <w:r w:rsidR="00EC4975">
        <w:rPr>
          <w:rFonts w:ascii="Times New Roman" w:hAnsi="Times New Roman" w:cs="Times New Roman"/>
          <w:sz w:val="24"/>
          <w:szCs w:val="24"/>
        </w:rPr>
        <w:t>M</w:t>
      </w:r>
      <w:r>
        <w:rPr>
          <w:rFonts w:ascii="Times New Roman" w:hAnsi="Times New Roman" w:cs="Times New Roman"/>
          <w:sz w:val="24"/>
          <w:szCs w:val="24"/>
        </w:rPr>
        <w:t xml:space="preserve">arket participants and market facilities </w:t>
      </w:r>
      <w:r w:rsidR="00967B41">
        <w:rPr>
          <w:rFonts w:ascii="Times New Roman" w:hAnsi="Times New Roman" w:cs="Times New Roman"/>
          <w:sz w:val="24"/>
          <w:szCs w:val="24"/>
        </w:rPr>
        <w:t xml:space="preserve">that operate </w:t>
      </w:r>
      <w:r>
        <w:rPr>
          <w:rFonts w:ascii="Times New Roman" w:hAnsi="Times New Roman" w:cs="Times New Roman"/>
          <w:sz w:val="24"/>
          <w:szCs w:val="24"/>
        </w:rPr>
        <w:t>in global</w:t>
      </w:r>
      <w:r w:rsidR="00967B41">
        <w:rPr>
          <w:rFonts w:ascii="Times New Roman" w:hAnsi="Times New Roman" w:cs="Times New Roman"/>
          <w:sz w:val="24"/>
          <w:szCs w:val="24"/>
        </w:rPr>
        <w:t xml:space="preserve"> </w:t>
      </w:r>
      <w:r>
        <w:rPr>
          <w:rFonts w:ascii="Times New Roman" w:hAnsi="Times New Roman" w:cs="Times New Roman"/>
          <w:sz w:val="24"/>
          <w:szCs w:val="24"/>
        </w:rPr>
        <w:t>swaps market</w:t>
      </w:r>
      <w:r w:rsidR="00967B41">
        <w:rPr>
          <w:rFonts w:ascii="Times New Roman" w:hAnsi="Times New Roman" w:cs="Times New Roman"/>
          <w:sz w:val="24"/>
          <w:szCs w:val="24"/>
        </w:rPr>
        <w:t>s</w:t>
      </w:r>
      <w:r>
        <w:rPr>
          <w:rFonts w:ascii="Times New Roman" w:hAnsi="Times New Roman" w:cs="Times New Roman"/>
          <w:sz w:val="24"/>
          <w:szCs w:val="24"/>
        </w:rPr>
        <w:t xml:space="preserve"> are subject to multiple </w:t>
      </w:r>
      <w:r w:rsidR="00967B41">
        <w:rPr>
          <w:rFonts w:ascii="Times New Roman" w:hAnsi="Times New Roman" w:cs="Times New Roman"/>
          <w:sz w:val="24"/>
          <w:szCs w:val="24"/>
        </w:rPr>
        <w:t xml:space="preserve">levels of comprehensive </w:t>
      </w:r>
      <w:r>
        <w:rPr>
          <w:rFonts w:ascii="Times New Roman" w:hAnsi="Times New Roman" w:cs="Times New Roman"/>
          <w:sz w:val="24"/>
          <w:szCs w:val="24"/>
        </w:rPr>
        <w:t>regulator</w:t>
      </w:r>
      <w:r w:rsidR="00967B41">
        <w:rPr>
          <w:rFonts w:ascii="Times New Roman" w:hAnsi="Times New Roman" w:cs="Times New Roman"/>
          <w:sz w:val="24"/>
          <w:szCs w:val="24"/>
        </w:rPr>
        <w:t>y oversight,</w:t>
      </w:r>
      <w:r>
        <w:rPr>
          <w:rFonts w:ascii="Times New Roman" w:hAnsi="Times New Roman" w:cs="Times New Roman"/>
          <w:sz w:val="24"/>
          <w:szCs w:val="24"/>
        </w:rPr>
        <w:t xml:space="preserve"> </w:t>
      </w:r>
      <w:r w:rsidR="00967B41">
        <w:rPr>
          <w:rFonts w:ascii="Times New Roman" w:hAnsi="Times New Roman" w:cs="Times New Roman"/>
          <w:sz w:val="24"/>
          <w:szCs w:val="24"/>
        </w:rPr>
        <w:t>thus incurring extraordinary compliance costs</w:t>
      </w:r>
      <w:r w:rsidR="00EC4975">
        <w:rPr>
          <w:rFonts w:ascii="Times New Roman" w:hAnsi="Times New Roman" w:cs="Times New Roman"/>
          <w:sz w:val="24"/>
          <w:szCs w:val="24"/>
        </w:rPr>
        <w:t xml:space="preserve">. </w:t>
      </w:r>
      <w:r w:rsidR="00D46CF7">
        <w:rPr>
          <w:rFonts w:ascii="Times New Roman" w:hAnsi="Times New Roman" w:cs="Times New Roman"/>
          <w:sz w:val="24"/>
          <w:szCs w:val="24"/>
        </w:rPr>
        <w:t xml:space="preserve">The Commission appropriately recognizes that there is no regulatory benefit </w:t>
      </w:r>
      <w:r w:rsidR="000355A8">
        <w:rPr>
          <w:rFonts w:ascii="Times New Roman" w:hAnsi="Times New Roman" w:cs="Times New Roman"/>
          <w:sz w:val="24"/>
          <w:szCs w:val="24"/>
        </w:rPr>
        <w:t>in</w:t>
      </w:r>
      <w:r w:rsidR="00D46CF7">
        <w:rPr>
          <w:rFonts w:ascii="Times New Roman" w:hAnsi="Times New Roman" w:cs="Times New Roman"/>
          <w:sz w:val="24"/>
          <w:szCs w:val="24"/>
        </w:rPr>
        <w:t xml:space="preserve"> subjecting CCPs to additional compliance costs when </w:t>
      </w:r>
      <w:r w:rsidR="00E17086">
        <w:rPr>
          <w:rFonts w:ascii="Times New Roman" w:hAnsi="Times New Roman" w:cs="Times New Roman"/>
          <w:sz w:val="24"/>
          <w:szCs w:val="24"/>
        </w:rPr>
        <w:t>there</w:t>
      </w:r>
      <w:r w:rsidR="00967B41">
        <w:rPr>
          <w:rFonts w:ascii="Times New Roman" w:hAnsi="Times New Roman" w:cs="Times New Roman"/>
          <w:sz w:val="24"/>
          <w:szCs w:val="24"/>
        </w:rPr>
        <w:t xml:space="preserve"> is </w:t>
      </w:r>
      <w:r w:rsidR="00D46CF7">
        <w:rPr>
          <w:rFonts w:ascii="Times New Roman" w:hAnsi="Times New Roman" w:cs="Times New Roman"/>
          <w:sz w:val="24"/>
          <w:szCs w:val="24"/>
        </w:rPr>
        <w:t>a</w:t>
      </w:r>
      <w:r w:rsidR="009E23D1">
        <w:rPr>
          <w:rFonts w:ascii="Times New Roman" w:hAnsi="Times New Roman" w:cs="Times New Roman"/>
          <w:sz w:val="24"/>
          <w:szCs w:val="24"/>
        </w:rPr>
        <w:t>lready a</w:t>
      </w:r>
      <w:r w:rsidR="00D46CF7">
        <w:rPr>
          <w:rFonts w:ascii="Times New Roman" w:hAnsi="Times New Roman" w:cs="Times New Roman"/>
          <w:sz w:val="24"/>
          <w:szCs w:val="24"/>
        </w:rPr>
        <w:t xml:space="preserve"> primary</w:t>
      </w:r>
      <w:r w:rsidR="00967B41">
        <w:rPr>
          <w:rFonts w:ascii="Times New Roman" w:hAnsi="Times New Roman" w:cs="Times New Roman"/>
          <w:sz w:val="24"/>
          <w:szCs w:val="24"/>
        </w:rPr>
        <w:t xml:space="preserve"> regulator</w:t>
      </w:r>
      <w:r w:rsidR="00D46CF7">
        <w:rPr>
          <w:rFonts w:ascii="Times New Roman" w:hAnsi="Times New Roman" w:cs="Times New Roman"/>
          <w:sz w:val="24"/>
          <w:szCs w:val="24"/>
        </w:rPr>
        <w:t xml:space="preserve"> in charge of </w:t>
      </w:r>
      <w:r w:rsidR="00967B41">
        <w:rPr>
          <w:rFonts w:ascii="Times New Roman" w:hAnsi="Times New Roman" w:cs="Times New Roman"/>
          <w:sz w:val="24"/>
          <w:szCs w:val="24"/>
        </w:rPr>
        <w:t>conducting ove</w:t>
      </w:r>
      <w:r w:rsidR="00967B41" w:rsidRPr="009E23D1">
        <w:rPr>
          <w:rFonts w:ascii="Times New Roman" w:hAnsi="Times New Roman" w:cs="Times New Roman"/>
          <w:sz w:val="24"/>
          <w:szCs w:val="24"/>
        </w:rPr>
        <w:t xml:space="preserve">rsight </w:t>
      </w:r>
      <w:r w:rsidR="00D46CF7" w:rsidRPr="009E23D1">
        <w:rPr>
          <w:rFonts w:ascii="Times New Roman" w:hAnsi="Times New Roman" w:cs="Times New Roman"/>
          <w:sz w:val="24"/>
          <w:szCs w:val="24"/>
        </w:rPr>
        <w:t>and</w:t>
      </w:r>
      <w:r w:rsidR="00967B41" w:rsidRPr="009E23D1">
        <w:rPr>
          <w:rFonts w:ascii="Times New Roman" w:hAnsi="Times New Roman" w:cs="Times New Roman"/>
          <w:sz w:val="24"/>
          <w:szCs w:val="24"/>
        </w:rPr>
        <w:t xml:space="preserve"> review of essentially the same requirements.</w:t>
      </w:r>
      <w:r w:rsidR="00967B41">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C411E90" w14:textId="77777777" w:rsidR="00685C12" w:rsidRDefault="00685C12" w:rsidP="00115886">
      <w:pPr>
        <w:spacing w:after="0" w:line="240" w:lineRule="auto"/>
        <w:rPr>
          <w:rFonts w:ascii="Times New Roman" w:hAnsi="Times New Roman" w:cs="Times New Roman"/>
          <w:sz w:val="24"/>
          <w:szCs w:val="24"/>
        </w:rPr>
      </w:pPr>
    </w:p>
    <w:p w14:paraId="293E3E34" w14:textId="77777777" w:rsidR="002D0267" w:rsidRDefault="00A70E57" w:rsidP="002D0267">
      <w:pPr>
        <w:spacing w:after="0" w:line="240" w:lineRule="auto"/>
        <w:rPr>
          <w:rFonts w:ascii="Times New Roman" w:hAnsi="Times New Roman" w:cs="Times New Roman"/>
          <w:sz w:val="24"/>
          <w:szCs w:val="24"/>
        </w:rPr>
      </w:pPr>
      <w:r w:rsidRPr="00A70E57">
        <w:rPr>
          <w:rFonts w:ascii="Times New Roman" w:hAnsi="Times New Roman" w:cs="Times New Roman"/>
          <w:sz w:val="24"/>
          <w:szCs w:val="24"/>
        </w:rPr>
        <w:t xml:space="preserve">We </w:t>
      </w:r>
      <w:r w:rsidR="003C13CF">
        <w:rPr>
          <w:rFonts w:ascii="Times New Roman" w:hAnsi="Times New Roman" w:cs="Times New Roman"/>
          <w:sz w:val="24"/>
          <w:szCs w:val="24"/>
        </w:rPr>
        <w:t xml:space="preserve">appreciate that the Proposal </w:t>
      </w:r>
      <w:r w:rsidR="001175BD">
        <w:rPr>
          <w:rFonts w:ascii="Times New Roman" w:hAnsi="Times New Roman" w:cs="Times New Roman"/>
          <w:sz w:val="24"/>
          <w:szCs w:val="24"/>
        </w:rPr>
        <w:t xml:space="preserve">relies on </w:t>
      </w:r>
      <w:r w:rsidR="00F67098">
        <w:rPr>
          <w:rFonts w:ascii="Times New Roman" w:hAnsi="Times New Roman" w:cs="Times New Roman"/>
          <w:sz w:val="24"/>
          <w:szCs w:val="24"/>
        </w:rPr>
        <w:t>foreign regulatory</w:t>
      </w:r>
      <w:r w:rsidR="001175BD">
        <w:rPr>
          <w:rFonts w:ascii="Times New Roman" w:hAnsi="Times New Roman" w:cs="Times New Roman"/>
          <w:sz w:val="24"/>
          <w:szCs w:val="24"/>
        </w:rPr>
        <w:t xml:space="preserve"> regimes in allowing alternative compliance for non-U.S. CCPs</w:t>
      </w:r>
      <w:r w:rsidR="003C13CF">
        <w:rPr>
          <w:rFonts w:ascii="Times New Roman" w:hAnsi="Times New Roman" w:cs="Times New Roman"/>
          <w:sz w:val="24"/>
          <w:szCs w:val="24"/>
        </w:rPr>
        <w:t xml:space="preserve">, and </w:t>
      </w:r>
      <w:r w:rsidR="00283C59">
        <w:rPr>
          <w:rFonts w:ascii="Times New Roman" w:hAnsi="Times New Roman" w:cs="Times New Roman"/>
          <w:sz w:val="24"/>
          <w:szCs w:val="24"/>
        </w:rPr>
        <w:t>encourage</w:t>
      </w:r>
      <w:r w:rsidRPr="00A70E57">
        <w:rPr>
          <w:rFonts w:ascii="Times New Roman" w:hAnsi="Times New Roman" w:cs="Times New Roman"/>
          <w:sz w:val="24"/>
          <w:szCs w:val="24"/>
        </w:rPr>
        <w:t xml:space="preserve"> the CFTC to continue </w:t>
      </w:r>
      <w:r w:rsidR="00685C12">
        <w:rPr>
          <w:rFonts w:ascii="Times New Roman" w:hAnsi="Times New Roman" w:cs="Times New Roman"/>
          <w:sz w:val="24"/>
          <w:szCs w:val="24"/>
        </w:rPr>
        <w:t>its</w:t>
      </w:r>
      <w:r w:rsidRPr="00A70E57">
        <w:rPr>
          <w:rFonts w:ascii="Times New Roman" w:hAnsi="Times New Roman" w:cs="Times New Roman"/>
          <w:sz w:val="24"/>
          <w:szCs w:val="24"/>
        </w:rPr>
        <w:t xml:space="preserve"> dialog</w:t>
      </w:r>
      <w:r w:rsidR="002964C5">
        <w:rPr>
          <w:rFonts w:ascii="Times New Roman" w:hAnsi="Times New Roman" w:cs="Times New Roman"/>
          <w:sz w:val="24"/>
          <w:szCs w:val="24"/>
        </w:rPr>
        <w:t>ue</w:t>
      </w:r>
      <w:r w:rsidRPr="00A70E57">
        <w:rPr>
          <w:rFonts w:ascii="Times New Roman" w:hAnsi="Times New Roman" w:cs="Times New Roman"/>
          <w:sz w:val="24"/>
          <w:szCs w:val="24"/>
        </w:rPr>
        <w:t xml:space="preserve"> with </w:t>
      </w:r>
      <w:r w:rsidR="00DC62E8">
        <w:rPr>
          <w:rFonts w:ascii="Times New Roman" w:hAnsi="Times New Roman" w:cs="Times New Roman"/>
          <w:sz w:val="24"/>
          <w:szCs w:val="24"/>
        </w:rPr>
        <w:t>regulators</w:t>
      </w:r>
      <w:r w:rsidRPr="00A70E57">
        <w:rPr>
          <w:rFonts w:ascii="Times New Roman" w:hAnsi="Times New Roman" w:cs="Times New Roman"/>
          <w:sz w:val="24"/>
          <w:szCs w:val="24"/>
        </w:rPr>
        <w:t xml:space="preserve"> in the EU </w:t>
      </w:r>
      <w:r w:rsidR="00054200">
        <w:rPr>
          <w:rFonts w:ascii="Times New Roman" w:hAnsi="Times New Roman" w:cs="Times New Roman"/>
          <w:sz w:val="24"/>
          <w:szCs w:val="24"/>
        </w:rPr>
        <w:t xml:space="preserve">and </w:t>
      </w:r>
      <w:r w:rsidR="009D517F">
        <w:rPr>
          <w:rFonts w:ascii="Times New Roman" w:hAnsi="Times New Roman" w:cs="Times New Roman"/>
          <w:sz w:val="24"/>
          <w:szCs w:val="24"/>
        </w:rPr>
        <w:t xml:space="preserve">other jurisdictions </w:t>
      </w:r>
      <w:r w:rsidRPr="00A70E57">
        <w:rPr>
          <w:rFonts w:ascii="Times New Roman" w:hAnsi="Times New Roman" w:cs="Times New Roman"/>
          <w:sz w:val="24"/>
          <w:szCs w:val="24"/>
        </w:rPr>
        <w:t xml:space="preserve">to </w:t>
      </w:r>
      <w:r w:rsidR="00054200">
        <w:rPr>
          <w:rFonts w:ascii="Times New Roman" w:hAnsi="Times New Roman" w:cs="Times New Roman"/>
          <w:sz w:val="24"/>
          <w:szCs w:val="24"/>
        </w:rPr>
        <w:t>ensure that CCP supervision is based on deference to home country regulations</w:t>
      </w:r>
      <w:r w:rsidR="001175BD">
        <w:rPr>
          <w:rFonts w:ascii="Times New Roman" w:hAnsi="Times New Roman" w:cs="Times New Roman"/>
          <w:sz w:val="24"/>
          <w:szCs w:val="24"/>
        </w:rPr>
        <w:t>.</w:t>
      </w:r>
      <w:r w:rsidR="00054200">
        <w:rPr>
          <w:rFonts w:ascii="Times New Roman" w:hAnsi="Times New Roman" w:cs="Times New Roman"/>
          <w:sz w:val="24"/>
          <w:szCs w:val="24"/>
        </w:rPr>
        <w:t xml:space="preserve"> </w:t>
      </w:r>
      <w:r w:rsidR="00DC62E8">
        <w:rPr>
          <w:rFonts w:ascii="Times New Roman" w:hAnsi="Times New Roman" w:cs="Times New Roman"/>
          <w:sz w:val="24"/>
          <w:szCs w:val="24"/>
        </w:rPr>
        <w:t xml:space="preserve">We note that, absent a coordinated approach </w:t>
      </w:r>
      <w:r w:rsidR="009D517F">
        <w:rPr>
          <w:rFonts w:ascii="Times New Roman" w:hAnsi="Times New Roman" w:cs="Times New Roman"/>
          <w:sz w:val="24"/>
          <w:szCs w:val="24"/>
        </w:rPr>
        <w:t xml:space="preserve">among </w:t>
      </w:r>
      <w:r w:rsidR="00DC62E8">
        <w:rPr>
          <w:rFonts w:ascii="Times New Roman" w:hAnsi="Times New Roman" w:cs="Times New Roman"/>
          <w:sz w:val="24"/>
          <w:szCs w:val="24"/>
        </w:rPr>
        <w:t xml:space="preserve">regulators that applies </w:t>
      </w:r>
      <w:r w:rsidR="00DC62E8">
        <w:rPr>
          <w:rFonts w:ascii="Times New Roman" w:hAnsi="Times New Roman" w:cs="Times New Roman"/>
          <w:sz w:val="24"/>
          <w:szCs w:val="24"/>
        </w:rPr>
        <w:lastRenderedPageBreak/>
        <w:t>principles of deference and outcomes-based comparability, the application of inconsistent and duplicative regulatory frameworks on CCPs will lead to the fragmentation of global cleared derivatives markets.</w:t>
      </w:r>
      <w:r w:rsidR="00DC62E8">
        <w:rPr>
          <w:rStyle w:val="FootnoteReference"/>
          <w:rFonts w:ascii="Times New Roman" w:hAnsi="Times New Roman" w:cs="Times New Roman"/>
          <w:sz w:val="24"/>
          <w:szCs w:val="24"/>
        </w:rPr>
        <w:footnoteReference w:id="4"/>
      </w:r>
      <w:r w:rsidR="00DC62E8">
        <w:rPr>
          <w:rFonts w:ascii="Times New Roman" w:hAnsi="Times New Roman" w:cs="Times New Roman"/>
          <w:sz w:val="24"/>
          <w:szCs w:val="24"/>
        </w:rPr>
        <w:t xml:space="preserve"> </w:t>
      </w:r>
    </w:p>
    <w:p w14:paraId="53E50ABC" w14:textId="77777777" w:rsidR="00B562DA" w:rsidRDefault="00B562DA" w:rsidP="002D0267">
      <w:pPr>
        <w:spacing w:after="0" w:line="240" w:lineRule="auto"/>
        <w:rPr>
          <w:rFonts w:ascii="Times New Roman" w:hAnsi="Times New Roman" w:cs="Times New Roman"/>
          <w:sz w:val="24"/>
          <w:szCs w:val="24"/>
        </w:rPr>
      </w:pPr>
    </w:p>
    <w:p w14:paraId="14D9B0D5" w14:textId="54562D8F" w:rsidR="00A70E57" w:rsidRDefault="002B13A6" w:rsidP="002D0267">
      <w:pPr>
        <w:spacing w:after="0" w:line="240" w:lineRule="auto"/>
        <w:rPr>
          <w:rFonts w:ascii="Times New Roman" w:hAnsi="Times New Roman" w:cs="Times New Roman"/>
          <w:sz w:val="24"/>
          <w:szCs w:val="24"/>
        </w:rPr>
      </w:pPr>
      <w:r w:rsidRPr="002B13A6">
        <w:rPr>
          <w:rFonts w:ascii="Times New Roman" w:hAnsi="Times New Roman" w:cs="Times New Roman"/>
          <w:sz w:val="24"/>
          <w:szCs w:val="24"/>
        </w:rPr>
        <w:t>As we indicated in our response to E</w:t>
      </w:r>
      <w:r w:rsidR="00B562DA">
        <w:rPr>
          <w:rFonts w:ascii="Times New Roman" w:hAnsi="Times New Roman" w:cs="Times New Roman"/>
          <w:sz w:val="24"/>
          <w:szCs w:val="24"/>
        </w:rPr>
        <w:t xml:space="preserve">uropean </w:t>
      </w:r>
      <w:r w:rsidRPr="002B13A6">
        <w:rPr>
          <w:rFonts w:ascii="Times New Roman" w:hAnsi="Times New Roman" w:cs="Times New Roman"/>
          <w:sz w:val="24"/>
          <w:szCs w:val="24"/>
        </w:rPr>
        <w:t>S</w:t>
      </w:r>
      <w:r w:rsidR="00B562DA">
        <w:rPr>
          <w:rFonts w:ascii="Times New Roman" w:hAnsi="Times New Roman" w:cs="Times New Roman"/>
          <w:sz w:val="24"/>
          <w:szCs w:val="24"/>
        </w:rPr>
        <w:t xml:space="preserve">ecurities and </w:t>
      </w:r>
      <w:r w:rsidRPr="002B13A6">
        <w:rPr>
          <w:rFonts w:ascii="Times New Roman" w:hAnsi="Times New Roman" w:cs="Times New Roman"/>
          <w:sz w:val="24"/>
          <w:szCs w:val="24"/>
        </w:rPr>
        <w:t>M</w:t>
      </w:r>
      <w:r w:rsidR="00B562DA">
        <w:rPr>
          <w:rFonts w:ascii="Times New Roman" w:hAnsi="Times New Roman" w:cs="Times New Roman"/>
          <w:sz w:val="24"/>
          <w:szCs w:val="24"/>
        </w:rPr>
        <w:t xml:space="preserve">arkets </w:t>
      </w:r>
      <w:r w:rsidRPr="002B13A6">
        <w:rPr>
          <w:rFonts w:ascii="Times New Roman" w:hAnsi="Times New Roman" w:cs="Times New Roman"/>
          <w:sz w:val="24"/>
          <w:szCs w:val="24"/>
        </w:rPr>
        <w:t>A</w:t>
      </w:r>
      <w:r w:rsidR="00B562DA">
        <w:rPr>
          <w:rFonts w:ascii="Times New Roman" w:hAnsi="Times New Roman" w:cs="Times New Roman"/>
          <w:sz w:val="24"/>
          <w:szCs w:val="24"/>
        </w:rPr>
        <w:t>uthority</w:t>
      </w:r>
      <w:r w:rsidR="009D517F">
        <w:rPr>
          <w:rFonts w:ascii="Times New Roman" w:hAnsi="Times New Roman" w:cs="Times New Roman"/>
          <w:sz w:val="24"/>
          <w:szCs w:val="24"/>
        </w:rPr>
        <w:t>’s</w:t>
      </w:r>
      <w:r w:rsidRPr="002B13A6">
        <w:rPr>
          <w:rFonts w:ascii="Times New Roman" w:hAnsi="Times New Roman" w:cs="Times New Roman"/>
          <w:sz w:val="24"/>
          <w:szCs w:val="24"/>
        </w:rPr>
        <w:t xml:space="preserve"> proposed approach to determining the systemic importance of third country CCPs under </w:t>
      </w:r>
      <w:r w:rsidR="00104161">
        <w:rPr>
          <w:rFonts w:ascii="Times New Roman" w:hAnsi="Times New Roman" w:cs="Times New Roman"/>
          <w:sz w:val="24"/>
          <w:szCs w:val="24"/>
        </w:rPr>
        <w:t xml:space="preserve">the </w:t>
      </w:r>
      <w:r w:rsidR="00B562DA" w:rsidRPr="00A70E57">
        <w:rPr>
          <w:rFonts w:ascii="Times New Roman" w:hAnsi="Times New Roman" w:cs="Times New Roman"/>
          <w:sz w:val="24"/>
          <w:szCs w:val="24"/>
        </w:rPr>
        <w:t>European Market Infrastructure Regulation</w:t>
      </w:r>
      <w:r w:rsidRPr="002B13A6">
        <w:rPr>
          <w:rFonts w:ascii="Times New Roman" w:hAnsi="Times New Roman" w:cs="Times New Roman"/>
          <w:sz w:val="24"/>
          <w:szCs w:val="24"/>
        </w:rPr>
        <w:t>,</w:t>
      </w:r>
      <w:r w:rsidRPr="002B13A6">
        <w:rPr>
          <w:rFonts w:ascii="Times New Roman" w:hAnsi="Times New Roman" w:cs="Times New Roman"/>
          <w:sz w:val="24"/>
          <w:szCs w:val="24"/>
          <w:vertAlign w:val="superscript"/>
        </w:rPr>
        <w:footnoteReference w:id="5"/>
      </w:r>
      <w:r w:rsidRPr="002B13A6">
        <w:rPr>
          <w:rFonts w:ascii="Times New Roman" w:hAnsi="Times New Roman" w:cs="Times New Roman"/>
          <w:sz w:val="24"/>
          <w:szCs w:val="24"/>
        </w:rPr>
        <w:t xml:space="preserve"> it is important to establish a consistent, global approach to assessing systemically important CCPs that would ensure comparability across jurisdictions and minimize the risk of divergences between various regimes in addressing CCP-related systemic risk concerns</w:t>
      </w:r>
      <w:r w:rsidR="004B6C80">
        <w:rPr>
          <w:rFonts w:ascii="Times New Roman" w:hAnsi="Times New Roman" w:cs="Times New Roman"/>
          <w:sz w:val="24"/>
          <w:szCs w:val="24"/>
        </w:rPr>
        <w:t>.</w:t>
      </w:r>
    </w:p>
    <w:p w14:paraId="7E618962" w14:textId="77777777" w:rsidR="008521F5" w:rsidRPr="00497E15" w:rsidRDefault="008521F5" w:rsidP="00115886">
      <w:pPr>
        <w:spacing w:after="0" w:line="240" w:lineRule="auto"/>
        <w:rPr>
          <w:rFonts w:ascii="Times New Roman" w:hAnsi="Times New Roman" w:cs="Times New Roman"/>
          <w:b/>
          <w:bCs/>
          <w:sz w:val="24"/>
          <w:szCs w:val="24"/>
        </w:rPr>
      </w:pPr>
    </w:p>
    <w:p w14:paraId="7EE062AB" w14:textId="77777777" w:rsidR="006315EC" w:rsidRDefault="003D004A" w:rsidP="001158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While we largely agree with the Commission’s proposed approach to regulating non-U.S. CCPs, there is one aspect </w:t>
      </w:r>
      <w:r w:rsidR="00D46CF7">
        <w:rPr>
          <w:rFonts w:ascii="Times New Roman" w:hAnsi="Times New Roman" w:cs="Times New Roman"/>
          <w:sz w:val="24"/>
          <w:szCs w:val="24"/>
        </w:rPr>
        <w:t xml:space="preserve">of the Proposal that </w:t>
      </w:r>
      <w:r>
        <w:rPr>
          <w:rFonts w:ascii="Times New Roman" w:hAnsi="Times New Roman" w:cs="Times New Roman"/>
          <w:sz w:val="24"/>
          <w:szCs w:val="24"/>
        </w:rPr>
        <w:t>deserv</w:t>
      </w:r>
      <w:r w:rsidR="00D46CF7">
        <w:rPr>
          <w:rFonts w:ascii="Times New Roman" w:hAnsi="Times New Roman" w:cs="Times New Roman"/>
          <w:sz w:val="24"/>
          <w:szCs w:val="24"/>
        </w:rPr>
        <w:t>es</w:t>
      </w:r>
      <w:r>
        <w:rPr>
          <w:rFonts w:ascii="Times New Roman" w:hAnsi="Times New Roman" w:cs="Times New Roman"/>
          <w:sz w:val="24"/>
          <w:szCs w:val="24"/>
        </w:rPr>
        <w:t xml:space="preserve"> comment</w:t>
      </w:r>
      <w:r w:rsidR="00D46CF7">
        <w:rPr>
          <w:rFonts w:ascii="Times New Roman" w:hAnsi="Times New Roman" w:cs="Times New Roman"/>
          <w:sz w:val="24"/>
          <w:szCs w:val="24"/>
        </w:rPr>
        <w:t xml:space="preserve">—the proposed test </w:t>
      </w:r>
      <w:r w:rsidR="00685C12">
        <w:rPr>
          <w:rFonts w:ascii="Times New Roman" w:hAnsi="Times New Roman" w:cs="Times New Roman"/>
          <w:sz w:val="24"/>
          <w:szCs w:val="24"/>
        </w:rPr>
        <w:t xml:space="preserve">for </w:t>
      </w:r>
      <w:r>
        <w:rPr>
          <w:rFonts w:ascii="Times New Roman" w:hAnsi="Times New Roman" w:cs="Times New Roman"/>
          <w:sz w:val="24"/>
          <w:szCs w:val="24"/>
        </w:rPr>
        <w:t xml:space="preserve">determining </w:t>
      </w:r>
      <w:r w:rsidR="00685C12">
        <w:rPr>
          <w:rFonts w:ascii="Times New Roman" w:hAnsi="Times New Roman" w:cs="Times New Roman"/>
          <w:sz w:val="24"/>
          <w:szCs w:val="24"/>
        </w:rPr>
        <w:t xml:space="preserve">whether a </w:t>
      </w:r>
      <w:r>
        <w:rPr>
          <w:rFonts w:ascii="Times New Roman" w:hAnsi="Times New Roman" w:cs="Times New Roman"/>
          <w:sz w:val="24"/>
          <w:szCs w:val="24"/>
        </w:rPr>
        <w:t xml:space="preserve">non-U.S. </w:t>
      </w:r>
      <w:r w:rsidR="00685C12">
        <w:rPr>
          <w:rFonts w:ascii="Times New Roman" w:hAnsi="Times New Roman" w:cs="Times New Roman"/>
          <w:sz w:val="24"/>
          <w:szCs w:val="24"/>
        </w:rPr>
        <w:t>CCP poses significan</w:t>
      </w:r>
      <w:r>
        <w:rPr>
          <w:rFonts w:ascii="Times New Roman" w:hAnsi="Times New Roman" w:cs="Times New Roman"/>
          <w:sz w:val="24"/>
          <w:szCs w:val="24"/>
        </w:rPr>
        <w:t>t</w:t>
      </w:r>
      <w:r w:rsidR="00685C12">
        <w:rPr>
          <w:rFonts w:ascii="Times New Roman" w:hAnsi="Times New Roman" w:cs="Times New Roman"/>
          <w:sz w:val="24"/>
          <w:szCs w:val="24"/>
        </w:rPr>
        <w:t xml:space="preserve"> </w:t>
      </w:r>
      <w:r>
        <w:rPr>
          <w:rFonts w:ascii="Times New Roman" w:hAnsi="Times New Roman" w:cs="Times New Roman"/>
          <w:sz w:val="24"/>
          <w:szCs w:val="24"/>
        </w:rPr>
        <w:t xml:space="preserve">risk </w:t>
      </w:r>
      <w:r w:rsidR="00685C12">
        <w:rPr>
          <w:rFonts w:ascii="Times New Roman" w:hAnsi="Times New Roman" w:cs="Times New Roman"/>
          <w:sz w:val="24"/>
          <w:szCs w:val="24"/>
        </w:rPr>
        <w:t>to the U.S. financial system</w:t>
      </w:r>
      <w:r w:rsidR="00C429AF">
        <w:rPr>
          <w:rStyle w:val="FootnoteReference"/>
          <w:rFonts w:ascii="Times New Roman" w:hAnsi="Times New Roman" w:cs="Times New Roman"/>
          <w:sz w:val="24"/>
          <w:szCs w:val="24"/>
        </w:rPr>
        <w:footnoteReference w:id="6"/>
      </w:r>
      <w:r w:rsidR="00685C12">
        <w:rPr>
          <w:rFonts w:ascii="Times New Roman" w:hAnsi="Times New Roman" w:cs="Times New Roman"/>
          <w:sz w:val="24"/>
          <w:szCs w:val="24"/>
        </w:rPr>
        <w:t xml:space="preserve"> and therefor</w:t>
      </w:r>
      <w:r w:rsidR="00054200">
        <w:rPr>
          <w:rFonts w:ascii="Times New Roman" w:hAnsi="Times New Roman" w:cs="Times New Roman"/>
          <w:sz w:val="24"/>
          <w:szCs w:val="24"/>
        </w:rPr>
        <w:t>e would</w:t>
      </w:r>
      <w:r w:rsidR="00B562DA">
        <w:rPr>
          <w:rFonts w:ascii="Times New Roman" w:hAnsi="Times New Roman" w:cs="Times New Roman"/>
          <w:sz w:val="24"/>
          <w:szCs w:val="24"/>
        </w:rPr>
        <w:t xml:space="preserve"> </w:t>
      </w:r>
      <w:r w:rsidR="00685C12">
        <w:rPr>
          <w:rFonts w:ascii="Times New Roman" w:hAnsi="Times New Roman" w:cs="Times New Roman"/>
          <w:sz w:val="24"/>
          <w:szCs w:val="24"/>
        </w:rPr>
        <w:t xml:space="preserve">not be permitted to apply for the proposed alternative compliance regime. </w:t>
      </w:r>
      <w:r w:rsidR="00C429AF">
        <w:rPr>
          <w:rFonts w:ascii="Times New Roman" w:hAnsi="Times New Roman" w:cs="Times New Roman"/>
          <w:sz w:val="24"/>
          <w:szCs w:val="24"/>
        </w:rPr>
        <w:t>The test under the Proposal is that:</w:t>
      </w:r>
      <w:r w:rsidR="006315EC">
        <w:rPr>
          <w:rFonts w:ascii="Times New Roman" w:hAnsi="Times New Roman" w:cs="Times New Roman"/>
          <w:sz w:val="24"/>
          <w:szCs w:val="24"/>
        </w:rPr>
        <w:t xml:space="preserve"> </w:t>
      </w:r>
      <w:r w:rsidR="006315EC" w:rsidRPr="007F5718">
        <w:rPr>
          <w:rFonts w:ascii="Times New Roman" w:hAnsi="Times New Roman" w:cs="Times New Roman"/>
          <w:sz w:val="24"/>
          <w:szCs w:val="24"/>
        </w:rPr>
        <w:t xml:space="preserve">(1) the DCO </w:t>
      </w:r>
      <w:r w:rsidR="00C429AF">
        <w:rPr>
          <w:rFonts w:ascii="Times New Roman" w:hAnsi="Times New Roman" w:cs="Times New Roman"/>
          <w:sz w:val="24"/>
          <w:szCs w:val="24"/>
        </w:rPr>
        <w:t xml:space="preserve">must not </w:t>
      </w:r>
      <w:r w:rsidR="006315EC" w:rsidRPr="007F5718">
        <w:rPr>
          <w:rFonts w:ascii="Times New Roman" w:hAnsi="Times New Roman" w:cs="Times New Roman"/>
          <w:sz w:val="24"/>
          <w:szCs w:val="24"/>
        </w:rPr>
        <w:t xml:space="preserve">hold 20% or more of the required initial margin of U.S. clearing members for swaps across all registered or exempt DCOs; and/or (2) 20% or more of the initial margin requirements for swaps at that DCO </w:t>
      </w:r>
      <w:r w:rsidR="00C429AF">
        <w:rPr>
          <w:rFonts w:ascii="Times New Roman" w:hAnsi="Times New Roman" w:cs="Times New Roman"/>
          <w:sz w:val="24"/>
          <w:szCs w:val="24"/>
        </w:rPr>
        <w:t>must not be</w:t>
      </w:r>
      <w:r w:rsidR="006315EC" w:rsidRPr="007F5718">
        <w:rPr>
          <w:rFonts w:ascii="Times New Roman" w:hAnsi="Times New Roman" w:cs="Times New Roman"/>
          <w:sz w:val="24"/>
          <w:szCs w:val="24"/>
        </w:rPr>
        <w:t xml:space="preserve"> attributable to U.S. clearing members</w:t>
      </w:r>
      <w:r w:rsidR="006315EC">
        <w:rPr>
          <w:rFonts w:ascii="Times New Roman" w:hAnsi="Times New Roman" w:cs="Times New Roman"/>
          <w:sz w:val="24"/>
          <w:szCs w:val="24"/>
        </w:rPr>
        <w:t>.</w:t>
      </w:r>
      <w:r w:rsidR="006315EC">
        <w:rPr>
          <w:rStyle w:val="FootnoteReference"/>
          <w:rFonts w:ascii="Times New Roman" w:hAnsi="Times New Roman" w:cs="Times New Roman"/>
          <w:sz w:val="24"/>
          <w:szCs w:val="24"/>
        </w:rPr>
        <w:footnoteReference w:id="7"/>
      </w:r>
    </w:p>
    <w:p w14:paraId="013633E2" w14:textId="77777777" w:rsidR="006315EC" w:rsidRDefault="006315EC" w:rsidP="00115886">
      <w:pPr>
        <w:spacing w:after="0" w:line="240" w:lineRule="auto"/>
        <w:rPr>
          <w:rFonts w:ascii="Times New Roman" w:hAnsi="Times New Roman" w:cs="Times New Roman"/>
          <w:sz w:val="24"/>
          <w:szCs w:val="24"/>
        </w:rPr>
      </w:pPr>
    </w:p>
    <w:p w14:paraId="17711F06" w14:textId="77777777" w:rsidR="00F01432" w:rsidRDefault="0018073A" w:rsidP="00BB54AE">
      <w:pPr>
        <w:spacing w:after="0" w:line="240" w:lineRule="auto"/>
        <w:rPr>
          <w:rFonts w:ascii="Times New Roman" w:hAnsi="Times New Roman" w:cs="Times New Roman"/>
          <w:sz w:val="24"/>
          <w:szCs w:val="24"/>
        </w:rPr>
      </w:pPr>
      <w:r>
        <w:rPr>
          <w:rFonts w:ascii="Times New Roman" w:hAnsi="Times New Roman" w:cs="Times New Roman"/>
          <w:sz w:val="24"/>
          <w:szCs w:val="24"/>
        </w:rPr>
        <w:t>W</w:t>
      </w:r>
      <w:r w:rsidR="006315EC">
        <w:rPr>
          <w:rFonts w:ascii="Times New Roman" w:hAnsi="Times New Roman" w:cs="Times New Roman"/>
          <w:sz w:val="24"/>
          <w:szCs w:val="24"/>
        </w:rPr>
        <w:t>e are gene</w:t>
      </w:r>
      <w:r w:rsidR="006315EC" w:rsidRPr="00FC4289">
        <w:rPr>
          <w:rFonts w:ascii="Times New Roman" w:hAnsi="Times New Roman" w:cs="Times New Roman"/>
          <w:sz w:val="24"/>
          <w:szCs w:val="24"/>
        </w:rPr>
        <w:t xml:space="preserve">rally supportive </w:t>
      </w:r>
      <w:r w:rsidR="00D46CF7" w:rsidRPr="00FC4289">
        <w:rPr>
          <w:rFonts w:ascii="Times New Roman" w:hAnsi="Times New Roman" w:cs="Times New Roman"/>
          <w:sz w:val="24"/>
          <w:szCs w:val="24"/>
        </w:rPr>
        <w:t xml:space="preserve">of </w:t>
      </w:r>
      <w:r w:rsidR="006315EC" w:rsidRPr="00FC4289">
        <w:rPr>
          <w:rFonts w:ascii="Times New Roman" w:hAnsi="Times New Roman" w:cs="Times New Roman"/>
          <w:sz w:val="24"/>
          <w:szCs w:val="24"/>
        </w:rPr>
        <w:t>clear thresholds for determining whether a CCP poses substantial risk to the U.S. financial</w:t>
      </w:r>
      <w:r w:rsidR="00F71ECD" w:rsidRPr="00FC4289">
        <w:rPr>
          <w:rFonts w:ascii="Times New Roman" w:hAnsi="Times New Roman" w:cs="Times New Roman"/>
          <w:sz w:val="24"/>
          <w:szCs w:val="24"/>
        </w:rPr>
        <w:t xml:space="preserve"> system</w:t>
      </w:r>
      <w:r>
        <w:rPr>
          <w:rFonts w:ascii="Times New Roman" w:hAnsi="Times New Roman" w:cs="Times New Roman"/>
          <w:sz w:val="24"/>
          <w:szCs w:val="24"/>
        </w:rPr>
        <w:t>.</w:t>
      </w:r>
      <w:r w:rsidR="00D73B9C" w:rsidRPr="00FC4289">
        <w:rPr>
          <w:rFonts w:ascii="Times New Roman" w:hAnsi="Times New Roman" w:cs="Times New Roman"/>
          <w:sz w:val="24"/>
          <w:szCs w:val="24"/>
        </w:rPr>
        <w:t xml:space="preserve"> </w:t>
      </w:r>
      <w:r>
        <w:rPr>
          <w:rFonts w:ascii="Times New Roman" w:hAnsi="Times New Roman" w:cs="Times New Roman"/>
          <w:sz w:val="24"/>
          <w:szCs w:val="24"/>
        </w:rPr>
        <w:t>W</w:t>
      </w:r>
      <w:r w:rsidR="00D73B9C" w:rsidRPr="00FC4289">
        <w:rPr>
          <w:rFonts w:ascii="Times New Roman" w:hAnsi="Times New Roman" w:cs="Times New Roman"/>
          <w:sz w:val="24"/>
          <w:szCs w:val="24"/>
        </w:rPr>
        <w:t xml:space="preserve">e </w:t>
      </w:r>
      <w:r w:rsidR="00554C0F" w:rsidRPr="00FC4289">
        <w:rPr>
          <w:rFonts w:ascii="Times New Roman" w:hAnsi="Times New Roman" w:cs="Times New Roman"/>
          <w:sz w:val="24"/>
          <w:szCs w:val="24"/>
        </w:rPr>
        <w:t xml:space="preserve">are </w:t>
      </w:r>
      <w:r w:rsidR="00D73B9C" w:rsidRPr="00FC4289">
        <w:rPr>
          <w:rFonts w:ascii="Times New Roman" w:hAnsi="Times New Roman" w:cs="Times New Roman"/>
          <w:sz w:val="24"/>
          <w:szCs w:val="24"/>
        </w:rPr>
        <w:t>concerned</w:t>
      </w:r>
      <w:r>
        <w:rPr>
          <w:rFonts w:ascii="Times New Roman" w:hAnsi="Times New Roman" w:cs="Times New Roman"/>
          <w:sz w:val="24"/>
          <w:szCs w:val="24"/>
        </w:rPr>
        <w:t>, however,</w:t>
      </w:r>
      <w:r w:rsidR="00D73B9C" w:rsidRPr="00FC4289">
        <w:rPr>
          <w:rFonts w:ascii="Times New Roman" w:hAnsi="Times New Roman" w:cs="Times New Roman"/>
          <w:sz w:val="24"/>
          <w:szCs w:val="24"/>
        </w:rPr>
        <w:t xml:space="preserve"> that the second prong of the test</w:t>
      </w:r>
      <w:r w:rsidR="006315EC" w:rsidRPr="00FC4289">
        <w:rPr>
          <w:rFonts w:ascii="Times New Roman" w:hAnsi="Times New Roman" w:cs="Times New Roman"/>
          <w:sz w:val="24"/>
          <w:szCs w:val="24"/>
        </w:rPr>
        <w:t xml:space="preserve"> misses the mark </w:t>
      </w:r>
      <w:r w:rsidR="00554C0F" w:rsidRPr="00FC4289">
        <w:rPr>
          <w:rFonts w:ascii="Times New Roman" w:hAnsi="Times New Roman" w:cs="Times New Roman"/>
          <w:sz w:val="24"/>
          <w:szCs w:val="24"/>
        </w:rPr>
        <w:t xml:space="preserve">in </w:t>
      </w:r>
      <w:r w:rsidR="00D46CF7" w:rsidRPr="00FC4289">
        <w:rPr>
          <w:rFonts w:ascii="Times New Roman" w:hAnsi="Times New Roman" w:cs="Times New Roman"/>
          <w:sz w:val="24"/>
          <w:szCs w:val="24"/>
        </w:rPr>
        <w:t>assessing</w:t>
      </w:r>
      <w:r w:rsidR="00554C0F" w:rsidRPr="00FC4289">
        <w:rPr>
          <w:rFonts w:ascii="Times New Roman" w:hAnsi="Times New Roman" w:cs="Times New Roman"/>
          <w:sz w:val="24"/>
          <w:szCs w:val="24"/>
        </w:rPr>
        <w:t xml:space="preserve"> whether a CCP poses substantial risk to the U.S. financial system</w:t>
      </w:r>
      <w:r w:rsidR="00F71ECD" w:rsidRPr="00FC4289">
        <w:rPr>
          <w:rFonts w:ascii="Times New Roman" w:hAnsi="Times New Roman" w:cs="Times New Roman"/>
          <w:sz w:val="24"/>
          <w:szCs w:val="24"/>
        </w:rPr>
        <w:t xml:space="preserve">. The second prong </w:t>
      </w:r>
      <w:r w:rsidR="006315EC" w:rsidRPr="00FC4289">
        <w:rPr>
          <w:rFonts w:ascii="Times New Roman" w:hAnsi="Times New Roman" w:cs="Times New Roman"/>
          <w:sz w:val="24"/>
          <w:szCs w:val="24"/>
        </w:rPr>
        <w:t>does not gauge the risk of the relevant CCP to the U.S. financial system, but rather signifies the importance of U.S. clearing members to</w:t>
      </w:r>
      <w:r w:rsidR="00BD46F1" w:rsidRPr="00FC4289">
        <w:rPr>
          <w:rFonts w:ascii="Times New Roman" w:hAnsi="Times New Roman" w:cs="Times New Roman"/>
          <w:sz w:val="24"/>
          <w:szCs w:val="24"/>
        </w:rPr>
        <w:t xml:space="preserve"> a particular</w:t>
      </w:r>
      <w:r w:rsidR="006315EC" w:rsidRPr="00FC4289">
        <w:rPr>
          <w:rFonts w:ascii="Times New Roman" w:hAnsi="Times New Roman" w:cs="Times New Roman"/>
          <w:sz w:val="24"/>
          <w:szCs w:val="24"/>
        </w:rPr>
        <w:t xml:space="preserve"> CCP. </w:t>
      </w:r>
      <w:r w:rsidR="00DE37B0" w:rsidRPr="00FC4289">
        <w:rPr>
          <w:rFonts w:ascii="Times New Roman" w:hAnsi="Times New Roman" w:cs="Times New Roman"/>
          <w:sz w:val="24"/>
          <w:szCs w:val="24"/>
        </w:rPr>
        <w:t>Therefore, it may</w:t>
      </w:r>
      <w:r w:rsidR="006315EC" w:rsidRPr="00FC4289">
        <w:rPr>
          <w:rFonts w:ascii="Times New Roman" w:hAnsi="Times New Roman" w:cs="Times New Roman"/>
          <w:sz w:val="24"/>
          <w:szCs w:val="24"/>
        </w:rPr>
        <w:t xml:space="preserve"> capture smaller-sized DCOs </w:t>
      </w:r>
      <w:r w:rsidR="00BD46F1" w:rsidRPr="00FC4289">
        <w:rPr>
          <w:rFonts w:ascii="Times New Roman" w:hAnsi="Times New Roman" w:cs="Times New Roman"/>
          <w:sz w:val="24"/>
          <w:szCs w:val="24"/>
        </w:rPr>
        <w:t xml:space="preserve">due to </w:t>
      </w:r>
      <w:r w:rsidR="006315EC" w:rsidRPr="00FC4289">
        <w:rPr>
          <w:rFonts w:ascii="Times New Roman" w:hAnsi="Times New Roman" w:cs="Times New Roman"/>
          <w:sz w:val="24"/>
          <w:szCs w:val="24"/>
        </w:rPr>
        <w:t xml:space="preserve">the large global presence of </w:t>
      </w:r>
      <w:r w:rsidR="00054200" w:rsidRPr="00FC4289">
        <w:rPr>
          <w:rFonts w:ascii="Times New Roman" w:hAnsi="Times New Roman" w:cs="Times New Roman"/>
          <w:sz w:val="24"/>
          <w:szCs w:val="24"/>
        </w:rPr>
        <w:t>U.S. banking groups</w:t>
      </w:r>
      <w:r w:rsidR="00762E09" w:rsidRPr="00FC4289">
        <w:rPr>
          <w:rFonts w:ascii="Times New Roman" w:hAnsi="Times New Roman" w:cs="Times New Roman"/>
          <w:sz w:val="24"/>
          <w:szCs w:val="24"/>
        </w:rPr>
        <w:t>, including foreign branches of U.S. bank</w:t>
      </w:r>
      <w:r w:rsidR="00D9702A">
        <w:rPr>
          <w:rFonts w:ascii="Times New Roman" w:hAnsi="Times New Roman" w:cs="Times New Roman"/>
          <w:sz w:val="24"/>
          <w:szCs w:val="24"/>
        </w:rPr>
        <w:t>ing groups</w:t>
      </w:r>
      <w:r w:rsidR="006315EC" w:rsidRPr="00FC4289">
        <w:rPr>
          <w:rFonts w:ascii="Times New Roman" w:hAnsi="Times New Roman" w:cs="Times New Roman"/>
          <w:sz w:val="24"/>
          <w:szCs w:val="24"/>
        </w:rPr>
        <w:t>.</w:t>
      </w:r>
      <w:r w:rsidR="004833CC" w:rsidRPr="00FC4289">
        <w:rPr>
          <w:rFonts w:ascii="Times New Roman" w:hAnsi="Times New Roman" w:cs="Times New Roman"/>
          <w:sz w:val="24"/>
          <w:szCs w:val="24"/>
        </w:rPr>
        <w:t xml:space="preserve"> </w:t>
      </w:r>
      <w:r w:rsidR="00BB54AE">
        <w:rPr>
          <w:rFonts w:ascii="Times New Roman" w:hAnsi="Times New Roman" w:cs="Times New Roman"/>
          <w:sz w:val="24"/>
          <w:szCs w:val="24"/>
        </w:rPr>
        <w:t>A</w:t>
      </w:r>
      <w:r w:rsidR="00BB54AE" w:rsidRPr="004833CC">
        <w:rPr>
          <w:rFonts w:ascii="Times New Roman" w:hAnsi="Times New Roman" w:cs="Times New Roman"/>
          <w:sz w:val="24"/>
          <w:szCs w:val="24"/>
        </w:rPr>
        <w:t xml:space="preserve"> small CCP with very few clearing members and minimum exposure to the U</w:t>
      </w:r>
      <w:r w:rsidR="00BB54AE">
        <w:rPr>
          <w:rFonts w:ascii="Times New Roman" w:hAnsi="Times New Roman" w:cs="Times New Roman"/>
          <w:sz w:val="24"/>
          <w:szCs w:val="24"/>
        </w:rPr>
        <w:t>.</w:t>
      </w:r>
      <w:r w:rsidR="00BB54AE" w:rsidRPr="004833CC">
        <w:rPr>
          <w:rFonts w:ascii="Times New Roman" w:hAnsi="Times New Roman" w:cs="Times New Roman"/>
          <w:sz w:val="24"/>
          <w:szCs w:val="24"/>
        </w:rPr>
        <w:t>S</w:t>
      </w:r>
      <w:r w:rsidR="00BB54AE">
        <w:rPr>
          <w:rFonts w:ascii="Times New Roman" w:hAnsi="Times New Roman" w:cs="Times New Roman"/>
          <w:sz w:val="24"/>
          <w:szCs w:val="24"/>
        </w:rPr>
        <w:t>.</w:t>
      </w:r>
      <w:r w:rsidR="00BB54AE" w:rsidRPr="004833CC">
        <w:rPr>
          <w:rFonts w:ascii="Times New Roman" w:hAnsi="Times New Roman" w:cs="Times New Roman"/>
          <w:sz w:val="24"/>
          <w:szCs w:val="24"/>
        </w:rPr>
        <w:t xml:space="preserve"> financial system </w:t>
      </w:r>
      <w:r w:rsidR="00BB54AE">
        <w:rPr>
          <w:rFonts w:ascii="Times New Roman" w:hAnsi="Times New Roman" w:cs="Times New Roman"/>
          <w:sz w:val="24"/>
          <w:szCs w:val="24"/>
        </w:rPr>
        <w:t>may be deemed as having “substantial risk” s</w:t>
      </w:r>
      <w:r w:rsidR="00BB54AE" w:rsidRPr="004833CC">
        <w:rPr>
          <w:rFonts w:ascii="Times New Roman" w:hAnsi="Times New Roman" w:cs="Times New Roman"/>
          <w:sz w:val="24"/>
          <w:szCs w:val="24"/>
        </w:rPr>
        <w:t>imply because</w:t>
      </w:r>
      <w:r w:rsidR="00BB54AE">
        <w:rPr>
          <w:rFonts w:ascii="Times New Roman" w:hAnsi="Times New Roman" w:cs="Times New Roman"/>
          <w:sz w:val="24"/>
          <w:szCs w:val="24"/>
        </w:rPr>
        <w:t xml:space="preserve"> </w:t>
      </w:r>
      <w:r w:rsidR="00BB54AE" w:rsidRPr="008B3C98">
        <w:rPr>
          <w:rFonts w:ascii="Times New Roman" w:hAnsi="Times New Roman" w:cs="Times New Roman"/>
          <w:sz w:val="24"/>
          <w:szCs w:val="24"/>
        </w:rPr>
        <w:t xml:space="preserve">20% or more of the initial margin </w:t>
      </w:r>
      <w:r w:rsidR="00BB54AE">
        <w:rPr>
          <w:rFonts w:ascii="Times New Roman" w:hAnsi="Times New Roman" w:cs="Times New Roman"/>
          <w:sz w:val="24"/>
          <w:szCs w:val="24"/>
        </w:rPr>
        <w:t>collected is</w:t>
      </w:r>
      <w:r w:rsidR="00BB54AE" w:rsidRPr="008B3C98">
        <w:rPr>
          <w:rFonts w:ascii="Times New Roman" w:hAnsi="Times New Roman" w:cs="Times New Roman"/>
          <w:sz w:val="24"/>
          <w:szCs w:val="24"/>
        </w:rPr>
        <w:t xml:space="preserve"> attributed to U.S. clearing members</w:t>
      </w:r>
      <w:r w:rsidR="00BB54AE">
        <w:rPr>
          <w:rFonts w:ascii="Times New Roman" w:hAnsi="Times New Roman" w:cs="Times New Roman"/>
          <w:sz w:val="24"/>
          <w:szCs w:val="24"/>
        </w:rPr>
        <w:t xml:space="preserve">. </w:t>
      </w:r>
    </w:p>
    <w:p w14:paraId="69BFEC50" w14:textId="77777777" w:rsidR="00F01432" w:rsidRDefault="00F01432" w:rsidP="00BB54AE">
      <w:pPr>
        <w:spacing w:after="0" w:line="240" w:lineRule="auto"/>
        <w:rPr>
          <w:rFonts w:ascii="Times New Roman" w:hAnsi="Times New Roman" w:cs="Times New Roman"/>
          <w:sz w:val="24"/>
          <w:szCs w:val="24"/>
        </w:rPr>
      </w:pPr>
    </w:p>
    <w:p w14:paraId="02D9BB2E" w14:textId="2E5B98A0" w:rsidR="00BB54AE" w:rsidRDefault="00BB54AE" w:rsidP="00BB54AE">
      <w:pPr>
        <w:spacing w:after="0" w:line="240" w:lineRule="auto"/>
        <w:rPr>
          <w:rFonts w:ascii="Times New Roman" w:hAnsi="Times New Roman" w:cs="Times New Roman"/>
          <w:sz w:val="24"/>
          <w:szCs w:val="24"/>
        </w:rPr>
      </w:pPr>
      <w:r w:rsidRPr="008B3C98">
        <w:rPr>
          <w:rFonts w:ascii="Times New Roman" w:hAnsi="Times New Roman" w:cs="Times New Roman"/>
          <w:sz w:val="24"/>
          <w:szCs w:val="24"/>
        </w:rPr>
        <w:t>For example</w:t>
      </w:r>
      <w:r>
        <w:rPr>
          <w:rFonts w:ascii="Times New Roman" w:hAnsi="Times New Roman" w:cs="Times New Roman"/>
          <w:sz w:val="24"/>
          <w:szCs w:val="24"/>
        </w:rPr>
        <w:t>,</w:t>
      </w:r>
      <w:r w:rsidRPr="008B3C98">
        <w:rPr>
          <w:rFonts w:ascii="Times New Roman" w:hAnsi="Times New Roman" w:cs="Times New Roman"/>
          <w:sz w:val="24"/>
          <w:szCs w:val="24"/>
        </w:rPr>
        <w:t xml:space="preserve"> a DCO </w:t>
      </w:r>
      <w:r>
        <w:rPr>
          <w:rFonts w:ascii="Times New Roman" w:hAnsi="Times New Roman" w:cs="Times New Roman"/>
          <w:sz w:val="24"/>
          <w:szCs w:val="24"/>
        </w:rPr>
        <w:t>may have a</w:t>
      </w:r>
      <w:r w:rsidRPr="008B3C98">
        <w:rPr>
          <w:rFonts w:ascii="Times New Roman" w:hAnsi="Times New Roman" w:cs="Times New Roman"/>
          <w:sz w:val="24"/>
          <w:szCs w:val="24"/>
        </w:rPr>
        <w:t xml:space="preserve"> total of $100</w:t>
      </w:r>
      <w:r>
        <w:rPr>
          <w:rFonts w:ascii="Times New Roman" w:hAnsi="Times New Roman" w:cs="Times New Roman"/>
          <w:sz w:val="24"/>
          <w:szCs w:val="24"/>
        </w:rPr>
        <w:t xml:space="preserve"> million</w:t>
      </w:r>
      <w:r w:rsidRPr="008B3C98">
        <w:rPr>
          <w:rFonts w:ascii="Times New Roman" w:hAnsi="Times New Roman" w:cs="Times New Roman"/>
          <w:sz w:val="24"/>
          <w:szCs w:val="24"/>
        </w:rPr>
        <w:t xml:space="preserve"> in initial margin with $2</w:t>
      </w:r>
      <w:r>
        <w:rPr>
          <w:rFonts w:ascii="Times New Roman" w:hAnsi="Times New Roman" w:cs="Times New Roman"/>
          <w:sz w:val="24"/>
          <w:szCs w:val="24"/>
        </w:rPr>
        <w:t>1 million</w:t>
      </w:r>
      <w:r w:rsidRPr="008B3C98">
        <w:rPr>
          <w:rFonts w:ascii="Times New Roman" w:hAnsi="Times New Roman" w:cs="Times New Roman"/>
          <w:sz w:val="24"/>
          <w:szCs w:val="24"/>
        </w:rPr>
        <w:t xml:space="preserve"> initial margin attributed to a U.S. clearing member</w:t>
      </w:r>
      <w:r>
        <w:rPr>
          <w:rFonts w:ascii="Times New Roman" w:hAnsi="Times New Roman" w:cs="Times New Roman"/>
          <w:sz w:val="24"/>
          <w:szCs w:val="24"/>
        </w:rPr>
        <w:t>.</w:t>
      </w:r>
      <w:r w:rsidRPr="008B3C98">
        <w:rPr>
          <w:rFonts w:ascii="Times New Roman" w:hAnsi="Times New Roman" w:cs="Times New Roman"/>
          <w:sz w:val="24"/>
          <w:szCs w:val="24"/>
        </w:rPr>
        <w:t xml:space="preserve"> In this case, the U.S. clearing member’s position does not pose systemic risk to U.S. markets.</w:t>
      </w:r>
      <w:r w:rsidR="00157B41">
        <w:rPr>
          <w:rFonts w:ascii="Times New Roman" w:hAnsi="Times New Roman" w:cs="Times New Roman"/>
          <w:sz w:val="24"/>
          <w:szCs w:val="24"/>
        </w:rPr>
        <w:t xml:space="preserve"> Additionally, the second prong may incentivize non-U.S. CCPs </w:t>
      </w:r>
      <w:r w:rsidR="00157B41" w:rsidRPr="00CE6FDE">
        <w:rPr>
          <w:rFonts w:ascii="Times New Roman" w:hAnsi="Times New Roman" w:cs="Times New Roman"/>
          <w:sz w:val="24"/>
          <w:szCs w:val="24"/>
        </w:rPr>
        <w:t>to limit</w:t>
      </w:r>
      <w:r w:rsidR="00157B41">
        <w:rPr>
          <w:rFonts w:ascii="Times New Roman" w:hAnsi="Times New Roman" w:cs="Times New Roman"/>
          <w:sz w:val="24"/>
          <w:szCs w:val="24"/>
        </w:rPr>
        <w:t>,</w:t>
      </w:r>
      <w:r w:rsidR="00157B41" w:rsidRPr="00CE6FDE">
        <w:rPr>
          <w:rFonts w:ascii="Times New Roman" w:hAnsi="Times New Roman" w:cs="Times New Roman"/>
          <w:sz w:val="24"/>
          <w:szCs w:val="24"/>
        </w:rPr>
        <w:t xml:space="preserve"> or </w:t>
      </w:r>
      <w:r w:rsidR="00157B41">
        <w:rPr>
          <w:rFonts w:ascii="Times New Roman" w:hAnsi="Times New Roman" w:cs="Times New Roman"/>
          <w:sz w:val="24"/>
          <w:szCs w:val="24"/>
        </w:rPr>
        <w:t>put a</w:t>
      </w:r>
      <w:r w:rsidR="00157B41" w:rsidRPr="00CE6FDE">
        <w:rPr>
          <w:rFonts w:ascii="Times New Roman" w:hAnsi="Times New Roman" w:cs="Times New Roman"/>
          <w:sz w:val="24"/>
          <w:szCs w:val="24"/>
        </w:rPr>
        <w:t xml:space="preserve"> cap </w:t>
      </w:r>
      <w:r w:rsidR="00157B41">
        <w:rPr>
          <w:rFonts w:ascii="Times New Roman" w:hAnsi="Times New Roman" w:cs="Times New Roman"/>
          <w:sz w:val="24"/>
          <w:szCs w:val="24"/>
        </w:rPr>
        <w:t xml:space="preserve">on, </w:t>
      </w:r>
      <w:r w:rsidR="00157B41" w:rsidRPr="00CE6FDE">
        <w:rPr>
          <w:rFonts w:ascii="Times New Roman" w:hAnsi="Times New Roman" w:cs="Times New Roman"/>
          <w:sz w:val="24"/>
          <w:szCs w:val="24"/>
        </w:rPr>
        <w:t>clearing for U</w:t>
      </w:r>
      <w:r w:rsidR="00157B41">
        <w:rPr>
          <w:rFonts w:ascii="Times New Roman" w:hAnsi="Times New Roman" w:cs="Times New Roman"/>
          <w:sz w:val="24"/>
          <w:szCs w:val="24"/>
        </w:rPr>
        <w:t>.</w:t>
      </w:r>
      <w:r w:rsidR="00157B41" w:rsidRPr="00CE6FDE">
        <w:rPr>
          <w:rFonts w:ascii="Times New Roman" w:hAnsi="Times New Roman" w:cs="Times New Roman"/>
          <w:sz w:val="24"/>
          <w:szCs w:val="24"/>
        </w:rPr>
        <w:t>S</w:t>
      </w:r>
      <w:r w:rsidR="00157B41">
        <w:rPr>
          <w:rFonts w:ascii="Times New Roman" w:hAnsi="Times New Roman" w:cs="Times New Roman"/>
          <w:sz w:val="24"/>
          <w:szCs w:val="24"/>
        </w:rPr>
        <w:t>.</w:t>
      </w:r>
      <w:r w:rsidR="00157B41" w:rsidRPr="00CE6FDE">
        <w:rPr>
          <w:rFonts w:ascii="Times New Roman" w:hAnsi="Times New Roman" w:cs="Times New Roman"/>
          <w:sz w:val="24"/>
          <w:szCs w:val="24"/>
        </w:rPr>
        <w:t xml:space="preserve"> persons</w:t>
      </w:r>
      <w:r w:rsidR="00157B41">
        <w:rPr>
          <w:rFonts w:ascii="Times New Roman" w:hAnsi="Times New Roman" w:cs="Times New Roman"/>
          <w:sz w:val="24"/>
          <w:szCs w:val="24"/>
        </w:rPr>
        <w:t xml:space="preserve"> for fear of being designated as posing significant risk </w:t>
      </w:r>
      <w:r w:rsidR="00E7161C">
        <w:rPr>
          <w:rFonts w:ascii="Times New Roman" w:hAnsi="Times New Roman" w:cs="Times New Roman"/>
          <w:sz w:val="24"/>
          <w:szCs w:val="24"/>
        </w:rPr>
        <w:t xml:space="preserve">to the U.S. financial system </w:t>
      </w:r>
      <w:r w:rsidR="00157B41">
        <w:rPr>
          <w:rFonts w:ascii="Times New Roman" w:hAnsi="Times New Roman" w:cs="Times New Roman"/>
          <w:sz w:val="24"/>
          <w:szCs w:val="24"/>
        </w:rPr>
        <w:t>and thus coming into full scope of the DCO regime.</w:t>
      </w:r>
      <w:r w:rsidR="00240CAF" w:rsidRPr="00240CAF">
        <w:rPr>
          <w:rFonts w:ascii="Times New Roman" w:hAnsi="Times New Roman" w:cs="Times New Roman"/>
          <w:sz w:val="24"/>
          <w:szCs w:val="24"/>
          <w:lang w:eastAsia="ja-JP"/>
        </w:rPr>
        <w:t xml:space="preserve"> </w:t>
      </w:r>
      <w:r w:rsidR="00240CAF" w:rsidRPr="0014442D">
        <w:rPr>
          <w:rFonts w:ascii="Times New Roman" w:hAnsi="Times New Roman" w:cs="Times New Roman"/>
          <w:sz w:val="24"/>
          <w:szCs w:val="24"/>
          <w:lang w:eastAsia="ja-JP"/>
        </w:rPr>
        <w:t xml:space="preserve">This would be disadvantageous for U.S. banking groups, and could be </w:t>
      </w:r>
      <w:r w:rsidR="00F01432">
        <w:rPr>
          <w:rFonts w:ascii="Times New Roman" w:hAnsi="Times New Roman" w:cs="Times New Roman"/>
          <w:sz w:val="24"/>
          <w:szCs w:val="24"/>
          <w:lang w:eastAsia="ja-JP"/>
        </w:rPr>
        <w:t xml:space="preserve">viewed as violating </w:t>
      </w:r>
      <w:r w:rsidR="00240CAF" w:rsidRPr="0014442D">
        <w:rPr>
          <w:rFonts w:ascii="Times New Roman" w:hAnsi="Times New Roman" w:cs="Times New Roman"/>
          <w:sz w:val="24"/>
          <w:szCs w:val="24"/>
          <w:lang w:eastAsia="ja-JP"/>
        </w:rPr>
        <w:t>the spirit of the PFMI requirement</w:t>
      </w:r>
      <w:r w:rsidR="00F01432">
        <w:rPr>
          <w:rFonts w:ascii="Times New Roman" w:hAnsi="Times New Roman" w:cs="Times New Roman"/>
          <w:sz w:val="24"/>
          <w:szCs w:val="24"/>
          <w:lang w:eastAsia="ja-JP"/>
        </w:rPr>
        <w:t xml:space="preserve"> to provide</w:t>
      </w:r>
      <w:r w:rsidR="00240CAF" w:rsidRPr="0014442D">
        <w:rPr>
          <w:rFonts w:ascii="Times New Roman" w:hAnsi="Times New Roman" w:cs="Times New Roman"/>
          <w:sz w:val="24"/>
          <w:szCs w:val="24"/>
          <w:lang w:eastAsia="ja-JP"/>
        </w:rPr>
        <w:t xml:space="preserve"> non-discriminative treatment </w:t>
      </w:r>
      <w:r w:rsidR="009D517F">
        <w:rPr>
          <w:rFonts w:ascii="Times New Roman" w:hAnsi="Times New Roman" w:cs="Times New Roman"/>
          <w:sz w:val="24"/>
          <w:szCs w:val="24"/>
          <w:lang w:eastAsia="ja-JP"/>
        </w:rPr>
        <w:t xml:space="preserve">of </w:t>
      </w:r>
      <w:r w:rsidR="00240CAF" w:rsidRPr="0014442D">
        <w:rPr>
          <w:rFonts w:ascii="Times New Roman" w:hAnsi="Times New Roman" w:cs="Times New Roman"/>
          <w:sz w:val="24"/>
          <w:szCs w:val="24"/>
          <w:lang w:eastAsia="ja-JP"/>
        </w:rPr>
        <w:t>all clearing members.</w:t>
      </w:r>
      <w:r w:rsidR="00240CAF">
        <w:rPr>
          <w:rStyle w:val="FootnoteReference"/>
          <w:rFonts w:ascii="Times New Roman" w:hAnsi="Times New Roman" w:cs="Times New Roman"/>
          <w:sz w:val="24"/>
          <w:szCs w:val="24"/>
          <w:lang w:eastAsia="ja-JP"/>
        </w:rPr>
        <w:footnoteReference w:id="8"/>
      </w:r>
    </w:p>
    <w:p w14:paraId="75EE841D" w14:textId="77777777" w:rsidR="002D0267" w:rsidRDefault="002D0267" w:rsidP="00BB54AE">
      <w:pPr>
        <w:spacing w:after="0" w:line="240" w:lineRule="auto"/>
        <w:rPr>
          <w:rFonts w:ascii="Times New Roman" w:hAnsi="Times New Roman" w:cs="Times New Roman"/>
          <w:sz w:val="24"/>
          <w:szCs w:val="24"/>
        </w:rPr>
      </w:pPr>
    </w:p>
    <w:p w14:paraId="5A4F336A" w14:textId="77777777" w:rsidR="004833CC" w:rsidRDefault="00F01432" w:rsidP="00F71ECD">
      <w:pPr>
        <w:spacing w:after="0" w:line="240" w:lineRule="auto"/>
        <w:rPr>
          <w:rFonts w:ascii="Times New Roman" w:hAnsi="Times New Roman" w:cs="Times New Roman"/>
          <w:sz w:val="24"/>
          <w:szCs w:val="24"/>
        </w:rPr>
      </w:pPr>
      <w:r>
        <w:rPr>
          <w:rFonts w:ascii="Times New Roman" w:hAnsi="Times New Roman" w:cs="Times New Roman"/>
          <w:sz w:val="24"/>
          <w:szCs w:val="24"/>
        </w:rPr>
        <w:t>For these reasons</w:t>
      </w:r>
      <w:r w:rsidR="00F71ECD" w:rsidRPr="00F71ECD">
        <w:rPr>
          <w:rFonts w:ascii="Times New Roman" w:hAnsi="Times New Roman" w:cs="Times New Roman"/>
          <w:sz w:val="24"/>
          <w:szCs w:val="24"/>
        </w:rPr>
        <w:t xml:space="preserve">, </w:t>
      </w:r>
      <w:r w:rsidR="00F71ECD">
        <w:rPr>
          <w:rFonts w:ascii="Times New Roman" w:hAnsi="Times New Roman" w:cs="Times New Roman"/>
          <w:sz w:val="24"/>
          <w:szCs w:val="24"/>
        </w:rPr>
        <w:t xml:space="preserve">the second prong of the test should be eliminated. </w:t>
      </w:r>
      <w:r w:rsidR="004833CC" w:rsidRPr="00F71ECD">
        <w:rPr>
          <w:rFonts w:ascii="Times New Roman" w:hAnsi="Times New Roman" w:cs="Times New Roman"/>
          <w:sz w:val="24"/>
          <w:szCs w:val="24"/>
        </w:rPr>
        <w:t xml:space="preserve">At a minimum, the test should permit the Commission to determine whether a CCP poses “substantial risk” only if both of the two thresholds </w:t>
      </w:r>
      <w:r w:rsidR="00DE37B0">
        <w:rPr>
          <w:rFonts w:ascii="Times New Roman" w:hAnsi="Times New Roman" w:cs="Times New Roman"/>
          <w:sz w:val="24"/>
          <w:szCs w:val="24"/>
        </w:rPr>
        <w:t>exceed</w:t>
      </w:r>
      <w:r w:rsidR="004833CC" w:rsidRPr="00F71ECD">
        <w:rPr>
          <w:rFonts w:ascii="Times New Roman" w:hAnsi="Times New Roman" w:cs="Times New Roman"/>
          <w:sz w:val="24"/>
          <w:szCs w:val="24"/>
        </w:rPr>
        <w:t xml:space="preserve"> 20%. This would more accurately capture the risks to the U.S. financial system and the CFTC’s intent</w:t>
      </w:r>
      <w:r w:rsidR="00F71ECD">
        <w:rPr>
          <w:rFonts w:ascii="Times New Roman" w:hAnsi="Times New Roman" w:cs="Times New Roman"/>
          <w:sz w:val="24"/>
          <w:szCs w:val="24"/>
        </w:rPr>
        <w:t xml:space="preserve"> to</w:t>
      </w:r>
      <w:r w:rsidR="00275330">
        <w:rPr>
          <w:rFonts w:ascii="Times New Roman" w:hAnsi="Times New Roman" w:cs="Times New Roman"/>
          <w:sz w:val="24"/>
          <w:szCs w:val="24"/>
        </w:rPr>
        <w:t xml:space="preserve"> allow non-U.S. </w:t>
      </w:r>
      <w:r w:rsidR="00554C0F">
        <w:rPr>
          <w:rFonts w:ascii="Times New Roman" w:hAnsi="Times New Roman" w:cs="Times New Roman"/>
          <w:sz w:val="24"/>
          <w:szCs w:val="24"/>
        </w:rPr>
        <w:t>CCP</w:t>
      </w:r>
      <w:r w:rsidR="00275330">
        <w:rPr>
          <w:rFonts w:ascii="Times New Roman" w:hAnsi="Times New Roman" w:cs="Times New Roman"/>
          <w:sz w:val="24"/>
          <w:szCs w:val="24"/>
        </w:rPr>
        <w:t>s to comply with their home country regulations in lieu of certain Commission regulations</w:t>
      </w:r>
      <w:r w:rsidR="00F71ECD">
        <w:rPr>
          <w:rFonts w:ascii="Times New Roman" w:hAnsi="Times New Roman" w:cs="Times New Roman"/>
          <w:sz w:val="24"/>
          <w:szCs w:val="24"/>
        </w:rPr>
        <w:t xml:space="preserve">.  </w:t>
      </w:r>
    </w:p>
    <w:p w14:paraId="2B74430C" w14:textId="77777777" w:rsidR="00054200" w:rsidRDefault="00054200" w:rsidP="00F71ECD">
      <w:pPr>
        <w:spacing w:after="0" w:line="240" w:lineRule="auto"/>
        <w:rPr>
          <w:rFonts w:ascii="Times New Roman" w:hAnsi="Times New Roman" w:cs="Times New Roman"/>
          <w:sz w:val="24"/>
          <w:szCs w:val="24"/>
        </w:rPr>
      </w:pPr>
    </w:p>
    <w:p w14:paraId="263CFF86" w14:textId="77777777" w:rsidR="0018073A" w:rsidRDefault="0018073A" w:rsidP="0018073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we believe that the final rule should be revised to exclude </w:t>
      </w:r>
      <w:r w:rsidRPr="00F01A2C">
        <w:rPr>
          <w:rFonts w:ascii="Times New Roman" w:hAnsi="Times New Roman" w:cs="Times New Roman"/>
          <w:sz w:val="24"/>
          <w:szCs w:val="24"/>
        </w:rPr>
        <w:t xml:space="preserve">foreign subsidiaries of U.S. </w:t>
      </w:r>
      <w:r>
        <w:rPr>
          <w:rFonts w:ascii="Times New Roman" w:hAnsi="Times New Roman" w:cs="Times New Roman"/>
          <w:sz w:val="24"/>
          <w:szCs w:val="24"/>
        </w:rPr>
        <w:t>swap dealers</w:t>
      </w:r>
      <w:r w:rsidRPr="00F01A2C">
        <w:rPr>
          <w:rFonts w:ascii="Times New Roman" w:hAnsi="Times New Roman" w:cs="Times New Roman"/>
          <w:sz w:val="24"/>
          <w:szCs w:val="24"/>
        </w:rPr>
        <w:t xml:space="preserve"> </w:t>
      </w:r>
      <w:r>
        <w:rPr>
          <w:rFonts w:ascii="Times New Roman" w:hAnsi="Times New Roman" w:cs="Times New Roman"/>
          <w:sz w:val="24"/>
          <w:szCs w:val="24"/>
        </w:rPr>
        <w:t xml:space="preserve">from the definition of U.S. clearing members to align with the treatment of foreign subsidiaries under the CFTC </w:t>
      </w:r>
      <w:r w:rsidR="002E6055">
        <w:rPr>
          <w:rFonts w:ascii="Times New Roman" w:hAnsi="Times New Roman" w:cs="Times New Roman"/>
          <w:sz w:val="24"/>
          <w:szCs w:val="24"/>
        </w:rPr>
        <w:t>C</w:t>
      </w:r>
      <w:r>
        <w:rPr>
          <w:rFonts w:ascii="Times New Roman" w:hAnsi="Times New Roman" w:cs="Times New Roman"/>
          <w:sz w:val="24"/>
          <w:szCs w:val="24"/>
        </w:rPr>
        <w:t xml:space="preserve">ross-border </w:t>
      </w:r>
      <w:r w:rsidR="002E6055">
        <w:rPr>
          <w:rFonts w:ascii="Times New Roman" w:hAnsi="Times New Roman" w:cs="Times New Roman"/>
          <w:sz w:val="24"/>
          <w:szCs w:val="24"/>
        </w:rPr>
        <w:t>G</w:t>
      </w:r>
      <w:r>
        <w:rPr>
          <w:rFonts w:ascii="Times New Roman" w:hAnsi="Times New Roman" w:cs="Times New Roman"/>
          <w:sz w:val="24"/>
          <w:szCs w:val="24"/>
        </w:rPr>
        <w:t>uidance.</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U.S. clearing members are </w:t>
      </w:r>
      <w:r w:rsidR="00B562DA">
        <w:rPr>
          <w:rFonts w:ascii="Times New Roman" w:hAnsi="Times New Roman" w:cs="Times New Roman"/>
          <w:sz w:val="24"/>
          <w:szCs w:val="24"/>
        </w:rPr>
        <w:t>d</w:t>
      </w:r>
      <w:r>
        <w:rPr>
          <w:rFonts w:ascii="Times New Roman" w:hAnsi="Times New Roman" w:cs="Times New Roman"/>
          <w:sz w:val="24"/>
          <w:szCs w:val="24"/>
        </w:rPr>
        <w:t xml:space="preserve">efined in the Proposal as </w:t>
      </w:r>
      <w:r w:rsidRPr="0044602C">
        <w:rPr>
          <w:rFonts w:ascii="Times New Roman" w:hAnsi="Times New Roman" w:cs="Times New Roman"/>
          <w:sz w:val="24"/>
          <w:szCs w:val="24"/>
        </w:rPr>
        <w:t>“clearing member</w:t>
      </w:r>
      <w:r>
        <w:rPr>
          <w:rFonts w:ascii="Times New Roman" w:hAnsi="Times New Roman" w:cs="Times New Roman"/>
          <w:sz w:val="24"/>
          <w:szCs w:val="24"/>
        </w:rPr>
        <w:t>[s]</w:t>
      </w:r>
      <w:r w:rsidRPr="0044602C">
        <w:rPr>
          <w:rFonts w:ascii="Times New Roman" w:hAnsi="Times New Roman" w:cs="Times New Roman"/>
          <w:sz w:val="24"/>
          <w:szCs w:val="24"/>
        </w:rPr>
        <w:t xml:space="preserve"> organized in the United States or whose ultimate parent company is organized in the United States, or an FCM.”</w:t>
      </w:r>
      <w:r w:rsidR="00F218F2">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Under </w:t>
      </w:r>
      <w:r w:rsidR="002E6055">
        <w:rPr>
          <w:rFonts w:ascii="Times New Roman" w:hAnsi="Times New Roman" w:cs="Times New Roman"/>
          <w:sz w:val="24"/>
          <w:szCs w:val="24"/>
        </w:rPr>
        <w:t xml:space="preserve">the </w:t>
      </w:r>
      <w:r>
        <w:rPr>
          <w:rFonts w:ascii="Times New Roman" w:hAnsi="Times New Roman" w:cs="Times New Roman"/>
          <w:sz w:val="24"/>
          <w:szCs w:val="24"/>
        </w:rPr>
        <w:t xml:space="preserve">CFTC Cross-border Guidance, however, subsidiaries of U.S. swap dealers </w:t>
      </w:r>
      <w:r w:rsidRPr="00F01A2C">
        <w:rPr>
          <w:rFonts w:ascii="Times New Roman" w:hAnsi="Times New Roman" w:cs="Times New Roman"/>
          <w:sz w:val="24"/>
          <w:szCs w:val="24"/>
        </w:rPr>
        <w:t xml:space="preserve">are not considered U.S. persons </w:t>
      </w:r>
      <w:r w:rsidRPr="00F01A2C">
        <w:rPr>
          <w:rFonts w:ascii="Times New Roman" w:hAnsi="Times New Roman" w:cs="Times New Roman" w:hint="eastAsia"/>
          <w:sz w:val="24"/>
          <w:szCs w:val="24"/>
        </w:rPr>
        <w:t xml:space="preserve">simply </w:t>
      </w:r>
      <w:r w:rsidRPr="00F01A2C">
        <w:rPr>
          <w:rFonts w:ascii="Times New Roman" w:hAnsi="Times New Roman" w:cs="Times New Roman"/>
          <w:sz w:val="24"/>
          <w:szCs w:val="24"/>
        </w:rPr>
        <w:t>by virtue of</w:t>
      </w:r>
      <w:r w:rsidRPr="00F01A2C">
        <w:rPr>
          <w:rFonts w:ascii="Times New Roman" w:hAnsi="Times New Roman" w:cs="Times New Roman" w:hint="eastAsia"/>
          <w:sz w:val="24"/>
          <w:szCs w:val="24"/>
        </w:rPr>
        <w:t xml:space="preserve"> </w:t>
      </w:r>
      <w:r w:rsidRPr="00F01A2C">
        <w:rPr>
          <w:rFonts w:ascii="Times New Roman" w:hAnsi="Times New Roman" w:cs="Times New Roman"/>
          <w:sz w:val="24"/>
          <w:szCs w:val="24"/>
        </w:rPr>
        <w:t>being a part of a</w:t>
      </w:r>
      <w:r w:rsidRPr="00F01A2C">
        <w:rPr>
          <w:rFonts w:ascii="Times New Roman" w:hAnsi="Times New Roman" w:cs="Times New Roman" w:hint="eastAsia"/>
          <w:sz w:val="24"/>
          <w:szCs w:val="24"/>
        </w:rPr>
        <w:t xml:space="preserve"> U.S. banking group</w:t>
      </w:r>
      <w:r w:rsidRPr="00F01A2C">
        <w:rPr>
          <w:rFonts w:ascii="Times New Roman" w:hAnsi="Times New Roman" w:cs="Times New Roman"/>
          <w:sz w:val="24"/>
          <w:szCs w:val="24"/>
        </w:rPr>
        <w:t>.</w:t>
      </w:r>
      <w:r w:rsidRPr="00192966">
        <w:rPr>
          <w:rStyle w:val="FootnoteReference"/>
          <w:rFonts w:ascii="Times New Roman" w:hAnsi="Times New Roman" w:cs="Times New Roman"/>
          <w:sz w:val="24"/>
          <w:szCs w:val="24"/>
        </w:rPr>
        <w:t xml:space="preserve"> </w:t>
      </w:r>
    </w:p>
    <w:p w14:paraId="0D237B32" w14:textId="77777777" w:rsidR="0018073A" w:rsidRDefault="0018073A" w:rsidP="0018073A">
      <w:pPr>
        <w:spacing w:after="0" w:line="240" w:lineRule="auto"/>
        <w:rPr>
          <w:rFonts w:ascii="Times New Roman" w:hAnsi="Times New Roman" w:cs="Times New Roman"/>
          <w:sz w:val="24"/>
          <w:szCs w:val="24"/>
        </w:rPr>
      </w:pPr>
    </w:p>
    <w:p w14:paraId="2539D388" w14:textId="77777777" w:rsidR="0018073A" w:rsidRDefault="0018073A" w:rsidP="0018073A">
      <w:pPr>
        <w:spacing w:after="0" w:line="240" w:lineRule="auto"/>
        <w:rPr>
          <w:rFonts w:ascii="Times New Roman" w:hAnsi="Times New Roman" w:cs="Times New Roman"/>
          <w:sz w:val="24"/>
          <w:szCs w:val="24"/>
        </w:rPr>
      </w:pPr>
      <w:r>
        <w:rPr>
          <w:rFonts w:ascii="Times New Roman" w:hAnsi="Times New Roman" w:cs="Times New Roman"/>
          <w:sz w:val="24"/>
          <w:szCs w:val="24"/>
        </w:rPr>
        <w:t>Moreover, including</w:t>
      </w:r>
      <w:r w:rsidRPr="009A0AF7">
        <w:rPr>
          <w:rFonts w:ascii="Times New Roman" w:hAnsi="Times New Roman" w:cs="Times New Roman"/>
          <w:sz w:val="24"/>
          <w:szCs w:val="24"/>
        </w:rPr>
        <w:t xml:space="preserve"> subsidiaries </w:t>
      </w:r>
      <w:r>
        <w:rPr>
          <w:rFonts w:ascii="Times New Roman" w:hAnsi="Times New Roman" w:cs="Times New Roman"/>
          <w:sz w:val="24"/>
          <w:szCs w:val="24"/>
        </w:rPr>
        <w:t>in the definition w</w:t>
      </w:r>
      <w:r w:rsidRPr="009A0AF7">
        <w:rPr>
          <w:rFonts w:ascii="Times New Roman" w:hAnsi="Times New Roman" w:cs="Times New Roman"/>
          <w:sz w:val="24"/>
          <w:szCs w:val="24"/>
        </w:rPr>
        <w:t>ould disincentivize non-U</w:t>
      </w:r>
      <w:r>
        <w:rPr>
          <w:rFonts w:ascii="Times New Roman" w:hAnsi="Times New Roman" w:cs="Times New Roman"/>
          <w:sz w:val="24"/>
          <w:szCs w:val="24"/>
        </w:rPr>
        <w:t>.</w:t>
      </w:r>
      <w:r w:rsidRPr="009A0AF7">
        <w:rPr>
          <w:rFonts w:ascii="Times New Roman" w:hAnsi="Times New Roman" w:cs="Times New Roman"/>
          <w:sz w:val="24"/>
          <w:szCs w:val="24"/>
        </w:rPr>
        <w:t>S</w:t>
      </w:r>
      <w:r>
        <w:rPr>
          <w:rFonts w:ascii="Times New Roman" w:hAnsi="Times New Roman" w:cs="Times New Roman"/>
          <w:sz w:val="24"/>
          <w:szCs w:val="24"/>
        </w:rPr>
        <w:t>.</w:t>
      </w:r>
      <w:r w:rsidRPr="009A0AF7">
        <w:rPr>
          <w:rFonts w:ascii="Times New Roman" w:hAnsi="Times New Roman" w:cs="Times New Roman"/>
          <w:sz w:val="24"/>
          <w:szCs w:val="24"/>
        </w:rPr>
        <w:t xml:space="preserve"> DCOs from accepting significant levels of business from such subsidiaries in order to remain below the threshold</w:t>
      </w:r>
      <w:r w:rsidR="002E6055">
        <w:rPr>
          <w:rFonts w:ascii="Times New Roman" w:hAnsi="Times New Roman" w:cs="Times New Roman"/>
          <w:sz w:val="24"/>
          <w:szCs w:val="24"/>
        </w:rPr>
        <w:t>, thus</w:t>
      </w:r>
      <w:r>
        <w:rPr>
          <w:rFonts w:ascii="Times New Roman" w:hAnsi="Times New Roman" w:cs="Times New Roman"/>
          <w:sz w:val="24"/>
          <w:szCs w:val="24"/>
        </w:rPr>
        <w:t xml:space="preserve"> </w:t>
      </w:r>
      <w:r w:rsidR="002E6055">
        <w:rPr>
          <w:rFonts w:ascii="Times New Roman" w:hAnsi="Times New Roman" w:cs="Times New Roman"/>
          <w:sz w:val="24"/>
          <w:szCs w:val="24"/>
          <w:lang w:eastAsia="ja-JP"/>
        </w:rPr>
        <w:t>a</w:t>
      </w:r>
      <w:r w:rsidR="00240CAF" w:rsidRPr="0014442D">
        <w:rPr>
          <w:rFonts w:ascii="Times New Roman" w:hAnsi="Times New Roman" w:cs="Times New Roman"/>
          <w:sz w:val="24"/>
          <w:szCs w:val="24"/>
          <w:lang w:eastAsia="ja-JP"/>
        </w:rPr>
        <w:t>s stated above, put</w:t>
      </w:r>
      <w:r w:rsidR="002E6055">
        <w:rPr>
          <w:rFonts w:ascii="Times New Roman" w:hAnsi="Times New Roman" w:cs="Times New Roman"/>
          <w:sz w:val="24"/>
          <w:szCs w:val="24"/>
          <w:lang w:eastAsia="ja-JP"/>
        </w:rPr>
        <w:t>ting</w:t>
      </w:r>
      <w:r w:rsidR="00240CAF" w:rsidRPr="0014442D">
        <w:rPr>
          <w:rFonts w:ascii="Times New Roman" w:hAnsi="Times New Roman" w:cs="Times New Roman"/>
          <w:sz w:val="24"/>
          <w:szCs w:val="24"/>
          <w:lang w:eastAsia="ja-JP"/>
        </w:rPr>
        <w:t xml:space="preserve"> U.S. banking groups at a competitive disadvantage. </w:t>
      </w:r>
      <w:r>
        <w:rPr>
          <w:rFonts w:ascii="Times New Roman" w:hAnsi="Times New Roman" w:cs="Times New Roman"/>
          <w:sz w:val="24"/>
          <w:szCs w:val="24"/>
        </w:rPr>
        <w:t xml:space="preserve">To ensure a consistent regulatory approach to the cross-border treatment of foreign subsidiaries and to allow market participants continued access to global liquidity pools, the Commission should amend the definition of U.S. clearing members to exclude foreign subsidiaries of U.S. swap dealers.   </w:t>
      </w:r>
    </w:p>
    <w:p w14:paraId="3674BBE2" w14:textId="77777777" w:rsidR="0018073A" w:rsidRDefault="0018073A" w:rsidP="0018073A">
      <w:pPr>
        <w:spacing w:after="0" w:line="240" w:lineRule="auto"/>
        <w:rPr>
          <w:rFonts w:ascii="Times New Roman" w:hAnsi="Times New Roman" w:cs="Times New Roman"/>
          <w:sz w:val="24"/>
          <w:szCs w:val="24"/>
        </w:rPr>
      </w:pPr>
    </w:p>
    <w:p w14:paraId="37589EC6" w14:textId="77777777" w:rsidR="0018073A" w:rsidRDefault="0018073A" w:rsidP="0018073A">
      <w:pPr>
        <w:spacing w:after="0" w:line="240" w:lineRule="auto"/>
        <w:rPr>
          <w:rFonts w:ascii="Times New Roman" w:hAnsi="Times New Roman" w:cs="Times New Roman"/>
          <w:sz w:val="24"/>
          <w:szCs w:val="24"/>
        </w:rPr>
      </w:pPr>
      <w:r>
        <w:rPr>
          <w:rFonts w:ascii="Times New Roman" w:hAnsi="Times New Roman" w:cs="Times New Roman"/>
          <w:sz w:val="24"/>
          <w:szCs w:val="24"/>
        </w:rPr>
        <w:t>Another concern with respect to the proposed “substantial risk” test relates to the CFTC’s intent</w:t>
      </w:r>
      <w:r w:rsidRPr="007646C9">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w:t>
      </w:r>
      <w:r w:rsidRPr="007646C9">
        <w:rPr>
          <w:rFonts w:ascii="Times New Roman" w:hAnsi="Times New Roman" w:cs="Times New Roman"/>
          <w:sz w:val="24"/>
          <w:szCs w:val="24"/>
          <w:lang w:val="en-GB"/>
        </w:rPr>
        <w:t>“retain discretion in determining whether a non-U.S. DCO poses substantial risk to the U.S. financial system, particularly where the DCO is close to 20 percent on both prongs of the test. In these cases, in making its determination, the Commission may look at other factors that may reduce or mitigate the DCO’s risk to the U.S. financial system or provide a better indication of the DCO’s risk to the U.S. financial system.”</w:t>
      </w:r>
      <w:r>
        <w:rPr>
          <w:rStyle w:val="FootnoteReference"/>
          <w:rFonts w:ascii="Times New Roman" w:hAnsi="Times New Roman" w:cs="Times New Roman"/>
          <w:sz w:val="24"/>
          <w:szCs w:val="24"/>
          <w:lang w:val="en-GB"/>
        </w:rPr>
        <w:footnoteReference w:id="11"/>
      </w:r>
      <w:r>
        <w:rPr>
          <w:rFonts w:ascii="Times New Roman" w:hAnsi="Times New Roman" w:cs="Times New Roman"/>
          <w:sz w:val="24"/>
          <w:szCs w:val="24"/>
          <w:lang w:val="en-GB"/>
        </w:rPr>
        <w:t xml:space="preserve"> We believe that such statements </w:t>
      </w:r>
      <w:r w:rsidR="009D517F">
        <w:rPr>
          <w:rFonts w:ascii="Times New Roman" w:hAnsi="Times New Roman" w:cs="Times New Roman"/>
          <w:sz w:val="24"/>
          <w:szCs w:val="24"/>
          <w:lang w:val="en-GB"/>
        </w:rPr>
        <w:t xml:space="preserve">undermine </w:t>
      </w:r>
      <w:r>
        <w:rPr>
          <w:rFonts w:ascii="Times New Roman" w:hAnsi="Times New Roman" w:cs="Times New Roman"/>
          <w:sz w:val="24"/>
          <w:szCs w:val="24"/>
          <w:lang w:val="en-GB"/>
        </w:rPr>
        <w:t>the Commission’s objective to provide a bright-line test and</w:t>
      </w:r>
      <w:r w:rsidR="009D517F">
        <w:rPr>
          <w:rFonts w:ascii="Times New Roman" w:hAnsi="Times New Roman" w:cs="Times New Roman"/>
          <w:sz w:val="24"/>
          <w:szCs w:val="24"/>
          <w:lang w:val="en-GB"/>
        </w:rPr>
        <w:t xml:space="preserve"> may</w:t>
      </w:r>
      <w:r>
        <w:rPr>
          <w:rFonts w:ascii="Times New Roman" w:hAnsi="Times New Roman" w:cs="Times New Roman"/>
          <w:sz w:val="24"/>
          <w:szCs w:val="24"/>
          <w:lang w:val="en-GB"/>
        </w:rPr>
        <w:t xml:space="preserve"> </w:t>
      </w:r>
      <w:r w:rsidR="009D517F">
        <w:rPr>
          <w:rFonts w:ascii="Times New Roman" w:hAnsi="Times New Roman" w:cs="Times New Roman"/>
          <w:sz w:val="24"/>
          <w:szCs w:val="24"/>
          <w:lang w:val="en-GB"/>
        </w:rPr>
        <w:t>lead</w:t>
      </w:r>
      <w:r>
        <w:rPr>
          <w:rFonts w:ascii="Times New Roman" w:hAnsi="Times New Roman" w:cs="Times New Roman"/>
          <w:sz w:val="24"/>
          <w:szCs w:val="24"/>
          <w:lang w:val="en-GB"/>
        </w:rPr>
        <w:t xml:space="preserve"> to legal and compliance uncertainty. We therefore ask the Commission to clarify what “other factors” might reduce or mitigate, or provide a better indication of, a DCO’s risk to the U.S. financial system.</w:t>
      </w:r>
      <w:r>
        <w:rPr>
          <w:rStyle w:val="FootnoteReference"/>
          <w:rFonts w:ascii="Times New Roman" w:hAnsi="Times New Roman" w:cs="Times New Roman"/>
          <w:sz w:val="24"/>
          <w:szCs w:val="24"/>
          <w:lang w:val="en-GB"/>
        </w:rPr>
        <w:footnoteReference w:id="12"/>
      </w:r>
      <w:r>
        <w:rPr>
          <w:rFonts w:ascii="Times New Roman" w:hAnsi="Times New Roman" w:cs="Times New Roman"/>
          <w:sz w:val="24"/>
          <w:szCs w:val="24"/>
          <w:lang w:val="en-GB"/>
        </w:rPr>
        <w:t xml:space="preserve">    </w:t>
      </w:r>
    </w:p>
    <w:p w14:paraId="5DCFEB51" w14:textId="77777777" w:rsidR="0018073A" w:rsidRDefault="0018073A" w:rsidP="0018073A">
      <w:pPr>
        <w:spacing w:after="0" w:line="240" w:lineRule="auto"/>
        <w:rPr>
          <w:rFonts w:ascii="Times New Roman" w:hAnsi="Times New Roman" w:cs="Times New Roman"/>
          <w:sz w:val="24"/>
          <w:szCs w:val="24"/>
        </w:rPr>
      </w:pPr>
    </w:p>
    <w:p w14:paraId="0C837705" w14:textId="77777777" w:rsidR="0018073A" w:rsidRDefault="00B562DA" w:rsidP="0018073A">
      <w:pPr>
        <w:spacing w:after="0" w:line="240" w:lineRule="auto"/>
        <w:rPr>
          <w:rFonts w:ascii="Times New Roman" w:hAnsi="Times New Roman" w:cs="Times New Roman"/>
          <w:sz w:val="24"/>
          <w:szCs w:val="24"/>
        </w:rPr>
      </w:pPr>
      <w:r>
        <w:rPr>
          <w:rFonts w:ascii="Times New Roman" w:hAnsi="Times New Roman" w:cs="Times New Roman"/>
          <w:sz w:val="24"/>
          <w:szCs w:val="24"/>
        </w:rPr>
        <w:t>Finally</w:t>
      </w:r>
      <w:r w:rsidR="0018073A" w:rsidRPr="0062559E">
        <w:rPr>
          <w:rFonts w:ascii="Times New Roman" w:hAnsi="Times New Roman" w:cs="Times New Roman"/>
          <w:sz w:val="24"/>
          <w:szCs w:val="24"/>
        </w:rPr>
        <w:t xml:space="preserve">, we ask the Commission to </w:t>
      </w:r>
      <w:r w:rsidR="0018073A">
        <w:rPr>
          <w:rFonts w:ascii="Times New Roman" w:hAnsi="Times New Roman" w:cs="Times New Roman"/>
          <w:sz w:val="24"/>
          <w:szCs w:val="24"/>
        </w:rPr>
        <w:t xml:space="preserve">affirm </w:t>
      </w:r>
      <w:r w:rsidR="0018073A" w:rsidRPr="0062559E">
        <w:rPr>
          <w:rFonts w:ascii="Times New Roman" w:hAnsi="Times New Roman" w:cs="Times New Roman"/>
          <w:sz w:val="24"/>
          <w:szCs w:val="24"/>
        </w:rPr>
        <w:t xml:space="preserve">that the CFTC will monitor the 20% </w:t>
      </w:r>
      <w:r w:rsidR="002E6055">
        <w:rPr>
          <w:rFonts w:ascii="Times New Roman" w:hAnsi="Times New Roman" w:cs="Times New Roman"/>
          <w:sz w:val="24"/>
          <w:szCs w:val="24"/>
        </w:rPr>
        <w:t xml:space="preserve">threshold </w:t>
      </w:r>
      <w:r w:rsidR="0018073A" w:rsidRPr="0062559E">
        <w:rPr>
          <w:rFonts w:ascii="Times New Roman" w:hAnsi="Times New Roman" w:cs="Times New Roman"/>
          <w:sz w:val="24"/>
          <w:szCs w:val="24"/>
        </w:rPr>
        <w:t xml:space="preserve">test by analyzing the data required to be reported to the CFTC, and that the relevant </w:t>
      </w:r>
      <w:r>
        <w:rPr>
          <w:rFonts w:ascii="Times New Roman" w:hAnsi="Times New Roman" w:cs="Times New Roman"/>
          <w:sz w:val="24"/>
          <w:szCs w:val="24"/>
        </w:rPr>
        <w:t>non-U.S.</w:t>
      </w:r>
      <w:r w:rsidR="0018073A" w:rsidRPr="0062559E">
        <w:rPr>
          <w:rFonts w:ascii="Times New Roman" w:hAnsi="Times New Roman" w:cs="Times New Roman"/>
          <w:sz w:val="24"/>
          <w:szCs w:val="24"/>
        </w:rPr>
        <w:t xml:space="preserve"> DCO has no other obligations with respect to </w:t>
      </w:r>
      <w:r w:rsidR="002E6055">
        <w:rPr>
          <w:rFonts w:ascii="Times New Roman" w:hAnsi="Times New Roman" w:cs="Times New Roman"/>
          <w:sz w:val="24"/>
          <w:szCs w:val="24"/>
        </w:rPr>
        <w:t xml:space="preserve">the </w:t>
      </w:r>
      <w:r w:rsidR="0018073A" w:rsidRPr="0062559E">
        <w:rPr>
          <w:rFonts w:ascii="Times New Roman" w:hAnsi="Times New Roman" w:cs="Times New Roman"/>
          <w:sz w:val="24"/>
          <w:szCs w:val="24"/>
        </w:rPr>
        <w:t>monitoring of the 20% threshold apart from such reporting requirements.</w:t>
      </w:r>
    </w:p>
    <w:p w14:paraId="2A79A035" w14:textId="77777777" w:rsidR="0018073A" w:rsidRPr="00F71ECD" w:rsidRDefault="0018073A" w:rsidP="00F71ECD">
      <w:pPr>
        <w:spacing w:after="0" w:line="240" w:lineRule="auto"/>
        <w:rPr>
          <w:rFonts w:ascii="Times New Roman" w:hAnsi="Times New Roman" w:cs="Times New Roman"/>
          <w:sz w:val="24"/>
          <w:szCs w:val="24"/>
        </w:rPr>
      </w:pPr>
    </w:p>
    <w:p w14:paraId="1703DD3C" w14:textId="77777777" w:rsidR="00CF29CB" w:rsidRDefault="00554C0F" w:rsidP="002E5A5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14:paraId="0A4B0152" w14:textId="77777777" w:rsidR="002E5A5F" w:rsidRDefault="002E5A5F" w:rsidP="002E5A5F">
      <w:pPr>
        <w:spacing w:after="0" w:line="240" w:lineRule="auto"/>
        <w:jc w:val="center"/>
        <w:rPr>
          <w:rFonts w:ascii="Times New Roman" w:hAnsi="Times New Roman" w:cs="Times New Roman"/>
          <w:b/>
          <w:bCs/>
          <w:sz w:val="24"/>
          <w:szCs w:val="24"/>
        </w:rPr>
      </w:pPr>
    </w:p>
    <w:p w14:paraId="7A7E54F1" w14:textId="77777777" w:rsidR="00D82AAE" w:rsidRDefault="00D82AAE" w:rsidP="00D82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appreciate the </w:t>
      </w:r>
      <w:r w:rsidR="00554C0F">
        <w:rPr>
          <w:rFonts w:ascii="Times New Roman" w:hAnsi="Times New Roman" w:cs="Times New Roman"/>
          <w:sz w:val="24"/>
          <w:szCs w:val="24"/>
        </w:rPr>
        <w:t xml:space="preserve">Commission’s efforts to </w:t>
      </w:r>
      <w:r>
        <w:rPr>
          <w:rFonts w:ascii="Times New Roman" w:hAnsi="Times New Roman" w:cs="Times New Roman"/>
          <w:sz w:val="24"/>
          <w:szCs w:val="24"/>
        </w:rPr>
        <w:t xml:space="preserve">address longstanding concerns regarding </w:t>
      </w:r>
      <w:r w:rsidR="000355A8">
        <w:rPr>
          <w:rFonts w:ascii="Times New Roman" w:hAnsi="Times New Roman" w:cs="Times New Roman"/>
          <w:sz w:val="24"/>
          <w:szCs w:val="24"/>
        </w:rPr>
        <w:t xml:space="preserve">the </w:t>
      </w:r>
      <w:r w:rsidR="00F33E56">
        <w:rPr>
          <w:rFonts w:ascii="Times New Roman" w:hAnsi="Times New Roman" w:cs="Times New Roman"/>
          <w:sz w:val="24"/>
          <w:szCs w:val="24"/>
        </w:rPr>
        <w:t>duplicati</w:t>
      </w:r>
      <w:r w:rsidR="00554C0F">
        <w:rPr>
          <w:rFonts w:ascii="Times New Roman" w:hAnsi="Times New Roman" w:cs="Times New Roman"/>
          <w:sz w:val="24"/>
          <w:szCs w:val="24"/>
        </w:rPr>
        <w:t xml:space="preserve">ve oversight </w:t>
      </w:r>
      <w:r w:rsidR="00F33E56">
        <w:rPr>
          <w:rFonts w:ascii="Times New Roman" w:hAnsi="Times New Roman" w:cs="Times New Roman"/>
          <w:sz w:val="24"/>
          <w:szCs w:val="24"/>
        </w:rPr>
        <w:t>of CCPs that operate on a global scale.</w:t>
      </w:r>
      <w:r>
        <w:rPr>
          <w:rFonts w:ascii="Times New Roman" w:hAnsi="Times New Roman" w:cs="Times New Roman"/>
          <w:sz w:val="24"/>
          <w:szCs w:val="24"/>
        </w:rPr>
        <w:t xml:space="preserve"> </w:t>
      </w:r>
      <w:r w:rsidRPr="001965E6">
        <w:rPr>
          <w:rFonts w:ascii="Times New Roman" w:hAnsi="Times New Roman" w:cs="Times New Roman"/>
          <w:sz w:val="24"/>
          <w:szCs w:val="24"/>
        </w:rPr>
        <w:t xml:space="preserve">Our members are </w:t>
      </w:r>
      <w:r w:rsidR="000355A8">
        <w:rPr>
          <w:rFonts w:ascii="Times New Roman" w:hAnsi="Times New Roman" w:cs="Times New Roman"/>
          <w:sz w:val="24"/>
          <w:szCs w:val="24"/>
        </w:rPr>
        <w:t xml:space="preserve">strongly </w:t>
      </w:r>
      <w:r w:rsidRPr="001965E6">
        <w:rPr>
          <w:rFonts w:ascii="Times New Roman" w:hAnsi="Times New Roman" w:cs="Times New Roman"/>
          <w:sz w:val="24"/>
          <w:szCs w:val="24"/>
        </w:rPr>
        <w:t xml:space="preserve">committed to maintaining the safety and efficiency of </w:t>
      </w:r>
      <w:r>
        <w:rPr>
          <w:rFonts w:ascii="Times New Roman" w:hAnsi="Times New Roman" w:cs="Times New Roman"/>
          <w:sz w:val="24"/>
          <w:szCs w:val="24"/>
        </w:rPr>
        <w:t xml:space="preserve">global </w:t>
      </w:r>
      <w:r w:rsidRPr="001965E6">
        <w:rPr>
          <w:rFonts w:ascii="Times New Roman" w:hAnsi="Times New Roman" w:cs="Times New Roman"/>
          <w:sz w:val="24"/>
          <w:szCs w:val="24"/>
        </w:rPr>
        <w:t xml:space="preserve">derivatives markets and hope that the Commission will consider our </w:t>
      </w:r>
      <w:r>
        <w:rPr>
          <w:rFonts w:ascii="Times New Roman" w:hAnsi="Times New Roman" w:cs="Times New Roman"/>
          <w:sz w:val="24"/>
          <w:szCs w:val="24"/>
        </w:rPr>
        <w:t>recommendations</w:t>
      </w:r>
      <w:r w:rsidRPr="001965E6">
        <w:rPr>
          <w:rFonts w:ascii="Times New Roman" w:hAnsi="Times New Roman" w:cs="Times New Roman"/>
          <w:sz w:val="24"/>
          <w:szCs w:val="24"/>
        </w:rPr>
        <w:t>, as they reflect the extensive know</w:t>
      </w:r>
      <w:r>
        <w:rPr>
          <w:rFonts w:ascii="Times New Roman" w:hAnsi="Times New Roman" w:cs="Times New Roman"/>
          <w:sz w:val="24"/>
          <w:szCs w:val="24"/>
        </w:rPr>
        <w:t xml:space="preserve">ledge and experience of </w:t>
      </w:r>
      <w:r w:rsidR="00672F79">
        <w:rPr>
          <w:rFonts w:ascii="Times New Roman" w:hAnsi="Times New Roman" w:cs="Times New Roman"/>
          <w:sz w:val="24"/>
          <w:szCs w:val="24"/>
        </w:rPr>
        <w:t xml:space="preserve">industry </w:t>
      </w:r>
      <w:r w:rsidRPr="001965E6">
        <w:rPr>
          <w:rFonts w:ascii="Times New Roman" w:hAnsi="Times New Roman" w:cs="Times New Roman"/>
          <w:sz w:val="24"/>
          <w:szCs w:val="24"/>
        </w:rPr>
        <w:t>professionals within our membership.</w:t>
      </w:r>
      <w:r>
        <w:rPr>
          <w:rFonts w:ascii="Times New Roman" w:hAnsi="Times New Roman" w:cs="Times New Roman"/>
          <w:sz w:val="24"/>
          <w:szCs w:val="24"/>
        </w:rPr>
        <w:t xml:space="preserve">  </w:t>
      </w:r>
    </w:p>
    <w:p w14:paraId="5B8D9D8E" w14:textId="77777777" w:rsidR="00D82AAE" w:rsidRDefault="00D82AAE" w:rsidP="00D82AAE">
      <w:pPr>
        <w:spacing w:after="0" w:line="240" w:lineRule="auto"/>
        <w:rPr>
          <w:rFonts w:ascii="Times New Roman" w:hAnsi="Times New Roman" w:cs="Times New Roman"/>
          <w:sz w:val="24"/>
          <w:szCs w:val="24"/>
        </w:rPr>
      </w:pPr>
    </w:p>
    <w:p w14:paraId="62E2421A" w14:textId="77777777" w:rsidR="00D82AAE" w:rsidRDefault="00D82AAE" w:rsidP="00D82A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Please feel free </w:t>
      </w:r>
      <w:r w:rsidR="00672F79">
        <w:rPr>
          <w:rFonts w:ascii="Times New Roman" w:hAnsi="Times New Roman" w:cs="Times New Roman"/>
          <w:sz w:val="24"/>
          <w:szCs w:val="24"/>
        </w:rPr>
        <w:t xml:space="preserve">to contact </w:t>
      </w:r>
      <w:r>
        <w:rPr>
          <w:rFonts w:ascii="Times New Roman" w:hAnsi="Times New Roman" w:cs="Times New Roman"/>
          <w:sz w:val="24"/>
          <w:szCs w:val="24"/>
        </w:rPr>
        <w:t xml:space="preserve">Bella Rozenberg, Senior Counsel and Head of Regulatory and Legal Practice Group, (202)-683-9334, if you have questions. </w:t>
      </w:r>
    </w:p>
    <w:p w14:paraId="1D0EC068" w14:textId="77777777" w:rsidR="00CF29CB" w:rsidRDefault="00CF29CB" w:rsidP="00115886">
      <w:pPr>
        <w:spacing w:after="0" w:line="240" w:lineRule="auto"/>
        <w:rPr>
          <w:rFonts w:ascii="Times New Roman" w:hAnsi="Times New Roman" w:cs="Times New Roman"/>
          <w:b/>
          <w:bCs/>
          <w:sz w:val="24"/>
          <w:szCs w:val="24"/>
        </w:rPr>
      </w:pPr>
    </w:p>
    <w:p w14:paraId="59F80AE7" w14:textId="77777777" w:rsidR="00F218F2" w:rsidRDefault="00F218F2" w:rsidP="00F218F2">
      <w:pPr>
        <w:spacing w:after="0" w:line="240" w:lineRule="auto"/>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917F050" wp14:editId="566B12D0">
            <wp:extent cx="2977896" cy="88696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lla's e.Signature-201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77896" cy="886968"/>
                    </a:xfrm>
                    <a:prstGeom prst="rect">
                      <a:avLst/>
                    </a:prstGeom>
                  </pic:spPr>
                </pic:pic>
              </a:graphicData>
            </a:graphic>
          </wp:inline>
        </w:drawing>
      </w:r>
    </w:p>
    <w:p w14:paraId="1BC737CE" w14:textId="77777777" w:rsidR="00F218F2" w:rsidRDefault="00F218F2" w:rsidP="00F218F2">
      <w:pPr>
        <w:spacing w:after="0" w:line="240" w:lineRule="auto"/>
        <w:rPr>
          <w:rFonts w:ascii="Times New Roman" w:hAnsi="Times New Roman" w:cs="Times New Roman"/>
          <w:b/>
          <w:bCs/>
          <w:sz w:val="24"/>
          <w:szCs w:val="24"/>
        </w:rPr>
      </w:pPr>
    </w:p>
    <w:p w14:paraId="44B4A54A" w14:textId="77777777" w:rsidR="00F218F2" w:rsidRDefault="00F218F2" w:rsidP="00F218F2">
      <w:pPr>
        <w:spacing w:after="0" w:line="240" w:lineRule="auto"/>
        <w:rPr>
          <w:rFonts w:ascii="Times New Roman" w:hAnsi="Times New Roman" w:cs="Times New Roman"/>
          <w:bCs/>
          <w:sz w:val="24"/>
          <w:szCs w:val="24"/>
        </w:rPr>
      </w:pPr>
      <w:r>
        <w:rPr>
          <w:rFonts w:ascii="Times New Roman" w:hAnsi="Times New Roman" w:cs="Times New Roman"/>
          <w:bCs/>
          <w:sz w:val="24"/>
          <w:szCs w:val="24"/>
        </w:rPr>
        <w:t>Bella Rozenberg</w:t>
      </w:r>
    </w:p>
    <w:p w14:paraId="6135DE59" w14:textId="77777777" w:rsidR="00F218F2" w:rsidRDefault="00F218F2" w:rsidP="00F218F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Senior </w:t>
      </w:r>
      <w:r w:rsidR="009D517F">
        <w:rPr>
          <w:rFonts w:ascii="Times New Roman" w:hAnsi="Times New Roman" w:cs="Times New Roman"/>
          <w:sz w:val="24"/>
          <w:szCs w:val="24"/>
        </w:rPr>
        <w:t>Counsel &amp;</w:t>
      </w:r>
      <w:r>
        <w:rPr>
          <w:rFonts w:ascii="Times New Roman" w:hAnsi="Times New Roman" w:cs="Times New Roman"/>
          <w:sz w:val="24"/>
          <w:szCs w:val="24"/>
        </w:rPr>
        <w:t xml:space="preserve"> Head of Regulatory and Legal Practice Group</w:t>
      </w:r>
    </w:p>
    <w:p w14:paraId="6A9FEDB2" w14:textId="77777777" w:rsidR="00F218F2" w:rsidRPr="00C33A84" w:rsidRDefault="00F218F2" w:rsidP="00F218F2">
      <w:pPr>
        <w:spacing w:after="0" w:line="240" w:lineRule="auto"/>
        <w:rPr>
          <w:rFonts w:ascii="Times New Roman" w:hAnsi="Times New Roman" w:cs="Times New Roman"/>
          <w:b/>
          <w:bCs/>
          <w:sz w:val="24"/>
          <w:szCs w:val="24"/>
        </w:rPr>
      </w:pPr>
      <w:r>
        <w:rPr>
          <w:rFonts w:ascii="Times New Roman" w:hAnsi="Times New Roman" w:cs="Times New Roman"/>
          <w:sz w:val="24"/>
          <w:szCs w:val="24"/>
        </w:rPr>
        <w:t>ISDA</w:t>
      </w:r>
    </w:p>
    <w:p w14:paraId="146EBF0D" w14:textId="77777777" w:rsidR="00F218F2" w:rsidRPr="00C33A84" w:rsidRDefault="00F218F2" w:rsidP="00115886">
      <w:pPr>
        <w:spacing w:after="0" w:line="240" w:lineRule="auto"/>
        <w:rPr>
          <w:rFonts w:ascii="Times New Roman" w:hAnsi="Times New Roman" w:cs="Times New Roman"/>
          <w:b/>
          <w:bCs/>
          <w:sz w:val="24"/>
          <w:szCs w:val="24"/>
        </w:rPr>
      </w:pPr>
    </w:p>
    <w:sectPr w:rsidR="00F218F2" w:rsidRPr="00C33A84">
      <w:headerReference w:type="default" r:id="rId12"/>
      <w:footerReference w:type="default" r:id="rId13"/>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87427C" w16cid:durableId="20FDD8A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EBD8F" w14:textId="77777777" w:rsidR="00BD6D9D" w:rsidRDefault="00BD6D9D" w:rsidP="001E5B92">
      <w:pPr>
        <w:spacing w:after="0" w:line="240" w:lineRule="auto"/>
      </w:pPr>
      <w:r>
        <w:separator/>
      </w:r>
    </w:p>
  </w:endnote>
  <w:endnote w:type="continuationSeparator" w:id="0">
    <w:p w14:paraId="7922AC8E" w14:textId="77777777" w:rsidR="00BD6D9D" w:rsidRDefault="00BD6D9D" w:rsidP="001E5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Yu Gothic UI"/>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964898"/>
      <w:docPartObj>
        <w:docPartGallery w:val="Page Numbers (Bottom of Page)"/>
        <w:docPartUnique/>
      </w:docPartObj>
    </w:sdtPr>
    <w:sdtEndPr>
      <w:rPr>
        <w:rFonts w:ascii="Times New Roman" w:hAnsi="Times New Roman" w:cs="Times New Roman"/>
        <w:noProof/>
      </w:rPr>
    </w:sdtEndPr>
    <w:sdtContent>
      <w:p w14:paraId="44654F62" w14:textId="77B7E5F4" w:rsidR="00A70E57" w:rsidRPr="00A70E57" w:rsidRDefault="00A70E57">
        <w:pPr>
          <w:pStyle w:val="Footer"/>
          <w:jc w:val="center"/>
          <w:rPr>
            <w:rFonts w:ascii="Times New Roman" w:hAnsi="Times New Roman" w:cs="Times New Roman"/>
          </w:rPr>
        </w:pPr>
        <w:r w:rsidRPr="00A70E57">
          <w:rPr>
            <w:rFonts w:ascii="Times New Roman" w:hAnsi="Times New Roman" w:cs="Times New Roman"/>
          </w:rPr>
          <w:fldChar w:fldCharType="begin"/>
        </w:r>
        <w:r w:rsidRPr="00A70E57">
          <w:rPr>
            <w:rFonts w:ascii="Times New Roman" w:hAnsi="Times New Roman" w:cs="Times New Roman"/>
          </w:rPr>
          <w:instrText xml:space="preserve"> PAGE   \* MERGEFORMAT </w:instrText>
        </w:r>
        <w:r w:rsidRPr="00A70E57">
          <w:rPr>
            <w:rFonts w:ascii="Times New Roman" w:hAnsi="Times New Roman" w:cs="Times New Roman"/>
          </w:rPr>
          <w:fldChar w:fldCharType="separate"/>
        </w:r>
        <w:r w:rsidR="00437129">
          <w:rPr>
            <w:rFonts w:ascii="Times New Roman" w:hAnsi="Times New Roman" w:cs="Times New Roman"/>
            <w:noProof/>
          </w:rPr>
          <w:t>4</w:t>
        </w:r>
        <w:r w:rsidRPr="00A70E57">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1A5F5" w14:textId="77777777" w:rsidR="00BD6D9D" w:rsidRDefault="00BD6D9D" w:rsidP="001E5B92">
      <w:pPr>
        <w:spacing w:after="0" w:line="240" w:lineRule="auto"/>
      </w:pPr>
      <w:r>
        <w:separator/>
      </w:r>
    </w:p>
  </w:footnote>
  <w:footnote w:type="continuationSeparator" w:id="0">
    <w:p w14:paraId="2DC8BD5D" w14:textId="77777777" w:rsidR="00BD6D9D" w:rsidRDefault="00BD6D9D" w:rsidP="001E5B92">
      <w:pPr>
        <w:spacing w:after="0" w:line="240" w:lineRule="auto"/>
      </w:pPr>
      <w:r>
        <w:continuationSeparator/>
      </w:r>
    </w:p>
  </w:footnote>
  <w:footnote w:id="1">
    <w:p w14:paraId="72E3F9FC" w14:textId="77777777" w:rsidR="00171352" w:rsidRPr="002E5A5F" w:rsidRDefault="00171352">
      <w:pPr>
        <w:pStyle w:val="FootnoteText"/>
        <w:rPr>
          <w:rFonts w:ascii="Times New Roman" w:hAnsi="Times New Roman" w:cs="Times New Roman"/>
        </w:rPr>
      </w:pPr>
      <w:r w:rsidRPr="00171352">
        <w:rPr>
          <w:rStyle w:val="FootnoteReference"/>
          <w:rFonts w:ascii="Times New Roman" w:hAnsi="Times New Roman" w:cs="Times New Roman"/>
        </w:rPr>
        <w:footnoteRef/>
      </w:r>
      <w:r w:rsidRPr="00171352">
        <w:rPr>
          <w:rFonts w:ascii="Times New Roman" w:hAnsi="Times New Roman" w:cs="Times New Roman"/>
        </w:rPr>
        <w:t xml:space="preserve"> Since 1985, ISDA has worked to make the global derivatives markets safer and more efficient. Today, ISDA has more than 900 member institutions from 70 countries. These members comprise a broad range of derivatives market participants, including corporations, investment managers, government and supranational entities, insurance co</w:t>
      </w:r>
      <w:r w:rsidRPr="002E5A5F">
        <w:rPr>
          <w:rFonts w:ascii="Times New Roman" w:hAnsi="Times New Roman" w:cs="Times New Roman"/>
        </w:rPr>
        <w:t xml:space="preserve">mpanies, energy and commodities firms, and international and regional banks. In addition to market participants, members also include key components of the derivatives market infrastructure, such as exchanges, intermediaries, clearing houses and depositories, as well as law firms, accounting firms and other service providers. Additional information on ISDA is available at </w:t>
      </w:r>
      <w:hyperlink r:id="rId1" w:history="1">
        <w:r w:rsidRPr="002E5A5F">
          <w:rPr>
            <w:rStyle w:val="Hyperlink"/>
            <w:rFonts w:ascii="Times New Roman" w:hAnsi="Times New Roman" w:cs="Times New Roman"/>
          </w:rPr>
          <w:t>http://www.isda.org</w:t>
        </w:r>
      </w:hyperlink>
      <w:r w:rsidRPr="002E5A5F">
        <w:rPr>
          <w:rFonts w:ascii="Times New Roman" w:hAnsi="Times New Roman" w:cs="Times New Roman"/>
        </w:rPr>
        <w:t>.</w:t>
      </w:r>
    </w:p>
  </w:footnote>
  <w:footnote w:id="2">
    <w:p w14:paraId="2EFA35E7" w14:textId="77777777" w:rsidR="00DC62E8" w:rsidRPr="002E5A5F" w:rsidRDefault="00DC62E8" w:rsidP="002B5DD3">
      <w:pPr>
        <w:pStyle w:val="FootnoteText"/>
        <w:rPr>
          <w:rFonts w:ascii="Times New Roman" w:hAnsi="Times New Roman" w:cs="Times New Roman"/>
        </w:rPr>
      </w:pPr>
      <w:r w:rsidRPr="002E5A5F">
        <w:rPr>
          <w:rStyle w:val="FootnoteReference"/>
          <w:rFonts w:ascii="Times New Roman" w:hAnsi="Times New Roman" w:cs="Times New Roman"/>
        </w:rPr>
        <w:footnoteRef/>
      </w:r>
      <w:r w:rsidR="002B5DD3">
        <w:rPr>
          <w:rFonts w:ascii="Times New Roman" w:hAnsi="Times New Roman" w:cs="Times New Roman"/>
        </w:rPr>
        <w:t xml:space="preserve"> Registration with Alternative </w:t>
      </w:r>
      <w:r w:rsidR="002B5DD3" w:rsidRPr="002B5DD3">
        <w:rPr>
          <w:rFonts w:ascii="Times New Roman" w:hAnsi="Times New Roman" w:cs="Times New Roman"/>
        </w:rPr>
        <w:t>Comp</w:t>
      </w:r>
      <w:r w:rsidR="002B5DD3">
        <w:rPr>
          <w:rFonts w:ascii="Times New Roman" w:hAnsi="Times New Roman" w:cs="Times New Roman"/>
        </w:rPr>
        <w:t xml:space="preserve">liance for Non-U.S. Derivatives </w:t>
      </w:r>
      <w:r w:rsidR="002B5DD3" w:rsidRPr="002B5DD3">
        <w:rPr>
          <w:rFonts w:ascii="Times New Roman" w:hAnsi="Times New Roman" w:cs="Times New Roman"/>
        </w:rPr>
        <w:t>Clearing Organizations</w:t>
      </w:r>
      <w:r w:rsidR="002B5DD3">
        <w:rPr>
          <w:rFonts w:ascii="Times New Roman" w:hAnsi="Times New Roman" w:cs="Times New Roman"/>
        </w:rPr>
        <w:t xml:space="preserve">, Notice of Proposed Rulemaking, 84 Fed. Reg. 34819 (July 19, 2019), </w:t>
      </w:r>
      <w:hyperlink r:id="rId2" w:history="1">
        <w:r w:rsidR="002B5DD3" w:rsidRPr="00747309">
          <w:rPr>
            <w:rStyle w:val="Hyperlink"/>
            <w:rFonts w:ascii="Times New Roman" w:hAnsi="Times New Roman" w:cs="Times New Roman"/>
          </w:rPr>
          <w:t>https://www.govinfo.gov/content/pkg/FR-2019-07-19/pdf/2019-15262.pdf</w:t>
        </w:r>
      </w:hyperlink>
      <w:r w:rsidR="002B5DD3">
        <w:rPr>
          <w:rFonts w:ascii="Times New Roman" w:hAnsi="Times New Roman" w:cs="Times New Roman"/>
        </w:rPr>
        <w:t xml:space="preserve">. </w:t>
      </w:r>
    </w:p>
  </w:footnote>
  <w:footnote w:id="3">
    <w:p w14:paraId="4FF2B469" w14:textId="77777777" w:rsidR="002E5A5F" w:rsidRPr="002E5A5F" w:rsidRDefault="002E5A5F">
      <w:pPr>
        <w:pStyle w:val="FootnoteText"/>
        <w:rPr>
          <w:rFonts w:ascii="Times New Roman" w:hAnsi="Times New Roman" w:cs="Times New Roman"/>
        </w:rPr>
      </w:pPr>
      <w:r w:rsidRPr="002E5A5F">
        <w:rPr>
          <w:rStyle w:val="FootnoteReference"/>
          <w:rFonts w:ascii="Times New Roman" w:hAnsi="Times New Roman" w:cs="Times New Roman"/>
        </w:rPr>
        <w:footnoteRef/>
      </w:r>
      <w:r w:rsidRPr="002E5A5F">
        <w:rPr>
          <w:rFonts w:ascii="Times New Roman" w:hAnsi="Times New Roman" w:cs="Times New Roman"/>
        </w:rPr>
        <w:t xml:space="preserve"> </w:t>
      </w:r>
      <w:r>
        <w:rPr>
          <w:rFonts w:ascii="Times New Roman" w:hAnsi="Times New Roman" w:cs="Times New Roman"/>
        </w:rPr>
        <w:t xml:space="preserve">We believe that the Commission should take a similar territorial, risk-based approach with respect to other aspects of the CFTC’s cross-border regime. Please see ISDA Cross-Border Harmonization White Paper, </w:t>
      </w:r>
      <w:hyperlink r:id="rId3" w:history="1">
        <w:r w:rsidRPr="00747309">
          <w:rPr>
            <w:rStyle w:val="Hyperlink"/>
            <w:rFonts w:ascii="Times New Roman" w:hAnsi="Times New Roman" w:cs="Times New Roman"/>
          </w:rPr>
          <w:t>https://www.isda.org/a/9SKDE/ISDA-Cross-Border-Harmonization-FINAL2.pdf</w:t>
        </w:r>
      </w:hyperlink>
      <w:r>
        <w:rPr>
          <w:rFonts w:ascii="Times New Roman" w:hAnsi="Times New Roman" w:cs="Times New Roman"/>
        </w:rPr>
        <w:t xml:space="preserve">, for more details.  </w:t>
      </w:r>
    </w:p>
  </w:footnote>
  <w:footnote w:id="4">
    <w:p w14:paraId="2D0003A7" w14:textId="77777777" w:rsidR="00DC62E8" w:rsidRPr="00762E09" w:rsidRDefault="00DC62E8">
      <w:pPr>
        <w:pStyle w:val="FootnoteText"/>
        <w:rPr>
          <w:rFonts w:ascii="Times New Roman" w:hAnsi="Times New Roman" w:cs="Times New Roman"/>
        </w:rPr>
      </w:pPr>
      <w:r w:rsidRPr="00A26A1A">
        <w:rPr>
          <w:rStyle w:val="FootnoteReference"/>
          <w:rFonts w:ascii="Times New Roman" w:hAnsi="Times New Roman" w:cs="Times New Roman"/>
        </w:rPr>
        <w:footnoteRef/>
      </w:r>
      <w:r w:rsidR="00FE47E3">
        <w:rPr>
          <w:rFonts w:ascii="Times New Roman" w:hAnsi="Times New Roman" w:cs="Times New Roman"/>
        </w:rPr>
        <w:t xml:space="preserve"> For more details, </w:t>
      </w:r>
      <w:r w:rsidR="00FE47E3">
        <w:rPr>
          <w:rFonts w:ascii="Times New Roman" w:hAnsi="Times New Roman" w:cs="Times New Roman"/>
          <w:i/>
        </w:rPr>
        <w:t xml:space="preserve">see </w:t>
      </w:r>
      <w:r w:rsidR="00FE47E3">
        <w:rPr>
          <w:rFonts w:ascii="Times New Roman" w:hAnsi="Times New Roman" w:cs="Times New Roman"/>
        </w:rPr>
        <w:t xml:space="preserve">ISDA, Regulatory-Driven Market Fragmentation (Jan. 2019), </w:t>
      </w:r>
      <w:hyperlink r:id="rId4" w:history="1">
        <w:r w:rsidR="00FE47E3" w:rsidRPr="00762E09">
          <w:rPr>
            <w:rStyle w:val="Hyperlink"/>
            <w:rFonts w:ascii="Times New Roman" w:hAnsi="Times New Roman" w:cs="Times New Roman"/>
          </w:rPr>
          <w:t>https://www.isda.org/a/wpgME/Regulatory-Driven-Market-Fragmentation-January-2019-1.pdf</w:t>
        </w:r>
      </w:hyperlink>
      <w:r w:rsidR="00FE47E3" w:rsidRPr="00762E09">
        <w:rPr>
          <w:rFonts w:ascii="Times New Roman" w:hAnsi="Times New Roman" w:cs="Times New Roman"/>
        </w:rPr>
        <w:t xml:space="preserve">; </w:t>
      </w:r>
      <w:r w:rsidR="00FE47E3" w:rsidRPr="00762E09">
        <w:rPr>
          <w:rFonts w:ascii="Times New Roman" w:hAnsi="Times New Roman" w:cs="Times New Roman"/>
          <w:i/>
        </w:rPr>
        <w:t xml:space="preserve">see also </w:t>
      </w:r>
      <w:r w:rsidR="00FE47E3" w:rsidRPr="00762E09">
        <w:rPr>
          <w:rFonts w:ascii="Times New Roman" w:hAnsi="Times New Roman" w:cs="Times New Roman"/>
        </w:rPr>
        <w:t xml:space="preserve">ISDA Cross-Border Harmonization, </w:t>
      </w:r>
      <w:hyperlink r:id="rId5" w:history="1">
        <w:r w:rsidR="00FE47E3" w:rsidRPr="00762E09">
          <w:rPr>
            <w:rStyle w:val="Hyperlink"/>
            <w:rFonts w:ascii="Times New Roman" w:hAnsi="Times New Roman" w:cs="Times New Roman"/>
          </w:rPr>
          <w:t>https://www.isda.org/a/9SKDE/ISDA-Cross-Border-Harmonization-FINAL2.pdf</w:t>
        </w:r>
      </w:hyperlink>
      <w:r w:rsidR="00FE47E3" w:rsidRPr="00762E09">
        <w:rPr>
          <w:rFonts w:ascii="Times New Roman" w:hAnsi="Times New Roman" w:cs="Times New Roman"/>
        </w:rPr>
        <w:t xml:space="preserve">. </w:t>
      </w:r>
    </w:p>
  </w:footnote>
  <w:footnote w:id="5">
    <w:p w14:paraId="7498D988" w14:textId="77777777" w:rsidR="002B13A6" w:rsidRPr="00C540FA" w:rsidRDefault="002B13A6" w:rsidP="002B13A6">
      <w:pPr>
        <w:pStyle w:val="FootnoteText"/>
        <w:rPr>
          <w:rFonts w:ascii="Times New Roman" w:hAnsi="Times New Roman" w:cs="Times New Roman"/>
        </w:rPr>
      </w:pPr>
      <w:r w:rsidRPr="00C540FA">
        <w:rPr>
          <w:rStyle w:val="FootnoteReference"/>
          <w:rFonts w:ascii="Times New Roman" w:hAnsi="Times New Roman" w:cs="Times New Roman"/>
        </w:rPr>
        <w:footnoteRef/>
      </w:r>
      <w:r w:rsidRPr="00C540FA">
        <w:rPr>
          <w:rFonts w:ascii="Times New Roman" w:hAnsi="Times New Roman" w:cs="Times New Roman"/>
        </w:rPr>
        <w:t xml:space="preserve"> </w:t>
      </w:r>
      <w:r w:rsidRPr="00C540FA">
        <w:rPr>
          <w:rFonts w:ascii="Times New Roman" w:hAnsi="Times New Roman" w:cs="Times New Roman"/>
          <w:i/>
        </w:rPr>
        <w:t>See</w:t>
      </w:r>
      <w:r w:rsidRPr="00C540FA">
        <w:rPr>
          <w:rFonts w:ascii="Times New Roman" w:hAnsi="Times New Roman" w:cs="Times New Roman"/>
        </w:rPr>
        <w:t xml:space="preserve"> ISDA’s response to the EMIR consultation at: </w:t>
      </w:r>
      <w:hyperlink r:id="rId6" w:history="1">
        <w:r w:rsidRPr="00C540FA">
          <w:rPr>
            <w:rStyle w:val="Hyperlink"/>
            <w:rFonts w:ascii="Times New Roman" w:hAnsi="Times New Roman" w:cs="Times New Roman"/>
          </w:rPr>
          <w:t>https://www.isda.org/2019/07/31/final-response-to-tiering-and-comparable-compliance-esma/</w:t>
        </w:r>
      </w:hyperlink>
      <w:r w:rsidRPr="00C540FA">
        <w:rPr>
          <w:rFonts w:ascii="Times New Roman" w:hAnsi="Times New Roman" w:cs="Times New Roman"/>
        </w:rPr>
        <w:t>.</w:t>
      </w:r>
    </w:p>
  </w:footnote>
  <w:footnote w:id="6">
    <w:p w14:paraId="26DE3BA1" w14:textId="77777777" w:rsidR="00C429AF" w:rsidRPr="00762E09" w:rsidRDefault="00C429AF" w:rsidP="00C429AF">
      <w:pPr>
        <w:spacing w:after="0" w:line="240" w:lineRule="auto"/>
        <w:rPr>
          <w:rFonts w:ascii="Times New Roman" w:hAnsi="Times New Roman" w:cs="Times New Roman"/>
          <w:sz w:val="20"/>
          <w:szCs w:val="20"/>
        </w:rPr>
      </w:pPr>
      <w:r w:rsidRPr="00762E09">
        <w:rPr>
          <w:rStyle w:val="FootnoteReference"/>
          <w:rFonts w:ascii="Times New Roman" w:hAnsi="Times New Roman" w:cs="Times New Roman"/>
          <w:sz w:val="20"/>
          <w:szCs w:val="20"/>
        </w:rPr>
        <w:footnoteRef/>
      </w:r>
      <w:r w:rsidRPr="00762E09">
        <w:rPr>
          <w:rFonts w:ascii="Times New Roman" w:hAnsi="Times New Roman" w:cs="Times New Roman"/>
          <w:sz w:val="20"/>
          <w:szCs w:val="20"/>
        </w:rPr>
        <w:t xml:space="preserve"> </w:t>
      </w:r>
      <w:r w:rsidRPr="00762E09">
        <w:rPr>
          <w:rFonts w:ascii="Times New Roman" w:hAnsi="Times New Roman" w:cs="Times New Roman"/>
          <w:i/>
          <w:sz w:val="20"/>
          <w:szCs w:val="20"/>
        </w:rPr>
        <w:t>See</w:t>
      </w:r>
      <w:r w:rsidRPr="00762E09">
        <w:rPr>
          <w:rFonts w:ascii="Times New Roman" w:hAnsi="Times New Roman" w:cs="Times New Roman"/>
          <w:sz w:val="20"/>
          <w:szCs w:val="20"/>
        </w:rPr>
        <w:t xml:space="preserve"> ISDA’s response to the EMIR consultation at: </w:t>
      </w:r>
      <w:hyperlink r:id="rId7" w:history="1">
        <w:r w:rsidRPr="00762E09">
          <w:rPr>
            <w:rStyle w:val="Hyperlink"/>
            <w:rFonts w:ascii="Times New Roman" w:hAnsi="Times New Roman" w:cs="Times New Roman"/>
            <w:sz w:val="20"/>
            <w:szCs w:val="20"/>
          </w:rPr>
          <w:t>https://www.isda.org/2019/07/31/final-response-to-tiering-and-comparable-compliance-esma/</w:t>
        </w:r>
      </w:hyperlink>
      <w:r w:rsidRPr="00762E09">
        <w:rPr>
          <w:rFonts w:ascii="Times New Roman" w:hAnsi="Times New Roman" w:cs="Times New Roman"/>
          <w:sz w:val="20"/>
          <w:szCs w:val="20"/>
        </w:rPr>
        <w:t>.</w:t>
      </w:r>
    </w:p>
  </w:footnote>
  <w:footnote w:id="7">
    <w:p w14:paraId="36A267D4" w14:textId="77777777" w:rsidR="006315EC" w:rsidRPr="00762E09" w:rsidRDefault="006315EC">
      <w:pPr>
        <w:pStyle w:val="FootnoteText"/>
        <w:rPr>
          <w:rFonts w:ascii="Times New Roman" w:hAnsi="Times New Roman" w:cs="Times New Roman"/>
        </w:rPr>
      </w:pPr>
      <w:r w:rsidRPr="00762E09">
        <w:rPr>
          <w:rStyle w:val="FootnoteReference"/>
          <w:rFonts w:ascii="Times New Roman" w:hAnsi="Times New Roman" w:cs="Times New Roman"/>
        </w:rPr>
        <w:footnoteRef/>
      </w:r>
      <w:r w:rsidRPr="00762E09">
        <w:rPr>
          <w:rFonts w:ascii="Times New Roman" w:hAnsi="Times New Roman" w:cs="Times New Roman"/>
        </w:rPr>
        <w:t xml:space="preserve"> Proposal at 3</w:t>
      </w:r>
      <w:r w:rsidR="00C429AF" w:rsidRPr="00762E09">
        <w:rPr>
          <w:rFonts w:ascii="Times New Roman" w:hAnsi="Times New Roman" w:cs="Times New Roman"/>
        </w:rPr>
        <w:t>4821-22</w:t>
      </w:r>
      <w:r w:rsidRPr="00762E09">
        <w:rPr>
          <w:rFonts w:ascii="Times New Roman" w:hAnsi="Times New Roman" w:cs="Times New Roman"/>
        </w:rPr>
        <w:t xml:space="preserve">. </w:t>
      </w:r>
    </w:p>
  </w:footnote>
  <w:footnote w:id="8">
    <w:p w14:paraId="0F760FC7" w14:textId="77777777" w:rsidR="00240CAF" w:rsidRPr="004168D9" w:rsidRDefault="00240CAF" w:rsidP="00240CAF">
      <w:pPr>
        <w:pStyle w:val="FootnoteText"/>
        <w:rPr>
          <w:rFonts w:ascii="Times New Roman" w:hAnsi="Times New Roman" w:cs="Times New Roman"/>
          <w:lang w:eastAsia="ja-JP"/>
        </w:rPr>
      </w:pPr>
      <w:r w:rsidRPr="004168D9">
        <w:rPr>
          <w:rStyle w:val="FootnoteReference"/>
          <w:rFonts w:ascii="Times New Roman" w:hAnsi="Times New Roman" w:cs="Times New Roman"/>
        </w:rPr>
        <w:footnoteRef/>
      </w:r>
      <w:r w:rsidRPr="004168D9">
        <w:rPr>
          <w:rFonts w:ascii="Times New Roman" w:hAnsi="Times New Roman" w:cs="Times New Roman"/>
        </w:rPr>
        <w:t xml:space="preserve"> Principle 18</w:t>
      </w:r>
      <w:r w:rsidR="00F01432">
        <w:rPr>
          <w:rFonts w:ascii="Times New Roman" w:hAnsi="Times New Roman" w:cs="Times New Roman"/>
        </w:rPr>
        <w:t xml:space="preserve"> </w:t>
      </w:r>
      <w:r>
        <w:rPr>
          <w:rFonts w:ascii="Times New Roman" w:hAnsi="Times New Roman" w:cs="Times New Roman" w:hint="eastAsia"/>
          <w:lang w:eastAsia="ja-JP"/>
        </w:rPr>
        <w:t>(</w:t>
      </w:r>
      <w:r w:rsidR="009D29D6">
        <w:rPr>
          <w:rFonts w:ascii="Times New Roman" w:hAnsi="Times New Roman" w:cs="Times New Roman"/>
        </w:rPr>
        <w:t>a</w:t>
      </w:r>
      <w:r w:rsidRPr="004168D9">
        <w:rPr>
          <w:rFonts w:ascii="Times New Roman" w:hAnsi="Times New Roman" w:cs="Times New Roman"/>
        </w:rPr>
        <w:t>ccess and participation requirements</w:t>
      </w:r>
      <w:r>
        <w:rPr>
          <w:rFonts w:ascii="Times New Roman" w:hAnsi="Times New Roman" w:cs="Times New Roman" w:hint="eastAsia"/>
          <w:lang w:eastAsia="ja-JP"/>
        </w:rPr>
        <w:t>)</w:t>
      </w:r>
      <w:r w:rsidRPr="004168D9">
        <w:rPr>
          <w:rFonts w:ascii="Times New Roman" w:hAnsi="Times New Roman" w:cs="Times New Roman"/>
          <w:lang w:eastAsia="ja-JP"/>
        </w:rPr>
        <w:t xml:space="preserve"> of the PFMI</w:t>
      </w:r>
      <w:r w:rsidR="009D29D6">
        <w:rPr>
          <w:rFonts w:ascii="Times New Roman" w:hAnsi="Times New Roman" w:cs="Times New Roman"/>
          <w:lang w:eastAsia="ja-JP"/>
        </w:rPr>
        <w:t>.</w:t>
      </w:r>
      <w:bookmarkStart w:id="0" w:name="_GoBack"/>
      <w:bookmarkEnd w:id="0"/>
    </w:p>
  </w:footnote>
  <w:footnote w:id="9">
    <w:p w14:paraId="3F47FE04" w14:textId="321D92AC" w:rsidR="0018073A" w:rsidRDefault="0018073A" w:rsidP="0018073A">
      <w:pPr>
        <w:pStyle w:val="FootnoteText"/>
      </w:pPr>
      <w:r>
        <w:rPr>
          <w:rStyle w:val="FootnoteReference"/>
        </w:rPr>
        <w:footnoteRef/>
      </w:r>
      <w:r>
        <w:t xml:space="preserve"> </w:t>
      </w:r>
      <w:r w:rsidRPr="0034679F">
        <w:rPr>
          <w:rFonts w:ascii="Times New Roman" w:hAnsi="Times New Roman" w:cs="Times New Roman"/>
          <w:i/>
        </w:rPr>
        <w:t>See</w:t>
      </w:r>
      <w:r w:rsidRPr="0034679F">
        <w:rPr>
          <w:rFonts w:ascii="Times New Roman" w:hAnsi="Times New Roman" w:cs="Times New Roman"/>
        </w:rPr>
        <w:t xml:space="preserve"> Interpretive Guidance and Policy Statement Regarding Compliance with </w:t>
      </w:r>
      <w:r w:rsidRPr="00C540FA">
        <w:rPr>
          <w:rFonts w:ascii="Times New Roman" w:hAnsi="Times New Roman" w:cs="Times New Roman"/>
        </w:rPr>
        <w:t xml:space="preserve">Certain Swap Regulations; Rule (July 26, 2013), </w:t>
      </w:r>
      <w:r w:rsidRPr="00C540FA">
        <w:rPr>
          <w:rFonts w:ascii="Times New Roman" w:hAnsi="Times New Roman" w:cs="Times New Roman"/>
          <w:i/>
        </w:rPr>
        <w:t>available at</w:t>
      </w:r>
      <w:r w:rsidRPr="00C540FA">
        <w:rPr>
          <w:rFonts w:ascii="Times New Roman" w:hAnsi="Times New Roman" w:cs="Times New Roman"/>
        </w:rPr>
        <w:t xml:space="preserve"> </w:t>
      </w:r>
      <w:hyperlink r:id="rId8" w:history="1">
        <w:r w:rsidRPr="00C540FA">
          <w:rPr>
            <w:rStyle w:val="Hyperlink"/>
            <w:rFonts w:ascii="Times New Roman" w:hAnsi="Times New Roman" w:cs="Times New Roman"/>
          </w:rPr>
          <w:t>https://www.cftc.gov/sites/default/files/idc/groups/public/@lrfederalregister/documents/file/2013-17958a.pdf</w:t>
        </w:r>
      </w:hyperlink>
      <w:r w:rsidR="00665A8D" w:rsidRPr="00665A8D">
        <w:rPr>
          <w:rStyle w:val="Hyperlink"/>
          <w:rFonts w:ascii="Times New Roman" w:hAnsi="Times New Roman" w:cs="Times New Roman"/>
          <w:color w:val="auto"/>
          <w:u w:val="none"/>
        </w:rPr>
        <w:t>.</w:t>
      </w:r>
    </w:p>
  </w:footnote>
  <w:footnote w:id="10">
    <w:p w14:paraId="47E8A62F" w14:textId="77777777" w:rsidR="00F218F2" w:rsidRDefault="00F218F2">
      <w:pPr>
        <w:pStyle w:val="FootnoteText"/>
      </w:pPr>
      <w:r>
        <w:rPr>
          <w:rStyle w:val="FootnoteReference"/>
        </w:rPr>
        <w:footnoteRef/>
      </w:r>
      <w:r>
        <w:t xml:space="preserve"> </w:t>
      </w:r>
      <w:r>
        <w:rPr>
          <w:rFonts w:ascii="Times New Roman" w:hAnsi="Times New Roman" w:cs="Times New Roman"/>
        </w:rPr>
        <w:t xml:space="preserve">Registration with Alternative </w:t>
      </w:r>
      <w:r w:rsidRPr="002B5DD3">
        <w:rPr>
          <w:rFonts w:ascii="Times New Roman" w:hAnsi="Times New Roman" w:cs="Times New Roman"/>
        </w:rPr>
        <w:t>Comp</w:t>
      </w:r>
      <w:r>
        <w:rPr>
          <w:rFonts w:ascii="Times New Roman" w:hAnsi="Times New Roman" w:cs="Times New Roman"/>
        </w:rPr>
        <w:t xml:space="preserve">liance for Non-U.S. Derivatives </w:t>
      </w:r>
      <w:r w:rsidRPr="002B5DD3">
        <w:rPr>
          <w:rFonts w:ascii="Times New Roman" w:hAnsi="Times New Roman" w:cs="Times New Roman"/>
        </w:rPr>
        <w:t>Clearing Organizations</w:t>
      </w:r>
      <w:r>
        <w:rPr>
          <w:rFonts w:ascii="Times New Roman" w:hAnsi="Times New Roman" w:cs="Times New Roman"/>
        </w:rPr>
        <w:t xml:space="preserve">, Notice of Proposed Rulemaking, 84 Fed. Reg. 34819 (July 19, 2019), </w:t>
      </w:r>
      <w:hyperlink r:id="rId9" w:history="1">
        <w:r w:rsidRPr="00747309">
          <w:rPr>
            <w:rStyle w:val="Hyperlink"/>
            <w:rFonts w:ascii="Times New Roman" w:hAnsi="Times New Roman" w:cs="Times New Roman"/>
          </w:rPr>
          <w:t>https://www.govinfo.gov/content/pkg/FR-2019-07-19/pdf/2019-15262.pdf</w:t>
        </w:r>
      </w:hyperlink>
      <w:r>
        <w:rPr>
          <w:rFonts w:ascii="Times New Roman" w:hAnsi="Times New Roman" w:cs="Times New Roman"/>
        </w:rPr>
        <w:t>.</w:t>
      </w:r>
    </w:p>
  </w:footnote>
  <w:footnote w:id="11">
    <w:p w14:paraId="433C44E5" w14:textId="77777777" w:rsidR="0018073A" w:rsidRDefault="0018073A" w:rsidP="0018073A">
      <w:pPr>
        <w:pStyle w:val="FootnoteText"/>
      </w:pPr>
      <w:r w:rsidRPr="00377DE0">
        <w:rPr>
          <w:rStyle w:val="FootnoteReference"/>
          <w:rFonts w:ascii="Times New Roman" w:hAnsi="Times New Roman" w:cs="Times New Roman"/>
        </w:rPr>
        <w:footnoteRef/>
      </w:r>
      <w:r w:rsidRPr="00377DE0">
        <w:rPr>
          <w:rFonts w:ascii="Times New Roman" w:hAnsi="Times New Roman" w:cs="Times New Roman"/>
        </w:rPr>
        <w:t xml:space="preserve"> Proposal at 35460. </w:t>
      </w:r>
    </w:p>
  </w:footnote>
  <w:footnote w:id="12">
    <w:p w14:paraId="7A2BEDA3" w14:textId="77777777" w:rsidR="0018073A" w:rsidRPr="00875E3F" w:rsidRDefault="0018073A" w:rsidP="00875E3F">
      <w:pPr>
        <w:pStyle w:val="CommentText"/>
        <w:rPr>
          <w:rFonts w:ascii="Times New Roman" w:hAnsi="Times New Roman" w:cs="Times New Roman"/>
        </w:rPr>
      </w:pPr>
      <w:r w:rsidRPr="00BD1BBE">
        <w:rPr>
          <w:rStyle w:val="FootnoteReference"/>
          <w:rFonts w:ascii="Times New Roman" w:hAnsi="Times New Roman" w:cs="Times New Roman"/>
        </w:rPr>
        <w:footnoteRef/>
      </w:r>
      <w:r w:rsidRPr="00BD1BBE">
        <w:rPr>
          <w:rFonts w:ascii="Times New Roman" w:hAnsi="Times New Roman" w:cs="Times New Roman"/>
        </w:rPr>
        <w:t xml:space="preserve"> We also ask the Commission to </w:t>
      </w:r>
      <w:r>
        <w:rPr>
          <w:rFonts w:ascii="Times New Roman" w:hAnsi="Times New Roman" w:cs="Times New Roman"/>
        </w:rPr>
        <w:t>provide</w:t>
      </w:r>
      <w:r w:rsidRPr="00BD1BBE">
        <w:rPr>
          <w:rFonts w:ascii="Times New Roman" w:hAnsi="Times New Roman" w:cs="Times New Roman"/>
        </w:rPr>
        <w:t xml:space="preserve"> transitional relief to </w:t>
      </w:r>
      <w:r>
        <w:rPr>
          <w:rFonts w:ascii="Times New Roman" w:hAnsi="Times New Roman" w:cs="Times New Roman"/>
        </w:rPr>
        <w:t xml:space="preserve">foreign CCPs that </w:t>
      </w:r>
      <w:r w:rsidRPr="00BD1BBE">
        <w:rPr>
          <w:rFonts w:ascii="Times New Roman" w:hAnsi="Times New Roman" w:cs="Times New Roman"/>
        </w:rPr>
        <w:t xml:space="preserve">currently </w:t>
      </w:r>
      <w:r>
        <w:rPr>
          <w:rFonts w:ascii="Times New Roman" w:hAnsi="Times New Roman" w:cs="Times New Roman"/>
        </w:rPr>
        <w:t xml:space="preserve">operate under the CFTC’s no-action relief to allow these clearing organizations to continue to clear </w:t>
      </w:r>
      <w:r w:rsidRPr="009366B8">
        <w:rPr>
          <w:rFonts w:ascii="Times New Roman" w:hAnsi="Times New Roman" w:cs="Times New Roman"/>
        </w:rPr>
        <w:t>proprietary trades of U.S. clearing members</w:t>
      </w:r>
      <w:r>
        <w:rPr>
          <w:rFonts w:ascii="Times New Roman" w:hAnsi="Times New Roman" w:cs="Times New Roman"/>
        </w:rPr>
        <w:t>.</w:t>
      </w:r>
      <w:r w:rsidRPr="00BD1BBE">
        <w:rPr>
          <w:rFonts w:ascii="Times New Roman" w:hAnsi="Times New Roman" w:cs="Times New Roman"/>
        </w:rPr>
        <w:t xml:space="preserve"> In the </w:t>
      </w:r>
      <w:r>
        <w:rPr>
          <w:rFonts w:ascii="Times New Roman" w:hAnsi="Times New Roman" w:cs="Times New Roman"/>
        </w:rPr>
        <w:t>event of</w:t>
      </w:r>
      <w:r w:rsidRPr="00BD1BBE">
        <w:rPr>
          <w:rFonts w:ascii="Times New Roman" w:hAnsi="Times New Roman" w:cs="Times New Roman"/>
        </w:rPr>
        <w:t xml:space="preserve"> </w:t>
      </w:r>
      <w:r>
        <w:rPr>
          <w:rFonts w:ascii="Times New Roman" w:hAnsi="Times New Roman" w:cs="Times New Roman"/>
        </w:rPr>
        <w:t xml:space="preserve">an </w:t>
      </w:r>
      <w:r w:rsidRPr="00BD1BBE">
        <w:rPr>
          <w:rFonts w:ascii="Times New Roman" w:hAnsi="Times New Roman" w:cs="Times New Roman"/>
        </w:rPr>
        <w:t xml:space="preserve">exempt DCO </w:t>
      </w:r>
      <w:r>
        <w:rPr>
          <w:rFonts w:ascii="Times New Roman" w:hAnsi="Times New Roman" w:cs="Times New Roman"/>
        </w:rPr>
        <w:t xml:space="preserve">exceeding </w:t>
      </w:r>
      <w:r w:rsidRPr="00BD1BBE">
        <w:rPr>
          <w:rFonts w:ascii="Times New Roman" w:hAnsi="Times New Roman" w:cs="Times New Roman"/>
        </w:rPr>
        <w:t xml:space="preserve">the threshold, we believe </w:t>
      </w:r>
      <w:r>
        <w:rPr>
          <w:rFonts w:ascii="Times New Roman" w:hAnsi="Times New Roman" w:cs="Times New Roman"/>
        </w:rPr>
        <w:t xml:space="preserve">time-limited </w:t>
      </w:r>
      <w:r w:rsidRPr="00BD1BBE">
        <w:rPr>
          <w:rFonts w:ascii="Times New Roman" w:hAnsi="Times New Roman" w:cs="Times New Roman"/>
        </w:rPr>
        <w:t xml:space="preserve">relief should be provided to allow market participants to take the necessary steps to migrate their business and operations.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2CE4D2" w14:textId="77777777" w:rsidR="001E5B92" w:rsidRDefault="001E5B92">
    <w:pPr>
      <w:pStyle w:val="Header"/>
    </w:pPr>
    <w:r w:rsidRPr="003E328E">
      <w:rPr>
        <w:noProof/>
      </w:rPr>
      <w:drawing>
        <wp:inline distT="0" distB="0" distL="0" distR="0" wp14:anchorId="3A52F5BF" wp14:editId="1BAA64A6">
          <wp:extent cx="1552129" cy="386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85885" cy="394477"/>
                  </a:xfrm>
                  <a:prstGeom prst="rect">
                    <a:avLst/>
                  </a:prstGeom>
                  <a:noFill/>
                  <a:ln>
                    <a:noFill/>
                  </a:ln>
                  <a:extLst>
                    <a:ext uri="{53640926-AAD7-44D8-BBD7-CCE9431645EC}">
                      <a14:shadowObscured xmlns:a14="http://schemas.microsoft.com/office/drawing/2010/main"/>
                    </a:ext>
                  </a:extLst>
                </pic:spPr>
              </pic:pic>
            </a:graphicData>
          </a:graphic>
        </wp:inline>
      </w:drawing>
    </w:r>
  </w:p>
  <w:p w14:paraId="3053107A" w14:textId="77777777" w:rsidR="002E5A5F" w:rsidRPr="00115886" w:rsidRDefault="002E5A5F" w:rsidP="00115886">
    <w:pPr>
      <w:pStyle w:val="Header"/>
      <w:jc w:val="right"/>
      <w:rPr>
        <w:rFonts w:ascii="Times New Roman" w:hAnsi="Times New Roman" w:cs="Times New Roman"/>
        <w:b/>
        <w:color w:val="FF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F516B"/>
    <w:multiLevelType w:val="hybridMultilevel"/>
    <w:tmpl w:val="142C592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7C14AFE"/>
    <w:multiLevelType w:val="hybridMultilevel"/>
    <w:tmpl w:val="C1B0126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A3A3C79"/>
    <w:multiLevelType w:val="hybridMultilevel"/>
    <w:tmpl w:val="55C8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5E4B6E"/>
    <w:multiLevelType w:val="hybridMultilevel"/>
    <w:tmpl w:val="E396B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62204"/>
    <w:multiLevelType w:val="hybridMultilevel"/>
    <w:tmpl w:val="6B503B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C6F11"/>
    <w:multiLevelType w:val="hybridMultilevel"/>
    <w:tmpl w:val="67163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3E4"/>
    <w:rsid w:val="000022AA"/>
    <w:rsid w:val="00017BEB"/>
    <w:rsid w:val="000355A8"/>
    <w:rsid w:val="000418B7"/>
    <w:rsid w:val="00044CC3"/>
    <w:rsid w:val="000468A2"/>
    <w:rsid w:val="00054200"/>
    <w:rsid w:val="00097792"/>
    <w:rsid w:val="00097996"/>
    <w:rsid w:val="000C50AD"/>
    <w:rsid w:val="000D4688"/>
    <w:rsid w:val="000D48BD"/>
    <w:rsid w:val="000F62CD"/>
    <w:rsid w:val="00104161"/>
    <w:rsid w:val="00110378"/>
    <w:rsid w:val="00115886"/>
    <w:rsid w:val="001175BD"/>
    <w:rsid w:val="001200DC"/>
    <w:rsid w:val="001510EC"/>
    <w:rsid w:val="00154269"/>
    <w:rsid w:val="00157B41"/>
    <w:rsid w:val="00171352"/>
    <w:rsid w:val="0018073A"/>
    <w:rsid w:val="00190F82"/>
    <w:rsid w:val="001935A9"/>
    <w:rsid w:val="00195AFC"/>
    <w:rsid w:val="001A3FAA"/>
    <w:rsid w:val="001C0757"/>
    <w:rsid w:val="001D2C44"/>
    <w:rsid w:val="001E4474"/>
    <w:rsid w:val="001E5B92"/>
    <w:rsid w:val="001E6259"/>
    <w:rsid w:val="001F40F0"/>
    <w:rsid w:val="00211203"/>
    <w:rsid w:val="002277FA"/>
    <w:rsid w:val="00240CAF"/>
    <w:rsid w:val="00257F21"/>
    <w:rsid w:val="00275330"/>
    <w:rsid w:val="00283C59"/>
    <w:rsid w:val="002964C5"/>
    <w:rsid w:val="002A1CC6"/>
    <w:rsid w:val="002B13A6"/>
    <w:rsid w:val="002B5DD3"/>
    <w:rsid w:val="002D0267"/>
    <w:rsid w:val="002D7EA4"/>
    <w:rsid w:val="002E5A5F"/>
    <w:rsid w:val="002E6055"/>
    <w:rsid w:val="002E6D1B"/>
    <w:rsid w:val="00340B15"/>
    <w:rsid w:val="00343B5F"/>
    <w:rsid w:val="003855BF"/>
    <w:rsid w:val="00386B8F"/>
    <w:rsid w:val="003C13CF"/>
    <w:rsid w:val="003D004A"/>
    <w:rsid w:val="00437129"/>
    <w:rsid w:val="004461DB"/>
    <w:rsid w:val="00451A0B"/>
    <w:rsid w:val="00463286"/>
    <w:rsid w:val="004833CC"/>
    <w:rsid w:val="00486839"/>
    <w:rsid w:val="00497E15"/>
    <w:rsid w:val="004B6C80"/>
    <w:rsid w:val="0051223A"/>
    <w:rsid w:val="00554C0F"/>
    <w:rsid w:val="005922CA"/>
    <w:rsid w:val="00596090"/>
    <w:rsid w:val="00597802"/>
    <w:rsid w:val="005B2C68"/>
    <w:rsid w:val="005B3832"/>
    <w:rsid w:val="005C1D40"/>
    <w:rsid w:val="005D0C53"/>
    <w:rsid w:val="005E2BDB"/>
    <w:rsid w:val="005E3380"/>
    <w:rsid w:val="005E78D2"/>
    <w:rsid w:val="005F2146"/>
    <w:rsid w:val="00614F97"/>
    <w:rsid w:val="006315EC"/>
    <w:rsid w:val="00644FFA"/>
    <w:rsid w:val="00664E9F"/>
    <w:rsid w:val="00665A8D"/>
    <w:rsid w:val="00672F79"/>
    <w:rsid w:val="0068389F"/>
    <w:rsid w:val="00685C12"/>
    <w:rsid w:val="00696A33"/>
    <w:rsid w:val="006C11BD"/>
    <w:rsid w:val="006C6471"/>
    <w:rsid w:val="006D3EF7"/>
    <w:rsid w:val="00721CD3"/>
    <w:rsid w:val="007322BF"/>
    <w:rsid w:val="00751AAE"/>
    <w:rsid w:val="00762E09"/>
    <w:rsid w:val="007666B8"/>
    <w:rsid w:val="007712AA"/>
    <w:rsid w:val="00790E2F"/>
    <w:rsid w:val="007B000E"/>
    <w:rsid w:val="007D5AAA"/>
    <w:rsid w:val="007F0D7B"/>
    <w:rsid w:val="007F5E15"/>
    <w:rsid w:val="00803107"/>
    <w:rsid w:val="00820736"/>
    <w:rsid w:val="008521F5"/>
    <w:rsid w:val="008753E4"/>
    <w:rsid w:val="00875E3F"/>
    <w:rsid w:val="008777F8"/>
    <w:rsid w:val="008E3F77"/>
    <w:rsid w:val="00950B6B"/>
    <w:rsid w:val="00967B41"/>
    <w:rsid w:val="009861D7"/>
    <w:rsid w:val="00986A69"/>
    <w:rsid w:val="009A3D53"/>
    <w:rsid w:val="009D29D6"/>
    <w:rsid w:val="009D517F"/>
    <w:rsid w:val="009E17C6"/>
    <w:rsid w:val="009E23D1"/>
    <w:rsid w:val="009F4E17"/>
    <w:rsid w:val="00A0378A"/>
    <w:rsid w:val="00A104D2"/>
    <w:rsid w:val="00A13F7F"/>
    <w:rsid w:val="00A26A1A"/>
    <w:rsid w:val="00A3409C"/>
    <w:rsid w:val="00A67E4D"/>
    <w:rsid w:val="00A70E57"/>
    <w:rsid w:val="00A80894"/>
    <w:rsid w:val="00A83F2F"/>
    <w:rsid w:val="00AB7075"/>
    <w:rsid w:val="00AC1ABB"/>
    <w:rsid w:val="00AF59B0"/>
    <w:rsid w:val="00B373B1"/>
    <w:rsid w:val="00B562DA"/>
    <w:rsid w:val="00B95411"/>
    <w:rsid w:val="00B96B2A"/>
    <w:rsid w:val="00BB54AE"/>
    <w:rsid w:val="00BD46F1"/>
    <w:rsid w:val="00BD6D9D"/>
    <w:rsid w:val="00BE3B77"/>
    <w:rsid w:val="00BE64DE"/>
    <w:rsid w:val="00BE792A"/>
    <w:rsid w:val="00C004C4"/>
    <w:rsid w:val="00C027E8"/>
    <w:rsid w:val="00C33A84"/>
    <w:rsid w:val="00C429AF"/>
    <w:rsid w:val="00C5314A"/>
    <w:rsid w:val="00C633C6"/>
    <w:rsid w:val="00CB1A55"/>
    <w:rsid w:val="00CB2A93"/>
    <w:rsid w:val="00CC03AD"/>
    <w:rsid w:val="00CD3888"/>
    <w:rsid w:val="00CF29CB"/>
    <w:rsid w:val="00D152D7"/>
    <w:rsid w:val="00D373F4"/>
    <w:rsid w:val="00D46CF7"/>
    <w:rsid w:val="00D52857"/>
    <w:rsid w:val="00D73B9C"/>
    <w:rsid w:val="00D75151"/>
    <w:rsid w:val="00D82AAE"/>
    <w:rsid w:val="00D95E12"/>
    <w:rsid w:val="00D9702A"/>
    <w:rsid w:val="00DB2BDC"/>
    <w:rsid w:val="00DC4955"/>
    <w:rsid w:val="00DC62E8"/>
    <w:rsid w:val="00DE37B0"/>
    <w:rsid w:val="00DF5240"/>
    <w:rsid w:val="00E17086"/>
    <w:rsid w:val="00E36189"/>
    <w:rsid w:val="00E5780C"/>
    <w:rsid w:val="00E7161C"/>
    <w:rsid w:val="00E83D98"/>
    <w:rsid w:val="00EA0E97"/>
    <w:rsid w:val="00EB560E"/>
    <w:rsid w:val="00EC4975"/>
    <w:rsid w:val="00ED1839"/>
    <w:rsid w:val="00EF008B"/>
    <w:rsid w:val="00EF0CC9"/>
    <w:rsid w:val="00EF3FC6"/>
    <w:rsid w:val="00F01432"/>
    <w:rsid w:val="00F11461"/>
    <w:rsid w:val="00F16564"/>
    <w:rsid w:val="00F218F2"/>
    <w:rsid w:val="00F25FF8"/>
    <w:rsid w:val="00F33E56"/>
    <w:rsid w:val="00F35167"/>
    <w:rsid w:val="00F370AC"/>
    <w:rsid w:val="00F63478"/>
    <w:rsid w:val="00F65604"/>
    <w:rsid w:val="00F67098"/>
    <w:rsid w:val="00F71ECD"/>
    <w:rsid w:val="00F77368"/>
    <w:rsid w:val="00F96E0C"/>
    <w:rsid w:val="00F9749F"/>
    <w:rsid w:val="00FC4289"/>
    <w:rsid w:val="00FE0090"/>
    <w:rsid w:val="00FE4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DFCD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5B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5B92"/>
  </w:style>
  <w:style w:type="paragraph" w:styleId="Footer">
    <w:name w:val="footer"/>
    <w:basedOn w:val="Normal"/>
    <w:link w:val="FooterChar"/>
    <w:uiPriority w:val="99"/>
    <w:unhideWhenUsed/>
    <w:rsid w:val="001E5B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5B92"/>
  </w:style>
  <w:style w:type="paragraph" w:styleId="FootnoteText">
    <w:name w:val="footnote text"/>
    <w:basedOn w:val="Normal"/>
    <w:link w:val="FootnoteTextChar"/>
    <w:uiPriority w:val="99"/>
    <w:semiHidden/>
    <w:unhideWhenUsed/>
    <w:rsid w:val="001510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10EC"/>
    <w:rPr>
      <w:sz w:val="20"/>
      <w:szCs w:val="20"/>
    </w:rPr>
  </w:style>
  <w:style w:type="character" w:styleId="FootnoteReference">
    <w:name w:val="footnote reference"/>
    <w:basedOn w:val="DefaultParagraphFont"/>
    <w:uiPriority w:val="99"/>
    <w:semiHidden/>
    <w:unhideWhenUsed/>
    <w:rsid w:val="001510EC"/>
    <w:rPr>
      <w:vertAlign w:val="superscript"/>
    </w:rPr>
  </w:style>
  <w:style w:type="character" w:styleId="Hyperlink">
    <w:name w:val="Hyperlink"/>
    <w:basedOn w:val="DefaultParagraphFont"/>
    <w:uiPriority w:val="99"/>
    <w:unhideWhenUsed/>
    <w:rsid w:val="001510EC"/>
    <w:rPr>
      <w:color w:val="0000FF"/>
      <w:u w:val="single"/>
    </w:rPr>
  </w:style>
  <w:style w:type="character" w:styleId="CommentReference">
    <w:name w:val="annotation reference"/>
    <w:basedOn w:val="DefaultParagraphFont"/>
    <w:uiPriority w:val="99"/>
    <w:semiHidden/>
    <w:unhideWhenUsed/>
    <w:rsid w:val="007322BF"/>
    <w:rPr>
      <w:sz w:val="16"/>
      <w:szCs w:val="16"/>
    </w:rPr>
  </w:style>
  <w:style w:type="paragraph" w:styleId="CommentText">
    <w:name w:val="annotation text"/>
    <w:basedOn w:val="Normal"/>
    <w:link w:val="CommentTextChar"/>
    <w:uiPriority w:val="99"/>
    <w:unhideWhenUsed/>
    <w:rsid w:val="007322BF"/>
    <w:pPr>
      <w:spacing w:line="240" w:lineRule="auto"/>
    </w:pPr>
    <w:rPr>
      <w:sz w:val="20"/>
      <w:szCs w:val="20"/>
    </w:rPr>
  </w:style>
  <w:style w:type="character" w:customStyle="1" w:styleId="CommentTextChar">
    <w:name w:val="Comment Text Char"/>
    <w:basedOn w:val="DefaultParagraphFont"/>
    <w:link w:val="CommentText"/>
    <w:uiPriority w:val="99"/>
    <w:rsid w:val="007322BF"/>
    <w:rPr>
      <w:sz w:val="20"/>
      <w:szCs w:val="20"/>
    </w:rPr>
  </w:style>
  <w:style w:type="paragraph" w:styleId="CommentSubject">
    <w:name w:val="annotation subject"/>
    <w:basedOn w:val="CommentText"/>
    <w:next w:val="CommentText"/>
    <w:link w:val="CommentSubjectChar"/>
    <w:uiPriority w:val="99"/>
    <w:semiHidden/>
    <w:unhideWhenUsed/>
    <w:rsid w:val="007322BF"/>
    <w:rPr>
      <w:b/>
      <w:bCs/>
    </w:rPr>
  </w:style>
  <w:style w:type="character" w:customStyle="1" w:styleId="CommentSubjectChar">
    <w:name w:val="Comment Subject Char"/>
    <w:basedOn w:val="CommentTextChar"/>
    <w:link w:val="CommentSubject"/>
    <w:uiPriority w:val="99"/>
    <w:semiHidden/>
    <w:rsid w:val="007322BF"/>
    <w:rPr>
      <w:b/>
      <w:bCs/>
      <w:sz w:val="20"/>
      <w:szCs w:val="20"/>
    </w:rPr>
  </w:style>
  <w:style w:type="paragraph" w:styleId="BalloonText">
    <w:name w:val="Balloon Text"/>
    <w:basedOn w:val="Normal"/>
    <w:link w:val="BalloonTextChar"/>
    <w:uiPriority w:val="99"/>
    <w:semiHidden/>
    <w:unhideWhenUsed/>
    <w:rsid w:val="007322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2BF"/>
    <w:rPr>
      <w:rFonts w:ascii="Segoe UI" w:hAnsi="Segoe UI" w:cs="Segoe UI"/>
      <w:sz w:val="18"/>
      <w:szCs w:val="18"/>
    </w:rPr>
  </w:style>
  <w:style w:type="paragraph" w:styleId="ListParagraph">
    <w:name w:val="List Paragraph"/>
    <w:basedOn w:val="Normal"/>
    <w:uiPriority w:val="34"/>
    <w:qFormat/>
    <w:rsid w:val="002277FA"/>
    <w:pPr>
      <w:ind w:left="720"/>
      <w:contextualSpacing/>
    </w:pPr>
  </w:style>
  <w:style w:type="character" w:customStyle="1" w:styleId="UnresolvedMention">
    <w:name w:val="Unresolved Mention"/>
    <w:basedOn w:val="DefaultParagraphFont"/>
    <w:uiPriority w:val="99"/>
    <w:semiHidden/>
    <w:unhideWhenUsed/>
    <w:rsid w:val="009A3D53"/>
    <w:rPr>
      <w:color w:val="605E5C"/>
      <w:shd w:val="clear" w:color="auto" w:fill="E1DFDD"/>
    </w:rPr>
  </w:style>
  <w:style w:type="character" w:styleId="FollowedHyperlink">
    <w:name w:val="FollowedHyperlink"/>
    <w:basedOn w:val="DefaultParagraphFont"/>
    <w:uiPriority w:val="99"/>
    <w:semiHidden/>
    <w:unhideWhenUsed/>
    <w:rsid w:val="002D02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9657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ftc.gov/sites/default/files/idc/groups/public/@lrfederalregister/documents/file/2013-17958a.pdf" TargetMode="External"/><Relationship Id="rId3" Type="http://schemas.openxmlformats.org/officeDocument/2006/relationships/hyperlink" Target="https://www.isda.org/a/9SKDE/ISDA-Cross-Border-Harmonization-FINAL2.pdf" TargetMode="External"/><Relationship Id="rId7" Type="http://schemas.openxmlformats.org/officeDocument/2006/relationships/hyperlink" Target="https://www.isda.org/2019/07/31/final-response-to-tiering-and-comparable-compliance-esma/" TargetMode="External"/><Relationship Id="rId2" Type="http://schemas.openxmlformats.org/officeDocument/2006/relationships/hyperlink" Target="https://www.govinfo.gov/content/pkg/FR-2019-07-19/pdf/2019-15262.pdf" TargetMode="External"/><Relationship Id="rId1" Type="http://schemas.openxmlformats.org/officeDocument/2006/relationships/hyperlink" Target="http://www.isda.org" TargetMode="External"/><Relationship Id="rId6" Type="http://schemas.openxmlformats.org/officeDocument/2006/relationships/hyperlink" Target="https://www.isda.org/2019/07/31/final-response-to-tiering-and-comparable-compliance-esma/" TargetMode="External"/><Relationship Id="rId5" Type="http://schemas.openxmlformats.org/officeDocument/2006/relationships/hyperlink" Target="https://www.isda.org/a/9SKDE/ISDA-Cross-Border-Harmonization-FINAL2.pdf" TargetMode="External"/><Relationship Id="rId4" Type="http://schemas.openxmlformats.org/officeDocument/2006/relationships/hyperlink" Target="https://www.isda.org/a/wpgME/Regulatory-Driven-Market-Fragmentation-January-2019-1.pdf" TargetMode="External"/><Relationship Id="rId9" Type="http://schemas.openxmlformats.org/officeDocument/2006/relationships/hyperlink" Target="https://www.govinfo.gov/content/pkg/FR-2019-07-19/pdf/2019-1526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2F254C3D445D47A0EB99B57CCE694E" ma:contentTypeVersion="9" ma:contentTypeDescription="Create a new document." ma:contentTypeScope="" ma:versionID="ad18f54dff120f18406b230044887439">
  <xsd:schema xmlns:xsd="http://www.w3.org/2001/XMLSchema" xmlns:xs="http://www.w3.org/2001/XMLSchema" xmlns:p="http://schemas.microsoft.com/office/2006/metadata/properties" xmlns:ns3="821f6d7c-384d-469d-ad94-8a46f9eb17e8" targetNamespace="http://schemas.microsoft.com/office/2006/metadata/properties" ma:root="true" ma:fieldsID="2e13da8eca3d8bd025a6451a23e50215" ns3:_="">
    <xsd:import namespace="821f6d7c-384d-469d-ad94-8a46f9eb17e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1f6d7c-384d-469d-ad94-8a46f9eb1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73F0-BB0A-4A5C-9004-0D2D28197A11}">
  <ds:schemaRefs>
    <ds:schemaRef ds:uri="http://schemas.microsoft.com/sharepoint/v3/contenttype/forms"/>
  </ds:schemaRefs>
</ds:datastoreItem>
</file>

<file path=customXml/itemProps2.xml><?xml version="1.0" encoding="utf-8"?>
<ds:datastoreItem xmlns:ds="http://schemas.openxmlformats.org/officeDocument/2006/customXml" ds:itemID="{A8305B55-E78A-4C00-9ADE-CF4459A0F521}">
  <ds:schemaRefs>
    <ds:schemaRef ds:uri="http://www.w3.org/XML/1998/namespace"/>
    <ds:schemaRef ds:uri="http://purl.org/dc/terms/"/>
    <ds:schemaRef ds:uri="http://schemas.microsoft.com/office/2006/documentManagement/types"/>
    <ds:schemaRef ds:uri="http://schemas.openxmlformats.org/package/2006/metadata/core-properties"/>
    <ds:schemaRef ds:uri="821f6d7c-384d-469d-ad94-8a46f9eb17e8"/>
    <ds:schemaRef ds:uri="http://purl.org/dc/elements/1.1/"/>
    <ds:schemaRef ds:uri="http://schemas.microsoft.com/office/2006/metadata/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0525001A-90F7-4822-98B1-489B4CF95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1f6d7c-384d-469d-ad94-8a46f9eb1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23C713-D12C-4666-A2E9-B2EA5E083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6878</Characters>
  <Application>Microsoft Office Word</Application>
  <DocSecurity>0</DocSecurity>
  <Lines>122</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2019-11-18T18:43:00Z</dcterms:created>
  <dcterms:modified xsi:type="dcterms:W3CDTF">2019-11-18T18:55:00Z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0x010100F22F254C3D445D47A0EB99B57CCE694E</vt:lpwstr>
  </property>
</Properties>
</file>