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25" w:rsidRDefault="00C33F25" w:rsidP="00C33F25">
      <w:pPr>
        <w:keepNext/>
        <w:keepLines/>
        <w:spacing w:before="240" w:after="0" w:line="240" w:lineRule="auto"/>
        <w:jc w:val="center"/>
        <w:rPr>
          <w:rFonts w:eastAsia="Times New Roman" w:cs="Times New Roman"/>
          <w:b/>
          <w:noProof/>
          <w:szCs w:val="20"/>
        </w:rPr>
      </w:pPr>
    </w:p>
    <w:p w:rsidR="00C33F25" w:rsidRPr="0086401A" w:rsidRDefault="00C33F25" w:rsidP="00C33F25">
      <w:pPr>
        <w:keepNext/>
        <w:keepLines/>
        <w:spacing w:before="240" w:after="0" w:line="240" w:lineRule="auto"/>
        <w:jc w:val="center"/>
        <w:rPr>
          <w:rFonts w:eastAsia="Times New Roman" w:cs="Times New Roman"/>
          <w:sz w:val="48"/>
          <w:szCs w:val="48"/>
        </w:rPr>
      </w:pPr>
      <w:r>
        <w:rPr>
          <w:rFonts w:eastAsia="Times New Roman" w:cs="Times New Roman"/>
          <w:b/>
          <w:noProof/>
          <w:szCs w:val="20"/>
        </w:rPr>
        <w:drawing>
          <wp:inline distT="0" distB="0" distL="0" distR="0" wp14:anchorId="6358343B" wp14:editId="49D89F9D">
            <wp:extent cx="1447800" cy="35797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47800" cy="357972"/>
                    </a:xfrm>
                    <a:prstGeom prst="rect">
                      <a:avLst/>
                    </a:prstGeom>
                    <a:noFill/>
                    <a:ln>
                      <a:noFill/>
                    </a:ln>
                  </pic:spPr>
                </pic:pic>
              </a:graphicData>
            </a:graphic>
          </wp:inline>
        </w:drawing>
      </w:r>
    </w:p>
    <w:p w:rsidR="00C33F25" w:rsidRPr="00A51E16" w:rsidRDefault="00C33F25" w:rsidP="00C33F25">
      <w:pPr>
        <w:keepNext/>
        <w:keepLines/>
        <w:spacing w:before="240" w:after="0" w:line="240" w:lineRule="auto"/>
        <w:jc w:val="center"/>
        <w:rPr>
          <w:rFonts w:eastAsia="Times New Roman" w:cs="Times New Roman"/>
          <w:b/>
          <w:szCs w:val="24"/>
        </w:rPr>
      </w:pPr>
      <w:r w:rsidRPr="0086401A">
        <w:rPr>
          <w:rFonts w:eastAsia="Times New Roman" w:cs="Times New Roman"/>
          <w:b/>
          <w:szCs w:val="20"/>
        </w:rPr>
        <w:t>International Swaps and Derivatives Association, Inc.</w:t>
      </w:r>
      <w:r>
        <w:rPr>
          <w:rFonts w:eastAsia="Times New Roman" w:cs="Times New Roman"/>
          <w:b/>
          <w:szCs w:val="24"/>
        </w:rPr>
        <w:br/>
      </w:r>
      <w:r>
        <w:rPr>
          <w:rFonts w:eastAsia="Times New Roman" w:cs="Times New Roman"/>
          <w:b/>
          <w:sz w:val="32"/>
          <w:szCs w:val="32"/>
        </w:rPr>
        <w:br/>
        <w:t>ADDENDUM II</w:t>
      </w:r>
      <w:r w:rsidRPr="0086401A">
        <w:rPr>
          <w:rFonts w:eastAsia="Times New Roman" w:cs="Times New Roman"/>
          <w:b/>
          <w:szCs w:val="24"/>
          <w:vertAlign w:val="superscript"/>
        </w:rPr>
        <w:footnoteReference w:id="1"/>
      </w:r>
      <w:r>
        <w:rPr>
          <w:rFonts w:eastAsia="Times New Roman" w:cs="Times New Roman"/>
          <w:b/>
          <w:sz w:val="32"/>
          <w:szCs w:val="32"/>
        </w:rPr>
        <w:br/>
      </w:r>
      <w:r w:rsidRPr="0086401A">
        <w:rPr>
          <w:rFonts w:eastAsia="Times New Roman" w:cs="Times New Roman"/>
          <w:b/>
          <w:sz w:val="32"/>
          <w:szCs w:val="32"/>
        </w:rPr>
        <w:t xml:space="preserve">TO </w:t>
      </w:r>
      <w:r>
        <w:rPr>
          <w:rFonts w:eastAsia="Times New Roman" w:cs="Times New Roman"/>
          <w:b/>
          <w:sz w:val="32"/>
          <w:szCs w:val="32"/>
        </w:rPr>
        <w:br/>
      </w:r>
      <w:r w:rsidRPr="0086401A">
        <w:rPr>
          <w:rFonts w:eastAsia="Times New Roman" w:cs="Times New Roman"/>
          <w:b/>
          <w:sz w:val="32"/>
          <w:szCs w:val="32"/>
        </w:rPr>
        <w:t>ISDA AUGUST 2012 DF PROTOCOL QUESTIONNAIRE</w:t>
      </w:r>
    </w:p>
    <w:p w:rsidR="00C33F25" w:rsidRPr="0086401A" w:rsidRDefault="00C33F25" w:rsidP="00C33F25">
      <w:pPr>
        <w:keepNext/>
        <w:keepLines/>
        <w:spacing w:before="240" w:after="0" w:line="240" w:lineRule="auto"/>
        <w:jc w:val="center"/>
        <w:rPr>
          <w:rFonts w:eastAsia="Times New Roman" w:cs="Times New Roman"/>
          <w:b/>
          <w:szCs w:val="24"/>
        </w:rPr>
      </w:pPr>
      <w:r w:rsidRPr="0086401A">
        <w:rPr>
          <w:rFonts w:eastAsia="Times New Roman" w:cs="Times New Roman"/>
          <w:b/>
          <w:szCs w:val="20"/>
        </w:rPr>
        <w:t xml:space="preserve">published on </w:t>
      </w:r>
      <w:r w:rsidR="002F310C">
        <w:rPr>
          <w:rFonts w:eastAsia="Times New Roman" w:cs="Times New Roman"/>
          <w:b/>
          <w:szCs w:val="20"/>
        </w:rPr>
        <w:t>February 22</w:t>
      </w:r>
      <w:bookmarkStart w:id="0" w:name="_GoBack"/>
      <w:bookmarkEnd w:id="0"/>
      <w:r w:rsidRPr="0086401A">
        <w:rPr>
          <w:rFonts w:eastAsia="Times New Roman" w:cs="Times New Roman"/>
          <w:b/>
          <w:szCs w:val="20"/>
        </w:rPr>
        <w:t>, 201</w:t>
      </w:r>
      <w:r>
        <w:rPr>
          <w:rFonts w:eastAsia="Times New Roman" w:cs="Times New Roman"/>
          <w:b/>
          <w:szCs w:val="20"/>
        </w:rPr>
        <w:t>3</w:t>
      </w:r>
      <w:r w:rsidRPr="0086401A">
        <w:rPr>
          <w:rFonts w:eastAsia="Times New Roman" w:cs="Times New Roman"/>
          <w:b/>
          <w:szCs w:val="20"/>
        </w:rPr>
        <w:br/>
        <w:t>by the International Swaps and Derivatives Association, Inc.</w:t>
      </w:r>
    </w:p>
    <w:p w:rsidR="00C33F25" w:rsidRPr="0086401A" w:rsidRDefault="00C33F25" w:rsidP="00C33F25">
      <w:pPr>
        <w:spacing w:after="0" w:line="240" w:lineRule="auto"/>
        <w:rPr>
          <w:rFonts w:eastAsia="Times New Roman" w:cs="Times New Roman"/>
          <w:szCs w:val="20"/>
        </w:rPr>
      </w:pPr>
    </w:p>
    <w:p w:rsidR="00C33F25" w:rsidRPr="00CB071B" w:rsidRDefault="00C33F25" w:rsidP="00C33F25">
      <w:pPr>
        <w:spacing w:after="0" w:line="240" w:lineRule="auto"/>
        <w:rPr>
          <w:rFonts w:eastAsia="Times New Roman" w:cs="Times New Roman"/>
          <w:b/>
          <w:szCs w:val="24"/>
        </w:rPr>
      </w:pPr>
      <w:r w:rsidRPr="0086401A">
        <w:rPr>
          <w:rFonts w:eastAsia="Times New Roman" w:cs="Times New Roman"/>
          <w:b/>
          <w:sz w:val="40"/>
          <w:szCs w:val="40"/>
        </w:rPr>
        <w:t>______________________________________________</w:t>
      </w:r>
    </w:p>
    <w:p w:rsidR="00C33F25" w:rsidRPr="00A56E48" w:rsidRDefault="00C33F25" w:rsidP="00410E51">
      <w:pPr>
        <w:spacing w:after="0" w:line="240" w:lineRule="auto"/>
        <w:jc w:val="both"/>
        <w:rPr>
          <w:rFonts w:eastAsia="Times New Roman" w:cs="Times New Roman"/>
          <w:b/>
          <w:i/>
          <w:szCs w:val="24"/>
        </w:rPr>
      </w:pPr>
      <w:r>
        <w:rPr>
          <w:rFonts w:eastAsia="Times New Roman" w:cs="Times New Roman"/>
          <w:b/>
          <w:i/>
          <w:szCs w:val="24"/>
          <w:u w:val="single"/>
        </w:rPr>
        <w:br/>
      </w:r>
      <w:r w:rsidRPr="0086401A">
        <w:rPr>
          <w:rFonts w:eastAsia="Times New Roman" w:cs="Times New Roman"/>
          <w:b/>
          <w:i/>
          <w:szCs w:val="24"/>
          <w:u w:val="single"/>
        </w:rPr>
        <w:t>Instructions</w:t>
      </w:r>
      <w:r w:rsidRPr="0086401A">
        <w:rPr>
          <w:rFonts w:eastAsia="Times New Roman" w:cs="Times New Roman"/>
          <w:i/>
          <w:szCs w:val="24"/>
        </w:rPr>
        <w:t xml:space="preserve">:  </w:t>
      </w:r>
      <w:r>
        <w:rPr>
          <w:rFonts w:eastAsia="Times New Roman" w:cs="Times New Roman"/>
          <w:i/>
          <w:szCs w:val="24"/>
        </w:rPr>
        <w:t>This Addendum</w:t>
      </w:r>
      <w:r w:rsidRPr="0086401A">
        <w:rPr>
          <w:rFonts w:eastAsia="Times New Roman" w:cs="Times New Roman"/>
          <w:i/>
          <w:szCs w:val="24"/>
        </w:rPr>
        <w:t xml:space="preserve"> </w:t>
      </w:r>
      <w:r>
        <w:rPr>
          <w:rFonts w:eastAsia="Times New Roman" w:cs="Times New Roman"/>
          <w:i/>
          <w:szCs w:val="24"/>
        </w:rPr>
        <w:t xml:space="preserve">II </w:t>
      </w:r>
      <w:r w:rsidRPr="0086401A">
        <w:rPr>
          <w:rFonts w:eastAsia="Times New Roman" w:cs="Times New Roman"/>
          <w:i/>
          <w:szCs w:val="24"/>
        </w:rPr>
        <w:t xml:space="preserve">provides information </w:t>
      </w:r>
      <w:r>
        <w:rPr>
          <w:rFonts w:eastAsia="Times New Roman" w:cs="Times New Roman"/>
          <w:i/>
          <w:szCs w:val="24"/>
        </w:rPr>
        <w:t xml:space="preserve">needed </w:t>
      </w:r>
      <w:r w:rsidRPr="0086401A">
        <w:rPr>
          <w:rFonts w:eastAsia="Times New Roman" w:cs="Times New Roman"/>
          <w:i/>
          <w:szCs w:val="24"/>
        </w:rPr>
        <w:t xml:space="preserve">by Swap Dealers to satisfy additional regulatory </w:t>
      </w:r>
      <w:r>
        <w:rPr>
          <w:rFonts w:eastAsia="Times New Roman" w:cs="Times New Roman"/>
          <w:i/>
          <w:szCs w:val="24"/>
        </w:rPr>
        <w:t xml:space="preserve">provisions </w:t>
      </w:r>
      <w:r w:rsidRPr="0086401A">
        <w:rPr>
          <w:rFonts w:eastAsia="Times New Roman" w:cs="Times New Roman"/>
          <w:i/>
          <w:szCs w:val="24"/>
        </w:rPr>
        <w:t xml:space="preserve">under the Commodity Exchange Act and CFTC Regulations.  </w:t>
      </w:r>
      <w:r>
        <w:rPr>
          <w:rFonts w:eastAsia="Times New Roman" w:cs="Times New Roman"/>
          <w:i/>
          <w:szCs w:val="24"/>
        </w:rPr>
        <w:t xml:space="preserve">As further described below, this Addendum II is intended to be used to supplement information and representations provided in respect of a </w:t>
      </w:r>
      <w:proofErr w:type="spellStart"/>
      <w:r>
        <w:rPr>
          <w:rFonts w:eastAsia="Times New Roman" w:cs="Times New Roman"/>
          <w:i/>
          <w:szCs w:val="24"/>
        </w:rPr>
        <w:t>PCA</w:t>
      </w:r>
      <w:proofErr w:type="spellEnd"/>
      <w:r>
        <w:rPr>
          <w:rFonts w:eastAsia="Times New Roman" w:cs="Times New Roman"/>
          <w:i/>
          <w:szCs w:val="24"/>
        </w:rPr>
        <w:t xml:space="preserve"> Principal in the ISDA August 2012 DF Protocol Questionnaire (the “Questionnaire”) and the Amended and Restated Addendum I to the Questionnaire.  For the avoidance of doubt, the delivery of, or the failure to deliver, this Addendum II will not affect the status of (i) any two </w:t>
      </w:r>
      <w:proofErr w:type="spellStart"/>
      <w:r>
        <w:rPr>
          <w:rFonts w:eastAsia="Times New Roman" w:cs="Times New Roman"/>
          <w:i/>
          <w:szCs w:val="24"/>
        </w:rPr>
        <w:t>PCA</w:t>
      </w:r>
      <w:proofErr w:type="spellEnd"/>
      <w:r>
        <w:rPr>
          <w:rFonts w:eastAsia="Times New Roman" w:cs="Times New Roman"/>
          <w:i/>
          <w:szCs w:val="24"/>
        </w:rPr>
        <w:t xml:space="preserve"> Principals as Matched </w:t>
      </w:r>
      <w:proofErr w:type="spellStart"/>
      <w:r>
        <w:rPr>
          <w:rFonts w:eastAsia="Times New Roman" w:cs="Times New Roman"/>
          <w:i/>
          <w:szCs w:val="24"/>
        </w:rPr>
        <w:t>PCA</w:t>
      </w:r>
      <w:proofErr w:type="spellEnd"/>
      <w:r>
        <w:rPr>
          <w:rFonts w:eastAsia="Times New Roman" w:cs="Times New Roman"/>
          <w:i/>
          <w:szCs w:val="24"/>
        </w:rPr>
        <w:t xml:space="preserve"> Parties, or (ii) such parties’ (a) Questionnaires as Matched Questionnaires or (b) Protocol Covered Agreements as Matched </w:t>
      </w:r>
      <w:proofErr w:type="spellStart"/>
      <w:r>
        <w:rPr>
          <w:rFonts w:eastAsia="Times New Roman" w:cs="Times New Roman"/>
          <w:i/>
          <w:szCs w:val="24"/>
        </w:rPr>
        <w:t>PCAs</w:t>
      </w:r>
      <w:proofErr w:type="spellEnd"/>
      <w:r>
        <w:rPr>
          <w:rFonts w:eastAsia="Times New Roman" w:cs="Times New Roman"/>
          <w:i/>
          <w:szCs w:val="24"/>
        </w:rPr>
        <w:t>.</w:t>
      </w:r>
    </w:p>
    <w:p w:rsidR="00C33F25" w:rsidRPr="00CB071B" w:rsidRDefault="00C33F25" w:rsidP="00410E51">
      <w:pPr>
        <w:spacing w:after="0" w:line="240" w:lineRule="auto"/>
        <w:jc w:val="both"/>
        <w:rPr>
          <w:rFonts w:eastAsia="Times New Roman" w:cs="Times New Roman"/>
          <w:b/>
          <w:szCs w:val="24"/>
        </w:rPr>
      </w:pPr>
      <w:r w:rsidRPr="0086401A">
        <w:rPr>
          <w:rFonts w:eastAsia="Times New Roman" w:cs="Times New Roman"/>
          <w:b/>
          <w:sz w:val="40"/>
          <w:szCs w:val="40"/>
        </w:rPr>
        <w:t>______________________________________________</w:t>
      </w:r>
    </w:p>
    <w:p w:rsidR="00C33F25" w:rsidRDefault="00C33F25" w:rsidP="00410E51">
      <w:pPr>
        <w:jc w:val="both"/>
        <w:rPr>
          <w:rFonts w:eastAsia="Times New Roman" w:cs="Times New Roman"/>
          <w:b/>
          <w:szCs w:val="20"/>
        </w:rPr>
      </w:pPr>
    </w:p>
    <w:p w:rsidR="00C33F25" w:rsidRDefault="00C33F25" w:rsidP="00410E51">
      <w:pPr>
        <w:jc w:val="both"/>
        <w:rPr>
          <w:rFonts w:eastAsia="Calibri" w:cs="Times New Roman"/>
        </w:rPr>
      </w:pPr>
      <w:r>
        <w:rPr>
          <w:rFonts w:eastAsia="Times New Roman" w:cs="Times New Roman"/>
          <w:b/>
          <w:szCs w:val="20"/>
        </w:rPr>
        <w:lastRenderedPageBreak/>
        <w:t>Section 1</w:t>
      </w:r>
      <w:r w:rsidRPr="0086401A">
        <w:rPr>
          <w:rFonts w:eastAsia="Times New Roman" w:cs="Times New Roman"/>
          <w:b/>
          <w:szCs w:val="20"/>
        </w:rPr>
        <w:t>.</w:t>
      </w:r>
      <w:r w:rsidRPr="0086401A">
        <w:rPr>
          <w:rFonts w:eastAsia="Calibri" w:cs="Times New Roman"/>
          <w:b/>
        </w:rPr>
        <w:t xml:space="preserve"> </w:t>
      </w:r>
      <w:r>
        <w:rPr>
          <w:rFonts w:eastAsia="Calibri" w:cs="Times New Roman"/>
          <w:b/>
        </w:rPr>
        <w:tab/>
      </w:r>
      <w:r w:rsidRPr="0086401A">
        <w:rPr>
          <w:rFonts w:eastAsia="Calibri" w:cs="Times New Roman"/>
          <w:b/>
        </w:rPr>
        <w:t xml:space="preserve">Definitions:  </w:t>
      </w:r>
      <w:r w:rsidRPr="0086401A">
        <w:rPr>
          <w:rFonts w:eastAsia="Calibri" w:cs="Times New Roman"/>
        </w:rPr>
        <w:t xml:space="preserve">References in this </w:t>
      </w:r>
      <w:r>
        <w:rPr>
          <w:rFonts w:eastAsia="Calibri" w:cs="Times New Roman"/>
        </w:rPr>
        <w:t>Addendum</w:t>
      </w:r>
      <w:r w:rsidRPr="0086401A">
        <w:rPr>
          <w:rFonts w:eastAsia="Calibri" w:cs="Times New Roman"/>
        </w:rPr>
        <w:t xml:space="preserve"> </w:t>
      </w:r>
      <w:r>
        <w:rPr>
          <w:rFonts w:eastAsia="Calibri" w:cs="Times New Roman"/>
        </w:rPr>
        <w:t>I</w:t>
      </w:r>
      <w:r w:rsidRPr="0086401A">
        <w:rPr>
          <w:rFonts w:eastAsia="Calibri" w:cs="Times New Roman"/>
        </w:rPr>
        <w:t>I to the following terms shall have the following meanings.</w:t>
      </w:r>
    </w:p>
    <w:p w:rsidR="00C33F25" w:rsidRDefault="00C33F25" w:rsidP="00410E51">
      <w:pPr>
        <w:jc w:val="both"/>
        <w:rPr>
          <w:rFonts w:eastAsia="Calibri" w:cs="Times New Roman"/>
        </w:rPr>
      </w:pPr>
      <w:r>
        <w:rPr>
          <w:rFonts w:eastAsia="Calibri" w:cs="Times New Roman"/>
        </w:rPr>
        <w:t>“</w:t>
      </w:r>
      <w:r w:rsidRPr="005848F3">
        <w:rPr>
          <w:rFonts w:eastAsia="Calibri" w:cs="Times New Roman"/>
          <w:b/>
          <w:i/>
        </w:rPr>
        <w:t>Additional Pre-Trade Mark Transaction</w:t>
      </w:r>
      <w:r>
        <w:rPr>
          <w:rFonts w:eastAsia="Calibri" w:cs="Times New Roman"/>
        </w:rPr>
        <w:t xml:space="preserve">” means a </w:t>
      </w:r>
      <w:r>
        <w:rPr>
          <w:rFonts w:cs="Times New Roman"/>
        </w:rPr>
        <w:t xml:space="preserve">transaction (other than a Covered </w:t>
      </w:r>
      <w:proofErr w:type="spellStart"/>
      <w:r>
        <w:rPr>
          <w:rFonts w:cs="Times New Roman"/>
        </w:rPr>
        <w:t>Forex</w:t>
      </w:r>
      <w:proofErr w:type="spellEnd"/>
      <w:r>
        <w:rPr>
          <w:rFonts w:cs="Times New Roman"/>
        </w:rPr>
        <w:t xml:space="preserve"> Transaction or Covered Derivative Transaction) for which the CFTC provide</w:t>
      </w:r>
      <w:r w:rsidR="00555DF0">
        <w:rPr>
          <w:rFonts w:cs="Times New Roman"/>
        </w:rPr>
        <w:t>s</w:t>
      </w:r>
      <w:r>
        <w:rPr>
          <w:rFonts w:cs="Times New Roman"/>
        </w:rPr>
        <w:t xml:space="preserve"> no-action or other relief from CFTC Regulation 23.431(a)(3) that is based, in whole or in part, upon the agreement of a party that a Swap Dealer counterparty need not disclose pre-trade mid-market marks.</w:t>
      </w:r>
    </w:p>
    <w:p w:rsidR="00C33F25" w:rsidRDefault="00C33F25" w:rsidP="00410E51">
      <w:pPr>
        <w:jc w:val="both"/>
        <w:rPr>
          <w:rFonts w:eastAsia="Calibri" w:cs="Times New Roman"/>
        </w:rPr>
      </w:pPr>
      <w:r>
        <w:rPr>
          <w:rFonts w:eastAsia="Calibri" w:cs="Times New Roman"/>
        </w:rPr>
        <w:t>“</w:t>
      </w:r>
      <w:proofErr w:type="spellStart"/>
      <w:r w:rsidRPr="00256404">
        <w:rPr>
          <w:rFonts w:eastAsia="Calibri" w:cs="Times New Roman"/>
          <w:b/>
          <w:i/>
        </w:rPr>
        <w:t>BIS</w:t>
      </w:r>
      <w:proofErr w:type="spellEnd"/>
      <w:r w:rsidRPr="00256404">
        <w:rPr>
          <w:rFonts w:eastAsia="Calibri" w:cs="Times New Roman"/>
          <w:b/>
          <w:i/>
        </w:rPr>
        <w:t xml:space="preserve"> 13 Currencies</w:t>
      </w:r>
      <w:r>
        <w:rPr>
          <w:rFonts w:eastAsia="Calibri" w:cs="Times New Roman"/>
        </w:rPr>
        <w:t>” refer to one of the following currencies: US dollar, Euro, Japanese yen, Pound sterling, Australian dollar, Swiss franc, Canadian dollar, Hong Kong dollar, Swedish krona, New Zealand dollar, Singapore dollar, Norwegian krone and Mexican peso.</w:t>
      </w:r>
      <w:r>
        <w:rPr>
          <w:rStyle w:val="FootnoteReference"/>
          <w:rFonts w:eastAsia="Calibri" w:cs="Times New Roman"/>
        </w:rPr>
        <w:footnoteReference w:id="2"/>
      </w:r>
      <w:r>
        <w:rPr>
          <w:rFonts w:eastAsia="Calibri" w:cs="Times New Roman"/>
        </w:rPr>
        <w:t xml:space="preserve"> </w:t>
      </w:r>
    </w:p>
    <w:p w:rsidR="00C33F25" w:rsidRDefault="00C33F25" w:rsidP="00410E51">
      <w:pPr>
        <w:jc w:val="both"/>
        <w:rPr>
          <w:rFonts w:cs="Times New Roman"/>
        </w:rPr>
      </w:pPr>
      <w:r>
        <w:rPr>
          <w:rFonts w:eastAsia="Calibri" w:cs="Times New Roman"/>
        </w:rPr>
        <w:t>“</w:t>
      </w:r>
      <w:r>
        <w:rPr>
          <w:rFonts w:eastAsia="Calibri" w:cs="Times New Roman"/>
          <w:b/>
          <w:i/>
        </w:rPr>
        <w:t>Category 2 Entity</w:t>
      </w:r>
      <w:r>
        <w:rPr>
          <w:rFonts w:eastAsia="Calibri" w:cs="Times New Roman"/>
        </w:rPr>
        <w:t xml:space="preserve">” means </w:t>
      </w:r>
      <w:r>
        <w:rPr>
          <w:rFonts w:cs="Times New Roman"/>
        </w:rPr>
        <w:t>a “Category 2 Entity” as defined in CFTC Regulation 50.25(a).</w:t>
      </w:r>
      <w:r>
        <w:rPr>
          <w:rStyle w:val="FootnoteReference"/>
          <w:rFonts w:cs="Times New Roman"/>
        </w:rPr>
        <w:footnoteReference w:id="3"/>
      </w:r>
      <w:r>
        <w:rPr>
          <w:rFonts w:eastAsia="Calibri" w:cs="Times New Roman"/>
        </w:rPr>
        <w:t xml:space="preserve"> </w:t>
      </w:r>
    </w:p>
    <w:p w:rsidR="00C33F25" w:rsidRPr="00C6165E" w:rsidRDefault="00C33F25" w:rsidP="00410E51">
      <w:pPr>
        <w:jc w:val="both"/>
        <w:rPr>
          <w:rFonts w:eastAsia="Calibri" w:cs="Times New Roman"/>
        </w:rPr>
      </w:pPr>
      <w:r w:rsidRPr="00C6165E">
        <w:rPr>
          <w:rFonts w:eastAsia="Calibri" w:cs="Times New Roman"/>
        </w:rPr>
        <w:t>“</w:t>
      </w:r>
      <w:r w:rsidRPr="00C6165E">
        <w:rPr>
          <w:rFonts w:eastAsia="Calibri" w:cs="Times New Roman"/>
          <w:b/>
          <w:i/>
        </w:rPr>
        <w:t xml:space="preserve">CFTC Interim Order U.S. </w:t>
      </w:r>
      <w:r w:rsidR="0013454C">
        <w:rPr>
          <w:rFonts w:eastAsia="Calibri" w:cs="Times New Roman"/>
          <w:b/>
          <w:i/>
        </w:rPr>
        <w:t>P</w:t>
      </w:r>
      <w:r w:rsidRPr="00C6165E">
        <w:rPr>
          <w:rFonts w:eastAsia="Calibri" w:cs="Times New Roman"/>
          <w:b/>
          <w:i/>
        </w:rPr>
        <w:t>erson</w:t>
      </w:r>
      <w:r w:rsidRPr="00C6165E">
        <w:rPr>
          <w:rFonts w:eastAsia="Calibri" w:cs="Times New Roman"/>
        </w:rPr>
        <w:t>” means a person who is any of the following:</w:t>
      </w:r>
    </w:p>
    <w:p w:rsidR="00C33F25" w:rsidRPr="00C6165E" w:rsidRDefault="00C33F25" w:rsidP="00410E51">
      <w:pPr>
        <w:numPr>
          <w:ilvl w:val="2"/>
          <w:numId w:val="2"/>
        </w:numPr>
        <w:jc w:val="both"/>
        <w:rPr>
          <w:rFonts w:eastAsia="Calibri" w:cs="Times New Roman"/>
          <w:lang w:val="en-GB"/>
        </w:rPr>
      </w:pPr>
      <w:r w:rsidRPr="00C6165E">
        <w:rPr>
          <w:rFonts w:eastAsia="Calibri" w:cs="Times New Roman"/>
          <w:lang w:val="en-GB"/>
        </w:rPr>
        <w:t>A natural person who is a resident of the United States;</w:t>
      </w:r>
    </w:p>
    <w:p w:rsidR="00C33F25" w:rsidRPr="00C6165E" w:rsidRDefault="00C33F25" w:rsidP="00410E51">
      <w:pPr>
        <w:numPr>
          <w:ilvl w:val="2"/>
          <w:numId w:val="2"/>
        </w:numPr>
        <w:jc w:val="both"/>
        <w:rPr>
          <w:rFonts w:eastAsia="Calibri" w:cs="Times New Roman"/>
          <w:lang w:val="en-GB"/>
        </w:rPr>
      </w:pPr>
      <w:r w:rsidRPr="00C6165E">
        <w:rPr>
          <w:rFonts w:eastAsia="Calibri" w:cs="Times New Roman"/>
          <w:lang w:val="en-GB"/>
        </w:rPr>
        <w:t>A corporation, partnership, limited liability company, business or other trust, association, joint-stock company, fund or any form of enterprise similar to any of the foregoing, in each case that is (A) organized or incorporated under the laws of a state or other jurisdiction in the United States or (B) effective as of April 1, 2013 for all such entities other than funds or collective investment vehicles, having its principal place of business in the United States;</w:t>
      </w:r>
    </w:p>
    <w:p w:rsidR="00C33F25" w:rsidRPr="00C6165E" w:rsidRDefault="00C33F25" w:rsidP="00410E51">
      <w:pPr>
        <w:numPr>
          <w:ilvl w:val="2"/>
          <w:numId w:val="2"/>
        </w:numPr>
        <w:jc w:val="both"/>
        <w:rPr>
          <w:rFonts w:eastAsia="Calibri" w:cs="Times New Roman"/>
          <w:lang w:val="en-GB"/>
        </w:rPr>
      </w:pPr>
      <w:r w:rsidRPr="00C6165E">
        <w:rPr>
          <w:rFonts w:eastAsia="Calibri" w:cs="Times New Roman"/>
          <w:lang w:val="en-GB"/>
        </w:rPr>
        <w:t>A pension plan for the employees, officers or principals of a legal entity described in (ii) above, unless the pension plan is primarily for foreign employees of such entity;</w:t>
      </w:r>
    </w:p>
    <w:p w:rsidR="00C33F25" w:rsidRPr="00C6165E" w:rsidRDefault="00C33F25" w:rsidP="00410E51">
      <w:pPr>
        <w:numPr>
          <w:ilvl w:val="2"/>
          <w:numId w:val="2"/>
        </w:numPr>
        <w:jc w:val="both"/>
        <w:rPr>
          <w:rFonts w:eastAsia="Calibri" w:cs="Times New Roman"/>
          <w:lang w:val="en-GB"/>
        </w:rPr>
      </w:pPr>
      <w:r w:rsidRPr="00C6165E">
        <w:rPr>
          <w:rFonts w:eastAsia="Calibri" w:cs="Times New Roman"/>
          <w:lang w:val="en-GB"/>
        </w:rPr>
        <w:t>An estate of a decedent who was a resident of the United States at the time of death, or a trust governed by the laws of a state or other jurisdiction in the United States if a court within the United States is able to exercise primary supervision over the administration of the trust; or</w:t>
      </w:r>
    </w:p>
    <w:p w:rsidR="00C33F25" w:rsidRPr="004E1B71" w:rsidRDefault="00C33F25" w:rsidP="00410E51">
      <w:pPr>
        <w:numPr>
          <w:ilvl w:val="2"/>
          <w:numId w:val="2"/>
        </w:numPr>
        <w:jc w:val="both"/>
        <w:rPr>
          <w:rFonts w:eastAsia="Calibri" w:cs="Times New Roman"/>
          <w:lang w:val="en-GB"/>
        </w:rPr>
      </w:pPr>
      <w:r w:rsidRPr="00C6165E">
        <w:rPr>
          <w:rFonts w:eastAsia="Calibri" w:cs="Times New Roman"/>
          <w:lang w:val="en-GB"/>
        </w:rPr>
        <w:lastRenderedPageBreak/>
        <w:t>An individual account or joint account (discretionary or not) where the beneficial owner (or one of the beneficial owners in the case of a joint account) is a person described in (i) through (iv) above.</w:t>
      </w:r>
      <w:r w:rsidRPr="00C6165E">
        <w:rPr>
          <w:rFonts w:eastAsia="Calibri" w:cs="Times New Roman"/>
          <w:vertAlign w:val="superscript"/>
          <w:lang w:val="en-GB"/>
        </w:rPr>
        <w:footnoteReference w:id="4"/>
      </w:r>
    </w:p>
    <w:p w:rsidR="00C33F25" w:rsidRPr="00043B88" w:rsidRDefault="00C33F25" w:rsidP="00410E51">
      <w:pPr>
        <w:jc w:val="both"/>
        <w:rPr>
          <w:rFonts w:eastAsia="Calibri" w:cs="Times New Roman"/>
        </w:rPr>
      </w:pPr>
      <w:r>
        <w:rPr>
          <w:rFonts w:eastAsia="Calibri" w:cs="Times New Roman"/>
        </w:rPr>
        <w:t>“</w:t>
      </w:r>
      <w:r>
        <w:rPr>
          <w:rFonts w:eastAsia="Calibri" w:cs="Times New Roman"/>
          <w:b/>
          <w:i/>
        </w:rPr>
        <w:t>Covered Derivative Transaction</w:t>
      </w:r>
      <w:r>
        <w:rPr>
          <w:rFonts w:eastAsia="Calibri" w:cs="Times New Roman"/>
        </w:rPr>
        <w:t xml:space="preserve">” means </w:t>
      </w:r>
      <w:r w:rsidRPr="007062F6">
        <w:rPr>
          <w:rFonts w:cs="Times New Roman"/>
        </w:rPr>
        <w:t>a</w:t>
      </w:r>
      <w:r>
        <w:rPr>
          <w:rFonts w:cs="Times New Roman"/>
        </w:rPr>
        <w:t xml:space="preserve"> transaction for which real-time tradeable bid and offer prices are available electronically, in the marketplace, to </w:t>
      </w:r>
      <w:proofErr w:type="spellStart"/>
      <w:r>
        <w:rPr>
          <w:rFonts w:cs="Times New Roman"/>
        </w:rPr>
        <w:t>PCA</w:t>
      </w:r>
      <w:proofErr w:type="spellEnd"/>
      <w:r>
        <w:rPr>
          <w:rFonts w:cs="Times New Roman"/>
        </w:rPr>
        <w:t xml:space="preserve"> Principal (if such transaction is executed</w:t>
      </w:r>
      <w:r w:rsidRPr="00EC6CD7">
        <w:t xml:space="preserve"> </w:t>
      </w:r>
      <w:r w:rsidRPr="00EC6CD7">
        <w:rPr>
          <w:rFonts w:cs="Times New Roman"/>
        </w:rPr>
        <w:t>prior to the issuance of final CFTC Regulations governing the registration of swap execution facilities</w:t>
      </w:r>
      <w:r>
        <w:rPr>
          <w:rFonts w:cs="Times New Roman"/>
        </w:rPr>
        <w:t xml:space="preserve">, </w:t>
      </w:r>
      <w:r w:rsidRPr="00EC6CD7">
        <w:rPr>
          <w:rFonts w:cs="Times New Roman"/>
        </w:rPr>
        <w:t>subject to any compliance implementation period contained therein</w:t>
      </w:r>
      <w:r>
        <w:rPr>
          <w:rFonts w:cs="Times New Roman"/>
        </w:rPr>
        <w:t>) or</w:t>
      </w:r>
      <w:r w:rsidRPr="00374C63">
        <w:rPr>
          <w:rFonts w:cs="Times New Roman"/>
        </w:rPr>
        <w:t xml:space="preserve"> </w:t>
      </w:r>
      <w:r>
        <w:rPr>
          <w:rFonts w:cs="Times New Roman"/>
        </w:rPr>
        <w:t xml:space="preserve">for which </w:t>
      </w:r>
      <w:r w:rsidRPr="00374C63">
        <w:rPr>
          <w:rFonts w:cs="Times New Roman"/>
        </w:rPr>
        <w:t>real-time executable bid and offer prices are available on a designated contract market or swap execution facility</w:t>
      </w:r>
      <w:r>
        <w:rPr>
          <w:rFonts w:cs="Times New Roman"/>
        </w:rPr>
        <w:t xml:space="preserve"> (if such transaction is executed subsequent </w:t>
      </w:r>
      <w:r w:rsidRPr="00374C63">
        <w:rPr>
          <w:rFonts w:cs="Times New Roman"/>
        </w:rPr>
        <w:t>to the issuance of final CFTC Regulations governing the registratio</w:t>
      </w:r>
      <w:r>
        <w:rPr>
          <w:rFonts w:cs="Times New Roman"/>
        </w:rPr>
        <w:t xml:space="preserve">n of swap execution facilities, </w:t>
      </w:r>
      <w:r w:rsidRPr="00374C63">
        <w:rPr>
          <w:rFonts w:cs="Times New Roman"/>
        </w:rPr>
        <w:t>subject to any compliance implementation period therein)</w:t>
      </w:r>
      <w:r>
        <w:rPr>
          <w:rFonts w:cs="Times New Roman"/>
        </w:rPr>
        <w:t xml:space="preserve">, and that is: (i) an </w:t>
      </w:r>
      <w:proofErr w:type="spellStart"/>
      <w:r>
        <w:rPr>
          <w:rFonts w:cs="Times New Roman"/>
        </w:rPr>
        <w:t>untranched</w:t>
      </w:r>
      <w:proofErr w:type="spellEnd"/>
      <w:r>
        <w:rPr>
          <w:rFonts w:cs="Times New Roman"/>
        </w:rPr>
        <w:t xml:space="preserve"> credit default swap referencing the on-the-run and most recent off-the-run series of the following indices: </w:t>
      </w:r>
      <w:proofErr w:type="spellStart"/>
      <w:r>
        <w:rPr>
          <w:rFonts w:cs="Times New Roman"/>
        </w:rPr>
        <w:t>CDX.NA.IG</w:t>
      </w:r>
      <w:proofErr w:type="spellEnd"/>
      <w:r>
        <w:rPr>
          <w:rFonts w:cs="Times New Roman"/>
        </w:rPr>
        <w:t xml:space="preserve"> </w:t>
      </w:r>
      <w:proofErr w:type="spellStart"/>
      <w:r>
        <w:rPr>
          <w:rFonts w:cs="Times New Roman"/>
        </w:rPr>
        <w:t>5Y</w:t>
      </w:r>
      <w:proofErr w:type="spellEnd"/>
      <w:r>
        <w:rPr>
          <w:rFonts w:cs="Times New Roman"/>
        </w:rPr>
        <w:t xml:space="preserve">, </w:t>
      </w:r>
      <w:proofErr w:type="spellStart"/>
      <w:r>
        <w:rPr>
          <w:rFonts w:cs="Times New Roman"/>
        </w:rPr>
        <w:t>CDX.NA.HY</w:t>
      </w:r>
      <w:proofErr w:type="spellEnd"/>
      <w:r>
        <w:rPr>
          <w:rFonts w:cs="Times New Roman"/>
        </w:rPr>
        <w:t xml:space="preserve"> </w:t>
      </w:r>
      <w:proofErr w:type="spellStart"/>
      <w:r>
        <w:rPr>
          <w:rFonts w:cs="Times New Roman"/>
        </w:rPr>
        <w:t>5Y</w:t>
      </w:r>
      <w:proofErr w:type="spellEnd"/>
      <w:r>
        <w:rPr>
          <w:rFonts w:cs="Times New Roman"/>
        </w:rPr>
        <w:t xml:space="preserve">, </w:t>
      </w:r>
      <w:proofErr w:type="spellStart"/>
      <w:r>
        <w:rPr>
          <w:rFonts w:cs="Times New Roman"/>
        </w:rPr>
        <w:t>iTraxx</w:t>
      </w:r>
      <w:proofErr w:type="spellEnd"/>
      <w:r>
        <w:rPr>
          <w:rFonts w:cs="Times New Roman"/>
        </w:rPr>
        <w:t xml:space="preserve"> Europe </w:t>
      </w:r>
      <w:proofErr w:type="spellStart"/>
      <w:r>
        <w:rPr>
          <w:rFonts w:cs="Times New Roman"/>
        </w:rPr>
        <w:t>5Y</w:t>
      </w:r>
      <w:proofErr w:type="spellEnd"/>
      <w:r>
        <w:rPr>
          <w:rFonts w:cs="Times New Roman"/>
        </w:rPr>
        <w:t xml:space="preserve"> and </w:t>
      </w:r>
      <w:proofErr w:type="spellStart"/>
      <w:r>
        <w:rPr>
          <w:rFonts w:cs="Times New Roman"/>
        </w:rPr>
        <w:t>iTraxx</w:t>
      </w:r>
      <w:proofErr w:type="spellEnd"/>
      <w:r>
        <w:rPr>
          <w:rFonts w:cs="Times New Roman"/>
        </w:rPr>
        <w:t xml:space="preserve"> Europe Crossover </w:t>
      </w:r>
      <w:proofErr w:type="spellStart"/>
      <w:r>
        <w:rPr>
          <w:rFonts w:cs="Times New Roman"/>
        </w:rPr>
        <w:t>5yr</w:t>
      </w:r>
      <w:proofErr w:type="spellEnd"/>
      <w:r>
        <w:rPr>
          <w:rFonts w:cs="Times New Roman"/>
        </w:rPr>
        <w:t xml:space="preserve">; or (ii) an interest rate swap (A) in the “fixed-for-floating swap class” (as such term is used in CFTC Regulation 50.4(a)) denominated in USD or </w:t>
      </w:r>
      <w:proofErr w:type="spellStart"/>
      <w:r>
        <w:rPr>
          <w:rFonts w:cs="Times New Roman"/>
        </w:rPr>
        <w:t>EUR</w:t>
      </w:r>
      <w:proofErr w:type="spellEnd"/>
      <w:r>
        <w:rPr>
          <w:rFonts w:cs="Times New Roman"/>
        </w:rPr>
        <w:t>, (B) for which the remaining term to the scheduled termination date is no more than 30 years, and (C) that has specifications set out in CFTC Regulation 50.4.</w:t>
      </w:r>
      <w:r>
        <w:rPr>
          <w:rStyle w:val="FootnoteReference"/>
          <w:rFonts w:cs="Times New Roman"/>
        </w:rPr>
        <w:footnoteReference w:id="5"/>
      </w:r>
    </w:p>
    <w:p w:rsidR="00C33F25" w:rsidRDefault="00C33F25" w:rsidP="00410E51">
      <w:pPr>
        <w:jc w:val="both"/>
        <w:rPr>
          <w:rFonts w:cs="Times New Roman"/>
        </w:rPr>
      </w:pPr>
      <w:r>
        <w:rPr>
          <w:rFonts w:eastAsia="Calibri" w:cs="Times New Roman"/>
        </w:rPr>
        <w:t>“</w:t>
      </w:r>
      <w:r>
        <w:rPr>
          <w:rFonts w:eastAsia="Calibri" w:cs="Times New Roman"/>
          <w:b/>
          <w:i/>
        </w:rPr>
        <w:t xml:space="preserve">Covered </w:t>
      </w:r>
      <w:proofErr w:type="spellStart"/>
      <w:r>
        <w:rPr>
          <w:rFonts w:eastAsia="Calibri" w:cs="Times New Roman"/>
          <w:b/>
          <w:i/>
        </w:rPr>
        <w:t>Forex</w:t>
      </w:r>
      <w:proofErr w:type="spellEnd"/>
      <w:r>
        <w:rPr>
          <w:rFonts w:eastAsia="Calibri" w:cs="Times New Roman"/>
          <w:b/>
          <w:i/>
        </w:rPr>
        <w:t xml:space="preserve"> Transaction</w:t>
      </w:r>
      <w:r>
        <w:rPr>
          <w:rFonts w:eastAsia="Calibri" w:cs="Times New Roman"/>
        </w:rPr>
        <w:t xml:space="preserve">” means </w:t>
      </w:r>
      <w:r w:rsidRPr="007062F6">
        <w:rPr>
          <w:rFonts w:cs="Times New Roman"/>
        </w:rPr>
        <w:t>a</w:t>
      </w:r>
      <w:r>
        <w:rPr>
          <w:rFonts w:cs="Times New Roman"/>
        </w:rPr>
        <w:t xml:space="preserve"> transaction for which real-time tradeable bid and offer prices are available electronically, in the marketplace, to </w:t>
      </w:r>
      <w:proofErr w:type="spellStart"/>
      <w:r>
        <w:rPr>
          <w:rFonts w:cs="Times New Roman"/>
        </w:rPr>
        <w:t>PCA</w:t>
      </w:r>
      <w:proofErr w:type="spellEnd"/>
      <w:r>
        <w:rPr>
          <w:rFonts w:cs="Times New Roman"/>
        </w:rPr>
        <w:t xml:space="preserve"> Principal, and that is: (i) a “foreign exchange forward” or “foreign exchange swap,” as defined in Sections </w:t>
      </w:r>
      <w:proofErr w:type="spellStart"/>
      <w:r>
        <w:rPr>
          <w:rFonts w:cs="Times New Roman"/>
        </w:rPr>
        <w:t>1a</w:t>
      </w:r>
      <w:proofErr w:type="spellEnd"/>
      <w:r>
        <w:rPr>
          <w:rFonts w:cs="Times New Roman"/>
        </w:rPr>
        <w:t xml:space="preserve">(24) and </w:t>
      </w:r>
      <w:proofErr w:type="spellStart"/>
      <w:r>
        <w:rPr>
          <w:rFonts w:cs="Times New Roman"/>
        </w:rPr>
        <w:t>1a</w:t>
      </w:r>
      <w:proofErr w:type="spellEnd"/>
      <w:r>
        <w:rPr>
          <w:rFonts w:cs="Times New Roman"/>
        </w:rPr>
        <w:t xml:space="preserve">(25) of the Commodity Exchange Act, respectively, that, by its terms, is physically settled, where each currency is one included among the </w:t>
      </w:r>
      <w:proofErr w:type="spellStart"/>
      <w:r>
        <w:rPr>
          <w:rFonts w:cs="Times New Roman"/>
        </w:rPr>
        <w:t>BIS</w:t>
      </w:r>
      <w:proofErr w:type="spellEnd"/>
      <w:r>
        <w:rPr>
          <w:rFonts w:cs="Times New Roman"/>
        </w:rPr>
        <w:t xml:space="preserve"> 13 Currencies, and where the transaction has a stated maturity of one year or less; or (ii) a vanilla foreign exchange option that, by its terms, is physically settled, where each currency is one included among the </w:t>
      </w:r>
      <w:proofErr w:type="spellStart"/>
      <w:r>
        <w:rPr>
          <w:rFonts w:cs="Times New Roman"/>
        </w:rPr>
        <w:t>BIS</w:t>
      </w:r>
      <w:proofErr w:type="spellEnd"/>
      <w:r>
        <w:rPr>
          <w:rFonts w:cs="Times New Roman"/>
        </w:rPr>
        <w:t xml:space="preserve"> 13 Currencies, and where the option has a stated maturity of six months or less.</w:t>
      </w:r>
      <w:r>
        <w:rPr>
          <w:rStyle w:val="FootnoteReference"/>
          <w:rFonts w:cs="Times New Roman"/>
        </w:rPr>
        <w:footnoteReference w:id="6"/>
      </w:r>
    </w:p>
    <w:p w:rsidR="00C33F25" w:rsidRDefault="00C33F25" w:rsidP="00410E51">
      <w:pPr>
        <w:jc w:val="both"/>
        <w:rPr>
          <w:rFonts w:cs="Times New Roman"/>
        </w:rPr>
      </w:pPr>
      <w:r w:rsidRPr="00FE4F49">
        <w:rPr>
          <w:rFonts w:eastAsia="Times New Roman" w:cs="Times New Roman"/>
          <w:b/>
          <w:i/>
          <w:szCs w:val="20"/>
        </w:rPr>
        <w:t>“Covered Swaps”</w:t>
      </w:r>
      <w:r>
        <w:rPr>
          <w:rFonts w:eastAsia="Times New Roman" w:cs="Times New Roman"/>
          <w:i/>
          <w:szCs w:val="20"/>
        </w:rPr>
        <w:t xml:space="preserve"> </w:t>
      </w:r>
      <w:r w:rsidRPr="00FE4F49">
        <w:rPr>
          <w:rFonts w:eastAsia="Times New Roman" w:cs="Times New Roman"/>
          <w:szCs w:val="20"/>
        </w:rPr>
        <w:t xml:space="preserve">means the certain </w:t>
      </w:r>
      <w:r>
        <w:t>interest rate and credit default swaps in respect of which the CFTC issued a mandatory clearing determination on December 13, 2012.</w:t>
      </w:r>
      <w:r>
        <w:rPr>
          <w:rStyle w:val="FootnoteReference"/>
        </w:rPr>
        <w:footnoteReference w:id="7"/>
      </w:r>
    </w:p>
    <w:p w:rsidR="00C33F25" w:rsidRDefault="00C33F25" w:rsidP="00410E51">
      <w:pPr>
        <w:spacing w:before="240" w:after="0" w:line="240" w:lineRule="auto"/>
        <w:jc w:val="both"/>
        <w:rPr>
          <w:rFonts w:eastAsia="Times New Roman" w:cs="Times New Roman"/>
          <w:b/>
          <w:szCs w:val="20"/>
        </w:rPr>
      </w:pPr>
      <w:r w:rsidRPr="0086401A">
        <w:rPr>
          <w:rFonts w:eastAsia="Times New Roman" w:cs="Times New Roman"/>
          <w:b/>
          <w:i/>
          <w:szCs w:val="20"/>
        </w:rPr>
        <w:t xml:space="preserve">Capitalized terms used but not otherwise defined in this </w:t>
      </w:r>
      <w:r>
        <w:rPr>
          <w:rFonts w:eastAsia="Times New Roman" w:cs="Times New Roman"/>
          <w:b/>
          <w:i/>
          <w:szCs w:val="20"/>
        </w:rPr>
        <w:t>Addendum</w:t>
      </w:r>
      <w:r w:rsidRPr="0086401A">
        <w:rPr>
          <w:rFonts w:eastAsia="Times New Roman" w:cs="Times New Roman"/>
          <w:b/>
          <w:i/>
          <w:szCs w:val="20"/>
        </w:rPr>
        <w:t xml:space="preserve"> </w:t>
      </w:r>
      <w:r>
        <w:rPr>
          <w:rFonts w:eastAsia="Times New Roman" w:cs="Times New Roman"/>
          <w:b/>
          <w:i/>
          <w:szCs w:val="20"/>
        </w:rPr>
        <w:t>I</w:t>
      </w:r>
      <w:r w:rsidRPr="0086401A">
        <w:rPr>
          <w:rFonts w:eastAsia="Times New Roman" w:cs="Times New Roman"/>
          <w:b/>
          <w:i/>
          <w:szCs w:val="20"/>
        </w:rPr>
        <w:t>I shall have the meanings assigned to</w:t>
      </w:r>
      <w:r>
        <w:rPr>
          <w:rFonts w:eastAsia="Times New Roman" w:cs="Times New Roman"/>
          <w:b/>
          <w:i/>
          <w:szCs w:val="20"/>
        </w:rPr>
        <w:t xml:space="preserve"> such terms in the Questionnaire and Addendum I thereto.</w:t>
      </w:r>
      <w:r>
        <w:rPr>
          <w:rFonts w:eastAsia="Times New Roman" w:cs="Times New Roman"/>
          <w:b/>
          <w:szCs w:val="20"/>
        </w:rPr>
        <w:br w:type="page"/>
      </w:r>
    </w:p>
    <w:p w:rsidR="00C33F25" w:rsidRDefault="00C33F25" w:rsidP="00410E51">
      <w:pPr>
        <w:keepNext/>
        <w:numPr>
          <w:ilvl w:val="1"/>
          <w:numId w:val="0"/>
        </w:numPr>
        <w:tabs>
          <w:tab w:val="num" w:pos="1350"/>
        </w:tabs>
        <w:spacing w:before="240" w:after="0" w:line="240" w:lineRule="auto"/>
        <w:ind w:left="1350" w:hanging="1350"/>
        <w:jc w:val="both"/>
        <w:outlineLvl w:val="1"/>
        <w:rPr>
          <w:rFonts w:eastAsia="Times New Roman" w:cs="Times New Roman"/>
          <w:b/>
          <w:szCs w:val="20"/>
        </w:rPr>
      </w:pPr>
      <w:r>
        <w:rPr>
          <w:rFonts w:eastAsia="Times New Roman" w:cs="Times New Roman"/>
          <w:b/>
          <w:szCs w:val="20"/>
        </w:rPr>
        <w:lastRenderedPageBreak/>
        <w:t>Section 2.  Election</w:t>
      </w:r>
      <w:r w:rsidR="00674CBD">
        <w:rPr>
          <w:rFonts w:eastAsia="Times New Roman" w:cs="Times New Roman"/>
          <w:b/>
          <w:szCs w:val="20"/>
        </w:rPr>
        <w:t>s</w:t>
      </w:r>
      <w:r>
        <w:rPr>
          <w:rFonts w:eastAsia="Times New Roman" w:cs="Times New Roman"/>
          <w:b/>
          <w:szCs w:val="20"/>
        </w:rPr>
        <w:t xml:space="preserve"> Not to Receive Disclosure of Pre-Trade Mid-Market Marks.</w:t>
      </w:r>
      <w:r>
        <w:rPr>
          <w:rStyle w:val="FootnoteReference"/>
          <w:rFonts w:eastAsia="Times New Roman" w:cs="Times New Roman"/>
          <w:b/>
          <w:szCs w:val="20"/>
        </w:rPr>
        <w:footnoteReference w:id="8"/>
      </w:r>
      <w:r>
        <w:rPr>
          <w:rFonts w:eastAsia="Times New Roman" w:cs="Times New Roman"/>
          <w:b/>
          <w:szCs w:val="20"/>
        </w:rPr>
        <w:t xml:space="preserve"> </w:t>
      </w:r>
    </w:p>
    <w:p w:rsidR="00674CBD" w:rsidRDefault="00C33F25" w:rsidP="00410E51">
      <w:pPr>
        <w:spacing w:before="240" w:after="0" w:line="240" w:lineRule="auto"/>
        <w:jc w:val="both"/>
        <w:rPr>
          <w:rFonts w:eastAsia="Times New Roman" w:cs="Times New Roman"/>
          <w:i/>
          <w:szCs w:val="20"/>
        </w:rPr>
      </w:pPr>
      <w:r>
        <w:rPr>
          <w:rFonts w:eastAsia="Times New Roman" w:cs="Times New Roman"/>
          <w:i/>
          <w:szCs w:val="20"/>
        </w:rPr>
        <w:t xml:space="preserve">CFTC Regulation 23.431(a)(3) requires a Swap Dealer to disclose pre-trade mid-market marks to a counterparty. As of the date of this Addendum II, the CFTC has issued conditional relief from such requirement for Covered </w:t>
      </w:r>
      <w:proofErr w:type="spellStart"/>
      <w:r>
        <w:rPr>
          <w:rFonts w:eastAsia="Times New Roman" w:cs="Times New Roman"/>
          <w:i/>
          <w:szCs w:val="20"/>
        </w:rPr>
        <w:t>Forex</w:t>
      </w:r>
      <w:proofErr w:type="spellEnd"/>
      <w:r>
        <w:rPr>
          <w:rFonts w:eastAsia="Times New Roman" w:cs="Times New Roman"/>
          <w:i/>
          <w:szCs w:val="20"/>
        </w:rPr>
        <w:t xml:space="preserve"> Transactions and Covered Derivatives Transactions.  The CFTC may issue conditional relief in the future for other types of transactions.  </w:t>
      </w:r>
    </w:p>
    <w:p w:rsidR="00C33F25" w:rsidRDefault="00C33F25" w:rsidP="00410E51">
      <w:pPr>
        <w:spacing w:before="240" w:after="0" w:line="240" w:lineRule="auto"/>
        <w:jc w:val="both"/>
        <w:rPr>
          <w:rFonts w:eastAsia="Times New Roman" w:cs="Times New Roman"/>
          <w:i/>
          <w:szCs w:val="20"/>
        </w:rPr>
      </w:pPr>
      <w:r>
        <w:rPr>
          <w:rFonts w:eastAsia="Times New Roman" w:cs="Times New Roman"/>
          <w:i/>
          <w:szCs w:val="20"/>
        </w:rPr>
        <w:t>CFTC Letter</w:t>
      </w:r>
      <w:r w:rsidR="0013454C">
        <w:rPr>
          <w:rFonts w:eastAsia="Times New Roman" w:cs="Times New Roman"/>
          <w:i/>
          <w:szCs w:val="20"/>
        </w:rPr>
        <w:t xml:space="preserve"> No.</w:t>
      </w:r>
      <w:r>
        <w:rPr>
          <w:rFonts w:eastAsia="Times New Roman" w:cs="Times New Roman"/>
          <w:i/>
          <w:szCs w:val="20"/>
        </w:rPr>
        <w:t xml:space="preserve"> 12-42 and CFTC Letter</w:t>
      </w:r>
      <w:r w:rsidR="0013454C">
        <w:rPr>
          <w:rFonts w:eastAsia="Times New Roman" w:cs="Times New Roman"/>
          <w:i/>
          <w:szCs w:val="20"/>
        </w:rPr>
        <w:t xml:space="preserve"> No.</w:t>
      </w:r>
      <w:r>
        <w:rPr>
          <w:rFonts w:eastAsia="Times New Roman" w:cs="Times New Roman"/>
          <w:i/>
          <w:szCs w:val="20"/>
        </w:rPr>
        <w:t xml:space="preserve"> 12-58 provide that Swap Dealers will not be required to disclose pre-trade mid-market marks in connection with any Covered </w:t>
      </w:r>
      <w:proofErr w:type="spellStart"/>
      <w:r>
        <w:rPr>
          <w:rFonts w:eastAsia="Times New Roman" w:cs="Times New Roman"/>
          <w:i/>
          <w:szCs w:val="20"/>
        </w:rPr>
        <w:t>Forex</w:t>
      </w:r>
      <w:proofErr w:type="spellEnd"/>
      <w:r>
        <w:rPr>
          <w:rFonts w:eastAsia="Times New Roman" w:cs="Times New Roman"/>
          <w:i/>
          <w:szCs w:val="20"/>
        </w:rPr>
        <w:t xml:space="preserve"> Transactions or Covered Derivatives Transactions, respectively, provided that </w:t>
      </w:r>
      <w:proofErr w:type="spellStart"/>
      <w:r>
        <w:rPr>
          <w:rFonts w:eastAsia="Times New Roman" w:cs="Times New Roman"/>
          <w:i/>
          <w:szCs w:val="20"/>
        </w:rPr>
        <w:t>PCA</w:t>
      </w:r>
      <w:proofErr w:type="spellEnd"/>
      <w:r>
        <w:rPr>
          <w:rFonts w:eastAsia="Times New Roman" w:cs="Times New Roman"/>
          <w:i/>
          <w:szCs w:val="20"/>
        </w:rPr>
        <w:t xml:space="preserve"> Principal agrees in advance, in writing, that the Swap Dealer need not disclose a pre-trade mid-market mark. </w:t>
      </w:r>
      <w:r w:rsidR="00674CBD">
        <w:rPr>
          <w:rFonts w:eastAsia="Times New Roman" w:cs="Times New Roman"/>
          <w:i/>
          <w:szCs w:val="20"/>
        </w:rPr>
        <w:t xml:space="preserve">Protocol Participants may elect to satisfy the conditions set forth in these no-action letters for </w:t>
      </w:r>
      <w:proofErr w:type="spellStart"/>
      <w:r w:rsidR="00674CBD">
        <w:rPr>
          <w:rFonts w:eastAsia="Times New Roman" w:cs="Times New Roman"/>
          <w:i/>
          <w:szCs w:val="20"/>
        </w:rPr>
        <w:t>PCA</w:t>
      </w:r>
      <w:proofErr w:type="spellEnd"/>
      <w:r w:rsidR="00674CBD">
        <w:rPr>
          <w:rFonts w:eastAsia="Times New Roman" w:cs="Times New Roman"/>
          <w:i/>
          <w:szCs w:val="20"/>
        </w:rPr>
        <w:t xml:space="preserve"> Principals by responding “Yes” to questions (a) and (b) below.</w:t>
      </w:r>
    </w:p>
    <w:p w:rsidR="00C33F25" w:rsidRDefault="00674CBD" w:rsidP="00410E51">
      <w:pPr>
        <w:spacing w:before="240" w:after="0" w:line="240" w:lineRule="auto"/>
        <w:jc w:val="both"/>
        <w:rPr>
          <w:rFonts w:eastAsia="Times New Roman" w:cs="Times New Roman"/>
          <w:i/>
          <w:szCs w:val="20"/>
        </w:rPr>
      </w:pPr>
      <w:r>
        <w:rPr>
          <w:rFonts w:eastAsia="Times New Roman" w:cs="Times New Roman"/>
          <w:i/>
          <w:szCs w:val="20"/>
        </w:rPr>
        <w:t>Protocol Participants</w:t>
      </w:r>
      <w:r w:rsidR="00C33F25" w:rsidRPr="007062F6">
        <w:rPr>
          <w:rFonts w:eastAsia="Times New Roman" w:cs="Times New Roman"/>
          <w:i/>
          <w:szCs w:val="20"/>
        </w:rPr>
        <w:t xml:space="preserve"> </w:t>
      </w:r>
      <w:r w:rsidR="00C33F25">
        <w:rPr>
          <w:rFonts w:eastAsia="Times New Roman" w:cs="Times New Roman"/>
          <w:i/>
          <w:szCs w:val="20"/>
        </w:rPr>
        <w:t xml:space="preserve">may answer “Yes” to the question in paragraph (c) of this Section 2 to agree in advance that Swap Dealers will not be required to disclose pre-trade mid-market marks in connection with any </w:t>
      </w:r>
      <w:r w:rsidR="00C33F25" w:rsidRPr="00A56E48">
        <w:rPr>
          <w:rFonts w:eastAsia="Calibri" w:cs="Times New Roman"/>
          <w:i/>
        </w:rPr>
        <w:t>Additional Pre-Trade Mark Transaction</w:t>
      </w:r>
      <w:r w:rsidR="00C33F25">
        <w:rPr>
          <w:rFonts w:eastAsia="Times New Roman" w:cs="Times New Roman"/>
          <w:i/>
          <w:szCs w:val="20"/>
        </w:rPr>
        <w:t>.</w:t>
      </w:r>
    </w:p>
    <w:p w:rsidR="00C33F25" w:rsidRPr="00F576AF" w:rsidRDefault="00C33F25" w:rsidP="00410E51">
      <w:pPr>
        <w:spacing w:before="240" w:after="0" w:line="240" w:lineRule="auto"/>
        <w:jc w:val="both"/>
      </w:pPr>
      <w:r w:rsidRPr="00ED6589">
        <w:rPr>
          <w:rFonts w:eastAsia="Times New Roman" w:cs="Times New Roman"/>
          <w:i/>
          <w:szCs w:val="20"/>
        </w:rPr>
        <w:t xml:space="preserve">To </w:t>
      </w:r>
      <w:r>
        <w:rPr>
          <w:rFonts w:eastAsia="Times New Roman" w:cs="Times New Roman"/>
          <w:i/>
          <w:szCs w:val="20"/>
        </w:rPr>
        <w:t>answer the following</w:t>
      </w:r>
      <w:r w:rsidRPr="00ED6589">
        <w:rPr>
          <w:rFonts w:eastAsia="Times New Roman" w:cs="Times New Roman"/>
          <w:i/>
          <w:szCs w:val="20"/>
        </w:rPr>
        <w:t xml:space="preserve"> question, complete column</w:t>
      </w:r>
      <w:r>
        <w:rPr>
          <w:rFonts w:eastAsia="Times New Roman" w:cs="Times New Roman"/>
          <w:i/>
          <w:szCs w:val="20"/>
        </w:rPr>
        <w:t xml:space="preserve"> 31</w:t>
      </w:r>
      <w:r w:rsidRPr="00ED6589">
        <w:rPr>
          <w:rFonts w:eastAsia="Times New Roman" w:cs="Times New Roman"/>
          <w:i/>
          <w:szCs w:val="20"/>
        </w:rPr>
        <w:t xml:space="preserve"> of the relevant row of the </w:t>
      </w:r>
      <w:proofErr w:type="spellStart"/>
      <w:r w:rsidRPr="00ED6589">
        <w:rPr>
          <w:rFonts w:eastAsia="Times New Roman" w:cs="Times New Roman"/>
          <w:i/>
          <w:szCs w:val="20"/>
        </w:rPr>
        <w:t>PCA</w:t>
      </w:r>
      <w:proofErr w:type="spellEnd"/>
      <w:r w:rsidRPr="00ED6589">
        <w:rPr>
          <w:rFonts w:eastAsia="Times New Roman" w:cs="Times New Roman"/>
          <w:i/>
          <w:szCs w:val="20"/>
        </w:rPr>
        <w:t xml:space="preserve"> Principal Answer Sheet </w:t>
      </w:r>
      <w:r>
        <w:rPr>
          <w:rFonts w:eastAsia="Times New Roman" w:cs="Times New Roman"/>
          <w:i/>
          <w:szCs w:val="20"/>
        </w:rPr>
        <w:t xml:space="preserve">by inserting a “Yes” or a “No,” </w:t>
      </w:r>
      <w:r w:rsidRPr="00ED6589">
        <w:rPr>
          <w:rFonts w:eastAsia="Times New Roman" w:cs="Times New Roman"/>
          <w:i/>
          <w:szCs w:val="20"/>
        </w:rPr>
        <w:t>as appropriate:</w:t>
      </w:r>
    </w:p>
    <w:p w:rsidR="00C33F25" w:rsidRDefault="00C33F25" w:rsidP="00410E51">
      <w:pPr>
        <w:tabs>
          <w:tab w:val="left" w:pos="1800"/>
        </w:tabs>
        <w:spacing w:before="240" w:after="0" w:line="240" w:lineRule="auto"/>
        <w:ind w:left="1800" w:hanging="360"/>
        <w:jc w:val="both"/>
        <w:rPr>
          <w:rFonts w:cs="Times New Roman"/>
        </w:rPr>
      </w:pPr>
      <w:r>
        <w:rPr>
          <w:rFonts w:cs="Times New Roman"/>
        </w:rPr>
        <w:t>(a)</w:t>
      </w:r>
      <w:r>
        <w:rPr>
          <w:rFonts w:cs="Times New Roman"/>
        </w:rPr>
        <w:tab/>
      </w:r>
      <w:r w:rsidRPr="001745AD">
        <w:rPr>
          <w:rFonts w:cs="Times New Roman"/>
        </w:rPr>
        <w:t xml:space="preserve">Does </w:t>
      </w:r>
      <w:proofErr w:type="spellStart"/>
      <w:r w:rsidRPr="001745AD">
        <w:rPr>
          <w:rFonts w:cs="Times New Roman"/>
        </w:rPr>
        <w:t>PCA</w:t>
      </w:r>
      <w:proofErr w:type="spellEnd"/>
      <w:r w:rsidRPr="001745AD">
        <w:rPr>
          <w:rFonts w:cs="Times New Roman"/>
        </w:rPr>
        <w:t xml:space="preserve"> Principal agree </w:t>
      </w:r>
      <w:r>
        <w:rPr>
          <w:rFonts w:cs="Times New Roman"/>
        </w:rPr>
        <w:t>that its Swap Dealer counterparty need not disclose pre-trade mid-market marks</w:t>
      </w:r>
      <w:r w:rsidRPr="001745AD">
        <w:rPr>
          <w:rFonts w:cs="Times New Roman"/>
        </w:rPr>
        <w:t xml:space="preserve"> in respect of any Covered </w:t>
      </w:r>
      <w:proofErr w:type="spellStart"/>
      <w:r w:rsidRPr="001745AD">
        <w:rPr>
          <w:rFonts w:cs="Times New Roman"/>
        </w:rPr>
        <w:t>Forex</w:t>
      </w:r>
      <w:proofErr w:type="spellEnd"/>
      <w:r w:rsidRPr="001745AD">
        <w:rPr>
          <w:rFonts w:cs="Times New Roman"/>
        </w:rPr>
        <w:t xml:space="preserve"> Transaction?</w:t>
      </w:r>
    </w:p>
    <w:p w:rsidR="00C33F25" w:rsidRPr="00F576AF" w:rsidRDefault="00C33F25" w:rsidP="00410E51">
      <w:pPr>
        <w:spacing w:before="240" w:after="0" w:line="240" w:lineRule="auto"/>
        <w:jc w:val="both"/>
      </w:pPr>
      <w:r w:rsidRPr="00ED6589">
        <w:rPr>
          <w:rFonts w:eastAsia="Times New Roman" w:cs="Times New Roman"/>
          <w:i/>
          <w:szCs w:val="20"/>
        </w:rPr>
        <w:t xml:space="preserve">To </w:t>
      </w:r>
      <w:r>
        <w:rPr>
          <w:rFonts w:eastAsia="Times New Roman" w:cs="Times New Roman"/>
          <w:i/>
          <w:szCs w:val="20"/>
        </w:rPr>
        <w:t>answer the following</w:t>
      </w:r>
      <w:r w:rsidRPr="00ED6589">
        <w:rPr>
          <w:rFonts w:eastAsia="Times New Roman" w:cs="Times New Roman"/>
          <w:i/>
          <w:szCs w:val="20"/>
        </w:rPr>
        <w:t xml:space="preserve"> question, complete column</w:t>
      </w:r>
      <w:r>
        <w:rPr>
          <w:rFonts w:eastAsia="Times New Roman" w:cs="Times New Roman"/>
          <w:i/>
          <w:szCs w:val="20"/>
        </w:rPr>
        <w:t xml:space="preserve"> 32</w:t>
      </w:r>
      <w:r w:rsidRPr="00ED6589">
        <w:rPr>
          <w:rFonts w:eastAsia="Times New Roman" w:cs="Times New Roman"/>
          <w:i/>
          <w:szCs w:val="20"/>
        </w:rPr>
        <w:t xml:space="preserve"> of the relevant row of the </w:t>
      </w:r>
      <w:proofErr w:type="spellStart"/>
      <w:r w:rsidRPr="00ED6589">
        <w:rPr>
          <w:rFonts w:eastAsia="Times New Roman" w:cs="Times New Roman"/>
          <w:i/>
          <w:szCs w:val="20"/>
        </w:rPr>
        <w:t>PCA</w:t>
      </w:r>
      <w:proofErr w:type="spellEnd"/>
      <w:r w:rsidRPr="00ED6589">
        <w:rPr>
          <w:rFonts w:eastAsia="Times New Roman" w:cs="Times New Roman"/>
          <w:i/>
          <w:szCs w:val="20"/>
        </w:rPr>
        <w:t xml:space="preserve"> Principal Answer Sheet </w:t>
      </w:r>
      <w:r>
        <w:rPr>
          <w:rFonts w:eastAsia="Times New Roman" w:cs="Times New Roman"/>
          <w:i/>
          <w:szCs w:val="20"/>
        </w:rPr>
        <w:t xml:space="preserve">by inserting a “Yes” or a “No,” </w:t>
      </w:r>
      <w:r w:rsidRPr="00ED6589">
        <w:rPr>
          <w:rFonts w:eastAsia="Times New Roman" w:cs="Times New Roman"/>
          <w:i/>
          <w:szCs w:val="20"/>
        </w:rPr>
        <w:t>as appropriate:</w:t>
      </w:r>
    </w:p>
    <w:p w:rsidR="00C33F25" w:rsidRDefault="00C33F25" w:rsidP="00410E51">
      <w:pPr>
        <w:keepNext/>
        <w:numPr>
          <w:ilvl w:val="1"/>
          <w:numId w:val="0"/>
        </w:numPr>
        <w:tabs>
          <w:tab w:val="num" w:pos="1800"/>
        </w:tabs>
        <w:spacing w:before="240" w:after="0" w:line="240" w:lineRule="auto"/>
        <w:ind w:left="1800" w:hanging="360"/>
        <w:jc w:val="both"/>
        <w:outlineLvl w:val="1"/>
        <w:rPr>
          <w:rFonts w:cs="Times New Roman"/>
        </w:rPr>
      </w:pPr>
      <w:r>
        <w:rPr>
          <w:rFonts w:cs="Times New Roman"/>
        </w:rPr>
        <w:t xml:space="preserve">(b) </w:t>
      </w:r>
      <w:r w:rsidRPr="001745AD">
        <w:rPr>
          <w:rFonts w:cs="Times New Roman"/>
        </w:rPr>
        <w:t xml:space="preserve">Does </w:t>
      </w:r>
      <w:proofErr w:type="spellStart"/>
      <w:r w:rsidRPr="001745AD">
        <w:rPr>
          <w:rFonts w:cs="Times New Roman"/>
        </w:rPr>
        <w:t>PCA</w:t>
      </w:r>
      <w:proofErr w:type="spellEnd"/>
      <w:r w:rsidRPr="001745AD">
        <w:rPr>
          <w:rFonts w:cs="Times New Roman"/>
        </w:rPr>
        <w:t xml:space="preserve"> Principal agree </w:t>
      </w:r>
      <w:r>
        <w:rPr>
          <w:rFonts w:cs="Times New Roman"/>
        </w:rPr>
        <w:t>that its Swap Dealer counterparty need not disclose pre-trade mid-market mark</w:t>
      </w:r>
      <w:r w:rsidRPr="001745AD">
        <w:rPr>
          <w:rFonts w:cs="Times New Roman"/>
        </w:rPr>
        <w:t xml:space="preserve">s in respect of any </w:t>
      </w:r>
      <w:r>
        <w:rPr>
          <w:rFonts w:cs="Times New Roman"/>
        </w:rPr>
        <w:t>Covered Derivative Transaction?</w:t>
      </w:r>
    </w:p>
    <w:p w:rsidR="00C33F25" w:rsidRDefault="00C33F25" w:rsidP="00410E51">
      <w:pPr>
        <w:keepNext/>
        <w:numPr>
          <w:ilvl w:val="1"/>
          <w:numId w:val="0"/>
        </w:numPr>
        <w:tabs>
          <w:tab w:val="num" w:pos="0"/>
        </w:tabs>
        <w:spacing w:before="240" w:after="0" w:line="240" w:lineRule="auto"/>
        <w:jc w:val="both"/>
        <w:outlineLvl w:val="1"/>
        <w:rPr>
          <w:rFonts w:cs="Times New Roman"/>
        </w:rPr>
      </w:pPr>
      <w:r>
        <w:rPr>
          <w:rFonts w:cs="Times New Roman"/>
          <w:i/>
        </w:rPr>
        <w:t xml:space="preserve">To answer the following question, complete column 33 of the relevant row of the </w:t>
      </w:r>
      <w:proofErr w:type="spellStart"/>
      <w:r>
        <w:rPr>
          <w:rFonts w:cs="Times New Roman"/>
          <w:i/>
        </w:rPr>
        <w:t>PCA</w:t>
      </w:r>
      <w:proofErr w:type="spellEnd"/>
      <w:r>
        <w:rPr>
          <w:rFonts w:cs="Times New Roman"/>
          <w:i/>
        </w:rPr>
        <w:t xml:space="preserve"> Principal Answer Sheet by inserting a “Yes” or a “No,” as appropriate:</w:t>
      </w:r>
    </w:p>
    <w:p w:rsidR="00C33F25" w:rsidRPr="00976EE0" w:rsidRDefault="00C33F25" w:rsidP="00410E51">
      <w:pPr>
        <w:keepNext/>
        <w:numPr>
          <w:ilvl w:val="1"/>
          <w:numId w:val="0"/>
        </w:numPr>
        <w:tabs>
          <w:tab w:val="num" w:pos="1800"/>
        </w:tabs>
        <w:spacing w:before="240" w:after="0" w:line="240" w:lineRule="auto"/>
        <w:ind w:left="1800" w:hanging="360"/>
        <w:jc w:val="both"/>
        <w:outlineLvl w:val="1"/>
        <w:rPr>
          <w:rFonts w:eastAsia="Times New Roman" w:cs="Times New Roman"/>
          <w:b/>
          <w:szCs w:val="20"/>
        </w:rPr>
      </w:pPr>
      <w:r>
        <w:rPr>
          <w:rFonts w:cs="Times New Roman"/>
        </w:rPr>
        <w:t>(c)</w:t>
      </w:r>
      <w:r>
        <w:rPr>
          <w:rFonts w:cs="Times New Roman"/>
        </w:rPr>
        <w:tab/>
        <w:t xml:space="preserve">Does </w:t>
      </w:r>
      <w:proofErr w:type="spellStart"/>
      <w:r>
        <w:rPr>
          <w:rFonts w:cs="Times New Roman"/>
        </w:rPr>
        <w:t>PCA</w:t>
      </w:r>
      <w:proofErr w:type="spellEnd"/>
      <w:r>
        <w:rPr>
          <w:rFonts w:cs="Times New Roman"/>
        </w:rPr>
        <w:t xml:space="preserve"> Principal agree that its Swap Dealer counterparty need not disclose pre-trade mid-market marks in respect of any Additional Pre-Trade Mark Transaction? </w:t>
      </w:r>
    </w:p>
    <w:p w:rsidR="00C33F25" w:rsidRDefault="00C33F25" w:rsidP="00410E51">
      <w:pPr>
        <w:keepNext/>
        <w:numPr>
          <w:ilvl w:val="1"/>
          <w:numId w:val="0"/>
        </w:numPr>
        <w:tabs>
          <w:tab w:val="num" w:pos="720"/>
        </w:tabs>
        <w:spacing w:before="240" w:after="0" w:line="240" w:lineRule="auto"/>
        <w:ind w:left="720" w:hanging="720"/>
        <w:jc w:val="both"/>
        <w:outlineLvl w:val="1"/>
        <w:rPr>
          <w:rFonts w:eastAsia="Times New Roman" w:cs="Times New Roman"/>
          <w:b/>
          <w:szCs w:val="20"/>
        </w:rPr>
      </w:pPr>
      <w:r>
        <w:rPr>
          <w:rFonts w:eastAsia="Times New Roman" w:cs="Times New Roman"/>
          <w:b/>
          <w:szCs w:val="20"/>
        </w:rPr>
        <w:t xml:space="preserve">Section 3.  </w:t>
      </w:r>
      <w:r>
        <w:rPr>
          <w:rFonts w:eastAsia="Times New Roman" w:cs="Times New Roman"/>
          <w:b/>
          <w:szCs w:val="20"/>
        </w:rPr>
        <w:tab/>
        <w:t xml:space="preserve">Additional </w:t>
      </w:r>
      <w:proofErr w:type="spellStart"/>
      <w:r>
        <w:rPr>
          <w:rFonts w:eastAsia="Times New Roman" w:cs="Times New Roman"/>
          <w:b/>
          <w:szCs w:val="20"/>
        </w:rPr>
        <w:t>PCA</w:t>
      </w:r>
      <w:proofErr w:type="spellEnd"/>
      <w:r>
        <w:rPr>
          <w:rFonts w:eastAsia="Times New Roman" w:cs="Times New Roman"/>
          <w:b/>
          <w:szCs w:val="20"/>
        </w:rPr>
        <w:t xml:space="preserve"> Principal Status Representations and Elections: U.S. Person. </w:t>
      </w:r>
    </w:p>
    <w:p w:rsidR="00C33F25" w:rsidRDefault="00674CBD" w:rsidP="00410E51">
      <w:pPr>
        <w:spacing w:before="240" w:after="0" w:line="240" w:lineRule="auto"/>
        <w:jc w:val="both"/>
        <w:rPr>
          <w:rFonts w:eastAsia="Times New Roman" w:cs="Times New Roman"/>
          <w:i/>
          <w:szCs w:val="20"/>
        </w:rPr>
      </w:pPr>
      <w:r>
        <w:rPr>
          <w:rFonts w:eastAsia="Times New Roman" w:cs="Times New Roman"/>
          <w:i/>
          <w:szCs w:val="20"/>
        </w:rPr>
        <w:t>Protocol Participants</w:t>
      </w:r>
      <w:r w:rsidR="00C33F25" w:rsidRPr="002F713E">
        <w:rPr>
          <w:rFonts w:eastAsia="Times New Roman" w:cs="Times New Roman"/>
          <w:i/>
          <w:szCs w:val="20"/>
        </w:rPr>
        <w:t xml:space="preserve"> are asked to provide the following information to assist Swap Dealers in determining compliance with certain CFTC regulations in light of the </w:t>
      </w:r>
      <w:proofErr w:type="spellStart"/>
      <w:r w:rsidR="00C33F25" w:rsidRPr="002F713E">
        <w:rPr>
          <w:rFonts w:eastAsia="Times New Roman" w:cs="Times New Roman"/>
          <w:i/>
          <w:szCs w:val="20"/>
        </w:rPr>
        <w:t>CFTC’s</w:t>
      </w:r>
      <w:proofErr w:type="spellEnd"/>
      <w:r w:rsidR="00C33F25" w:rsidRPr="002F713E">
        <w:rPr>
          <w:rFonts w:eastAsia="Times New Roman" w:cs="Times New Roman"/>
          <w:i/>
          <w:szCs w:val="20"/>
        </w:rPr>
        <w:t xml:space="preserve"> Exemptive Order dated December 21, 2012, defining the term “U.S. </w:t>
      </w:r>
      <w:r w:rsidR="0013454C">
        <w:rPr>
          <w:rFonts w:eastAsia="Times New Roman" w:cs="Times New Roman"/>
          <w:i/>
          <w:szCs w:val="20"/>
        </w:rPr>
        <w:t>P</w:t>
      </w:r>
      <w:r w:rsidR="00C33F25" w:rsidRPr="002F713E">
        <w:rPr>
          <w:rFonts w:eastAsia="Times New Roman" w:cs="Times New Roman"/>
          <w:i/>
          <w:szCs w:val="20"/>
        </w:rPr>
        <w:t>erson” on an interim basis.</w:t>
      </w:r>
      <w:r w:rsidR="0013454C">
        <w:rPr>
          <w:rStyle w:val="FootnoteReference"/>
          <w:rFonts w:eastAsia="Times New Roman" w:cs="Times New Roman"/>
          <w:i/>
          <w:szCs w:val="20"/>
        </w:rPr>
        <w:footnoteReference w:id="9"/>
      </w:r>
      <w:r w:rsidR="00C33F25" w:rsidRPr="002F713E">
        <w:rPr>
          <w:rFonts w:eastAsia="Times New Roman" w:cs="Times New Roman"/>
          <w:i/>
          <w:szCs w:val="20"/>
        </w:rPr>
        <w:t xml:space="preserve">  </w:t>
      </w:r>
    </w:p>
    <w:p w:rsidR="00C33F25" w:rsidRPr="002F713E" w:rsidRDefault="00C33F25" w:rsidP="00410E51">
      <w:pPr>
        <w:spacing w:before="240" w:after="0" w:line="240" w:lineRule="auto"/>
        <w:jc w:val="both"/>
        <w:rPr>
          <w:i/>
        </w:rPr>
      </w:pPr>
      <w:r w:rsidRPr="002F713E">
        <w:rPr>
          <w:rFonts w:eastAsia="Times New Roman" w:cs="Times New Roman"/>
          <w:i/>
          <w:szCs w:val="20"/>
        </w:rPr>
        <w:lastRenderedPageBreak/>
        <w:t xml:space="preserve">The </w:t>
      </w:r>
      <w:proofErr w:type="spellStart"/>
      <w:r w:rsidRPr="002F713E">
        <w:rPr>
          <w:rFonts w:eastAsia="Times New Roman" w:cs="Times New Roman"/>
          <w:i/>
          <w:szCs w:val="20"/>
        </w:rPr>
        <w:t>CFTC’s</w:t>
      </w:r>
      <w:proofErr w:type="spellEnd"/>
      <w:r w:rsidRPr="002F713E">
        <w:rPr>
          <w:rFonts w:eastAsia="Times New Roman" w:cs="Times New Roman"/>
          <w:i/>
          <w:szCs w:val="20"/>
        </w:rPr>
        <w:t xml:space="preserve"> definition of “U.S. person” set forth in such order is reproduced in this Addendum as the definition of </w:t>
      </w:r>
      <w:r w:rsidRPr="002F713E">
        <w:rPr>
          <w:rFonts w:cs="Times New Roman"/>
          <w:i/>
        </w:rPr>
        <w:t>CFTC Interim Order U.S. person</w:t>
      </w:r>
      <w:r>
        <w:rPr>
          <w:rFonts w:cs="Times New Roman"/>
          <w:i/>
        </w:rPr>
        <w:t>.</w:t>
      </w:r>
      <w:r w:rsidRPr="00EE3B6C">
        <w:t xml:space="preserve"> </w:t>
      </w:r>
      <w:r>
        <w:t xml:space="preserve"> </w:t>
      </w:r>
      <w:r w:rsidRPr="00EE3B6C">
        <w:rPr>
          <w:rFonts w:cs="Times New Roman"/>
          <w:i/>
        </w:rPr>
        <w:t xml:space="preserve">Please note that clause (ii)(B) thereof is effective as of April 1, 2013.  Accordingly, in addition to the answers “Yes” or “No” to this question, prior to April 1, 2013 a </w:t>
      </w:r>
      <w:proofErr w:type="spellStart"/>
      <w:r w:rsidRPr="00EE3B6C">
        <w:rPr>
          <w:rFonts w:cs="Times New Roman"/>
          <w:i/>
        </w:rPr>
        <w:t>PCA</w:t>
      </w:r>
      <w:proofErr w:type="spellEnd"/>
      <w:r w:rsidRPr="00EE3B6C">
        <w:rPr>
          <w:rFonts w:cs="Times New Roman"/>
          <w:i/>
        </w:rPr>
        <w:t xml:space="preserve"> Principal may wish to choose the answer “No until April 1, 2013 and Yes thereafter” if it expects to qualify as of April 1, 2013 based upon the effective date of clause (ii)(B).  (Alternatively, such </w:t>
      </w:r>
      <w:proofErr w:type="spellStart"/>
      <w:r w:rsidRPr="00EE3B6C">
        <w:rPr>
          <w:rFonts w:cs="Times New Roman"/>
          <w:i/>
        </w:rPr>
        <w:t>PCA</w:t>
      </w:r>
      <w:proofErr w:type="spellEnd"/>
      <w:r w:rsidRPr="00EE3B6C">
        <w:rPr>
          <w:rFonts w:cs="Times New Roman"/>
          <w:i/>
        </w:rPr>
        <w:t xml:space="preserve"> Principal may change its “No” answer to “Yes” at a later time.)</w:t>
      </w:r>
    </w:p>
    <w:p w:rsidR="00C33F25" w:rsidRPr="00F576AF" w:rsidRDefault="00C33F25" w:rsidP="00410E51">
      <w:pPr>
        <w:spacing w:before="240" w:after="0" w:line="240" w:lineRule="auto"/>
        <w:jc w:val="both"/>
      </w:pPr>
      <w:r w:rsidRPr="00ED6589">
        <w:rPr>
          <w:rFonts w:eastAsia="Times New Roman" w:cs="Times New Roman"/>
          <w:i/>
          <w:szCs w:val="20"/>
        </w:rPr>
        <w:t xml:space="preserve">To </w:t>
      </w:r>
      <w:r>
        <w:rPr>
          <w:rFonts w:eastAsia="Times New Roman" w:cs="Times New Roman"/>
          <w:i/>
          <w:szCs w:val="20"/>
        </w:rPr>
        <w:t>answer the following</w:t>
      </w:r>
      <w:r w:rsidRPr="00ED6589">
        <w:rPr>
          <w:rFonts w:eastAsia="Times New Roman" w:cs="Times New Roman"/>
          <w:i/>
          <w:szCs w:val="20"/>
        </w:rPr>
        <w:t xml:space="preserve"> question, complete column</w:t>
      </w:r>
      <w:r>
        <w:rPr>
          <w:rFonts w:eastAsia="Times New Roman" w:cs="Times New Roman"/>
          <w:i/>
          <w:szCs w:val="20"/>
        </w:rPr>
        <w:t xml:space="preserve"> 34</w:t>
      </w:r>
      <w:r w:rsidRPr="00ED6589">
        <w:rPr>
          <w:rFonts w:eastAsia="Times New Roman" w:cs="Times New Roman"/>
          <w:i/>
          <w:szCs w:val="20"/>
        </w:rPr>
        <w:t xml:space="preserve"> of the relevant row of the </w:t>
      </w:r>
      <w:proofErr w:type="spellStart"/>
      <w:r w:rsidRPr="00ED6589">
        <w:rPr>
          <w:rFonts w:eastAsia="Times New Roman" w:cs="Times New Roman"/>
          <w:i/>
          <w:szCs w:val="20"/>
        </w:rPr>
        <w:t>PCA</w:t>
      </w:r>
      <w:proofErr w:type="spellEnd"/>
      <w:r w:rsidRPr="00ED6589">
        <w:rPr>
          <w:rFonts w:eastAsia="Times New Roman" w:cs="Times New Roman"/>
          <w:i/>
          <w:szCs w:val="20"/>
        </w:rPr>
        <w:t xml:space="preserve"> Principal Answer Sheet </w:t>
      </w:r>
      <w:r>
        <w:rPr>
          <w:rFonts w:eastAsia="Times New Roman" w:cs="Times New Roman"/>
          <w:i/>
          <w:szCs w:val="20"/>
        </w:rPr>
        <w:t xml:space="preserve">by inserting a “Yes,” “No,” </w:t>
      </w:r>
      <w:r>
        <w:rPr>
          <w:i/>
          <w:szCs w:val="20"/>
        </w:rPr>
        <w:t xml:space="preserve">or “No until April 1, 2013 and Yes thereafter,” </w:t>
      </w:r>
      <w:r w:rsidRPr="00ED6589">
        <w:rPr>
          <w:rFonts w:eastAsia="Times New Roman" w:cs="Times New Roman"/>
          <w:i/>
          <w:szCs w:val="20"/>
        </w:rPr>
        <w:t>as appropriate:</w:t>
      </w:r>
    </w:p>
    <w:p w:rsidR="00C33F25" w:rsidRPr="009644BE" w:rsidRDefault="00C33F25" w:rsidP="00410E51">
      <w:pPr>
        <w:pStyle w:val="Heading3"/>
        <w:keepLines w:val="0"/>
        <w:spacing w:before="240" w:line="240" w:lineRule="auto"/>
        <w:ind w:left="1440"/>
        <w:jc w:val="both"/>
        <w:rPr>
          <w:rFonts w:ascii="Times New Roman" w:hAnsi="Times New Roman" w:cs="Times New Roman"/>
          <w:b w:val="0"/>
          <w:color w:val="auto"/>
        </w:rPr>
      </w:pPr>
      <w:r w:rsidRPr="007062F6">
        <w:rPr>
          <w:rFonts w:ascii="Times New Roman" w:hAnsi="Times New Roman" w:cs="Times New Roman"/>
          <w:b w:val="0"/>
          <w:color w:val="auto"/>
        </w:rPr>
        <w:t xml:space="preserve">Is </w:t>
      </w:r>
      <w:proofErr w:type="spellStart"/>
      <w:r w:rsidRPr="007062F6">
        <w:rPr>
          <w:rFonts w:ascii="Times New Roman" w:hAnsi="Times New Roman" w:cs="Times New Roman"/>
          <w:b w:val="0"/>
          <w:color w:val="auto"/>
        </w:rPr>
        <w:t>PCA</w:t>
      </w:r>
      <w:proofErr w:type="spellEnd"/>
      <w:r w:rsidRPr="007062F6">
        <w:rPr>
          <w:rFonts w:ascii="Times New Roman" w:hAnsi="Times New Roman" w:cs="Times New Roman"/>
          <w:b w:val="0"/>
          <w:color w:val="auto"/>
        </w:rPr>
        <w:t xml:space="preserve"> Principal a</w:t>
      </w:r>
      <w:r>
        <w:rPr>
          <w:rFonts w:ascii="Times New Roman" w:hAnsi="Times New Roman" w:cs="Times New Roman"/>
          <w:b w:val="0"/>
          <w:color w:val="auto"/>
        </w:rPr>
        <w:t xml:space="preserve"> CFTC Interim Order U.S. </w:t>
      </w:r>
      <w:r w:rsidR="0013454C">
        <w:rPr>
          <w:rFonts w:ascii="Times New Roman" w:hAnsi="Times New Roman" w:cs="Times New Roman"/>
          <w:b w:val="0"/>
          <w:color w:val="auto"/>
        </w:rPr>
        <w:t>P</w:t>
      </w:r>
      <w:r>
        <w:rPr>
          <w:rFonts w:ascii="Times New Roman" w:hAnsi="Times New Roman" w:cs="Times New Roman"/>
          <w:b w:val="0"/>
          <w:color w:val="auto"/>
        </w:rPr>
        <w:t>erson?</w:t>
      </w:r>
      <w:r w:rsidRPr="007062F6">
        <w:rPr>
          <w:rFonts w:ascii="Times New Roman" w:hAnsi="Times New Roman" w:cs="Times New Roman"/>
          <w:b w:val="0"/>
          <w:color w:val="auto"/>
        </w:rPr>
        <w:t xml:space="preserve">  </w:t>
      </w:r>
    </w:p>
    <w:p w:rsidR="00C33F25" w:rsidRPr="0086401A" w:rsidRDefault="00C33F25" w:rsidP="00410E51">
      <w:pPr>
        <w:keepNext/>
        <w:numPr>
          <w:ilvl w:val="1"/>
          <w:numId w:val="0"/>
        </w:numPr>
        <w:tabs>
          <w:tab w:val="num" w:pos="1260"/>
        </w:tabs>
        <w:spacing w:before="240" w:after="0" w:line="240" w:lineRule="auto"/>
        <w:ind w:left="1260" w:hanging="1260"/>
        <w:jc w:val="both"/>
        <w:outlineLvl w:val="1"/>
        <w:rPr>
          <w:rFonts w:eastAsia="Times New Roman" w:cs="Times New Roman"/>
          <w:b/>
          <w:szCs w:val="20"/>
        </w:rPr>
      </w:pPr>
      <w:r>
        <w:rPr>
          <w:rFonts w:eastAsia="Times New Roman" w:cs="Times New Roman"/>
          <w:b/>
          <w:szCs w:val="20"/>
        </w:rPr>
        <w:t xml:space="preserve">Section 4.  </w:t>
      </w:r>
      <w:r>
        <w:rPr>
          <w:rFonts w:eastAsia="Times New Roman" w:cs="Times New Roman"/>
          <w:b/>
          <w:szCs w:val="20"/>
        </w:rPr>
        <w:tab/>
        <w:t xml:space="preserve">Additional </w:t>
      </w:r>
      <w:proofErr w:type="spellStart"/>
      <w:r>
        <w:rPr>
          <w:rFonts w:eastAsia="Times New Roman" w:cs="Times New Roman"/>
          <w:b/>
          <w:szCs w:val="20"/>
        </w:rPr>
        <w:t>PCA</w:t>
      </w:r>
      <w:proofErr w:type="spellEnd"/>
      <w:r>
        <w:rPr>
          <w:rFonts w:eastAsia="Times New Roman" w:cs="Times New Roman"/>
          <w:b/>
          <w:szCs w:val="20"/>
        </w:rPr>
        <w:t xml:space="preserve"> Principal Status Representations and Elections: Category 2 Entity.</w:t>
      </w:r>
    </w:p>
    <w:p w:rsidR="00C33F25" w:rsidRPr="00942DC9" w:rsidRDefault="00C33F25" w:rsidP="00410E51">
      <w:pPr>
        <w:spacing w:before="240" w:after="0" w:line="240" w:lineRule="auto"/>
        <w:jc w:val="both"/>
      </w:pPr>
      <w:r w:rsidRPr="007062F6">
        <w:rPr>
          <w:rFonts w:eastAsia="Times New Roman" w:cs="Times New Roman"/>
          <w:i/>
          <w:szCs w:val="20"/>
        </w:rPr>
        <w:t xml:space="preserve">All </w:t>
      </w:r>
      <w:r w:rsidR="00674CBD">
        <w:rPr>
          <w:rFonts w:eastAsia="Times New Roman" w:cs="Times New Roman"/>
          <w:i/>
          <w:szCs w:val="20"/>
        </w:rPr>
        <w:t>Protocol Participants</w:t>
      </w:r>
      <w:r w:rsidRPr="007062F6">
        <w:rPr>
          <w:rFonts w:eastAsia="Times New Roman" w:cs="Times New Roman"/>
          <w:i/>
          <w:szCs w:val="20"/>
        </w:rPr>
        <w:t xml:space="preserve"> are asked to provide the following information to assist Swap Dealers in determining </w:t>
      </w:r>
      <w:r>
        <w:rPr>
          <w:rFonts w:eastAsia="Times New Roman" w:cs="Times New Roman"/>
          <w:i/>
          <w:szCs w:val="20"/>
        </w:rPr>
        <w:t xml:space="preserve">compliance dates for </w:t>
      </w:r>
      <w:r>
        <w:rPr>
          <w:rFonts w:eastAsia="Times New Roman"/>
          <w:i/>
          <w:szCs w:val="20"/>
        </w:rPr>
        <w:t>CFTC Regulation 50.4 relating to the requirement to clear certain swaps</w:t>
      </w:r>
      <w:r w:rsidRPr="007062F6">
        <w:rPr>
          <w:rFonts w:eastAsia="Times New Roman" w:cs="Times New Roman"/>
          <w:i/>
          <w:szCs w:val="20"/>
        </w:rPr>
        <w:t>.</w:t>
      </w:r>
      <w:r>
        <w:rPr>
          <w:rFonts w:eastAsia="Times New Roman" w:cs="Times New Roman"/>
          <w:i/>
          <w:szCs w:val="20"/>
        </w:rPr>
        <w:t xml:space="preserve">  Under Regulation 50.4, Category 2 Entities must comply with the clearing requirement by June 10, 2013, for Covered Swaps.</w:t>
      </w:r>
      <w:r>
        <w:rPr>
          <w:rStyle w:val="FootnoteReference"/>
          <w:rFonts w:eastAsia="Times New Roman" w:cs="Times New Roman"/>
          <w:i/>
          <w:szCs w:val="20"/>
        </w:rPr>
        <w:footnoteReference w:id="10"/>
      </w:r>
    </w:p>
    <w:p w:rsidR="00C33F25" w:rsidRDefault="00C33F25" w:rsidP="00410E51">
      <w:pPr>
        <w:spacing w:before="240" w:after="0" w:line="240" w:lineRule="auto"/>
        <w:jc w:val="both"/>
      </w:pPr>
      <w:r w:rsidRPr="00ED6589">
        <w:rPr>
          <w:rFonts w:eastAsia="Times New Roman" w:cs="Times New Roman"/>
          <w:i/>
          <w:szCs w:val="20"/>
        </w:rPr>
        <w:t xml:space="preserve">To </w:t>
      </w:r>
      <w:r>
        <w:rPr>
          <w:rFonts w:eastAsia="Times New Roman" w:cs="Times New Roman"/>
          <w:i/>
          <w:szCs w:val="20"/>
        </w:rPr>
        <w:t>answer the following</w:t>
      </w:r>
      <w:r w:rsidRPr="00ED6589">
        <w:rPr>
          <w:rFonts w:eastAsia="Times New Roman" w:cs="Times New Roman"/>
          <w:i/>
          <w:szCs w:val="20"/>
        </w:rPr>
        <w:t xml:space="preserve"> question, complete column</w:t>
      </w:r>
      <w:r>
        <w:rPr>
          <w:rFonts w:eastAsia="Times New Roman" w:cs="Times New Roman"/>
          <w:i/>
          <w:szCs w:val="20"/>
        </w:rPr>
        <w:t xml:space="preserve"> 35</w:t>
      </w:r>
      <w:r w:rsidRPr="00ED6589">
        <w:rPr>
          <w:rFonts w:eastAsia="Times New Roman" w:cs="Times New Roman"/>
          <w:i/>
          <w:szCs w:val="20"/>
        </w:rPr>
        <w:t xml:space="preserve"> of the relevant row of the </w:t>
      </w:r>
      <w:proofErr w:type="spellStart"/>
      <w:r w:rsidRPr="00ED6589">
        <w:rPr>
          <w:rFonts w:eastAsia="Times New Roman" w:cs="Times New Roman"/>
          <w:i/>
          <w:szCs w:val="20"/>
        </w:rPr>
        <w:t>PCA</w:t>
      </w:r>
      <w:proofErr w:type="spellEnd"/>
      <w:r w:rsidRPr="00ED6589">
        <w:rPr>
          <w:rFonts w:eastAsia="Times New Roman" w:cs="Times New Roman"/>
          <w:i/>
          <w:szCs w:val="20"/>
        </w:rPr>
        <w:t xml:space="preserve"> Principal Answer Sheet </w:t>
      </w:r>
      <w:r>
        <w:rPr>
          <w:rFonts w:eastAsia="Times New Roman" w:cs="Times New Roman"/>
          <w:i/>
          <w:szCs w:val="20"/>
        </w:rPr>
        <w:t xml:space="preserve">by inserting a “Yes” or a “No,” </w:t>
      </w:r>
      <w:r w:rsidRPr="00ED6589">
        <w:rPr>
          <w:rFonts w:eastAsia="Times New Roman" w:cs="Times New Roman"/>
          <w:i/>
          <w:szCs w:val="20"/>
        </w:rPr>
        <w:t>as appropriate:</w:t>
      </w:r>
    </w:p>
    <w:p w:rsidR="00C33F25" w:rsidRPr="00FE44DD" w:rsidRDefault="00C33F25" w:rsidP="00410E51">
      <w:pPr>
        <w:spacing w:before="240" w:after="0" w:line="240" w:lineRule="auto"/>
        <w:ind w:left="1440"/>
        <w:jc w:val="both"/>
      </w:pPr>
      <w:r w:rsidRPr="007062F6">
        <w:rPr>
          <w:rFonts w:cs="Times New Roman"/>
        </w:rPr>
        <w:t xml:space="preserve">Is </w:t>
      </w:r>
      <w:proofErr w:type="spellStart"/>
      <w:r w:rsidRPr="007062F6">
        <w:rPr>
          <w:rFonts w:cs="Times New Roman"/>
        </w:rPr>
        <w:t>PCA</w:t>
      </w:r>
      <w:proofErr w:type="spellEnd"/>
      <w:r w:rsidRPr="007062F6">
        <w:rPr>
          <w:rFonts w:cs="Times New Roman"/>
        </w:rPr>
        <w:t xml:space="preserve"> Principal a</w:t>
      </w:r>
      <w:r>
        <w:rPr>
          <w:rFonts w:cs="Times New Roman"/>
          <w:b/>
        </w:rPr>
        <w:t xml:space="preserve"> </w:t>
      </w:r>
      <w:r>
        <w:rPr>
          <w:rFonts w:cs="Times New Roman"/>
        </w:rPr>
        <w:t>Category 2 Entity?</w:t>
      </w:r>
      <w:r w:rsidRPr="007062F6">
        <w:rPr>
          <w:rFonts w:cs="Times New Roman"/>
        </w:rPr>
        <w:t xml:space="preserve">  </w:t>
      </w:r>
    </w:p>
    <w:p w:rsidR="00C33F25" w:rsidRDefault="00C33F25" w:rsidP="00410E51">
      <w:pPr>
        <w:jc w:val="both"/>
        <w:rPr>
          <w:rFonts w:eastAsia="Times New Roman" w:cs="Times New Roman"/>
          <w:szCs w:val="20"/>
        </w:rPr>
      </w:pPr>
      <w:r>
        <w:rPr>
          <w:rFonts w:eastAsia="Times New Roman" w:cs="Times New Roman"/>
          <w:szCs w:val="20"/>
        </w:rPr>
        <w:br w:type="page"/>
      </w:r>
    </w:p>
    <w:p w:rsidR="00C33F25" w:rsidRPr="00FE44DD" w:rsidRDefault="00C33F25" w:rsidP="00410E51">
      <w:pPr>
        <w:jc w:val="both"/>
        <w:rPr>
          <w:rFonts w:eastAsia="Times New Roman" w:cs="Times New Roman"/>
          <w:i/>
          <w:szCs w:val="24"/>
        </w:rPr>
      </w:pPr>
      <w:r w:rsidRPr="0086401A">
        <w:rPr>
          <w:rFonts w:eastAsia="Times New Roman" w:cs="Times New Roman"/>
          <w:szCs w:val="20"/>
        </w:rPr>
        <w:lastRenderedPageBreak/>
        <w:t xml:space="preserve">By executing this </w:t>
      </w:r>
      <w:r>
        <w:rPr>
          <w:rFonts w:eastAsia="Times New Roman" w:cs="Times New Roman"/>
          <w:szCs w:val="20"/>
        </w:rPr>
        <w:t>Addendum</w:t>
      </w:r>
      <w:r w:rsidRPr="0086401A">
        <w:rPr>
          <w:rFonts w:eastAsia="Times New Roman" w:cs="Times New Roman"/>
          <w:szCs w:val="20"/>
        </w:rPr>
        <w:t xml:space="preserve"> </w:t>
      </w:r>
      <w:r>
        <w:rPr>
          <w:rFonts w:eastAsia="Times New Roman" w:cs="Times New Roman"/>
          <w:szCs w:val="20"/>
        </w:rPr>
        <w:t>I</w:t>
      </w:r>
      <w:r w:rsidRPr="0086401A">
        <w:rPr>
          <w:rFonts w:eastAsia="Times New Roman" w:cs="Times New Roman"/>
          <w:szCs w:val="20"/>
        </w:rPr>
        <w:t xml:space="preserve">I, the signatory </w:t>
      </w:r>
      <w:r>
        <w:rPr>
          <w:rFonts w:eastAsia="Times New Roman" w:cs="Times New Roman"/>
          <w:szCs w:val="20"/>
        </w:rPr>
        <w:t>agrees</w:t>
      </w:r>
      <w:r w:rsidRPr="0086401A">
        <w:rPr>
          <w:rFonts w:eastAsia="Times New Roman" w:cs="Times New Roman"/>
          <w:szCs w:val="20"/>
        </w:rPr>
        <w:t xml:space="preserve"> as </w:t>
      </w:r>
      <w:proofErr w:type="spellStart"/>
      <w:r w:rsidRPr="0086401A">
        <w:rPr>
          <w:rFonts w:eastAsia="Times New Roman" w:cs="Times New Roman"/>
          <w:szCs w:val="20"/>
        </w:rPr>
        <w:t>PCA</w:t>
      </w:r>
      <w:proofErr w:type="spellEnd"/>
      <w:r w:rsidRPr="0086401A">
        <w:rPr>
          <w:rFonts w:eastAsia="Times New Roman" w:cs="Times New Roman"/>
          <w:szCs w:val="20"/>
        </w:rPr>
        <w:t xml:space="preserve"> Principal or </w:t>
      </w:r>
      <w:proofErr w:type="spellStart"/>
      <w:r w:rsidRPr="0086401A">
        <w:rPr>
          <w:rFonts w:eastAsia="Times New Roman" w:cs="Times New Roman"/>
          <w:szCs w:val="20"/>
        </w:rPr>
        <w:t>PCA</w:t>
      </w:r>
      <w:proofErr w:type="spellEnd"/>
      <w:r w:rsidRPr="0086401A">
        <w:rPr>
          <w:rFonts w:eastAsia="Times New Roman" w:cs="Times New Roman"/>
          <w:szCs w:val="20"/>
        </w:rPr>
        <w:t xml:space="preserve"> Agent for specified </w:t>
      </w:r>
      <w:proofErr w:type="spellStart"/>
      <w:r w:rsidRPr="0086401A">
        <w:rPr>
          <w:rFonts w:eastAsia="Times New Roman" w:cs="Times New Roman"/>
          <w:szCs w:val="20"/>
        </w:rPr>
        <w:t>PCA</w:t>
      </w:r>
      <w:proofErr w:type="spellEnd"/>
      <w:r w:rsidRPr="0086401A">
        <w:rPr>
          <w:rFonts w:eastAsia="Times New Roman" w:cs="Times New Roman"/>
          <w:szCs w:val="20"/>
        </w:rPr>
        <w:t xml:space="preserve"> Principals that</w:t>
      </w:r>
      <w:r>
        <w:rPr>
          <w:rFonts w:eastAsia="Times New Roman" w:cs="Times New Roman"/>
          <w:szCs w:val="20"/>
        </w:rPr>
        <w:t xml:space="preserve"> the information </w:t>
      </w:r>
      <w:r w:rsidRPr="0086401A">
        <w:rPr>
          <w:rFonts w:eastAsia="Times New Roman" w:cs="Times New Roman"/>
          <w:szCs w:val="20"/>
        </w:rPr>
        <w:t xml:space="preserve">and representations provided herein shall be “DF Supplement Information” relating to </w:t>
      </w:r>
      <w:proofErr w:type="spellStart"/>
      <w:r w:rsidRPr="0086401A">
        <w:rPr>
          <w:rFonts w:eastAsia="Times New Roman" w:cs="Times New Roman"/>
          <w:szCs w:val="20"/>
        </w:rPr>
        <w:t>PCA</w:t>
      </w:r>
      <w:proofErr w:type="spellEnd"/>
      <w:r w:rsidRPr="0086401A">
        <w:rPr>
          <w:rFonts w:eastAsia="Times New Roman" w:cs="Times New Roman"/>
          <w:szCs w:val="20"/>
        </w:rPr>
        <w:t xml:space="preserve"> Principal</w:t>
      </w:r>
      <w:r w:rsidRPr="00667675">
        <w:rPr>
          <w:rFonts w:eastAsia="Times New Roman" w:cs="Times New Roman"/>
          <w:szCs w:val="20"/>
        </w:rPr>
        <w:t xml:space="preserve"> </w:t>
      </w:r>
      <w:r w:rsidRPr="0086401A">
        <w:rPr>
          <w:rFonts w:eastAsia="Times New Roman" w:cs="Times New Roman"/>
          <w:szCs w:val="20"/>
        </w:rPr>
        <w:t xml:space="preserve">and may be relied upon by each counterparty to whom this </w:t>
      </w:r>
      <w:r>
        <w:rPr>
          <w:rFonts w:eastAsia="Times New Roman" w:cs="Times New Roman"/>
          <w:szCs w:val="20"/>
        </w:rPr>
        <w:t>Addendum II</w:t>
      </w:r>
      <w:r w:rsidRPr="0086401A">
        <w:rPr>
          <w:rFonts w:eastAsia="Times New Roman" w:cs="Times New Roman"/>
          <w:szCs w:val="20"/>
        </w:rPr>
        <w:t xml:space="preserve"> is delivered.</w:t>
      </w:r>
    </w:p>
    <w:p w:rsidR="00C33F25" w:rsidRPr="0086401A" w:rsidRDefault="00C33F25" w:rsidP="00410E51">
      <w:pPr>
        <w:keepLines/>
        <w:tabs>
          <w:tab w:val="left" w:leader="underscore" w:pos="4680"/>
          <w:tab w:val="left" w:leader="underscore" w:pos="9360"/>
        </w:tabs>
        <w:spacing w:before="720" w:after="0" w:line="240" w:lineRule="auto"/>
        <w:ind w:left="360" w:hanging="360"/>
        <w:jc w:val="both"/>
        <w:rPr>
          <w:rFonts w:eastAsia="Times New Roman" w:cs="Times New Roman"/>
          <w:sz w:val="20"/>
          <w:szCs w:val="20"/>
        </w:rPr>
      </w:pPr>
      <w:r w:rsidRPr="0086401A">
        <w:rPr>
          <w:rFonts w:eastAsia="Times New Roman" w:cs="Times New Roman"/>
          <w:szCs w:val="24"/>
        </w:rPr>
        <w:t xml:space="preserve">[INSERT FULL LEGAL NAME OF </w:t>
      </w:r>
      <w:proofErr w:type="spellStart"/>
      <w:r w:rsidRPr="0086401A">
        <w:rPr>
          <w:rFonts w:eastAsia="Times New Roman" w:cs="Times New Roman"/>
          <w:szCs w:val="24"/>
        </w:rPr>
        <w:t>PCA</w:t>
      </w:r>
      <w:proofErr w:type="spellEnd"/>
      <w:r w:rsidRPr="0086401A">
        <w:rPr>
          <w:rFonts w:eastAsia="Times New Roman" w:cs="Times New Roman"/>
          <w:szCs w:val="24"/>
        </w:rPr>
        <w:t xml:space="preserve"> PRINCIPAL OR </w:t>
      </w:r>
      <w:proofErr w:type="spellStart"/>
      <w:r w:rsidRPr="0086401A">
        <w:rPr>
          <w:rFonts w:eastAsia="Times New Roman" w:cs="Times New Roman"/>
          <w:szCs w:val="24"/>
        </w:rPr>
        <w:t>PCA</w:t>
      </w:r>
      <w:proofErr w:type="spellEnd"/>
      <w:r w:rsidRPr="0086401A">
        <w:rPr>
          <w:rFonts w:eastAsia="Times New Roman" w:cs="Times New Roman"/>
          <w:szCs w:val="24"/>
        </w:rPr>
        <w:t xml:space="preserve"> AGENT]</w:t>
      </w:r>
      <w:r w:rsidRPr="0086401A">
        <w:rPr>
          <w:rFonts w:eastAsia="Times New Roman" w:cs="Times New Roman"/>
          <w:szCs w:val="24"/>
          <w:vertAlign w:val="superscript"/>
        </w:rPr>
        <w:footnoteReference w:id="11"/>
      </w:r>
    </w:p>
    <w:p w:rsidR="00C33F25" w:rsidRPr="0086401A" w:rsidRDefault="00C33F25" w:rsidP="00410E51">
      <w:pPr>
        <w:keepLines/>
        <w:tabs>
          <w:tab w:val="left" w:leader="underscore" w:pos="4680"/>
          <w:tab w:val="left" w:leader="underscore" w:pos="9360"/>
        </w:tabs>
        <w:spacing w:before="720" w:after="0" w:line="240" w:lineRule="auto"/>
        <w:ind w:left="360" w:hanging="360"/>
        <w:jc w:val="both"/>
        <w:rPr>
          <w:rFonts w:eastAsia="Times New Roman" w:cs="Times New Roman"/>
          <w:sz w:val="20"/>
          <w:szCs w:val="20"/>
        </w:rPr>
      </w:pPr>
      <w:r w:rsidRPr="0086401A">
        <w:rPr>
          <w:rFonts w:eastAsia="Times New Roman" w:cs="Times New Roman"/>
          <w:sz w:val="20"/>
          <w:szCs w:val="20"/>
        </w:rPr>
        <w:t>By:</w:t>
      </w:r>
      <w:r w:rsidRPr="0086401A">
        <w:rPr>
          <w:rFonts w:eastAsia="Times New Roman" w:cs="Times New Roman"/>
          <w:sz w:val="20"/>
          <w:szCs w:val="20"/>
        </w:rPr>
        <w:tab/>
      </w:r>
      <w:r w:rsidRPr="0086401A">
        <w:rPr>
          <w:rFonts w:eastAsia="Times New Roman" w:cs="Times New Roman"/>
          <w:sz w:val="20"/>
          <w:szCs w:val="20"/>
        </w:rPr>
        <w:tab/>
      </w:r>
      <w:r w:rsidRPr="0086401A">
        <w:rPr>
          <w:rFonts w:eastAsia="Times New Roman" w:cs="Times New Roman"/>
          <w:sz w:val="20"/>
          <w:szCs w:val="20"/>
        </w:rPr>
        <w:br/>
        <w:t>Name:</w:t>
      </w:r>
      <w:r w:rsidRPr="0086401A">
        <w:rPr>
          <w:rFonts w:eastAsia="Times New Roman" w:cs="Times New Roman"/>
          <w:sz w:val="20"/>
          <w:szCs w:val="20"/>
        </w:rPr>
        <w:br/>
        <w:t>Title:</w:t>
      </w:r>
      <w:r w:rsidRPr="0086401A">
        <w:rPr>
          <w:rFonts w:eastAsia="Times New Roman" w:cs="Times New Roman"/>
          <w:sz w:val="20"/>
          <w:szCs w:val="20"/>
        </w:rPr>
        <w:br/>
        <w:t>Date:</w:t>
      </w:r>
    </w:p>
    <w:p w:rsidR="0086401A" w:rsidRPr="00C33F25" w:rsidRDefault="0086401A" w:rsidP="00410E51">
      <w:pPr>
        <w:jc w:val="both"/>
      </w:pPr>
    </w:p>
    <w:sectPr w:rsidR="0086401A" w:rsidRPr="00C33F25" w:rsidSect="006E3D9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FAG4AdQBtAGUAcgBhAHQAaQBvAG4AXwAxAF8AMQA=" wne:acdName="acd0" wne:fciIndexBasedOn="0065"/>
    <wne:acd wne:argValue="AgBFAG4AdQBtAGUAcgBhAHQAaQBvAG4AXwAxAF8AMgA=" wne:acdName="acd1" wne:fciIndexBasedOn="0065"/>
    <wne:acd wne:argValue="AgBFAG4AdQBtAGUAcgBhAHQAaQBvAG4AXwAxAF8AMwA=" wne:acdName="acd2" wne:fciIndexBasedOn="0065"/>
    <wne:acd wne:argValue="AgBFAG4AdQBtAGUAcgBhAHQAaQBvAG4AXwAxAF8ANAA=" wne:acdName="acd3" wne:fciIndexBasedOn="0065"/>
    <wne:acd wne:argValue="AgBFAG4AdQBtAGUAcgBhAHQAaQBvAG4AXwAxAF8ANQA=" wne:acdName="acd4" wne:fciIndexBasedOn="0065"/>
    <wne:acd wne:argValue="AgBFAG4AdQBtAGUAcgBhAHQAaQBvAG4AXwAxAF8ANgA=" wne:acdName="acd5" wne:fciIndexBasedOn="0065"/>
    <wne:acd wne:argValue="AgBFAG4AdQBtAGUAcgBhAHQAaQBvAG4AXwAxAF8ANwA=" wne:acdName="acd6" wne:fciIndexBasedOn="0065"/>
    <wne:acd wne:argValue="AgBFAG4AdQBtAGUAcgBhAHQAaQBvAG4AXwAxAF8AOAA=" wne:acdName="acd7" wne:fciIndexBasedOn="0065"/>
    <wne:acd wne:argValue="AgBFAG4AdQBtAGUAcgBhAHQAaQBvAG4AXwAxAF8AOQ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BF" w:rsidRDefault="00AC69BF" w:rsidP="0086401A">
      <w:pPr>
        <w:spacing w:after="0" w:line="240" w:lineRule="auto"/>
      </w:pPr>
      <w:r>
        <w:separator/>
      </w:r>
    </w:p>
  </w:endnote>
  <w:endnote w:type="continuationSeparator" w:id="0">
    <w:p w:rsidR="00AC69BF" w:rsidRDefault="00AC69BF" w:rsidP="0086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4C" w:rsidRDefault="00134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BF" w:rsidRDefault="00AC69BF">
    <w:pPr>
      <w:pStyle w:val="Footer"/>
      <w:jc w:val="center"/>
    </w:pPr>
    <w:r>
      <w:t>-</w:t>
    </w:r>
    <w:sdt>
      <w:sdtPr>
        <w:id w:val="-7075614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7BA7">
          <w:rPr>
            <w:noProof/>
          </w:rPr>
          <w:t>6</w:t>
        </w:r>
        <w:r>
          <w:rPr>
            <w:noProof/>
          </w:rPr>
          <w:fldChar w:fldCharType="end"/>
        </w:r>
      </w:sdtContent>
    </w:sdt>
    <w:r>
      <w:rPr>
        <w:noProof/>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BD" w:rsidRPr="00B169F0" w:rsidRDefault="00674CBD" w:rsidP="00674CBD">
    <w:pPr>
      <w:pStyle w:val="Footer"/>
      <w:spacing w:after="120"/>
      <w:jc w:val="center"/>
      <w:rPr>
        <w:sz w:val="18"/>
        <w:szCs w:val="18"/>
      </w:rPr>
    </w:pPr>
    <w:r w:rsidRPr="00B169F0">
      <w:rPr>
        <w:sz w:val="18"/>
        <w:szCs w:val="18"/>
      </w:rPr>
      <w:t>Copyright © 201</w:t>
    </w:r>
    <w:r>
      <w:rPr>
        <w:sz w:val="18"/>
        <w:szCs w:val="18"/>
      </w:rPr>
      <w:t>3</w:t>
    </w:r>
    <w:r w:rsidRPr="00B169F0">
      <w:rPr>
        <w:sz w:val="18"/>
        <w:szCs w:val="18"/>
      </w:rPr>
      <w:t xml:space="preserve"> by International Swaps and Derivatives Association, Inc.</w:t>
    </w:r>
  </w:p>
  <w:p w:rsidR="00213DDE" w:rsidRDefault="00213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BF" w:rsidRDefault="00AC69BF" w:rsidP="0086401A">
      <w:pPr>
        <w:spacing w:after="0" w:line="240" w:lineRule="auto"/>
      </w:pPr>
      <w:r>
        <w:separator/>
      </w:r>
    </w:p>
  </w:footnote>
  <w:footnote w:type="continuationSeparator" w:id="0">
    <w:p w:rsidR="00AC69BF" w:rsidRDefault="00AC69BF" w:rsidP="0086401A">
      <w:pPr>
        <w:spacing w:after="0" w:line="240" w:lineRule="auto"/>
      </w:pPr>
      <w:r>
        <w:continuationSeparator/>
      </w:r>
    </w:p>
  </w:footnote>
  <w:footnote w:id="1">
    <w:p w:rsidR="00C33F25" w:rsidRPr="000473DC" w:rsidRDefault="00C33F25" w:rsidP="00C33F25">
      <w:pPr>
        <w:pStyle w:val="FootnoteText"/>
        <w:tabs>
          <w:tab w:val="left" w:pos="360"/>
        </w:tabs>
        <w:ind w:left="360" w:hanging="360"/>
      </w:pPr>
      <w:r w:rsidRPr="000473DC">
        <w:rPr>
          <w:rStyle w:val="FootnoteReference"/>
        </w:rPr>
        <w:footnoteRef/>
      </w:r>
      <w:r w:rsidRPr="000473DC">
        <w:t xml:space="preserve"> </w:t>
      </w:r>
      <w:r w:rsidRPr="000473DC">
        <w:tab/>
        <w:t xml:space="preserve">This Addendum is intended to address certain provisions of the following </w:t>
      </w:r>
      <w:r>
        <w:t xml:space="preserve">final </w:t>
      </w:r>
      <w:r w:rsidRPr="000473DC">
        <w:t>rules:</w:t>
      </w:r>
    </w:p>
    <w:p w:rsidR="00C33F25" w:rsidRDefault="00C33F25" w:rsidP="00C33F25">
      <w:pPr>
        <w:pStyle w:val="FootnoteContd"/>
        <w:ind w:hanging="360"/>
        <w:rPr>
          <w:sz w:val="20"/>
        </w:rPr>
      </w:pPr>
      <w:r w:rsidRPr="000473DC">
        <w:rPr>
          <w:sz w:val="20"/>
        </w:rPr>
        <w:tab/>
      </w:r>
      <w:r>
        <w:rPr>
          <w:sz w:val="20"/>
        </w:rPr>
        <w:t xml:space="preserve">CFTC, Final Rule, </w:t>
      </w:r>
      <w:r w:rsidRPr="00A322AF">
        <w:rPr>
          <w:i/>
          <w:sz w:val="20"/>
        </w:rPr>
        <w:t>Business Conduct Standards for Swap Dealers and Major Swap Participants With Counterpartie</w:t>
      </w:r>
      <w:r>
        <w:rPr>
          <w:sz w:val="20"/>
        </w:rPr>
        <w:t xml:space="preserve">s, 77 Fed. Reg. 9734 (Feb. 17, 2012). </w:t>
      </w:r>
    </w:p>
    <w:p w:rsidR="00C33F25" w:rsidRDefault="00C33F25" w:rsidP="00C33F25">
      <w:pPr>
        <w:pStyle w:val="FootnoteContd"/>
        <w:ind w:hanging="360"/>
        <w:rPr>
          <w:sz w:val="20"/>
        </w:rPr>
      </w:pPr>
      <w:r>
        <w:rPr>
          <w:sz w:val="20"/>
        </w:rPr>
        <w:tab/>
        <w:t xml:space="preserve">CFTC, </w:t>
      </w:r>
      <w:r w:rsidRPr="000473DC">
        <w:rPr>
          <w:sz w:val="20"/>
        </w:rPr>
        <w:t xml:space="preserve">Final Rule, </w:t>
      </w:r>
      <w:r w:rsidRPr="003E2223">
        <w:rPr>
          <w:i/>
          <w:sz w:val="20"/>
        </w:rPr>
        <w:t>Clearing Requirement Determination Under Section 2(h) of the CEA</w:t>
      </w:r>
      <w:r w:rsidRPr="000473DC">
        <w:rPr>
          <w:sz w:val="20"/>
        </w:rPr>
        <w:t xml:space="preserve">, </w:t>
      </w:r>
      <w:r>
        <w:rPr>
          <w:sz w:val="20"/>
        </w:rPr>
        <w:t>77 Fed. Reg. 74284 (Dec. 13, 2012).</w:t>
      </w:r>
    </w:p>
    <w:p w:rsidR="00C33F25" w:rsidRDefault="00C33F25" w:rsidP="00C33F25">
      <w:pPr>
        <w:pStyle w:val="FootnoteContd"/>
        <w:ind w:hanging="360"/>
        <w:rPr>
          <w:sz w:val="20"/>
        </w:rPr>
      </w:pPr>
      <w:r>
        <w:rPr>
          <w:sz w:val="20"/>
        </w:rPr>
        <w:tab/>
        <w:t xml:space="preserve">CFTC, Final Order, </w:t>
      </w:r>
      <w:r>
        <w:rPr>
          <w:i/>
          <w:sz w:val="20"/>
        </w:rPr>
        <w:t>Final Exemptive Order Regarding Compliance with Certain Swaps Regulations</w:t>
      </w:r>
      <w:r>
        <w:rPr>
          <w:sz w:val="20"/>
        </w:rPr>
        <w:t>, 78 Fed. Reg. 858 (Jan. 7, 2013).</w:t>
      </w:r>
    </w:p>
    <w:p w:rsidR="00C33F25" w:rsidRPr="000473DC" w:rsidRDefault="00C33F25" w:rsidP="00C33F25">
      <w:pPr>
        <w:pStyle w:val="FootnoteContd"/>
        <w:ind w:hanging="360"/>
        <w:rPr>
          <w:sz w:val="20"/>
        </w:rPr>
      </w:pPr>
      <w:r>
        <w:rPr>
          <w:sz w:val="20"/>
        </w:rPr>
        <w:tab/>
      </w:r>
      <w:r w:rsidRPr="000473DC">
        <w:rPr>
          <w:sz w:val="20"/>
        </w:rPr>
        <w:t xml:space="preserve">CFTC, Final Rule, </w:t>
      </w:r>
      <w:r w:rsidRPr="000473DC">
        <w:rPr>
          <w:i/>
          <w:sz w:val="20"/>
        </w:rPr>
        <w:t>Further Definition of “Swap Dealer,” “Security-Based Swap Dealer,” “Major Swap Participant,” “Major Security-Based Swap Participant” and “Eligible Contract Participant,”</w:t>
      </w:r>
      <w:r w:rsidRPr="000473DC">
        <w:rPr>
          <w:sz w:val="20"/>
        </w:rPr>
        <w:t xml:space="preserve"> 77 Fed. Reg. 30596 (May 23, 2012).</w:t>
      </w:r>
    </w:p>
    <w:p w:rsidR="00C33F25" w:rsidRPr="004F57C3" w:rsidRDefault="00C33F25" w:rsidP="00C33F25">
      <w:pPr>
        <w:pStyle w:val="FootnoteContd"/>
        <w:ind w:hanging="360"/>
        <w:rPr>
          <w:sz w:val="20"/>
        </w:rPr>
      </w:pPr>
      <w:r w:rsidRPr="000473DC">
        <w:rPr>
          <w:sz w:val="20"/>
        </w:rPr>
        <w:tab/>
        <w:t>CFTC</w:t>
      </w:r>
      <w:r>
        <w:rPr>
          <w:sz w:val="20"/>
        </w:rPr>
        <w:t>,</w:t>
      </w:r>
      <w:r w:rsidRPr="000473DC">
        <w:rPr>
          <w:sz w:val="20"/>
        </w:rPr>
        <w:t xml:space="preserve"> Final Rule, </w:t>
      </w:r>
      <w:r>
        <w:rPr>
          <w:i/>
          <w:sz w:val="20"/>
        </w:rPr>
        <w:t xml:space="preserve">Swap Transaction Compliance and Implementation Schedule: Clearing Requirement Under Section 2(h) of the CEA, </w:t>
      </w:r>
      <w:r w:rsidRPr="00A322AF">
        <w:rPr>
          <w:sz w:val="20"/>
        </w:rPr>
        <w:t xml:space="preserve">77 Fed. Reg. 44441 (July 30, 2012). </w:t>
      </w:r>
    </w:p>
    <w:p w:rsidR="00C33F25" w:rsidRPr="000473DC" w:rsidRDefault="00C33F25" w:rsidP="00C33F25">
      <w:pPr>
        <w:pStyle w:val="FootnoteContd"/>
        <w:ind w:hanging="360"/>
        <w:rPr>
          <w:sz w:val="20"/>
        </w:rPr>
      </w:pPr>
    </w:p>
  </w:footnote>
  <w:footnote w:id="2">
    <w:p w:rsidR="00C33F25" w:rsidRDefault="00C33F25" w:rsidP="00C33F25">
      <w:pPr>
        <w:pStyle w:val="FootnoteText"/>
        <w:tabs>
          <w:tab w:val="left" w:pos="360"/>
        </w:tabs>
        <w:ind w:left="360" w:hanging="360"/>
      </w:pPr>
      <w:r>
        <w:rPr>
          <w:rStyle w:val="FootnoteReference"/>
        </w:rPr>
        <w:footnoteRef/>
      </w:r>
      <w:r>
        <w:t xml:space="preserve"> </w:t>
      </w:r>
      <w:r>
        <w:tab/>
        <w:t xml:space="preserve">CFTC Letter No. 12-42, at text accompanying n. 4 (citing </w:t>
      </w:r>
      <w:r w:rsidRPr="00D72B9B">
        <w:t xml:space="preserve">Bank for International Settlements, 2010 </w:t>
      </w:r>
      <w:proofErr w:type="spellStart"/>
      <w:r w:rsidRPr="00C6165E">
        <w:rPr>
          <w:u w:val="single"/>
        </w:rPr>
        <w:t>BIS</w:t>
      </w:r>
      <w:proofErr w:type="spellEnd"/>
      <w:r w:rsidRPr="00C6165E">
        <w:rPr>
          <w:u w:val="single"/>
        </w:rPr>
        <w:t xml:space="preserve"> Triennial Central Bank Survey, Report on global foreign exchange market activity in 2010</w:t>
      </w:r>
      <w:r w:rsidRPr="00D72B9B">
        <w:t xml:space="preserve"> 12 (Dec. 2010), </w:t>
      </w:r>
      <w:r w:rsidRPr="00C6165E">
        <w:rPr>
          <w:i/>
        </w:rPr>
        <w:t>available at</w:t>
      </w:r>
      <w:r w:rsidRPr="00D72B9B">
        <w:t xml:space="preserve"> http://www.bis.org/publ/rpfxf10t.pdf</w:t>
      </w:r>
      <w:r>
        <w:t>).</w:t>
      </w:r>
    </w:p>
  </w:footnote>
  <w:footnote w:id="3">
    <w:p w:rsidR="00C33F25" w:rsidRPr="00213DDE" w:rsidRDefault="00C33F25" w:rsidP="00C33F25">
      <w:pPr>
        <w:pStyle w:val="FootnoteText"/>
        <w:tabs>
          <w:tab w:val="left" w:pos="360"/>
        </w:tabs>
        <w:ind w:left="360" w:hanging="360"/>
      </w:pPr>
      <w:r>
        <w:rPr>
          <w:rStyle w:val="FootnoteReference"/>
        </w:rPr>
        <w:footnoteRef/>
      </w:r>
      <w:r>
        <w:t xml:space="preserve"> </w:t>
      </w:r>
      <w:r>
        <w:tab/>
        <w:t>CFTC Regulation 50.25 defines a Category 2 Entity as a Commodity Pool; a private fund as defined in section 202(a) of the Investment Advisers Act of 1940 other than an Active Fund; or a person predominantly engaged in activities that are in the business of banking, or in activities that are financial in nature as defined in section 4(k) of the Bank Holding Company Act of 1956, provided that, in each case, the entity is not a third-party subaccount</w:t>
      </w:r>
      <w:r w:rsidRPr="00213DDE">
        <w:t>.</w:t>
      </w:r>
      <w:r>
        <w:t xml:space="preserve">  </w:t>
      </w:r>
      <w:r>
        <w:rPr>
          <w:i/>
        </w:rPr>
        <w:t>See</w:t>
      </w:r>
      <w:r>
        <w:t xml:space="preserve"> 77 Fed. Reg. 44441, 44445-46 &amp; 44456 (July 30, 2012).</w:t>
      </w:r>
    </w:p>
  </w:footnote>
  <w:footnote w:id="4">
    <w:p w:rsidR="00C33F25" w:rsidRDefault="00C33F25" w:rsidP="00C33F25">
      <w:pPr>
        <w:pStyle w:val="FootnoteText"/>
        <w:tabs>
          <w:tab w:val="left" w:pos="360"/>
        </w:tabs>
        <w:ind w:left="360" w:hanging="360"/>
      </w:pPr>
      <w:r>
        <w:rPr>
          <w:rStyle w:val="FootnoteReference"/>
        </w:rPr>
        <w:footnoteRef/>
      </w:r>
      <w:r>
        <w:t xml:space="preserve"> </w:t>
      </w:r>
      <w:r>
        <w:tab/>
        <w:t>78 Fed. Reg. 858, 879 (Jan. 7, 2013).</w:t>
      </w:r>
    </w:p>
  </w:footnote>
  <w:footnote w:id="5">
    <w:p w:rsidR="00C33F25" w:rsidRDefault="00C33F25" w:rsidP="00C33F25">
      <w:pPr>
        <w:pStyle w:val="FootnoteText"/>
        <w:tabs>
          <w:tab w:val="left" w:pos="360"/>
        </w:tabs>
        <w:ind w:left="360" w:hanging="360"/>
      </w:pPr>
      <w:r>
        <w:rPr>
          <w:rStyle w:val="FootnoteReference"/>
        </w:rPr>
        <w:footnoteRef/>
      </w:r>
      <w:r>
        <w:t xml:space="preserve"> </w:t>
      </w:r>
      <w:r>
        <w:tab/>
        <w:t>CFTC Letter No. 12-58.</w:t>
      </w:r>
    </w:p>
  </w:footnote>
  <w:footnote w:id="6">
    <w:p w:rsidR="00C33F25" w:rsidRDefault="00C33F25" w:rsidP="00C33F25">
      <w:pPr>
        <w:pStyle w:val="FootnoteText"/>
        <w:tabs>
          <w:tab w:val="left" w:pos="360"/>
        </w:tabs>
        <w:ind w:left="360" w:hanging="360"/>
      </w:pPr>
      <w:r>
        <w:rPr>
          <w:rStyle w:val="FootnoteReference"/>
        </w:rPr>
        <w:footnoteRef/>
      </w:r>
      <w:r>
        <w:t xml:space="preserve"> </w:t>
      </w:r>
      <w:r>
        <w:tab/>
        <w:t>CFTC Letter No. 12-42.</w:t>
      </w:r>
    </w:p>
  </w:footnote>
  <w:footnote w:id="7">
    <w:p w:rsidR="00C33F25" w:rsidRDefault="00C33F25" w:rsidP="00C33F25">
      <w:pPr>
        <w:pStyle w:val="FootnoteText"/>
        <w:tabs>
          <w:tab w:val="left" w:pos="360"/>
        </w:tabs>
      </w:pPr>
      <w:r>
        <w:rPr>
          <w:rStyle w:val="FootnoteReference"/>
        </w:rPr>
        <w:footnoteRef/>
      </w:r>
      <w:r>
        <w:t xml:space="preserve"> </w:t>
      </w:r>
      <w:r>
        <w:tab/>
        <w:t>77 Fed. Reg. 74284 (Dec. 13, 2012).</w:t>
      </w:r>
    </w:p>
  </w:footnote>
  <w:footnote w:id="8">
    <w:p w:rsidR="00C33F25" w:rsidRDefault="00C33F25" w:rsidP="00C33F25">
      <w:pPr>
        <w:pStyle w:val="FootnoteText"/>
        <w:tabs>
          <w:tab w:val="left" w:pos="360"/>
        </w:tabs>
        <w:ind w:left="360" w:hanging="360"/>
      </w:pPr>
      <w:r>
        <w:rPr>
          <w:rStyle w:val="FootnoteReference"/>
        </w:rPr>
        <w:footnoteRef/>
      </w:r>
      <w:r>
        <w:t xml:space="preserve"> </w:t>
      </w:r>
      <w:r w:rsidRPr="000473DC">
        <w:tab/>
      </w:r>
      <w:r>
        <w:t xml:space="preserve">CFTC Regulation 23.431(a)(3). </w:t>
      </w:r>
    </w:p>
  </w:footnote>
  <w:footnote w:id="9">
    <w:p w:rsidR="0013454C" w:rsidRDefault="0013454C" w:rsidP="00797BA7">
      <w:pPr>
        <w:pStyle w:val="FootnoteText"/>
        <w:tabs>
          <w:tab w:val="left" w:pos="360"/>
        </w:tabs>
      </w:pPr>
      <w:r>
        <w:rPr>
          <w:rStyle w:val="FootnoteReference"/>
        </w:rPr>
        <w:footnoteRef/>
      </w:r>
      <w:r>
        <w:t xml:space="preserve"> </w:t>
      </w:r>
      <w:r>
        <w:tab/>
        <w:t>78 Fed. Reg. 858 (Jan. 7, 2013).</w:t>
      </w:r>
    </w:p>
  </w:footnote>
  <w:footnote w:id="10">
    <w:p w:rsidR="00C33F25" w:rsidRDefault="00C33F25" w:rsidP="00C33F25">
      <w:pPr>
        <w:pStyle w:val="FootnoteText"/>
        <w:tabs>
          <w:tab w:val="left" w:pos="360"/>
        </w:tabs>
        <w:ind w:left="360" w:hanging="360"/>
      </w:pPr>
      <w:r>
        <w:rPr>
          <w:rStyle w:val="FootnoteReference"/>
        </w:rPr>
        <w:footnoteRef/>
      </w:r>
      <w:r>
        <w:t xml:space="preserve"> </w:t>
      </w:r>
      <w:r>
        <w:tab/>
        <w:t>77 Fed. Reg. 74284, 74290 &amp; n. 52 (Dec. 13, 2012).</w:t>
      </w:r>
    </w:p>
  </w:footnote>
  <w:footnote w:id="11">
    <w:p w:rsidR="00C33F25" w:rsidRPr="000473DC" w:rsidRDefault="00C33F25" w:rsidP="00C33F25">
      <w:pPr>
        <w:pStyle w:val="FootnoteText"/>
        <w:tabs>
          <w:tab w:val="left" w:pos="360"/>
        </w:tabs>
        <w:ind w:left="360" w:hanging="360"/>
      </w:pPr>
      <w:r w:rsidRPr="000473DC">
        <w:rPr>
          <w:rStyle w:val="FootnoteReference"/>
        </w:rPr>
        <w:footnoteRef/>
      </w:r>
      <w:r w:rsidRPr="000473DC">
        <w:t xml:space="preserve"> </w:t>
      </w:r>
      <w:r w:rsidRPr="000473DC">
        <w:tab/>
        <w:t xml:space="preserve">If you are a </w:t>
      </w:r>
      <w:proofErr w:type="spellStart"/>
      <w:r w:rsidRPr="000473DC">
        <w:t>PCA</w:t>
      </w:r>
      <w:proofErr w:type="spellEnd"/>
      <w:r w:rsidRPr="000473DC">
        <w:t xml:space="preserve"> Agent acting on behalf of one or more </w:t>
      </w:r>
      <w:proofErr w:type="spellStart"/>
      <w:r w:rsidRPr="000473DC">
        <w:t>PCA</w:t>
      </w:r>
      <w:proofErr w:type="spellEnd"/>
      <w:r w:rsidRPr="000473DC">
        <w:t xml:space="preserve"> Principals insert the following in the signature block: “, acting on behalf of the clients, investors, funds, accounts and/or other principals listed in the column 1 of the </w:t>
      </w:r>
      <w:proofErr w:type="spellStart"/>
      <w:r w:rsidRPr="000473DC">
        <w:t>PCA</w:t>
      </w:r>
      <w:proofErr w:type="spellEnd"/>
      <w:r w:rsidRPr="000473DC">
        <w:t xml:space="preserve"> Principal Answer Sheet.”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4C" w:rsidRDefault="00134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91C" w:rsidRDefault="0030591C" w:rsidP="0030591C">
    <w:pPr>
      <w:pStyle w:val="Header"/>
      <w:rPr>
        <w:b/>
        <w:bCs/>
        <w:i/>
        <w:iCs/>
        <w:sz w:val="20"/>
      </w:rPr>
    </w:pPr>
  </w:p>
  <w:p w:rsidR="0030591C" w:rsidRDefault="0030591C" w:rsidP="003059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C" w:rsidRDefault="001D226C" w:rsidP="00BD1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7446D"/>
    <w:multiLevelType w:val="multilevel"/>
    <w:tmpl w:val="F8625900"/>
    <w:name w:val="Enumeration_1"/>
    <w:lvl w:ilvl="0">
      <w:start w:val="1"/>
      <w:numFmt w:val="decimal"/>
      <w:lvlRestart w:val="0"/>
      <w:pStyle w:val="Enumeration11"/>
      <w:lvlText w:val="%1."/>
      <w:lvlJc w:val="left"/>
      <w:pPr>
        <w:tabs>
          <w:tab w:val="num" w:pos="360"/>
        </w:tabs>
        <w:ind w:left="360" w:hanging="360"/>
      </w:pPr>
      <w:rPr>
        <w:rFonts w:ascii="Times New Roman" w:hAnsi="Times New Roman" w:cs="Times New Roman" w:hint="default"/>
        <w:b/>
        <w:i w:val="0"/>
        <w:caps w:val="0"/>
        <w:strike w:val="0"/>
        <w:dstrike w:val="0"/>
        <w:vanish w:val="0"/>
        <w:color w:val="auto"/>
        <w:sz w:val="20"/>
        <w:u w:val="none"/>
        <w:vertAlign w:val="baseline"/>
      </w:rPr>
    </w:lvl>
    <w:lvl w:ilvl="1">
      <w:start w:val="1"/>
      <w:numFmt w:val="upperLetter"/>
      <w:pStyle w:val="Enumeration12"/>
      <w:lvlText w:val="%2."/>
      <w:lvlJc w:val="left"/>
      <w:pPr>
        <w:tabs>
          <w:tab w:val="num" w:pos="1800"/>
        </w:tabs>
        <w:ind w:left="1800" w:hanging="360"/>
      </w:pPr>
      <w:rPr>
        <w:rFonts w:ascii="Times New Roman" w:hAnsi="Times New Roman" w:cs="Times New Roman" w:hint="default"/>
        <w:b/>
        <w:i w:val="0"/>
        <w:caps w:val="0"/>
        <w:strike w:val="0"/>
        <w:dstrike w:val="0"/>
        <w:vanish w:val="0"/>
        <w:color w:val="auto"/>
        <w:sz w:val="20"/>
        <w:u w:val="none"/>
        <w:vertAlign w:val="baseline"/>
      </w:rPr>
    </w:lvl>
    <w:lvl w:ilvl="2">
      <w:start w:val="1"/>
      <w:numFmt w:val="lowerRoman"/>
      <w:pStyle w:val="Enumeration13"/>
      <w:lvlText w:val="(%3)"/>
      <w:lvlJc w:val="left"/>
      <w:pPr>
        <w:tabs>
          <w:tab w:val="num" w:pos="1440"/>
        </w:tabs>
        <w:ind w:left="1944" w:hanging="504"/>
      </w:pPr>
      <w:rPr>
        <w:rFonts w:hint="default"/>
        <w:b w:val="0"/>
        <w:i w:val="0"/>
        <w:caps w:val="0"/>
        <w:strike w:val="0"/>
        <w:dstrike w:val="0"/>
        <w:vanish w:val="0"/>
        <w:color w:val="auto"/>
        <w:sz w:val="20"/>
        <w:u w:val="none"/>
        <w:vertAlign w:val="baseline"/>
      </w:rPr>
    </w:lvl>
    <w:lvl w:ilvl="3">
      <w:start w:val="1"/>
      <w:numFmt w:val="decimal"/>
      <w:pStyle w:val="Enumeration14"/>
      <w:lvlText w:val="____(%4)"/>
      <w:lvlJc w:val="left"/>
      <w:pPr>
        <w:tabs>
          <w:tab w:val="num" w:pos="2520"/>
        </w:tabs>
        <w:ind w:left="2520" w:hanging="1080"/>
      </w:pPr>
      <w:rPr>
        <w:rFonts w:ascii="Times New Roman" w:hAnsi="Times New Roman" w:cs="Times New Roman" w:hint="default"/>
        <w:b w:val="0"/>
        <w:i w:val="0"/>
        <w:caps w:val="0"/>
        <w:strike w:val="0"/>
        <w:dstrike w:val="0"/>
        <w:vanish w:val="0"/>
        <w:color w:val="auto"/>
        <w:sz w:val="20"/>
        <w:u w:val="none"/>
        <w:vertAlign w:val="baseline"/>
      </w:rPr>
    </w:lvl>
    <w:lvl w:ilvl="4">
      <w:start w:val="1"/>
      <w:numFmt w:val="none"/>
      <w:pStyle w:val="Enumeration15"/>
      <w:suff w:val="nothing"/>
      <w:lvlText w:val=""/>
      <w:lvlJc w:val="left"/>
      <w:pPr>
        <w:ind w:left="1080" w:hanging="360"/>
      </w:pPr>
      <w:rPr>
        <w:rFonts w:hint="default"/>
      </w:rPr>
    </w:lvl>
    <w:lvl w:ilvl="5">
      <w:start w:val="1"/>
      <w:numFmt w:val="ordinalText"/>
      <w:pStyle w:val="Enumeration16"/>
      <w:suff w:val="space"/>
      <w:lvlText w:val="%6,"/>
      <w:lvlJc w:val="left"/>
      <w:pPr>
        <w:ind w:left="0" w:firstLine="1440"/>
      </w:pPr>
      <w:rPr>
        <w:rFonts w:ascii="Times New Roman" w:hAnsi="Times New Roman" w:cs="Times New Roman" w:hint="default"/>
        <w:b w:val="0"/>
        <w:i/>
        <w:caps w:val="0"/>
        <w:strike w:val="0"/>
        <w:dstrike w:val="0"/>
        <w:vanish w:val="0"/>
        <w:color w:val="auto"/>
        <w:sz w:val="24"/>
        <w:u w:val="none"/>
        <w:vertAlign w:val="baseline"/>
      </w:rPr>
    </w:lvl>
    <w:lvl w:ilvl="6">
      <w:start w:val="1"/>
      <w:numFmt w:val="decimal"/>
      <w:pStyle w:val="Enumeration17"/>
      <w:lvlText w:val="%7."/>
      <w:lvlJc w:val="left"/>
      <w:pPr>
        <w:tabs>
          <w:tab w:val="num" w:pos="2160"/>
        </w:tabs>
        <w:ind w:left="0" w:firstLine="1440"/>
      </w:pPr>
      <w:rPr>
        <w:rFonts w:hint="default"/>
      </w:rPr>
    </w:lvl>
    <w:lvl w:ilvl="7">
      <w:start w:val="1"/>
      <w:numFmt w:val="decimal"/>
      <w:pStyle w:val="Enumeration18"/>
      <w:lvlText w:val="(%8)"/>
      <w:lvlJc w:val="left"/>
      <w:pPr>
        <w:tabs>
          <w:tab w:val="num" w:pos="720"/>
        </w:tabs>
        <w:ind w:left="720" w:hanging="720"/>
      </w:pPr>
      <w:rPr>
        <w:rFonts w:hint="default"/>
      </w:rPr>
    </w:lvl>
    <w:lvl w:ilvl="8">
      <w:start w:val="1"/>
      <w:numFmt w:val="lowerLetter"/>
      <w:pStyle w:val="Enumeration19"/>
      <w:lvlText w:val="(%9)"/>
      <w:lvlJc w:val="left"/>
      <w:pPr>
        <w:tabs>
          <w:tab w:val="num" w:pos="1440"/>
        </w:tabs>
        <w:ind w:left="1440" w:hanging="720"/>
      </w:pPr>
      <w:rPr>
        <w:rFonts w:hint="default"/>
      </w:rPr>
    </w:lvl>
  </w:abstractNum>
  <w:abstractNum w:abstractNumId="1">
    <w:nsid w:val="6C750792"/>
    <w:multiLevelType w:val="hybridMultilevel"/>
    <w:tmpl w:val="3EF48276"/>
    <w:lvl w:ilvl="0" w:tplc="FD764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Text" w:val="False"/>
    <w:docVar w:name="DocIDDraft" w:val="False"/>
    <w:docVar w:name="DocIDFileName" w:val="False"/>
    <w:docVar w:name="DocIDFooter" w:val="True"/>
    <w:docVar w:name="DocIDLibrary" w:val="True"/>
    <w:docVar w:name="DocIDLongDate"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TimeRemoved" w:val="True"/>
  </w:docVars>
  <w:rsids>
    <w:rsidRoot w:val="0086401A"/>
    <w:rsid w:val="0002317E"/>
    <w:rsid w:val="000252A2"/>
    <w:rsid w:val="00041CEF"/>
    <w:rsid w:val="00043B88"/>
    <w:rsid w:val="000473DC"/>
    <w:rsid w:val="00053124"/>
    <w:rsid w:val="00063829"/>
    <w:rsid w:val="0009076D"/>
    <w:rsid w:val="00091FE9"/>
    <w:rsid w:val="000949D5"/>
    <w:rsid w:val="000A40DC"/>
    <w:rsid w:val="000A4A03"/>
    <w:rsid w:val="000B5D4B"/>
    <w:rsid w:val="000B6CD3"/>
    <w:rsid w:val="000C0B07"/>
    <w:rsid w:val="000D4970"/>
    <w:rsid w:val="000E0276"/>
    <w:rsid w:val="000E52FF"/>
    <w:rsid w:val="00103B32"/>
    <w:rsid w:val="00106FE4"/>
    <w:rsid w:val="0010714C"/>
    <w:rsid w:val="00110533"/>
    <w:rsid w:val="00116BEF"/>
    <w:rsid w:val="00123303"/>
    <w:rsid w:val="00125581"/>
    <w:rsid w:val="0012756F"/>
    <w:rsid w:val="00127D54"/>
    <w:rsid w:val="0013454C"/>
    <w:rsid w:val="00146D04"/>
    <w:rsid w:val="001745AD"/>
    <w:rsid w:val="001763BB"/>
    <w:rsid w:val="00177522"/>
    <w:rsid w:val="00191E16"/>
    <w:rsid w:val="001952FF"/>
    <w:rsid w:val="001A37D5"/>
    <w:rsid w:val="001B266A"/>
    <w:rsid w:val="001C3701"/>
    <w:rsid w:val="001D21CE"/>
    <w:rsid w:val="001D226C"/>
    <w:rsid w:val="001E1C7A"/>
    <w:rsid w:val="001E30F2"/>
    <w:rsid w:val="001E5D4D"/>
    <w:rsid w:val="001F411A"/>
    <w:rsid w:val="0021026C"/>
    <w:rsid w:val="00213DDE"/>
    <w:rsid w:val="0021676F"/>
    <w:rsid w:val="00220E25"/>
    <w:rsid w:val="002215DD"/>
    <w:rsid w:val="00223D32"/>
    <w:rsid w:val="002319E3"/>
    <w:rsid w:val="00237867"/>
    <w:rsid w:val="00241447"/>
    <w:rsid w:val="00256404"/>
    <w:rsid w:val="00256732"/>
    <w:rsid w:val="00271957"/>
    <w:rsid w:val="002722E1"/>
    <w:rsid w:val="00292393"/>
    <w:rsid w:val="00293813"/>
    <w:rsid w:val="0029390B"/>
    <w:rsid w:val="00294EE4"/>
    <w:rsid w:val="002A7D8D"/>
    <w:rsid w:val="002B1225"/>
    <w:rsid w:val="002C7B7C"/>
    <w:rsid w:val="002E7FE3"/>
    <w:rsid w:val="002F22F0"/>
    <w:rsid w:val="002F310C"/>
    <w:rsid w:val="002F713E"/>
    <w:rsid w:val="0030591C"/>
    <w:rsid w:val="00321C11"/>
    <w:rsid w:val="003346D6"/>
    <w:rsid w:val="00336739"/>
    <w:rsid w:val="00341D81"/>
    <w:rsid w:val="00353FD5"/>
    <w:rsid w:val="003745A9"/>
    <w:rsid w:val="00377202"/>
    <w:rsid w:val="00385A87"/>
    <w:rsid w:val="003A14F1"/>
    <w:rsid w:val="003C1291"/>
    <w:rsid w:val="003C689F"/>
    <w:rsid w:val="003D7836"/>
    <w:rsid w:val="003D7D89"/>
    <w:rsid w:val="003E2223"/>
    <w:rsid w:val="003F2FE5"/>
    <w:rsid w:val="003F5462"/>
    <w:rsid w:val="00400D57"/>
    <w:rsid w:val="00404CC8"/>
    <w:rsid w:val="00410933"/>
    <w:rsid w:val="00410E51"/>
    <w:rsid w:val="00435A7B"/>
    <w:rsid w:val="00436AC6"/>
    <w:rsid w:val="00441AE3"/>
    <w:rsid w:val="0044665A"/>
    <w:rsid w:val="00453B74"/>
    <w:rsid w:val="004742CD"/>
    <w:rsid w:val="00475201"/>
    <w:rsid w:val="004951B9"/>
    <w:rsid w:val="00496099"/>
    <w:rsid w:val="0049643A"/>
    <w:rsid w:val="004C06B3"/>
    <w:rsid w:val="004D6567"/>
    <w:rsid w:val="004E1B71"/>
    <w:rsid w:val="004E29E4"/>
    <w:rsid w:val="004F0838"/>
    <w:rsid w:val="004F57C3"/>
    <w:rsid w:val="005054F2"/>
    <w:rsid w:val="005362A8"/>
    <w:rsid w:val="005365A8"/>
    <w:rsid w:val="00540657"/>
    <w:rsid w:val="0054298A"/>
    <w:rsid w:val="00544A5A"/>
    <w:rsid w:val="00555DF0"/>
    <w:rsid w:val="00565327"/>
    <w:rsid w:val="005723C4"/>
    <w:rsid w:val="005848F3"/>
    <w:rsid w:val="00587665"/>
    <w:rsid w:val="00595FF4"/>
    <w:rsid w:val="005A3C78"/>
    <w:rsid w:val="005B0CEE"/>
    <w:rsid w:val="005C419B"/>
    <w:rsid w:val="005D528C"/>
    <w:rsid w:val="005D6393"/>
    <w:rsid w:val="005E5384"/>
    <w:rsid w:val="005F7C8A"/>
    <w:rsid w:val="0061128B"/>
    <w:rsid w:val="0062049C"/>
    <w:rsid w:val="00621557"/>
    <w:rsid w:val="0064636C"/>
    <w:rsid w:val="00646F5D"/>
    <w:rsid w:val="00664487"/>
    <w:rsid w:val="00667675"/>
    <w:rsid w:val="00674CBD"/>
    <w:rsid w:val="0068353E"/>
    <w:rsid w:val="00685301"/>
    <w:rsid w:val="00692E02"/>
    <w:rsid w:val="00697E78"/>
    <w:rsid w:val="006A1A54"/>
    <w:rsid w:val="006A5EB2"/>
    <w:rsid w:val="006C5003"/>
    <w:rsid w:val="006D31ED"/>
    <w:rsid w:val="006E3D96"/>
    <w:rsid w:val="006E4907"/>
    <w:rsid w:val="006E524F"/>
    <w:rsid w:val="007062F6"/>
    <w:rsid w:val="00706436"/>
    <w:rsid w:val="00710908"/>
    <w:rsid w:val="00712299"/>
    <w:rsid w:val="00715531"/>
    <w:rsid w:val="007162D2"/>
    <w:rsid w:val="007473AA"/>
    <w:rsid w:val="007503DE"/>
    <w:rsid w:val="0075211E"/>
    <w:rsid w:val="00754E74"/>
    <w:rsid w:val="00757F03"/>
    <w:rsid w:val="00765763"/>
    <w:rsid w:val="007902C9"/>
    <w:rsid w:val="00792A4C"/>
    <w:rsid w:val="00797BA7"/>
    <w:rsid w:val="007B25A5"/>
    <w:rsid w:val="007C3D3C"/>
    <w:rsid w:val="007C5538"/>
    <w:rsid w:val="007D1B54"/>
    <w:rsid w:val="007E7D23"/>
    <w:rsid w:val="008136C8"/>
    <w:rsid w:val="00835152"/>
    <w:rsid w:val="00835926"/>
    <w:rsid w:val="00836334"/>
    <w:rsid w:val="00844F01"/>
    <w:rsid w:val="0086401A"/>
    <w:rsid w:val="00865D74"/>
    <w:rsid w:val="00866211"/>
    <w:rsid w:val="00874A15"/>
    <w:rsid w:val="008A19C7"/>
    <w:rsid w:val="008A42CD"/>
    <w:rsid w:val="008B01E5"/>
    <w:rsid w:val="008B5D7C"/>
    <w:rsid w:val="008D4D73"/>
    <w:rsid w:val="008D7119"/>
    <w:rsid w:val="008E16E2"/>
    <w:rsid w:val="008E3A95"/>
    <w:rsid w:val="008E7D87"/>
    <w:rsid w:val="008F7041"/>
    <w:rsid w:val="00910A87"/>
    <w:rsid w:val="009233EB"/>
    <w:rsid w:val="00934620"/>
    <w:rsid w:val="00941914"/>
    <w:rsid w:val="00942DC9"/>
    <w:rsid w:val="009475E5"/>
    <w:rsid w:val="009644BE"/>
    <w:rsid w:val="00966DBC"/>
    <w:rsid w:val="00976EE0"/>
    <w:rsid w:val="0097736A"/>
    <w:rsid w:val="00983F27"/>
    <w:rsid w:val="009A7C62"/>
    <w:rsid w:val="009C014E"/>
    <w:rsid w:val="009C3118"/>
    <w:rsid w:val="009F2CB3"/>
    <w:rsid w:val="009F34CB"/>
    <w:rsid w:val="00A322AF"/>
    <w:rsid w:val="00A33657"/>
    <w:rsid w:val="00A51E16"/>
    <w:rsid w:val="00A566BE"/>
    <w:rsid w:val="00A657ED"/>
    <w:rsid w:val="00A71271"/>
    <w:rsid w:val="00A77C67"/>
    <w:rsid w:val="00A87D5B"/>
    <w:rsid w:val="00A93299"/>
    <w:rsid w:val="00AA0409"/>
    <w:rsid w:val="00AA4F8A"/>
    <w:rsid w:val="00AC2B67"/>
    <w:rsid w:val="00AC428A"/>
    <w:rsid w:val="00AC69BF"/>
    <w:rsid w:val="00B00E5C"/>
    <w:rsid w:val="00B06A55"/>
    <w:rsid w:val="00B07319"/>
    <w:rsid w:val="00B1736E"/>
    <w:rsid w:val="00B25DBC"/>
    <w:rsid w:val="00B44697"/>
    <w:rsid w:val="00B74798"/>
    <w:rsid w:val="00B93112"/>
    <w:rsid w:val="00BC22B9"/>
    <w:rsid w:val="00BC3C4C"/>
    <w:rsid w:val="00BD1042"/>
    <w:rsid w:val="00BD370B"/>
    <w:rsid w:val="00BE2005"/>
    <w:rsid w:val="00BE5972"/>
    <w:rsid w:val="00BF0EB6"/>
    <w:rsid w:val="00BF61DA"/>
    <w:rsid w:val="00C04915"/>
    <w:rsid w:val="00C12A05"/>
    <w:rsid w:val="00C21BE7"/>
    <w:rsid w:val="00C23E7E"/>
    <w:rsid w:val="00C30A06"/>
    <w:rsid w:val="00C33F25"/>
    <w:rsid w:val="00C350DA"/>
    <w:rsid w:val="00C4384D"/>
    <w:rsid w:val="00C509B9"/>
    <w:rsid w:val="00C54410"/>
    <w:rsid w:val="00C6091C"/>
    <w:rsid w:val="00C6165E"/>
    <w:rsid w:val="00C6423D"/>
    <w:rsid w:val="00C84B80"/>
    <w:rsid w:val="00C9577C"/>
    <w:rsid w:val="00CA53E9"/>
    <w:rsid w:val="00CB071B"/>
    <w:rsid w:val="00CC0C41"/>
    <w:rsid w:val="00CC1CC9"/>
    <w:rsid w:val="00CD5601"/>
    <w:rsid w:val="00CF6D0C"/>
    <w:rsid w:val="00D00D2D"/>
    <w:rsid w:val="00D02EB7"/>
    <w:rsid w:val="00D036C4"/>
    <w:rsid w:val="00D14474"/>
    <w:rsid w:val="00D36724"/>
    <w:rsid w:val="00D37CD1"/>
    <w:rsid w:val="00D40383"/>
    <w:rsid w:val="00D41322"/>
    <w:rsid w:val="00D419A5"/>
    <w:rsid w:val="00D42094"/>
    <w:rsid w:val="00D502CB"/>
    <w:rsid w:val="00D55748"/>
    <w:rsid w:val="00D72B9B"/>
    <w:rsid w:val="00D77B21"/>
    <w:rsid w:val="00DA3063"/>
    <w:rsid w:val="00DC2E51"/>
    <w:rsid w:val="00DD5593"/>
    <w:rsid w:val="00DD6F5F"/>
    <w:rsid w:val="00E02A26"/>
    <w:rsid w:val="00E03652"/>
    <w:rsid w:val="00E04792"/>
    <w:rsid w:val="00E13CCC"/>
    <w:rsid w:val="00E160D1"/>
    <w:rsid w:val="00E31CB0"/>
    <w:rsid w:val="00E34A2D"/>
    <w:rsid w:val="00E47329"/>
    <w:rsid w:val="00E6059D"/>
    <w:rsid w:val="00E60B4D"/>
    <w:rsid w:val="00E67533"/>
    <w:rsid w:val="00E77FB2"/>
    <w:rsid w:val="00E86E7C"/>
    <w:rsid w:val="00EA1D4F"/>
    <w:rsid w:val="00EA7ABD"/>
    <w:rsid w:val="00EB2EC0"/>
    <w:rsid w:val="00EB64BE"/>
    <w:rsid w:val="00EC0987"/>
    <w:rsid w:val="00EC684B"/>
    <w:rsid w:val="00ED4949"/>
    <w:rsid w:val="00ED59BC"/>
    <w:rsid w:val="00ED5EDE"/>
    <w:rsid w:val="00ED5FF5"/>
    <w:rsid w:val="00ED6589"/>
    <w:rsid w:val="00EE3B6C"/>
    <w:rsid w:val="00EF45CA"/>
    <w:rsid w:val="00F33081"/>
    <w:rsid w:val="00F4351A"/>
    <w:rsid w:val="00F50038"/>
    <w:rsid w:val="00F576AF"/>
    <w:rsid w:val="00F613E1"/>
    <w:rsid w:val="00F76444"/>
    <w:rsid w:val="00F872E2"/>
    <w:rsid w:val="00FB4E2F"/>
    <w:rsid w:val="00FD276C"/>
    <w:rsid w:val="00FE44DD"/>
    <w:rsid w:val="00FF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F25"/>
  </w:style>
  <w:style w:type="paragraph" w:styleId="Heading2">
    <w:name w:val="heading 2"/>
    <w:aliases w:val="H2"/>
    <w:basedOn w:val="Normal"/>
    <w:next w:val="Normal"/>
    <w:link w:val="Heading2Char"/>
    <w:qFormat/>
    <w:rsid w:val="00ED6589"/>
    <w:pPr>
      <w:spacing w:before="240" w:after="0" w:line="240" w:lineRule="auto"/>
      <w:jc w:val="both"/>
      <w:outlineLvl w:val="1"/>
    </w:pPr>
    <w:rPr>
      <w:rFonts w:eastAsia="Times New Roman" w:cs="Times New Roman"/>
      <w:szCs w:val="20"/>
    </w:rPr>
  </w:style>
  <w:style w:type="paragraph" w:styleId="Heading3">
    <w:name w:val="heading 3"/>
    <w:aliases w:val="H3"/>
    <w:basedOn w:val="Normal"/>
    <w:next w:val="Normal"/>
    <w:link w:val="Heading3Char"/>
    <w:unhideWhenUsed/>
    <w:qFormat/>
    <w:rsid w:val="00ED65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40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01A"/>
    <w:rPr>
      <w:sz w:val="20"/>
      <w:szCs w:val="20"/>
    </w:rPr>
  </w:style>
  <w:style w:type="paragraph" w:customStyle="1" w:styleId="FootnoteContd">
    <w:name w:val="Footnote Cont'd"/>
    <w:aliases w:val="FC"/>
    <w:basedOn w:val="FootnoteText"/>
    <w:rsid w:val="0086401A"/>
    <w:pPr>
      <w:tabs>
        <w:tab w:val="left" w:pos="360"/>
      </w:tabs>
      <w:spacing w:before="120"/>
      <w:ind w:left="360" w:firstLine="360"/>
      <w:jc w:val="both"/>
    </w:pPr>
    <w:rPr>
      <w:rFonts w:eastAsia="Times New Roman" w:cs="Times New Roman"/>
      <w:sz w:val="22"/>
    </w:rPr>
  </w:style>
  <w:style w:type="character" w:styleId="FootnoteReference">
    <w:name w:val="footnote reference"/>
    <w:semiHidden/>
    <w:rsid w:val="0086401A"/>
    <w:rPr>
      <w:vertAlign w:val="superscript"/>
    </w:rPr>
  </w:style>
  <w:style w:type="paragraph" w:styleId="Header">
    <w:name w:val="header"/>
    <w:basedOn w:val="Normal"/>
    <w:link w:val="HeaderChar"/>
    <w:uiPriority w:val="99"/>
    <w:unhideWhenUsed/>
    <w:rsid w:val="0086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1A"/>
  </w:style>
  <w:style w:type="paragraph" w:styleId="Footer">
    <w:name w:val="footer"/>
    <w:basedOn w:val="Normal"/>
    <w:link w:val="FooterChar"/>
    <w:unhideWhenUsed/>
    <w:rsid w:val="0086401A"/>
    <w:pPr>
      <w:tabs>
        <w:tab w:val="center" w:pos="4680"/>
        <w:tab w:val="right" w:pos="9360"/>
      </w:tabs>
      <w:spacing w:after="0" w:line="240" w:lineRule="auto"/>
    </w:pPr>
  </w:style>
  <w:style w:type="character" w:customStyle="1" w:styleId="FooterChar">
    <w:name w:val="Footer Char"/>
    <w:basedOn w:val="DefaultParagraphFont"/>
    <w:link w:val="Footer"/>
    <w:rsid w:val="0086401A"/>
  </w:style>
  <w:style w:type="character" w:customStyle="1" w:styleId="DocID">
    <w:name w:val="DocID"/>
    <w:basedOn w:val="DefaultParagraphFont"/>
    <w:rsid w:val="0086401A"/>
    <w:rPr>
      <w:rFonts w:ascii="Times New Roman" w:hAnsi="Times New Roman" w:cs="Times New Roman"/>
      <w:b w:val="0"/>
      <w:i w:val="0"/>
      <w:color w:val="000000"/>
      <w:sz w:val="18"/>
      <w:u w:val="none"/>
    </w:rPr>
  </w:style>
  <w:style w:type="character" w:styleId="CommentReference">
    <w:name w:val="annotation reference"/>
    <w:basedOn w:val="DefaultParagraphFont"/>
    <w:uiPriority w:val="99"/>
    <w:semiHidden/>
    <w:unhideWhenUsed/>
    <w:rsid w:val="00765763"/>
    <w:rPr>
      <w:sz w:val="16"/>
      <w:szCs w:val="16"/>
    </w:rPr>
  </w:style>
  <w:style w:type="paragraph" w:styleId="CommentText">
    <w:name w:val="annotation text"/>
    <w:basedOn w:val="Normal"/>
    <w:link w:val="CommentTextChar"/>
    <w:uiPriority w:val="99"/>
    <w:semiHidden/>
    <w:unhideWhenUsed/>
    <w:rsid w:val="00765763"/>
    <w:pPr>
      <w:spacing w:line="240" w:lineRule="auto"/>
    </w:pPr>
    <w:rPr>
      <w:sz w:val="20"/>
      <w:szCs w:val="20"/>
    </w:rPr>
  </w:style>
  <w:style w:type="character" w:customStyle="1" w:styleId="CommentTextChar">
    <w:name w:val="Comment Text Char"/>
    <w:basedOn w:val="DefaultParagraphFont"/>
    <w:link w:val="CommentText"/>
    <w:uiPriority w:val="99"/>
    <w:semiHidden/>
    <w:rsid w:val="00765763"/>
    <w:rPr>
      <w:sz w:val="20"/>
      <w:szCs w:val="20"/>
    </w:rPr>
  </w:style>
  <w:style w:type="paragraph" w:styleId="CommentSubject">
    <w:name w:val="annotation subject"/>
    <w:basedOn w:val="CommentText"/>
    <w:next w:val="CommentText"/>
    <w:link w:val="CommentSubjectChar"/>
    <w:uiPriority w:val="99"/>
    <w:semiHidden/>
    <w:unhideWhenUsed/>
    <w:rsid w:val="00765763"/>
    <w:rPr>
      <w:b/>
      <w:bCs/>
    </w:rPr>
  </w:style>
  <w:style w:type="character" w:customStyle="1" w:styleId="CommentSubjectChar">
    <w:name w:val="Comment Subject Char"/>
    <w:basedOn w:val="CommentTextChar"/>
    <w:link w:val="CommentSubject"/>
    <w:uiPriority w:val="99"/>
    <w:semiHidden/>
    <w:rsid w:val="00765763"/>
    <w:rPr>
      <w:b/>
      <w:bCs/>
      <w:sz w:val="20"/>
      <w:szCs w:val="20"/>
    </w:rPr>
  </w:style>
  <w:style w:type="paragraph" w:styleId="Revision">
    <w:name w:val="Revision"/>
    <w:hidden/>
    <w:uiPriority w:val="99"/>
    <w:semiHidden/>
    <w:rsid w:val="00765763"/>
    <w:pPr>
      <w:spacing w:after="0" w:line="240" w:lineRule="auto"/>
    </w:pPr>
  </w:style>
  <w:style w:type="paragraph" w:styleId="BalloonText">
    <w:name w:val="Balloon Text"/>
    <w:basedOn w:val="Normal"/>
    <w:link w:val="BalloonTextChar"/>
    <w:uiPriority w:val="99"/>
    <w:semiHidden/>
    <w:unhideWhenUsed/>
    <w:rsid w:val="00765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763"/>
    <w:rPr>
      <w:rFonts w:ascii="Tahoma" w:hAnsi="Tahoma" w:cs="Tahoma"/>
      <w:sz w:val="16"/>
      <w:szCs w:val="16"/>
    </w:rPr>
  </w:style>
  <w:style w:type="paragraph" w:styleId="ListParagraph">
    <w:name w:val="List Paragraph"/>
    <w:basedOn w:val="Normal"/>
    <w:uiPriority w:val="34"/>
    <w:qFormat/>
    <w:rsid w:val="00865D74"/>
    <w:pPr>
      <w:ind w:left="720"/>
      <w:contextualSpacing/>
    </w:pPr>
  </w:style>
  <w:style w:type="character" w:customStyle="1" w:styleId="Heading2Char">
    <w:name w:val="Heading 2 Char"/>
    <w:aliases w:val="H2 Char"/>
    <w:basedOn w:val="DefaultParagraphFont"/>
    <w:link w:val="Heading2"/>
    <w:rsid w:val="00ED6589"/>
    <w:rPr>
      <w:rFonts w:eastAsia="Times New Roman" w:cs="Times New Roman"/>
      <w:szCs w:val="20"/>
    </w:rPr>
  </w:style>
  <w:style w:type="character" w:customStyle="1" w:styleId="Heading3Char">
    <w:name w:val="Heading 3 Char"/>
    <w:aliases w:val="H3 Char"/>
    <w:basedOn w:val="DefaultParagraphFont"/>
    <w:link w:val="Heading3"/>
    <w:rsid w:val="00ED658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53B74"/>
    <w:rPr>
      <w:color w:val="0000FF" w:themeColor="hyperlink"/>
      <w:u w:val="single"/>
    </w:rPr>
  </w:style>
  <w:style w:type="paragraph" w:customStyle="1" w:styleId="Enumeration19">
    <w:name w:val="Enumeration_1_9"/>
    <w:basedOn w:val="Normal"/>
    <w:rsid w:val="004D6567"/>
    <w:pPr>
      <w:numPr>
        <w:ilvl w:val="8"/>
        <w:numId w:val="2"/>
      </w:numPr>
      <w:spacing w:before="240" w:after="0" w:line="240" w:lineRule="auto"/>
      <w:jc w:val="both"/>
    </w:pPr>
    <w:rPr>
      <w:rFonts w:eastAsia="Times New Roman" w:cs="Times New Roman"/>
      <w:szCs w:val="20"/>
      <w:lang w:val="en-GB"/>
    </w:rPr>
  </w:style>
  <w:style w:type="paragraph" w:customStyle="1" w:styleId="Enumeration18">
    <w:name w:val="Enumeration_1_8"/>
    <w:basedOn w:val="Normal"/>
    <w:rsid w:val="004D6567"/>
    <w:pPr>
      <w:numPr>
        <w:ilvl w:val="7"/>
        <w:numId w:val="2"/>
      </w:numPr>
      <w:spacing w:before="240" w:after="0" w:line="240" w:lineRule="auto"/>
      <w:jc w:val="both"/>
    </w:pPr>
    <w:rPr>
      <w:rFonts w:eastAsia="Times New Roman" w:cs="Times New Roman"/>
      <w:szCs w:val="20"/>
      <w:lang w:val="en-GB"/>
    </w:rPr>
  </w:style>
  <w:style w:type="paragraph" w:customStyle="1" w:styleId="Enumeration17">
    <w:name w:val="Enumeration_1_7"/>
    <w:basedOn w:val="Normal"/>
    <w:rsid w:val="004D6567"/>
    <w:pPr>
      <w:numPr>
        <w:ilvl w:val="6"/>
        <w:numId w:val="2"/>
      </w:numPr>
      <w:spacing w:before="240" w:after="0" w:line="240" w:lineRule="auto"/>
      <w:jc w:val="both"/>
    </w:pPr>
    <w:rPr>
      <w:rFonts w:eastAsia="Times New Roman" w:cs="Times New Roman"/>
      <w:szCs w:val="20"/>
      <w:lang w:val="en-GB"/>
    </w:rPr>
  </w:style>
  <w:style w:type="paragraph" w:customStyle="1" w:styleId="Enumeration16">
    <w:name w:val="Enumeration_1_6"/>
    <w:basedOn w:val="Normal"/>
    <w:rsid w:val="004D6567"/>
    <w:pPr>
      <w:numPr>
        <w:ilvl w:val="5"/>
        <w:numId w:val="2"/>
      </w:numPr>
      <w:spacing w:before="240" w:after="0" w:line="240" w:lineRule="auto"/>
      <w:jc w:val="both"/>
    </w:pPr>
    <w:rPr>
      <w:rFonts w:eastAsia="Times New Roman" w:cs="Times New Roman"/>
      <w:szCs w:val="20"/>
      <w:lang w:val="en-GB"/>
    </w:rPr>
  </w:style>
  <w:style w:type="paragraph" w:customStyle="1" w:styleId="Enumeration15">
    <w:name w:val="Enumeration_1_5"/>
    <w:basedOn w:val="Normal"/>
    <w:rsid w:val="004D6567"/>
    <w:pPr>
      <w:numPr>
        <w:ilvl w:val="4"/>
        <w:numId w:val="2"/>
      </w:numPr>
      <w:spacing w:before="240" w:after="0" w:line="240" w:lineRule="auto"/>
      <w:jc w:val="both"/>
    </w:pPr>
    <w:rPr>
      <w:rFonts w:eastAsia="Times New Roman" w:cs="Times New Roman"/>
      <w:szCs w:val="20"/>
      <w:lang w:val="en-GB"/>
    </w:rPr>
  </w:style>
  <w:style w:type="paragraph" w:customStyle="1" w:styleId="Enumeration14">
    <w:name w:val="Enumeration_1_4"/>
    <w:basedOn w:val="Normal"/>
    <w:rsid w:val="004D6567"/>
    <w:pPr>
      <w:numPr>
        <w:ilvl w:val="3"/>
        <w:numId w:val="2"/>
      </w:numPr>
      <w:spacing w:before="240" w:after="0" w:line="240" w:lineRule="auto"/>
      <w:jc w:val="both"/>
    </w:pPr>
    <w:rPr>
      <w:rFonts w:eastAsia="Times New Roman" w:cs="Times New Roman"/>
      <w:sz w:val="20"/>
      <w:szCs w:val="20"/>
      <w:lang w:val="en-GB"/>
    </w:rPr>
  </w:style>
  <w:style w:type="paragraph" w:customStyle="1" w:styleId="Enumeration13">
    <w:name w:val="Enumeration_1_3"/>
    <w:basedOn w:val="Normal"/>
    <w:link w:val="Enumeration13Char"/>
    <w:rsid w:val="004D6567"/>
    <w:pPr>
      <w:numPr>
        <w:ilvl w:val="2"/>
        <w:numId w:val="2"/>
      </w:numPr>
      <w:spacing w:before="240" w:after="0" w:line="240" w:lineRule="auto"/>
      <w:jc w:val="both"/>
    </w:pPr>
    <w:rPr>
      <w:rFonts w:eastAsia="Times New Roman" w:cs="Times New Roman"/>
      <w:sz w:val="20"/>
      <w:szCs w:val="20"/>
      <w:lang w:val="en-GB"/>
    </w:rPr>
  </w:style>
  <w:style w:type="character" w:customStyle="1" w:styleId="Enumeration13Char">
    <w:name w:val="Enumeration_1_3 Char"/>
    <w:link w:val="Enumeration13"/>
    <w:rsid w:val="004D6567"/>
    <w:rPr>
      <w:rFonts w:eastAsia="Times New Roman" w:cs="Times New Roman"/>
      <w:sz w:val="20"/>
      <w:szCs w:val="20"/>
      <w:lang w:val="en-GB"/>
    </w:rPr>
  </w:style>
  <w:style w:type="paragraph" w:customStyle="1" w:styleId="Enumeration12">
    <w:name w:val="Enumeration_1_2"/>
    <w:basedOn w:val="Normal"/>
    <w:rsid w:val="004D6567"/>
    <w:pPr>
      <w:keepNext/>
      <w:numPr>
        <w:ilvl w:val="1"/>
        <w:numId w:val="2"/>
      </w:numPr>
      <w:spacing w:before="240" w:after="0" w:line="240" w:lineRule="auto"/>
      <w:jc w:val="both"/>
    </w:pPr>
    <w:rPr>
      <w:rFonts w:eastAsia="Times New Roman" w:cs="Times New Roman"/>
      <w:i/>
      <w:sz w:val="20"/>
      <w:szCs w:val="20"/>
      <w:lang w:val="en-GB"/>
    </w:rPr>
  </w:style>
  <w:style w:type="paragraph" w:customStyle="1" w:styleId="Enumeration11">
    <w:name w:val="Enumeration_1_1"/>
    <w:basedOn w:val="Normal"/>
    <w:rsid w:val="004D6567"/>
    <w:pPr>
      <w:numPr>
        <w:numId w:val="2"/>
      </w:numPr>
      <w:spacing w:before="200" w:after="0" w:line="240" w:lineRule="auto"/>
      <w:jc w:val="both"/>
    </w:pPr>
    <w:rPr>
      <w:rFonts w:eastAsia="Times New Roman" w:cs="Times New Roman"/>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F25"/>
  </w:style>
  <w:style w:type="paragraph" w:styleId="Heading2">
    <w:name w:val="heading 2"/>
    <w:aliases w:val="H2"/>
    <w:basedOn w:val="Normal"/>
    <w:next w:val="Normal"/>
    <w:link w:val="Heading2Char"/>
    <w:qFormat/>
    <w:rsid w:val="00ED6589"/>
    <w:pPr>
      <w:spacing w:before="240" w:after="0" w:line="240" w:lineRule="auto"/>
      <w:jc w:val="both"/>
      <w:outlineLvl w:val="1"/>
    </w:pPr>
    <w:rPr>
      <w:rFonts w:eastAsia="Times New Roman" w:cs="Times New Roman"/>
      <w:szCs w:val="20"/>
    </w:rPr>
  </w:style>
  <w:style w:type="paragraph" w:styleId="Heading3">
    <w:name w:val="heading 3"/>
    <w:aliases w:val="H3"/>
    <w:basedOn w:val="Normal"/>
    <w:next w:val="Normal"/>
    <w:link w:val="Heading3Char"/>
    <w:unhideWhenUsed/>
    <w:qFormat/>
    <w:rsid w:val="00ED65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40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01A"/>
    <w:rPr>
      <w:sz w:val="20"/>
      <w:szCs w:val="20"/>
    </w:rPr>
  </w:style>
  <w:style w:type="paragraph" w:customStyle="1" w:styleId="FootnoteContd">
    <w:name w:val="Footnote Cont'd"/>
    <w:aliases w:val="FC"/>
    <w:basedOn w:val="FootnoteText"/>
    <w:rsid w:val="0086401A"/>
    <w:pPr>
      <w:tabs>
        <w:tab w:val="left" w:pos="360"/>
      </w:tabs>
      <w:spacing w:before="120"/>
      <w:ind w:left="360" w:firstLine="360"/>
      <w:jc w:val="both"/>
    </w:pPr>
    <w:rPr>
      <w:rFonts w:eastAsia="Times New Roman" w:cs="Times New Roman"/>
      <w:sz w:val="22"/>
    </w:rPr>
  </w:style>
  <w:style w:type="character" w:styleId="FootnoteReference">
    <w:name w:val="footnote reference"/>
    <w:semiHidden/>
    <w:rsid w:val="0086401A"/>
    <w:rPr>
      <w:vertAlign w:val="superscript"/>
    </w:rPr>
  </w:style>
  <w:style w:type="paragraph" w:styleId="Header">
    <w:name w:val="header"/>
    <w:basedOn w:val="Normal"/>
    <w:link w:val="HeaderChar"/>
    <w:uiPriority w:val="99"/>
    <w:unhideWhenUsed/>
    <w:rsid w:val="0086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1A"/>
  </w:style>
  <w:style w:type="paragraph" w:styleId="Footer">
    <w:name w:val="footer"/>
    <w:basedOn w:val="Normal"/>
    <w:link w:val="FooterChar"/>
    <w:unhideWhenUsed/>
    <w:rsid w:val="0086401A"/>
    <w:pPr>
      <w:tabs>
        <w:tab w:val="center" w:pos="4680"/>
        <w:tab w:val="right" w:pos="9360"/>
      </w:tabs>
      <w:spacing w:after="0" w:line="240" w:lineRule="auto"/>
    </w:pPr>
  </w:style>
  <w:style w:type="character" w:customStyle="1" w:styleId="FooterChar">
    <w:name w:val="Footer Char"/>
    <w:basedOn w:val="DefaultParagraphFont"/>
    <w:link w:val="Footer"/>
    <w:rsid w:val="0086401A"/>
  </w:style>
  <w:style w:type="character" w:customStyle="1" w:styleId="DocID">
    <w:name w:val="DocID"/>
    <w:basedOn w:val="DefaultParagraphFont"/>
    <w:rsid w:val="0086401A"/>
    <w:rPr>
      <w:rFonts w:ascii="Times New Roman" w:hAnsi="Times New Roman" w:cs="Times New Roman"/>
      <w:b w:val="0"/>
      <w:i w:val="0"/>
      <w:color w:val="000000"/>
      <w:sz w:val="18"/>
      <w:u w:val="none"/>
    </w:rPr>
  </w:style>
  <w:style w:type="character" w:styleId="CommentReference">
    <w:name w:val="annotation reference"/>
    <w:basedOn w:val="DefaultParagraphFont"/>
    <w:uiPriority w:val="99"/>
    <w:semiHidden/>
    <w:unhideWhenUsed/>
    <w:rsid w:val="00765763"/>
    <w:rPr>
      <w:sz w:val="16"/>
      <w:szCs w:val="16"/>
    </w:rPr>
  </w:style>
  <w:style w:type="paragraph" w:styleId="CommentText">
    <w:name w:val="annotation text"/>
    <w:basedOn w:val="Normal"/>
    <w:link w:val="CommentTextChar"/>
    <w:uiPriority w:val="99"/>
    <w:semiHidden/>
    <w:unhideWhenUsed/>
    <w:rsid w:val="00765763"/>
    <w:pPr>
      <w:spacing w:line="240" w:lineRule="auto"/>
    </w:pPr>
    <w:rPr>
      <w:sz w:val="20"/>
      <w:szCs w:val="20"/>
    </w:rPr>
  </w:style>
  <w:style w:type="character" w:customStyle="1" w:styleId="CommentTextChar">
    <w:name w:val="Comment Text Char"/>
    <w:basedOn w:val="DefaultParagraphFont"/>
    <w:link w:val="CommentText"/>
    <w:uiPriority w:val="99"/>
    <w:semiHidden/>
    <w:rsid w:val="00765763"/>
    <w:rPr>
      <w:sz w:val="20"/>
      <w:szCs w:val="20"/>
    </w:rPr>
  </w:style>
  <w:style w:type="paragraph" w:styleId="CommentSubject">
    <w:name w:val="annotation subject"/>
    <w:basedOn w:val="CommentText"/>
    <w:next w:val="CommentText"/>
    <w:link w:val="CommentSubjectChar"/>
    <w:uiPriority w:val="99"/>
    <w:semiHidden/>
    <w:unhideWhenUsed/>
    <w:rsid w:val="00765763"/>
    <w:rPr>
      <w:b/>
      <w:bCs/>
    </w:rPr>
  </w:style>
  <w:style w:type="character" w:customStyle="1" w:styleId="CommentSubjectChar">
    <w:name w:val="Comment Subject Char"/>
    <w:basedOn w:val="CommentTextChar"/>
    <w:link w:val="CommentSubject"/>
    <w:uiPriority w:val="99"/>
    <w:semiHidden/>
    <w:rsid w:val="00765763"/>
    <w:rPr>
      <w:b/>
      <w:bCs/>
      <w:sz w:val="20"/>
      <w:szCs w:val="20"/>
    </w:rPr>
  </w:style>
  <w:style w:type="paragraph" w:styleId="Revision">
    <w:name w:val="Revision"/>
    <w:hidden/>
    <w:uiPriority w:val="99"/>
    <w:semiHidden/>
    <w:rsid w:val="00765763"/>
    <w:pPr>
      <w:spacing w:after="0" w:line="240" w:lineRule="auto"/>
    </w:pPr>
  </w:style>
  <w:style w:type="paragraph" w:styleId="BalloonText">
    <w:name w:val="Balloon Text"/>
    <w:basedOn w:val="Normal"/>
    <w:link w:val="BalloonTextChar"/>
    <w:uiPriority w:val="99"/>
    <w:semiHidden/>
    <w:unhideWhenUsed/>
    <w:rsid w:val="00765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763"/>
    <w:rPr>
      <w:rFonts w:ascii="Tahoma" w:hAnsi="Tahoma" w:cs="Tahoma"/>
      <w:sz w:val="16"/>
      <w:szCs w:val="16"/>
    </w:rPr>
  </w:style>
  <w:style w:type="paragraph" w:styleId="ListParagraph">
    <w:name w:val="List Paragraph"/>
    <w:basedOn w:val="Normal"/>
    <w:uiPriority w:val="34"/>
    <w:qFormat/>
    <w:rsid w:val="00865D74"/>
    <w:pPr>
      <w:ind w:left="720"/>
      <w:contextualSpacing/>
    </w:pPr>
  </w:style>
  <w:style w:type="character" w:customStyle="1" w:styleId="Heading2Char">
    <w:name w:val="Heading 2 Char"/>
    <w:aliases w:val="H2 Char"/>
    <w:basedOn w:val="DefaultParagraphFont"/>
    <w:link w:val="Heading2"/>
    <w:rsid w:val="00ED6589"/>
    <w:rPr>
      <w:rFonts w:eastAsia="Times New Roman" w:cs="Times New Roman"/>
      <w:szCs w:val="20"/>
    </w:rPr>
  </w:style>
  <w:style w:type="character" w:customStyle="1" w:styleId="Heading3Char">
    <w:name w:val="Heading 3 Char"/>
    <w:aliases w:val="H3 Char"/>
    <w:basedOn w:val="DefaultParagraphFont"/>
    <w:link w:val="Heading3"/>
    <w:rsid w:val="00ED658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53B74"/>
    <w:rPr>
      <w:color w:val="0000FF" w:themeColor="hyperlink"/>
      <w:u w:val="single"/>
    </w:rPr>
  </w:style>
  <w:style w:type="paragraph" w:customStyle="1" w:styleId="Enumeration19">
    <w:name w:val="Enumeration_1_9"/>
    <w:basedOn w:val="Normal"/>
    <w:rsid w:val="004D6567"/>
    <w:pPr>
      <w:numPr>
        <w:ilvl w:val="8"/>
        <w:numId w:val="2"/>
      </w:numPr>
      <w:spacing w:before="240" w:after="0" w:line="240" w:lineRule="auto"/>
      <w:jc w:val="both"/>
    </w:pPr>
    <w:rPr>
      <w:rFonts w:eastAsia="Times New Roman" w:cs="Times New Roman"/>
      <w:szCs w:val="20"/>
      <w:lang w:val="en-GB"/>
    </w:rPr>
  </w:style>
  <w:style w:type="paragraph" w:customStyle="1" w:styleId="Enumeration18">
    <w:name w:val="Enumeration_1_8"/>
    <w:basedOn w:val="Normal"/>
    <w:rsid w:val="004D6567"/>
    <w:pPr>
      <w:numPr>
        <w:ilvl w:val="7"/>
        <w:numId w:val="2"/>
      </w:numPr>
      <w:spacing w:before="240" w:after="0" w:line="240" w:lineRule="auto"/>
      <w:jc w:val="both"/>
    </w:pPr>
    <w:rPr>
      <w:rFonts w:eastAsia="Times New Roman" w:cs="Times New Roman"/>
      <w:szCs w:val="20"/>
      <w:lang w:val="en-GB"/>
    </w:rPr>
  </w:style>
  <w:style w:type="paragraph" w:customStyle="1" w:styleId="Enumeration17">
    <w:name w:val="Enumeration_1_7"/>
    <w:basedOn w:val="Normal"/>
    <w:rsid w:val="004D6567"/>
    <w:pPr>
      <w:numPr>
        <w:ilvl w:val="6"/>
        <w:numId w:val="2"/>
      </w:numPr>
      <w:spacing w:before="240" w:after="0" w:line="240" w:lineRule="auto"/>
      <w:jc w:val="both"/>
    </w:pPr>
    <w:rPr>
      <w:rFonts w:eastAsia="Times New Roman" w:cs="Times New Roman"/>
      <w:szCs w:val="20"/>
      <w:lang w:val="en-GB"/>
    </w:rPr>
  </w:style>
  <w:style w:type="paragraph" w:customStyle="1" w:styleId="Enumeration16">
    <w:name w:val="Enumeration_1_6"/>
    <w:basedOn w:val="Normal"/>
    <w:rsid w:val="004D6567"/>
    <w:pPr>
      <w:numPr>
        <w:ilvl w:val="5"/>
        <w:numId w:val="2"/>
      </w:numPr>
      <w:spacing w:before="240" w:after="0" w:line="240" w:lineRule="auto"/>
      <w:jc w:val="both"/>
    </w:pPr>
    <w:rPr>
      <w:rFonts w:eastAsia="Times New Roman" w:cs="Times New Roman"/>
      <w:szCs w:val="20"/>
      <w:lang w:val="en-GB"/>
    </w:rPr>
  </w:style>
  <w:style w:type="paragraph" w:customStyle="1" w:styleId="Enumeration15">
    <w:name w:val="Enumeration_1_5"/>
    <w:basedOn w:val="Normal"/>
    <w:rsid w:val="004D6567"/>
    <w:pPr>
      <w:numPr>
        <w:ilvl w:val="4"/>
        <w:numId w:val="2"/>
      </w:numPr>
      <w:spacing w:before="240" w:after="0" w:line="240" w:lineRule="auto"/>
      <w:jc w:val="both"/>
    </w:pPr>
    <w:rPr>
      <w:rFonts w:eastAsia="Times New Roman" w:cs="Times New Roman"/>
      <w:szCs w:val="20"/>
      <w:lang w:val="en-GB"/>
    </w:rPr>
  </w:style>
  <w:style w:type="paragraph" w:customStyle="1" w:styleId="Enumeration14">
    <w:name w:val="Enumeration_1_4"/>
    <w:basedOn w:val="Normal"/>
    <w:rsid w:val="004D6567"/>
    <w:pPr>
      <w:numPr>
        <w:ilvl w:val="3"/>
        <w:numId w:val="2"/>
      </w:numPr>
      <w:spacing w:before="240" w:after="0" w:line="240" w:lineRule="auto"/>
      <w:jc w:val="both"/>
    </w:pPr>
    <w:rPr>
      <w:rFonts w:eastAsia="Times New Roman" w:cs="Times New Roman"/>
      <w:sz w:val="20"/>
      <w:szCs w:val="20"/>
      <w:lang w:val="en-GB"/>
    </w:rPr>
  </w:style>
  <w:style w:type="paragraph" w:customStyle="1" w:styleId="Enumeration13">
    <w:name w:val="Enumeration_1_3"/>
    <w:basedOn w:val="Normal"/>
    <w:link w:val="Enumeration13Char"/>
    <w:rsid w:val="004D6567"/>
    <w:pPr>
      <w:numPr>
        <w:ilvl w:val="2"/>
        <w:numId w:val="2"/>
      </w:numPr>
      <w:spacing w:before="240" w:after="0" w:line="240" w:lineRule="auto"/>
      <w:jc w:val="both"/>
    </w:pPr>
    <w:rPr>
      <w:rFonts w:eastAsia="Times New Roman" w:cs="Times New Roman"/>
      <w:sz w:val="20"/>
      <w:szCs w:val="20"/>
      <w:lang w:val="en-GB"/>
    </w:rPr>
  </w:style>
  <w:style w:type="character" w:customStyle="1" w:styleId="Enumeration13Char">
    <w:name w:val="Enumeration_1_3 Char"/>
    <w:link w:val="Enumeration13"/>
    <w:rsid w:val="004D6567"/>
    <w:rPr>
      <w:rFonts w:eastAsia="Times New Roman" w:cs="Times New Roman"/>
      <w:sz w:val="20"/>
      <w:szCs w:val="20"/>
      <w:lang w:val="en-GB"/>
    </w:rPr>
  </w:style>
  <w:style w:type="paragraph" w:customStyle="1" w:styleId="Enumeration12">
    <w:name w:val="Enumeration_1_2"/>
    <w:basedOn w:val="Normal"/>
    <w:rsid w:val="004D6567"/>
    <w:pPr>
      <w:keepNext/>
      <w:numPr>
        <w:ilvl w:val="1"/>
        <w:numId w:val="2"/>
      </w:numPr>
      <w:spacing w:before="240" w:after="0" w:line="240" w:lineRule="auto"/>
      <w:jc w:val="both"/>
    </w:pPr>
    <w:rPr>
      <w:rFonts w:eastAsia="Times New Roman" w:cs="Times New Roman"/>
      <w:i/>
      <w:sz w:val="20"/>
      <w:szCs w:val="20"/>
      <w:lang w:val="en-GB"/>
    </w:rPr>
  </w:style>
  <w:style w:type="paragraph" w:customStyle="1" w:styleId="Enumeration11">
    <w:name w:val="Enumeration_1_1"/>
    <w:basedOn w:val="Normal"/>
    <w:rsid w:val="004D6567"/>
    <w:pPr>
      <w:numPr>
        <w:numId w:val="2"/>
      </w:numPr>
      <w:spacing w:before="200" w:after="0" w:line="240" w:lineRule="auto"/>
      <w:jc w:val="both"/>
    </w:pPr>
    <w:rPr>
      <w:rFonts w:eastAsia="Times New Roman"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F74A-6CC8-4228-95B0-A6E6B683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8276</Characters>
  <Application>Microsoft Office Word</Application>
  <DocSecurity>0</DocSecurity>
  <Lines>140</Lines>
  <Paragraphs>41</Paragraphs>
  <ScaleCrop>false</ScaleCrop>
  <HeadingPairs>
    <vt:vector size="2" baseType="variant">
      <vt:variant>
        <vt:lpstr>Title</vt:lpstr>
      </vt:variant>
      <vt:variant>
        <vt:i4>1</vt:i4>
      </vt:variant>
    </vt:vector>
  </HeadingPairs>
  <TitlesOfParts>
    <vt:vector size="1" baseType="lpstr">
      <vt:lpstr/>
    </vt:vector>
  </TitlesOfParts>
  <Company>Cadwalader, Wickersham &amp; Taft LLP</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 Jeffrey</dc:creator>
  <cp:lastModifiedBy>npatel</cp:lastModifiedBy>
  <cp:revision>2</cp:revision>
  <cp:lastPrinted>2013-02-11T22:23:00Z</cp:lastPrinted>
  <dcterms:created xsi:type="dcterms:W3CDTF">2013-02-22T19:42:00Z</dcterms:created>
  <dcterms:modified xsi:type="dcterms:W3CDTF">2013-02-22T19:42:00Z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USActive 27336553.9</vt:lpwstr>
  </property>
</Properties>
</file>