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750" w:type="pct"/>
        <w:tblCellSpacing w:w="0" w:type="dxa"/>
        <w:tblCellMar>
          <w:left w:w="0" w:type="dxa"/>
          <w:right w:w="0" w:type="dxa"/>
        </w:tblCellMar>
        <w:tblLook w:val="04A0" w:firstRow="1" w:lastRow="0" w:firstColumn="1" w:lastColumn="0" w:noHBand="0" w:noVBand="1"/>
      </w:tblPr>
      <w:tblGrid>
        <w:gridCol w:w="7020"/>
      </w:tblGrid>
      <w:tr w:rsidR="00924EF5" w:rsidRPr="00924EF5" w:rsidTr="00924EF5">
        <w:trPr>
          <w:tblCellSpacing w:w="0" w:type="dxa"/>
        </w:trPr>
        <w:tc>
          <w:tcPr>
            <w:tcW w:w="0" w:type="auto"/>
            <w:vAlign w:val="center"/>
            <w:hideMark/>
          </w:tcPr>
          <w:p w:rsidR="00924EF5" w:rsidRPr="00924EF5" w:rsidRDefault="00924EF5" w:rsidP="00924EF5">
            <w:pPr>
              <w:spacing w:line="240" w:lineRule="auto"/>
              <w:ind w:firstLine="0"/>
              <w:rPr>
                <w:rFonts w:ascii="Arial" w:eastAsia="Times New Roman" w:hAnsi="Arial" w:cs="Arial"/>
                <w:sz w:val="18"/>
                <w:szCs w:val="18"/>
              </w:rPr>
            </w:pPr>
          </w:p>
        </w:tc>
      </w:tr>
    </w:tbl>
    <w:p w:rsidR="00924EF5" w:rsidRPr="00924EF5" w:rsidRDefault="00924EF5" w:rsidP="00924EF5">
      <w:pPr>
        <w:spacing w:line="240" w:lineRule="auto"/>
        <w:ind w:firstLine="0"/>
        <w:rPr>
          <w:rFonts w:eastAsia="Times New Roman" w:cs="Times New Roman"/>
          <w:vanish/>
        </w:rPr>
      </w:pPr>
    </w:p>
    <w:tbl>
      <w:tblPr>
        <w:tblW w:w="3750" w:type="pct"/>
        <w:tblCellSpacing w:w="0" w:type="dxa"/>
        <w:tblCellMar>
          <w:left w:w="0" w:type="dxa"/>
          <w:right w:w="0" w:type="dxa"/>
        </w:tblCellMar>
        <w:tblLook w:val="04A0" w:firstRow="1" w:lastRow="0" w:firstColumn="1" w:lastColumn="0" w:noHBand="0" w:noVBand="1"/>
      </w:tblPr>
      <w:tblGrid>
        <w:gridCol w:w="7020"/>
      </w:tblGrid>
      <w:tr w:rsidR="00924EF5" w:rsidRPr="00924EF5" w:rsidTr="00924EF5">
        <w:trPr>
          <w:tblCellSpacing w:w="0" w:type="dxa"/>
        </w:trPr>
        <w:tc>
          <w:tcPr>
            <w:tcW w:w="0" w:type="auto"/>
            <w:vAlign w:val="center"/>
            <w:hideMark/>
          </w:tcPr>
          <w:p w:rsidR="00924EF5" w:rsidRPr="00924EF5" w:rsidRDefault="00924EF5" w:rsidP="00924EF5">
            <w:pPr>
              <w:spacing w:before="100" w:beforeAutospacing="1" w:after="100" w:afterAutospacing="1" w:line="240" w:lineRule="auto"/>
              <w:ind w:firstLine="0"/>
              <w:jc w:val="both"/>
              <w:rPr>
                <w:rFonts w:ascii="Arial" w:eastAsia="Times New Roman" w:hAnsi="Arial" w:cs="Arial"/>
                <w:sz w:val="20"/>
                <w:szCs w:val="20"/>
              </w:rPr>
            </w:pPr>
            <w:r w:rsidRPr="00924EF5">
              <w:rPr>
                <w:rFonts w:ascii="Arial" w:eastAsia="Times New Roman" w:hAnsi="Arial" w:cs="Arial"/>
                <w:b/>
                <w:bCs/>
                <w:sz w:val="20"/>
                <w:szCs w:val="20"/>
              </w:rPr>
              <w:t>PROTOCOL DRAWS PRAISE FROM INDUSTRY, PRESS</w:t>
            </w:r>
          </w:p>
          <w:p w:rsidR="00924EF5" w:rsidRPr="00924EF5" w:rsidRDefault="00924EF5" w:rsidP="00924EF5">
            <w:pPr>
              <w:spacing w:beforeAutospacing="1" w:after="100" w:afterAutospacing="1" w:line="240" w:lineRule="auto"/>
              <w:ind w:firstLine="0"/>
              <w:jc w:val="both"/>
              <w:rPr>
                <w:rFonts w:ascii="Arial" w:eastAsia="Times New Roman" w:hAnsi="Arial" w:cs="Arial"/>
                <w:sz w:val="20"/>
                <w:szCs w:val="20"/>
              </w:rPr>
            </w:pPr>
            <w:r w:rsidRPr="00924EF5">
              <w:rPr>
                <w:rFonts w:ascii="Arial" w:eastAsia="Times New Roman" w:hAnsi="Arial" w:cs="Arial"/>
                <w:sz w:val="20"/>
                <w:szCs w:val="20"/>
              </w:rPr>
              <w:t>"Many trade associations sponsor master agreements. ISDA is the first to sponsor a process to facilitate the negotiation and execution of documentation."</w:t>
            </w:r>
            <w:r w:rsidRPr="00924EF5">
              <w:rPr>
                <w:rFonts w:ascii="Arial" w:eastAsia="Times New Roman" w:hAnsi="Arial" w:cs="Arial"/>
                <w:sz w:val="20"/>
                <w:szCs w:val="20"/>
              </w:rPr>
              <w:br/>
              <w:t>-- Stephen Greene, Global General Counsel and Managing Director, Credit Suisse First Boston.</w:t>
            </w:r>
          </w:p>
          <w:p w:rsidR="00924EF5" w:rsidRPr="00924EF5" w:rsidRDefault="00924EF5" w:rsidP="00924EF5">
            <w:pPr>
              <w:spacing w:before="100" w:beforeAutospacing="1" w:after="100" w:afterAutospacing="1" w:line="240" w:lineRule="auto"/>
              <w:ind w:firstLine="0"/>
              <w:jc w:val="both"/>
              <w:rPr>
                <w:rFonts w:ascii="Arial" w:eastAsia="Times New Roman" w:hAnsi="Arial" w:cs="Arial"/>
                <w:sz w:val="20"/>
                <w:szCs w:val="20"/>
              </w:rPr>
            </w:pPr>
            <w:r w:rsidRPr="00924EF5">
              <w:rPr>
                <w:rFonts w:ascii="Arial" w:eastAsia="Times New Roman" w:hAnsi="Arial" w:cs="Arial"/>
                <w:sz w:val="20"/>
                <w:szCs w:val="20"/>
              </w:rPr>
              <w:t>"The EMU Protocol reflects a major step towards legal and contractual security. It is an effective tool for every market participant trying to master ambiguous questions in connection with the emerging EMU."</w:t>
            </w:r>
            <w:r w:rsidRPr="00924EF5">
              <w:rPr>
                <w:rFonts w:ascii="Arial" w:eastAsia="Times New Roman" w:hAnsi="Arial" w:cs="Arial"/>
                <w:sz w:val="20"/>
                <w:szCs w:val="20"/>
              </w:rPr>
              <w:br/>
              <w:t xml:space="preserve">-- Dr. Ulrich </w:t>
            </w:r>
            <w:proofErr w:type="spellStart"/>
            <w:r w:rsidRPr="00924EF5">
              <w:rPr>
                <w:rFonts w:ascii="Arial" w:eastAsia="Times New Roman" w:hAnsi="Arial" w:cs="Arial"/>
                <w:sz w:val="20"/>
                <w:szCs w:val="20"/>
              </w:rPr>
              <w:t>Parche</w:t>
            </w:r>
            <w:proofErr w:type="spellEnd"/>
            <w:r w:rsidRPr="00924EF5">
              <w:rPr>
                <w:rFonts w:ascii="Arial" w:eastAsia="Times New Roman" w:hAnsi="Arial" w:cs="Arial"/>
                <w:sz w:val="20"/>
                <w:szCs w:val="20"/>
              </w:rPr>
              <w:t xml:space="preserve">, Head of Treasury Documentation, </w:t>
            </w:r>
            <w:proofErr w:type="spellStart"/>
            <w:r w:rsidRPr="00924EF5">
              <w:rPr>
                <w:rFonts w:ascii="Arial" w:eastAsia="Times New Roman" w:hAnsi="Arial" w:cs="Arial"/>
                <w:sz w:val="20"/>
                <w:szCs w:val="20"/>
              </w:rPr>
              <w:t>Bayerische</w:t>
            </w:r>
            <w:proofErr w:type="spellEnd"/>
            <w:r w:rsidRPr="00924EF5">
              <w:rPr>
                <w:rFonts w:ascii="Arial" w:eastAsia="Times New Roman" w:hAnsi="Arial" w:cs="Arial"/>
                <w:sz w:val="20"/>
                <w:szCs w:val="20"/>
              </w:rPr>
              <w:t xml:space="preserve"> </w:t>
            </w:r>
            <w:proofErr w:type="spellStart"/>
            <w:r w:rsidRPr="00924EF5">
              <w:rPr>
                <w:rFonts w:ascii="Arial" w:eastAsia="Times New Roman" w:hAnsi="Arial" w:cs="Arial"/>
                <w:sz w:val="20"/>
                <w:szCs w:val="20"/>
              </w:rPr>
              <w:t>Vereinsbank</w:t>
            </w:r>
            <w:proofErr w:type="spellEnd"/>
          </w:p>
          <w:p w:rsidR="00924EF5" w:rsidRPr="00924EF5" w:rsidRDefault="00924EF5" w:rsidP="00924EF5">
            <w:pPr>
              <w:spacing w:before="100" w:beforeAutospacing="1" w:after="100" w:afterAutospacing="1" w:line="240" w:lineRule="auto"/>
              <w:ind w:firstLine="0"/>
              <w:jc w:val="both"/>
              <w:rPr>
                <w:rFonts w:ascii="Arial" w:eastAsia="Times New Roman" w:hAnsi="Arial" w:cs="Arial"/>
                <w:sz w:val="20"/>
                <w:szCs w:val="20"/>
              </w:rPr>
            </w:pPr>
            <w:r w:rsidRPr="00924EF5">
              <w:rPr>
                <w:rFonts w:ascii="Arial" w:eastAsia="Times New Roman" w:hAnsi="Arial" w:cs="Arial"/>
                <w:sz w:val="20"/>
                <w:szCs w:val="20"/>
              </w:rPr>
              <w:t>"The innovative approach taken by ISDA in drafting the EMU Protocol will help to minimize legal risks by clearly identifying market practice."</w:t>
            </w:r>
            <w:r w:rsidRPr="00924EF5">
              <w:rPr>
                <w:rFonts w:ascii="Arial" w:eastAsia="Times New Roman" w:hAnsi="Arial" w:cs="Arial"/>
                <w:sz w:val="20"/>
                <w:szCs w:val="20"/>
              </w:rPr>
              <w:br/>
              <w:t>-- David A. Lewis, Vice President and Assistant General Counsel, J.P. Morgan &amp; Co.</w:t>
            </w:r>
          </w:p>
          <w:p w:rsidR="00924EF5" w:rsidRPr="00924EF5" w:rsidRDefault="00924EF5" w:rsidP="00924EF5">
            <w:pPr>
              <w:spacing w:before="100" w:beforeAutospacing="1" w:after="100" w:afterAutospacing="1" w:line="240" w:lineRule="auto"/>
              <w:ind w:firstLine="0"/>
              <w:jc w:val="both"/>
              <w:rPr>
                <w:rFonts w:ascii="Arial" w:eastAsia="Times New Roman" w:hAnsi="Arial" w:cs="Arial"/>
                <w:sz w:val="20"/>
                <w:szCs w:val="20"/>
              </w:rPr>
            </w:pPr>
            <w:r w:rsidRPr="00924EF5">
              <w:rPr>
                <w:rFonts w:ascii="Arial" w:eastAsia="Times New Roman" w:hAnsi="Arial" w:cs="Arial"/>
                <w:sz w:val="20"/>
                <w:szCs w:val="20"/>
              </w:rPr>
              <w:t>"After six months of meetings, in-house and private practice finance lawyers from around the world have hammered out a protocol that should prevent tens of thousands of derivatives and swaps contracts having to be individually renegotiated because of the euro."</w:t>
            </w:r>
            <w:r w:rsidRPr="00924EF5">
              <w:rPr>
                <w:rFonts w:ascii="Arial" w:eastAsia="Times New Roman" w:hAnsi="Arial" w:cs="Arial"/>
                <w:sz w:val="20"/>
                <w:szCs w:val="20"/>
              </w:rPr>
              <w:br/>
              <w:t>-- The Lawyer</w:t>
            </w:r>
          </w:p>
          <w:p w:rsidR="00924EF5" w:rsidRPr="00924EF5" w:rsidRDefault="00924EF5" w:rsidP="00924EF5">
            <w:pPr>
              <w:spacing w:before="100" w:beforeAutospacing="1" w:after="100" w:afterAutospacing="1" w:line="240" w:lineRule="auto"/>
              <w:ind w:firstLine="0"/>
              <w:jc w:val="both"/>
              <w:rPr>
                <w:rFonts w:ascii="Arial" w:eastAsia="Times New Roman" w:hAnsi="Arial" w:cs="Arial"/>
                <w:sz w:val="20"/>
                <w:szCs w:val="20"/>
              </w:rPr>
            </w:pPr>
            <w:r w:rsidRPr="00924EF5">
              <w:rPr>
                <w:rFonts w:ascii="Arial" w:eastAsia="Times New Roman" w:hAnsi="Arial" w:cs="Arial"/>
                <w:sz w:val="20"/>
                <w:szCs w:val="20"/>
              </w:rPr>
              <w:t>". . . . Most of the major dealers have numbers in the estimated tens of thousands of affected contracts, which, as EMU kicks in, will become moot. These contracts can be amended quickly and easily through ISDA's documentation."</w:t>
            </w:r>
            <w:r w:rsidRPr="00924EF5">
              <w:rPr>
                <w:rFonts w:ascii="Arial" w:eastAsia="Times New Roman" w:hAnsi="Arial" w:cs="Arial"/>
                <w:sz w:val="20"/>
                <w:szCs w:val="20"/>
              </w:rPr>
              <w:br/>
              <w:t>-- IFR International Financing Review</w:t>
            </w:r>
          </w:p>
          <w:p w:rsidR="00924EF5" w:rsidRPr="00924EF5" w:rsidRDefault="00924EF5" w:rsidP="00924EF5">
            <w:pPr>
              <w:spacing w:before="100" w:beforeAutospacing="1" w:after="100" w:afterAutospacing="1" w:line="240" w:lineRule="auto"/>
              <w:ind w:firstLine="0"/>
              <w:jc w:val="both"/>
              <w:rPr>
                <w:rFonts w:ascii="Arial" w:eastAsia="Times New Roman" w:hAnsi="Arial" w:cs="Arial"/>
                <w:sz w:val="20"/>
                <w:szCs w:val="20"/>
              </w:rPr>
            </w:pPr>
            <w:r w:rsidRPr="00924EF5">
              <w:rPr>
                <w:rFonts w:ascii="Arial" w:eastAsia="Times New Roman" w:hAnsi="Arial" w:cs="Arial"/>
                <w:sz w:val="20"/>
                <w:szCs w:val="20"/>
              </w:rPr>
              <w:t>". . . . The protocol has emerged out of the need by many market participants to determine, for example, the price benchmarks to which their contracts will be referenced when the currencies in which they are denominated now are replaced by the euro."</w:t>
            </w:r>
            <w:r w:rsidRPr="00924EF5">
              <w:rPr>
                <w:rFonts w:ascii="Arial" w:eastAsia="Times New Roman" w:hAnsi="Arial" w:cs="Arial"/>
                <w:sz w:val="20"/>
                <w:szCs w:val="20"/>
              </w:rPr>
              <w:br/>
              <w:t>-- The Wall Street Journal</w:t>
            </w:r>
          </w:p>
          <w:p w:rsidR="00924EF5" w:rsidRPr="00924EF5" w:rsidRDefault="00924EF5" w:rsidP="00924EF5">
            <w:pPr>
              <w:spacing w:before="100" w:beforeAutospacing="1" w:after="100" w:afterAutospacing="1" w:line="240" w:lineRule="auto"/>
              <w:ind w:firstLine="0"/>
              <w:jc w:val="both"/>
              <w:rPr>
                <w:rFonts w:ascii="Arial" w:eastAsia="Times New Roman" w:hAnsi="Arial" w:cs="Arial"/>
                <w:sz w:val="20"/>
                <w:szCs w:val="20"/>
              </w:rPr>
            </w:pPr>
            <w:r w:rsidRPr="00924EF5">
              <w:rPr>
                <w:rFonts w:ascii="Arial" w:eastAsia="Times New Roman" w:hAnsi="Arial" w:cs="Arial"/>
                <w:sz w:val="20"/>
                <w:szCs w:val="20"/>
              </w:rPr>
              <w:t>"The International Swaps and Derivatives Association has launched an initiative to help swaps and options users pick a path through the minefield of legal uncertainties set to arise from European economic and monetary union next January . . . Bankers say the scheme . . . is the first serious attempt to seek industry-wide agreement on the many contentious issues surrounding derivatives pricing, trading and settlement in the run-up to EMU."</w:t>
            </w:r>
            <w:r w:rsidRPr="00924EF5">
              <w:rPr>
                <w:rFonts w:ascii="Arial" w:eastAsia="Times New Roman" w:hAnsi="Arial" w:cs="Arial"/>
                <w:sz w:val="20"/>
                <w:szCs w:val="20"/>
              </w:rPr>
              <w:br/>
              <w:t>-- RISK</w:t>
            </w:r>
          </w:p>
          <w:p w:rsidR="00924EF5" w:rsidRPr="00924EF5" w:rsidRDefault="00924EF5" w:rsidP="00924EF5">
            <w:pPr>
              <w:spacing w:before="100" w:beforeAutospacing="1" w:after="100" w:afterAutospacing="1" w:line="240" w:lineRule="auto"/>
              <w:ind w:firstLine="0"/>
              <w:jc w:val="both"/>
              <w:rPr>
                <w:rFonts w:ascii="Arial" w:eastAsia="Times New Roman" w:hAnsi="Arial" w:cs="Arial"/>
                <w:sz w:val="20"/>
                <w:szCs w:val="20"/>
              </w:rPr>
            </w:pPr>
            <w:r w:rsidRPr="00924EF5">
              <w:rPr>
                <w:rFonts w:ascii="Arial" w:eastAsia="Times New Roman" w:hAnsi="Arial" w:cs="Arial"/>
                <w:sz w:val="20"/>
                <w:szCs w:val="20"/>
              </w:rPr>
              <w:t>". . . Anyone with an ISDA master . . . can employ the protocol -- it is not limited to ISDA members."</w:t>
            </w:r>
            <w:r w:rsidRPr="00924EF5">
              <w:rPr>
                <w:rFonts w:ascii="Arial" w:eastAsia="Times New Roman" w:hAnsi="Arial" w:cs="Arial"/>
                <w:sz w:val="20"/>
                <w:szCs w:val="20"/>
              </w:rPr>
              <w:br/>
              <w:t>-- Swaps Monitor</w:t>
            </w:r>
          </w:p>
          <w:p w:rsidR="00924EF5" w:rsidRPr="00924EF5" w:rsidRDefault="00924EF5" w:rsidP="00924EF5">
            <w:pPr>
              <w:spacing w:before="100" w:beforeAutospacing="1" w:afterAutospacing="1" w:line="240" w:lineRule="auto"/>
              <w:ind w:firstLine="0"/>
              <w:jc w:val="both"/>
              <w:rPr>
                <w:rFonts w:ascii="Arial" w:eastAsia="Times New Roman" w:hAnsi="Arial" w:cs="Arial"/>
                <w:sz w:val="20"/>
                <w:szCs w:val="20"/>
              </w:rPr>
            </w:pPr>
            <w:r w:rsidRPr="00924EF5">
              <w:rPr>
                <w:rFonts w:ascii="Arial" w:eastAsia="Times New Roman" w:hAnsi="Arial" w:cs="Arial"/>
                <w:sz w:val="20"/>
                <w:szCs w:val="20"/>
              </w:rPr>
              <w:t>"The industry has solidly supported this innovative initiative from the start. The protocol simplifies adaptation of existing derivatives documentation to the single currency and significantly reduces the costs and labor involved."</w:t>
            </w:r>
            <w:r w:rsidRPr="00924EF5">
              <w:rPr>
                <w:rFonts w:ascii="Arial" w:eastAsia="Times New Roman" w:hAnsi="Arial" w:cs="Arial"/>
                <w:sz w:val="20"/>
                <w:szCs w:val="20"/>
              </w:rPr>
              <w:br/>
              <w:t>-- Gay Evans, ISDA Chairman and Managing Director, Bankers Trust International</w:t>
            </w:r>
          </w:p>
        </w:tc>
      </w:tr>
    </w:tbl>
    <w:p w:rsidR="00054772" w:rsidRDefault="00054772">
      <w:bookmarkStart w:id="0" w:name="_GoBack"/>
      <w:bookmarkEnd w:id="0"/>
    </w:p>
    <w:sectPr w:rsidR="0005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F5"/>
    <w:rsid w:val="00054772"/>
    <w:rsid w:val="001560F7"/>
    <w:rsid w:val="006176CB"/>
    <w:rsid w:val="008C78A4"/>
    <w:rsid w:val="00924EF5"/>
    <w:rsid w:val="00EA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E85EF-B722-4840-BD65-D7F55028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EF5"/>
    <w:pPr>
      <w:spacing w:before="100" w:beforeAutospacing="1" w:after="100" w:afterAutospacing="1" w:line="240" w:lineRule="auto"/>
      <w:ind w:firstLine="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583004">
      <w:bodyDiv w:val="1"/>
      <w:marLeft w:val="0"/>
      <w:marRight w:val="0"/>
      <w:marTop w:val="0"/>
      <w:marBottom w:val="0"/>
      <w:divBdr>
        <w:top w:val="none" w:sz="0" w:space="0" w:color="auto"/>
        <w:left w:val="none" w:sz="0" w:space="0" w:color="auto"/>
        <w:bottom w:val="none" w:sz="0" w:space="0" w:color="auto"/>
        <w:right w:val="none" w:sz="0" w:space="0" w:color="auto"/>
      </w:divBdr>
      <w:divsChild>
        <w:div w:id="1150252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Rosenberg</dc:creator>
  <cp:keywords/>
  <dc:description/>
  <cp:lastModifiedBy>Aaron Rosenberg</cp:lastModifiedBy>
  <cp:revision>1</cp:revision>
  <dcterms:created xsi:type="dcterms:W3CDTF">2017-12-04T18:52:00Z</dcterms:created>
  <dcterms:modified xsi:type="dcterms:W3CDTF">2017-12-04T18:52:00Z</dcterms:modified>
</cp:coreProperties>
</file>