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46BEF" w14:textId="77777777" w:rsidR="009D2797" w:rsidRPr="009D2797" w:rsidRDefault="009D2797" w:rsidP="009D2797">
      <w:pPr>
        <w:pStyle w:val="ListParagraph"/>
        <w:pageBreakBefore/>
        <w:numPr>
          <w:ilvl w:val="0"/>
          <w:numId w:val="1"/>
        </w:numPr>
        <w:spacing w:after="140" w:line="290" w:lineRule="auto"/>
        <w:contextualSpacing w:val="0"/>
        <w:jc w:val="center"/>
        <w:outlineLvl w:val="0"/>
        <w:rPr>
          <w:rFonts w:ascii="Times New Roman" w:eastAsia="Times New Roman" w:hAnsi="Times New Roman"/>
          <w:b/>
          <w:bCs/>
          <w:caps/>
          <w:vanish/>
          <w:kern w:val="20"/>
          <w:sz w:val="22"/>
          <w:szCs w:val="20"/>
        </w:rPr>
      </w:pPr>
    </w:p>
    <w:p w14:paraId="132AECFD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4F93E9F5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5D05ED85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10348E3E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2CF75FC3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04D4AFCA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3A99964E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6436A167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4C0B4B98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412EF09B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34A694B5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21747285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1AB6A313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2AE4764F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7DA72D99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72772F0F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1F9E95DF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670C023E" w14:textId="77777777" w:rsidR="009D2797" w:rsidRPr="009D2797" w:rsidRDefault="009D2797" w:rsidP="009D2797">
      <w:pPr>
        <w:pStyle w:val="ListParagraph"/>
        <w:keepNext/>
        <w:numPr>
          <w:ilvl w:val="2"/>
          <w:numId w:val="1"/>
        </w:numPr>
        <w:spacing w:after="140" w:line="290" w:lineRule="auto"/>
        <w:contextualSpacing w:val="0"/>
        <w:jc w:val="both"/>
        <w:outlineLvl w:val="2"/>
        <w:rPr>
          <w:rFonts w:ascii="Times New Roman" w:eastAsia="Times New Roman" w:hAnsi="Times New Roman"/>
          <w:vanish/>
          <w:kern w:val="20"/>
          <w:sz w:val="22"/>
          <w:szCs w:val="28"/>
        </w:rPr>
      </w:pPr>
    </w:p>
    <w:p w14:paraId="23542C89" w14:textId="5F9B2051" w:rsidR="009D2797" w:rsidRDefault="00AC7F0B" w:rsidP="009D2797">
      <w:pPr>
        <w:pStyle w:val="Level3"/>
        <w:numPr>
          <w:ilvl w:val="0"/>
          <w:numId w:val="0"/>
        </w:numPr>
        <w:rPr>
          <w:i/>
          <w:iCs/>
        </w:rPr>
      </w:pPr>
      <w:r>
        <w:rPr>
          <w:i/>
          <w:iCs/>
        </w:rPr>
        <w:t>W</w:t>
      </w:r>
      <w:r w:rsidR="009D2797" w:rsidRPr="009D2797">
        <w:rPr>
          <w:i/>
          <w:iCs/>
        </w:rPr>
        <w:t xml:space="preserve">ording for inclusion in Version 2 of the 2026 FX Definitions to address incorporation of the 1998 FX Definitions at master agreement level. </w:t>
      </w:r>
    </w:p>
    <w:p w14:paraId="450DEC2F" w14:textId="5D065239" w:rsidR="009D2797" w:rsidRPr="00445A96" w:rsidRDefault="00445A96" w:rsidP="009D2797">
      <w:pPr>
        <w:pStyle w:val="Level3"/>
        <w:numPr>
          <w:ilvl w:val="0"/>
          <w:numId w:val="0"/>
        </w:numPr>
      </w:pPr>
      <w:r>
        <w:t>[</w:t>
      </w:r>
      <w:r>
        <w:rPr>
          <w:i/>
          <w:iCs/>
        </w:rPr>
        <w:t>To be inserted into Section 1 of the 2026 FX Definitions as new section 1.1.19</w:t>
      </w:r>
      <w:r>
        <w:t>]</w:t>
      </w:r>
    </w:p>
    <w:p w14:paraId="005ADCF6" w14:textId="7B10FE04" w:rsidR="009D2797" w:rsidRDefault="009D2797" w:rsidP="009D2797">
      <w:pPr>
        <w:pStyle w:val="Level3"/>
      </w:pPr>
      <w:r w:rsidRPr="009D2797">
        <w:rPr>
          <w:b/>
          <w:bCs/>
        </w:rPr>
        <w:t>References to 1998 FX Definitions</w:t>
      </w:r>
      <w:r w:rsidRPr="00E12EFC">
        <w:t>.</w:t>
      </w:r>
    </w:p>
    <w:p w14:paraId="38DB8C94" w14:textId="51323CCF" w:rsidR="009D2797" w:rsidRDefault="009D2797" w:rsidP="009D2797">
      <w:pPr>
        <w:pStyle w:val="Level4"/>
        <w:tabs>
          <w:tab w:val="clear" w:pos="2126"/>
          <w:tab w:val="num" w:pos="1601"/>
        </w:tabs>
      </w:pPr>
      <w:r>
        <w:t>“</w:t>
      </w:r>
      <w:r>
        <w:rPr>
          <w:b/>
          <w:bCs/>
        </w:rPr>
        <w:t>1998 FX Definitions</w:t>
      </w:r>
      <w:r>
        <w:t xml:space="preserve">” means the 1998 FX and Currency Option Definitions </w:t>
      </w:r>
      <w:r w:rsidR="000674CE">
        <w:t xml:space="preserve">as </w:t>
      </w:r>
      <w:r>
        <w:t>published by ISDA</w:t>
      </w:r>
      <w:r w:rsidR="00674778">
        <w:t>,</w:t>
      </w:r>
      <w:r>
        <w:t xml:space="preserve"> EMTA</w:t>
      </w:r>
      <w:r w:rsidR="00674778">
        <w:t xml:space="preserve"> and the Foreign Exchange Committee</w:t>
      </w:r>
      <w:r w:rsidR="00AB630A">
        <w:t>, including any supplements or additional provisions to such definitions</w:t>
      </w:r>
      <w:r>
        <w:t xml:space="preserve">. </w:t>
      </w:r>
    </w:p>
    <w:p w14:paraId="59ACE0FB" w14:textId="025DDD61" w:rsidR="009D2797" w:rsidRDefault="009D2797" w:rsidP="009D2797">
      <w:pPr>
        <w:pStyle w:val="Level4"/>
        <w:tabs>
          <w:tab w:val="clear" w:pos="2126"/>
          <w:tab w:val="num" w:pos="1601"/>
        </w:tabs>
      </w:pPr>
      <w:r>
        <w:t>“</w:t>
      </w:r>
      <w:r>
        <w:rPr>
          <w:b/>
          <w:bCs/>
        </w:rPr>
        <w:t>1998 FX Definitions Incorporation Provision</w:t>
      </w:r>
      <w:r>
        <w:t xml:space="preserve">” means any provision in a </w:t>
      </w:r>
      <w:r w:rsidR="00E928BA">
        <w:t xml:space="preserve">1998 </w:t>
      </w:r>
      <w:r>
        <w:t>Relevant Agreement</w:t>
      </w:r>
      <w:r w:rsidR="00EB431E">
        <w:t xml:space="preserve"> that</w:t>
      </w:r>
      <w:r>
        <w:t xml:space="preserve"> incorporat</w:t>
      </w:r>
      <w:r w:rsidR="00EB431E">
        <w:t>es</w:t>
      </w:r>
      <w:r>
        <w:t xml:space="preserve"> the 1998 FX Definitions into that </w:t>
      </w:r>
      <w:r w:rsidR="00E928BA">
        <w:t xml:space="preserve">1998 </w:t>
      </w:r>
      <w:r>
        <w:t xml:space="preserve">Relevant Agreement </w:t>
      </w:r>
      <w:r w:rsidR="00EB431E">
        <w:t xml:space="preserve">or modifies, supplements, amends or refers to the 1998 FX Definitions (or specific provisions of the 1998 FX Definitions) in respect of </w:t>
      </w:r>
      <w:r w:rsidR="000674CE">
        <w:t xml:space="preserve">certain or </w:t>
      </w:r>
      <w:r>
        <w:t xml:space="preserve">all Transactions </w:t>
      </w:r>
      <w:r w:rsidR="004A0F9C" w:rsidRPr="004A0F9C">
        <w:t xml:space="preserve">as defined for the purpose of the 2026 FX Definitions </w:t>
      </w:r>
      <w:r>
        <w:t xml:space="preserve">entered into under that </w:t>
      </w:r>
      <w:r w:rsidR="00E928BA">
        <w:t xml:space="preserve">1998 </w:t>
      </w:r>
      <w:r>
        <w:t>Relevant Agreement.</w:t>
      </w:r>
    </w:p>
    <w:p w14:paraId="6ED5C5C1" w14:textId="553C6787" w:rsidR="00795DFD" w:rsidRDefault="00A03856" w:rsidP="009D2797">
      <w:pPr>
        <w:pStyle w:val="Level4"/>
        <w:tabs>
          <w:tab w:val="clear" w:pos="2126"/>
          <w:tab w:val="num" w:pos="1601"/>
        </w:tabs>
      </w:pPr>
      <w:r>
        <w:t>“</w:t>
      </w:r>
      <w:r w:rsidR="00E928BA" w:rsidRPr="00E928BA">
        <w:rPr>
          <w:b/>
          <w:bCs/>
        </w:rPr>
        <w:t xml:space="preserve">1998 </w:t>
      </w:r>
      <w:r w:rsidRPr="00E928BA">
        <w:rPr>
          <w:b/>
          <w:bCs/>
        </w:rPr>
        <w:t>R</w:t>
      </w:r>
      <w:r>
        <w:rPr>
          <w:b/>
          <w:bCs/>
        </w:rPr>
        <w:t>elevant Agreement</w:t>
      </w:r>
      <w:r>
        <w:t>” means</w:t>
      </w:r>
      <w:r w:rsidR="00795DFD">
        <w:t>:</w:t>
      </w:r>
    </w:p>
    <w:p w14:paraId="333A5A49" w14:textId="10462B64" w:rsidR="00795DFD" w:rsidRDefault="00A03856" w:rsidP="00795DFD">
      <w:pPr>
        <w:pStyle w:val="Level5"/>
      </w:pPr>
      <w:r>
        <w:t xml:space="preserve">a Relevant Master Agreement which includes </w:t>
      </w:r>
      <w:r w:rsidR="00036527">
        <w:t xml:space="preserve">any ISDA Credit Support Annex supplementing or forming part of that master agreement and </w:t>
      </w:r>
      <w:r>
        <w:t>any master confirmation agreement governed by or subject to th</w:t>
      </w:r>
      <w:r w:rsidR="00603BB2">
        <w:t>at</w:t>
      </w:r>
      <w:r>
        <w:t xml:space="preserve"> Relevant Master Agreement</w:t>
      </w:r>
      <w:r w:rsidR="00795DFD">
        <w:t>; or</w:t>
      </w:r>
    </w:p>
    <w:p w14:paraId="230AE0E7" w14:textId="28CD0072" w:rsidR="00795DFD" w:rsidRDefault="00795DFD" w:rsidP="00795DFD">
      <w:pPr>
        <w:pStyle w:val="Level5"/>
      </w:pPr>
      <w:r>
        <w:t>any other agreement between the parties that governs the Transaction in the form of</w:t>
      </w:r>
      <w:r w:rsidRPr="00795DFD">
        <w:t xml:space="preserve"> </w:t>
      </w:r>
      <w:r w:rsidR="008A2BF2">
        <w:t>a</w:t>
      </w:r>
      <w:r w:rsidRPr="00795DFD">
        <w:t xml:space="preserve"> master trading agreement, prime brokerage agreement</w:t>
      </w:r>
      <w:r w:rsidR="00AC7F0B">
        <w:t xml:space="preserve"> </w:t>
      </w:r>
      <w:r w:rsidR="00AC7F0B" w:rsidRPr="00AC7F0B">
        <w:rPr>
          <w:lang w:val="en-US"/>
        </w:rPr>
        <w:t>and related agreements (including master give-up agreements)</w:t>
      </w:r>
      <w:r w:rsidRPr="00795DFD">
        <w:t>, electronic trading agreement or other agreement, that</w:t>
      </w:r>
      <w:r>
        <w:t xml:space="preserve"> </w:t>
      </w:r>
      <w:r w:rsidRPr="00795DFD">
        <w:t xml:space="preserve">is </w:t>
      </w:r>
      <w:r>
        <w:t>expressed</w:t>
      </w:r>
      <w:r w:rsidRPr="00795DFD">
        <w:t xml:space="preserve"> to apply to foreign exchange transactions and/or currency transactions</w:t>
      </w:r>
      <w:r>
        <w:t xml:space="preserve"> (howsoever described)</w:t>
      </w:r>
      <w:r w:rsidRPr="00795DFD">
        <w:t>, including executions thereof</w:t>
      </w:r>
      <w:r w:rsidR="008A2BF2">
        <w:t>,</w:t>
      </w:r>
    </w:p>
    <w:p w14:paraId="4D84727F" w14:textId="13A191E9" w:rsidR="00A03856" w:rsidRDefault="00A03856" w:rsidP="00795DFD">
      <w:pPr>
        <w:pStyle w:val="Level5"/>
        <w:numPr>
          <w:ilvl w:val="0"/>
          <w:numId w:val="0"/>
        </w:numPr>
        <w:ind w:left="2126"/>
      </w:pPr>
      <w:r>
        <w:t xml:space="preserve">but </w:t>
      </w:r>
      <w:r w:rsidR="00463834">
        <w:t>excludes</w:t>
      </w:r>
      <w:r>
        <w:t xml:space="preserve"> any confirmations, transaction supplements or equivalent documents governed by or subject to that Relevant Master Agreement</w:t>
      </w:r>
      <w:r w:rsidR="003665B2">
        <w:t xml:space="preserve"> or agreement</w:t>
      </w:r>
      <w:r w:rsidR="003D1B1B">
        <w:t>, as applicable</w:t>
      </w:r>
      <w:r>
        <w:t>.</w:t>
      </w:r>
    </w:p>
    <w:p w14:paraId="2FAFB90C" w14:textId="34D96E1C" w:rsidR="009D4D19" w:rsidRDefault="009D2797" w:rsidP="009D2797">
      <w:pPr>
        <w:pStyle w:val="Level4"/>
        <w:tabs>
          <w:tab w:val="clear" w:pos="2126"/>
          <w:tab w:val="num" w:pos="1601"/>
        </w:tabs>
      </w:pPr>
      <w:r>
        <w:t xml:space="preserve">Whenever the 2026 FX Definitions apply to a Transaction, if the </w:t>
      </w:r>
      <w:r w:rsidR="00E928BA">
        <w:t xml:space="preserve">1998 </w:t>
      </w:r>
      <w:r>
        <w:t xml:space="preserve">Relevant Agreement for that Transaction contains a </w:t>
      </w:r>
      <w:r w:rsidRPr="00E96F82">
        <w:t>1998 FX Definitions Incorporation Provision</w:t>
      </w:r>
      <w:r w:rsidR="00463834">
        <w:t>,</w:t>
      </w:r>
      <w:r w:rsidR="00A03856">
        <w:t xml:space="preserve"> for the purposes of that Transaction</w:t>
      </w:r>
      <w:r>
        <w:t xml:space="preserve"> the references in that provision to</w:t>
      </w:r>
      <w:r w:rsidR="009D4D19">
        <w:t>:</w:t>
      </w:r>
    </w:p>
    <w:p w14:paraId="7C92C17F" w14:textId="607BE95D" w:rsidR="009D4D19" w:rsidRDefault="009D2797" w:rsidP="009D4D19">
      <w:pPr>
        <w:pStyle w:val="Level5"/>
      </w:pPr>
      <w:r>
        <w:t>the 1998 FX Definitions shall be construed as reference</w:t>
      </w:r>
      <w:r w:rsidR="00A03856">
        <w:t>s</w:t>
      </w:r>
      <w:r>
        <w:t xml:space="preserve"> to the 2026 FX Definitions</w:t>
      </w:r>
      <w:r w:rsidR="009D4D19">
        <w:t>;</w:t>
      </w:r>
    </w:p>
    <w:p w14:paraId="2991DCFB" w14:textId="5CF093BA" w:rsidR="009D4D19" w:rsidRDefault="009D4D19" w:rsidP="009D4D19">
      <w:pPr>
        <w:pStyle w:val="Level5"/>
      </w:pPr>
      <w:r w:rsidRPr="009D4D19">
        <w:t>any term defined in the 1998 FX Definitions shall be construed as a reference to the equivalent term (if any) defined in the 2026 FX Definitions</w:t>
      </w:r>
      <w:r>
        <w:t xml:space="preserve">; </w:t>
      </w:r>
    </w:p>
    <w:p w14:paraId="43C21D34" w14:textId="25FEAFFC" w:rsidR="000674CE" w:rsidRDefault="009D4D19" w:rsidP="009D4D19">
      <w:pPr>
        <w:pStyle w:val="Level5"/>
      </w:pPr>
      <w:r w:rsidRPr="009D4D19">
        <w:t>sections</w:t>
      </w:r>
      <w:r w:rsidR="00036527">
        <w:t xml:space="preserve"> or provisions</w:t>
      </w:r>
      <w:r w:rsidRPr="009D4D19">
        <w:t xml:space="preserve"> of the 1998 FX Definitions shall be construed as references to the equivalent sections</w:t>
      </w:r>
      <w:r w:rsidR="00036527">
        <w:t xml:space="preserve"> or provisions</w:t>
      </w:r>
      <w:r w:rsidRPr="009D4D19">
        <w:t xml:space="preserve"> (if any) of the 2026 FX Definitions</w:t>
      </w:r>
      <w:r w:rsidR="000674CE">
        <w:t>;</w:t>
      </w:r>
      <w:r w:rsidR="000674CE" w:rsidRPr="000674CE">
        <w:t xml:space="preserve"> </w:t>
      </w:r>
      <w:r w:rsidR="000674CE">
        <w:t>and</w:t>
      </w:r>
    </w:p>
    <w:p w14:paraId="583FF5E4" w14:textId="6602850A" w:rsidR="009D2797" w:rsidRDefault="000674CE" w:rsidP="00CB3184">
      <w:pPr>
        <w:pStyle w:val="Level5"/>
      </w:pPr>
      <w:r>
        <w:lastRenderedPageBreak/>
        <w:t>if there is no equivalent term defined or if no equivalent section exists (as appropriate) in the 2026 FX Definitions</w:t>
      </w:r>
      <w:r w:rsidR="001C1E02">
        <w:t xml:space="preserve"> </w:t>
      </w:r>
      <w:r w:rsidR="00036527">
        <w:t>that</w:t>
      </w:r>
      <w:r w:rsidR="001C1E02">
        <w:t xml:space="preserve"> term</w:t>
      </w:r>
      <w:r w:rsidR="00036527">
        <w:t xml:space="preserve"> </w:t>
      </w:r>
      <w:r w:rsidR="001C1E02">
        <w:t>or provisions</w:t>
      </w:r>
      <w:r w:rsidR="00036527">
        <w:t xml:space="preserve"> </w:t>
      </w:r>
      <w:r w:rsidR="001C1E02">
        <w:t>shall not apply unless retained by paragraph (v) below</w:t>
      </w:r>
      <w:r w:rsidR="009D2797">
        <w:t>.</w:t>
      </w:r>
      <w:r w:rsidRPr="000674CE">
        <w:t xml:space="preserve"> </w:t>
      </w:r>
    </w:p>
    <w:p w14:paraId="32B3B25F" w14:textId="4A3CE533" w:rsidR="001C1E02" w:rsidRDefault="001C1E02" w:rsidP="009D2797">
      <w:pPr>
        <w:pStyle w:val="Level4"/>
        <w:tabs>
          <w:tab w:val="clear" w:pos="2126"/>
          <w:tab w:val="num" w:pos="1601"/>
        </w:tabs>
      </w:pPr>
      <w:r>
        <w:t>Any bespoke provision</w:t>
      </w:r>
      <w:r w:rsidR="00036527">
        <w:t xml:space="preserve"> forming part of a 1998 FX Definitions Incorporation Provision</w:t>
      </w:r>
      <w:r>
        <w:t xml:space="preserve"> (including any such provision inserted as </w:t>
      </w:r>
      <w:r w:rsidR="00036527">
        <w:t xml:space="preserve">a </w:t>
      </w:r>
      <w:r>
        <w:t>section</w:t>
      </w:r>
      <w:r w:rsidR="00036527">
        <w:t xml:space="preserve"> or paragraph</w:t>
      </w:r>
      <w:r>
        <w:t xml:space="preserve"> into the 1998 FX Definitions by </w:t>
      </w:r>
      <w:r w:rsidR="00036527">
        <w:t>that</w:t>
      </w:r>
      <w:r>
        <w:t xml:space="preserve"> 1998 FX Definitions Incorporation Provision) shall be retained and continue to apply, </w:t>
      </w:r>
      <w:r w:rsidR="00036527">
        <w:t>subject to any necessary</w:t>
      </w:r>
      <w:r>
        <w:t xml:space="preserve"> </w:t>
      </w:r>
      <w:r w:rsidR="00036527">
        <w:t>adjustment</w:t>
      </w:r>
      <w:r>
        <w:t xml:space="preserve"> pursuant to paragraph (vi). </w:t>
      </w:r>
    </w:p>
    <w:p w14:paraId="28C91D92" w14:textId="1E6F6649" w:rsidR="009D2797" w:rsidRPr="00E12EFC" w:rsidRDefault="009D2797" w:rsidP="009D2797">
      <w:pPr>
        <w:pStyle w:val="Level4"/>
        <w:tabs>
          <w:tab w:val="clear" w:pos="2126"/>
          <w:tab w:val="num" w:pos="1601"/>
        </w:tabs>
      </w:pPr>
      <w:r>
        <w:t xml:space="preserve">The Calculation Agent shall </w:t>
      </w:r>
      <w:r w:rsidR="00C907E6">
        <w:t xml:space="preserve">make </w:t>
      </w:r>
      <w:r>
        <w:t>such other adjustments to the 1998 FX Definitions Incorporation Provision as are necessary in order for them to apply to a Transaction subject to the 2026 FX Definitions rather than the 1998 FX Definitions.</w:t>
      </w:r>
    </w:p>
    <w:p w14:paraId="78AFACAF" w14:textId="77777777" w:rsidR="00F67E49" w:rsidRDefault="00F67E49"/>
    <w:sectPr w:rsidR="00F67E4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E6E84" w14:textId="77777777" w:rsidR="00895915" w:rsidRDefault="00895915" w:rsidP="009D2797">
      <w:pPr>
        <w:spacing w:after="0" w:line="240" w:lineRule="auto"/>
      </w:pPr>
      <w:r>
        <w:separator/>
      </w:r>
    </w:p>
  </w:endnote>
  <w:endnote w:type="continuationSeparator" w:id="0">
    <w:p w14:paraId="644D7EF5" w14:textId="77777777" w:rsidR="00895915" w:rsidRDefault="00895915" w:rsidP="009D2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20207" w:usb1="000200A8" w:usb2="00A816CF" w:usb3="00000001" w:csb0="00A80085" w:csb1="179F138A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76F1F" w14:textId="77777777" w:rsidR="00895915" w:rsidRDefault="00895915" w:rsidP="009D2797">
      <w:pPr>
        <w:spacing w:after="0" w:line="240" w:lineRule="auto"/>
      </w:pPr>
      <w:r>
        <w:separator/>
      </w:r>
    </w:p>
  </w:footnote>
  <w:footnote w:type="continuationSeparator" w:id="0">
    <w:p w14:paraId="169AD179" w14:textId="77777777" w:rsidR="00895915" w:rsidRDefault="00895915" w:rsidP="009D2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02A2" w14:textId="7ABC9A83" w:rsidR="009D2797" w:rsidRPr="00AC7F0B" w:rsidRDefault="00AC7F0B" w:rsidP="009D2797">
    <w:pPr>
      <w:pStyle w:val="Header"/>
      <w:rPr>
        <w:b/>
        <w:bCs/>
      </w:rPr>
    </w:pPr>
    <w:r w:rsidRPr="00AC7F0B">
      <w:rPr>
        <w:b/>
        <w:bCs/>
      </w:rPr>
      <w:t>FINAL VERSION for inclusion in v2.0 of 2026 FX Definitions</w:t>
    </w:r>
  </w:p>
  <w:p w14:paraId="3B443C19" w14:textId="77777777" w:rsidR="009D2797" w:rsidRDefault="009D27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A18C7"/>
    <w:multiLevelType w:val="multilevel"/>
    <w:tmpl w:val="0614A39A"/>
    <w:lvl w:ilvl="0">
      <w:start w:val="1"/>
      <w:numFmt w:val="decimal"/>
      <w:pStyle w:val="Level1"/>
      <w:suff w:val="nothing"/>
      <w:lvlText w:val="SECTION %1"/>
      <w:lvlJc w:val="left"/>
      <w:pPr>
        <w:ind w:left="6663" w:firstLine="0"/>
      </w:pPr>
      <w:rPr>
        <w:rFonts w:hint="default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992"/>
        </w:tabs>
        <w:ind w:left="992" w:hanging="567"/>
      </w:pPr>
      <w:rPr>
        <w:rFonts w:ascii="Times New Roman" w:hAnsi="Times New Roman" w:hint="default"/>
        <w:b w:val="0"/>
        <w:i w:val="0"/>
        <w:sz w:val="22"/>
        <w:szCs w:val="24"/>
      </w:rPr>
    </w:lvl>
    <w:lvl w:ilvl="2">
      <w:start w:val="1"/>
      <w:numFmt w:val="decimal"/>
      <w:pStyle w:val="Level3"/>
      <w:lvlText w:val="%1.%2.%3"/>
      <w:lvlJc w:val="right"/>
      <w:pPr>
        <w:tabs>
          <w:tab w:val="num" w:pos="1559"/>
        </w:tabs>
        <w:ind w:left="1559" w:hanging="85"/>
      </w:pPr>
      <w:rPr>
        <w:rFonts w:ascii="Times New Roman" w:hAnsi="Times New Roman" w:hint="default"/>
        <w:b w:val="0"/>
        <w:i w:val="0"/>
        <w:sz w:val="22"/>
        <w:szCs w:val="32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567"/>
      </w:pPr>
      <w:rPr>
        <w:rFonts w:hint="default"/>
        <w:b w:val="0"/>
        <w:i w:val="0"/>
        <w:sz w:val="2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2693"/>
        </w:tabs>
        <w:ind w:left="2693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260"/>
        </w:tabs>
        <w:ind w:left="3260" w:hanging="567"/>
      </w:pPr>
      <w:rPr>
        <w:rFonts w:hint="default"/>
        <w:sz w:val="20"/>
        <w:szCs w:val="22"/>
      </w:rPr>
    </w:lvl>
    <w:lvl w:ilvl="6">
      <w:start w:val="1"/>
      <w:numFmt w:val="decimal"/>
      <w:lvlText w:val="%7."/>
      <w:lvlJc w:val="left"/>
      <w:pPr>
        <w:tabs>
          <w:tab w:val="num" w:pos="3827"/>
        </w:tabs>
        <w:ind w:left="3827" w:hanging="3827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584" w:hanging="1584"/>
      </w:pPr>
      <w:rPr>
        <w:rFonts w:hint="default"/>
      </w:rPr>
    </w:lvl>
  </w:abstractNum>
  <w:num w:numId="1" w16cid:durableId="693656037">
    <w:abstractNumId w:val="0"/>
  </w:num>
  <w:num w:numId="2" w16cid:durableId="2116559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Moves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797"/>
    <w:rsid w:val="00036527"/>
    <w:rsid w:val="00043B7A"/>
    <w:rsid w:val="000674CE"/>
    <w:rsid w:val="000A35E6"/>
    <w:rsid w:val="000C2A9F"/>
    <w:rsid w:val="00100B84"/>
    <w:rsid w:val="001026B2"/>
    <w:rsid w:val="001B5BAC"/>
    <w:rsid w:val="001C1E02"/>
    <w:rsid w:val="00281E2F"/>
    <w:rsid w:val="002D3E37"/>
    <w:rsid w:val="002F0B16"/>
    <w:rsid w:val="00315FB4"/>
    <w:rsid w:val="00344385"/>
    <w:rsid w:val="003665B2"/>
    <w:rsid w:val="00381539"/>
    <w:rsid w:val="003A7072"/>
    <w:rsid w:val="003D0FA1"/>
    <w:rsid w:val="003D1B1B"/>
    <w:rsid w:val="00445A96"/>
    <w:rsid w:val="00450034"/>
    <w:rsid w:val="00463834"/>
    <w:rsid w:val="00465FEC"/>
    <w:rsid w:val="00481E8E"/>
    <w:rsid w:val="004A0F9C"/>
    <w:rsid w:val="004C6CE0"/>
    <w:rsid w:val="004E47C7"/>
    <w:rsid w:val="004E5BB2"/>
    <w:rsid w:val="004F30AF"/>
    <w:rsid w:val="005039EA"/>
    <w:rsid w:val="00503FD7"/>
    <w:rsid w:val="00561DD3"/>
    <w:rsid w:val="00570A22"/>
    <w:rsid w:val="00580B79"/>
    <w:rsid w:val="005B7AA9"/>
    <w:rsid w:val="005C3468"/>
    <w:rsid w:val="005E3E34"/>
    <w:rsid w:val="00603BB2"/>
    <w:rsid w:val="00653CA0"/>
    <w:rsid w:val="00674778"/>
    <w:rsid w:val="00682C89"/>
    <w:rsid w:val="006C5D76"/>
    <w:rsid w:val="006E729E"/>
    <w:rsid w:val="006E78C2"/>
    <w:rsid w:val="006F3426"/>
    <w:rsid w:val="00705B71"/>
    <w:rsid w:val="00741C35"/>
    <w:rsid w:val="00765BA4"/>
    <w:rsid w:val="00795DFD"/>
    <w:rsid w:val="008363F5"/>
    <w:rsid w:val="00851ADD"/>
    <w:rsid w:val="00874D1A"/>
    <w:rsid w:val="008775E5"/>
    <w:rsid w:val="00895915"/>
    <w:rsid w:val="008A2BF2"/>
    <w:rsid w:val="008A5FF1"/>
    <w:rsid w:val="008B19E3"/>
    <w:rsid w:val="008C2513"/>
    <w:rsid w:val="008D5EBA"/>
    <w:rsid w:val="009272C9"/>
    <w:rsid w:val="00981D08"/>
    <w:rsid w:val="0098382D"/>
    <w:rsid w:val="009C6650"/>
    <w:rsid w:val="009D2797"/>
    <w:rsid w:val="009D4D19"/>
    <w:rsid w:val="009D760E"/>
    <w:rsid w:val="009E4842"/>
    <w:rsid w:val="009F59D0"/>
    <w:rsid w:val="00A03856"/>
    <w:rsid w:val="00A06947"/>
    <w:rsid w:val="00A102DB"/>
    <w:rsid w:val="00AB630A"/>
    <w:rsid w:val="00AC14CB"/>
    <w:rsid w:val="00AC7F0B"/>
    <w:rsid w:val="00B102D5"/>
    <w:rsid w:val="00B350BD"/>
    <w:rsid w:val="00B72851"/>
    <w:rsid w:val="00B9465F"/>
    <w:rsid w:val="00BC091A"/>
    <w:rsid w:val="00BD467A"/>
    <w:rsid w:val="00C03FF8"/>
    <w:rsid w:val="00C05D48"/>
    <w:rsid w:val="00C4671A"/>
    <w:rsid w:val="00C907E6"/>
    <w:rsid w:val="00C91A43"/>
    <w:rsid w:val="00C92450"/>
    <w:rsid w:val="00CB3184"/>
    <w:rsid w:val="00CC0FBC"/>
    <w:rsid w:val="00CC6A0E"/>
    <w:rsid w:val="00D530A0"/>
    <w:rsid w:val="00D80D40"/>
    <w:rsid w:val="00DD6BD9"/>
    <w:rsid w:val="00E53083"/>
    <w:rsid w:val="00E62691"/>
    <w:rsid w:val="00E928BA"/>
    <w:rsid w:val="00EA2E50"/>
    <w:rsid w:val="00EB431E"/>
    <w:rsid w:val="00F162E5"/>
    <w:rsid w:val="00F67E49"/>
    <w:rsid w:val="00F8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D12A90"/>
  <w15:docId w15:val="{364444A3-4968-42C2-BB99-85E7B8D7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D76"/>
    <w:pPr>
      <w:spacing w:after="200" w:line="276" w:lineRule="auto"/>
    </w:pPr>
    <w:rPr>
      <w:rFonts w:ascii="Arial" w:hAnsi="Arial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9D2797"/>
    <w:pPr>
      <w:pageBreakBefore/>
      <w:numPr>
        <w:numId w:val="1"/>
      </w:numPr>
      <w:spacing w:after="140" w:line="290" w:lineRule="auto"/>
      <w:jc w:val="center"/>
      <w:outlineLvl w:val="0"/>
    </w:pPr>
    <w:rPr>
      <w:rFonts w:ascii="Times New Roman" w:eastAsia="Times New Roman" w:hAnsi="Times New Roman"/>
      <w:b/>
      <w:bCs/>
      <w:caps/>
      <w:kern w:val="20"/>
      <w:sz w:val="22"/>
      <w:szCs w:val="20"/>
    </w:rPr>
  </w:style>
  <w:style w:type="paragraph" w:customStyle="1" w:styleId="Level2">
    <w:name w:val="Level 2"/>
    <w:basedOn w:val="Normal"/>
    <w:qFormat/>
    <w:rsid w:val="009D2797"/>
    <w:pPr>
      <w:keepNext/>
      <w:numPr>
        <w:ilvl w:val="1"/>
        <w:numId w:val="1"/>
      </w:numPr>
      <w:spacing w:after="140" w:line="290" w:lineRule="auto"/>
      <w:jc w:val="both"/>
      <w:outlineLvl w:val="1"/>
    </w:pPr>
    <w:rPr>
      <w:rFonts w:ascii="Times New Roman Bold" w:eastAsia="Times New Roman" w:hAnsi="Times New Roman Bold"/>
      <w:kern w:val="20"/>
      <w:sz w:val="22"/>
      <w:szCs w:val="28"/>
    </w:rPr>
  </w:style>
  <w:style w:type="paragraph" w:customStyle="1" w:styleId="Level3">
    <w:name w:val="Level 3"/>
    <w:basedOn w:val="Normal"/>
    <w:rsid w:val="009D2797"/>
    <w:pPr>
      <w:keepNext/>
      <w:numPr>
        <w:ilvl w:val="2"/>
        <w:numId w:val="1"/>
      </w:numPr>
      <w:spacing w:after="140" w:line="290" w:lineRule="auto"/>
      <w:jc w:val="both"/>
      <w:outlineLvl w:val="2"/>
    </w:pPr>
    <w:rPr>
      <w:rFonts w:ascii="Times New Roman" w:eastAsia="Times New Roman" w:hAnsi="Times New Roman"/>
      <w:kern w:val="20"/>
      <w:sz w:val="22"/>
      <w:szCs w:val="28"/>
    </w:rPr>
  </w:style>
  <w:style w:type="paragraph" w:customStyle="1" w:styleId="Level4">
    <w:name w:val="Level 4"/>
    <w:basedOn w:val="Normal"/>
    <w:rsid w:val="009D2797"/>
    <w:pPr>
      <w:numPr>
        <w:ilvl w:val="3"/>
        <w:numId w:val="1"/>
      </w:numPr>
      <w:spacing w:after="140" w:line="290" w:lineRule="auto"/>
      <w:jc w:val="both"/>
    </w:pPr>
    <w:rPr>
      <w:rFonts w:ascii="Times New Roman" w:eastAsia="Times New Roman" w:hAnsi="Times New Roman"/>
      <w:kern w:val="20"/>
      <w:sz w:val="22"/>
      <w:szCs w:val="20"/>
    </w:rPr>
  </w:style>
  <w:style w:type="paragraph" w:customStyle="1" w:styleId="Level5">
    <w:name w:val="Level 5"/>
    <w:basedOn w:val="Normal"/>
    <w:rsid w:val="009D2797"/>
    <w:pPr>
      <w:numPr>
        <w:ilvl w:val="4"/>
        <w:numId w:val="1"/>
      </w:numPr>
      <w:spacing w:after="140" w:line="290" w:lineRule="auto"/>
      <w:jc w:val="both"/>
    </w:pPr>
    <w:rPr>
      <w:rFonts w:ascii="Times New Roman" w:eastAsia="Times New Roman" w:hAnsi="Times New Roman"/>
      <w:kern w:val="20"/>
      <w:sz w:val="22"/>
      <w:szCs w:val="20"/>
    </w:rPr>
  </w:style>
  <w:style w:type="paragraph" w:customStyle="1" w:styleId="Level6">
    <w:name w:val="Level 6"/>
    <w:basedOn w:val="Normal"/>
    <w:rsid w:val="009D2797"/>
    <w:pPr>
      <w:numPr>
        <w:ilvl w:val="5"/>
        <w:numId w:val="1"/>
      </w:numPr>
      <w:spacing w:after="140" w:line="290" w:lineRule="auto"/>
      <w:jc w:val="both"/>
    </w:pPr>
    <w:rPr>
      <w:rFonts w:ascii="Times New Roman" w:eastAsia="Times New Roman" w:hAnsi="Times New Roman"/>
      <w:kern w:val="20"/>
      <w:sz w:val="22"/>
      <w:szCs w:val="20"/>
    </w:rPr>
  </w:style>
  <w:style w:type="paragraph" w:styleId="ListParagraph">
    <w:name w:val="List Paragraph"/>
    <w:basedOn w:val="Normal"/>
    <w:uiPriority w:val="34"/>
    <w:qFormat/>
    <w:rsid w:val="009D27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27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797"/>
    <w:rPr>
      <w:rFonts w:ascii="Arial" w:hAnsi="Arial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D27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797"/>
    <w:rPr>
      <w:rFonts w:ascii="Arial" w:hAnsi="Arial"/>
      <w:szCs w:val="22"/>
      <w:lang w:eastAsia="en-US"/>
    </w:rPr>
  </w:style>
  <w:style w:type="paragraph" w:styleId="Revision">
    <w:name w:val="Revision"/>
    <w:hidden/>
    <w:uiPriority w:val="99"/>
    <w:semiHidden/>
    <w:rsid w:val="00674778"/>
    <w:rPr>
      <w:rFonts w:ascii="Arial" w:hAnsi="Arial"/>
      <w:szCs w:val="22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67477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74CE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74CE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674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customXml" Target="/customXML/item2.xml" Id="imanage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firmwide\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L HS">
      <a:majorFont>
        <a:latin typeface="Arial"/>
        <a:ea typeface=""/>
        <a:cs typeface="Arial"/>
      </a:majorFont>
      <a:minorFont>
        <a:latin typeface="Arial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iManageProps" /></Relationships>
</file>

<file path=customXML/item2.xml><?xml version="1.0" encoding="utf-8"?>
<properties xmlns="http://www.imanage.com/work/xmlschema">
  <documentid>LLE!3222649306.14</documentid>
  <senderid>SUZANNA.BRUNTON@LINKLATERS.COM</senderid>
  <senderemail>SUZANNA.BRUNTON@LINKLATERS.COM</senderemail>
  <lastmodified>2026-10-06T18:14:00.0000000+02:00</lastmodified>
  <database>LLE</database>
</properties>
</file>

<file path=customXML/itemProps2.xml><?xml version="1.0" encoding="utf-8"?>
<ds:datastoreItem xmlns:ds="http://schemas.openxmlformats.org/officeDocument/2006/customXml" ds:itemID="{6AE3B324-4141-42A5-8304-05019D566751}">
  <ds:schemaRefs>
    <ds:schemaRef ds:uri="http://schemas.openxmlformats.org/officeDocument/2006/bibliography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34996-066B-4C42-85C0-F3C024C63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4</TotalTime>
  <Pages>2</Pages>
  <Words>485</Words>
  <Characters>2668</Characters>
  <Application>Microsoft Office Word</Application>
  <DocSecurity>0</DocSecurity>
  <Lines>50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</vt:lpstr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:subject/>
  <dc:creator>Linklaters</dc:creator>
  <cp:keywords/>
  <dc:description/>
  <cp:lastModifiedBy>Zanna</cp:lastModifiedBy>
  <cp:revision>5</cp:revision>
  <cp:lastPrinted>2026-09-16T14:29:00Z</cp:lastPrinted>
  <dcterms:created xsi:type="dcterms:W3CDTF">2026-10-06T16:11:00Z</dcterms:created>
  <dcterms:modified xsi:type="dcterms:W3CDTF">2026-10-06T16:14:00Z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 Code">
    <vt:lpwstr>10029737</vt:lpwstr>
  </property>
  <property fmtid="{D5CDD505-2E9C-101B-9397-08002B2CF9AE}" pid="3" name="Matter Number">
    <vt:lpwstr>L-344856</vt:lpwstr>
  </property>
  <property fmtid="{D5CDD505-2E9C-101B-9397-08002B2CF9AE}" pid="4" name="Document Number">
    <vt:lpwstr>3222649306</vt:lpwstr>
  </property>
  <property fmtid="{D5CDD505-2E9C-101B-9397-08002B2CF9AE}" pid="5" name="Linklaters.IManage.Plugin Version">
    <vt:lpwstr>9.0</vt:lpwstr>
  </property>
  <property fmtid="{D5CDD505-2E9C-101B-9397-08002B2CF9AE}" pid="6" name="Last Modified">
    <vt:lpwstr>06 Oct 2026</vt:lpwstr>
  </property>
  <property fmtid="{D5CDD505-2E9C-101B-9397-08002B2CF9AE}" pid="7" name="Version">
    <vt:lpwstr>14</vt:lpwstr>
  </property>
</Properties>
</file>