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1B38" w14:textId="77777777" w:rsidR="00551812" w:rsidRDefault="00551812">
      <w:pPr>
        <w:pStyle w:val="BodyText"/>
        <w:spacing w:before="10"/>
        <w:rPr>
          <w:sz w:val="19"/>
        </w:rPr>
      </w:pPr>
    </w:p>
    <w:p w14:paraId="3C531B39" w14:textId="77777777" w:rsidR="00551812" w:rsidRDefault="00A603CE">
      <w:pPr>
        <w:pStyle w:val="BodyText"/>
        <w:ind w:left="3588"/>
        <w:rPr>
          <w:sz w:val="20"/>
        </w:rPr>
      </w:pPr>
      <w:r>
        <w:rPr>
          <w:noProof/>
          <w:sz w:val="20"/>
        </w:rPr>
        <w:drawing>
          <wp:inline distT="0" distB="0" distL="0" distR="0" wp14:anchorId="3C531BF7" wp14:editId="3C531BF8">
            <wp:extent cx="1714500" cy="419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14500" cy="419100"/>
                    </a:xfrm>
                    <a:prstGeom prst="rect">
                      <a:avLst/>
                    </a:prstGeom>
                  </pic:spPr>
                </pic:pic>
              </a:graphicData>
            </a:graphic>
          </wp:inline>
        </w:drawing>
      </w:r>
    </w:p>
    <w:p w14:paraId="3C531B3A" w14:textId="77777777" w:rsidR="00551812" w:rsidRDefault="00551812">
      <w:pPr>
        <w:pStyle w:val="BodyText"/>
        <w:spacing w:before="8"/>
        <w:rPr>
          <w:sz w:val="15"/>
        </w:rPr>
      </w:pPr>
    </w:p>
    <w:p w14:paraId="3C531B3B" w14:textId="77777777" w:rsidR="00551812" w:rsidRDefault="00A603CE">
      <w:pPr>
        <w:spacing w:before="89"/>
        <w:ind w:left="568" w:right="569"/>
        <w:jc w:val="center"/>
        <w:rPr>
          <w:b/>
          <w:sz w:val="26"/>
        </w:rPr>
      </w:pPr>
      <w:r>
        <w:rPr>
          <w:b/>
          <w:sz w:val="26"/>
        </w:rPr>
        <w:t>International Swaps and Derivatives Association, Inc.</w:t>
      </w:r>
    </w:p>
    <w:p w14:paraId="3C531B3C" w14:textId="77777777" w:rsidR="00551812" w:rsidRDefault="00A603CE">
      <w:pPr>
        <w:spacing w:before="240"/>
        <w:ind w:left="568" w:right="569"/>
        <w:jc w:val="center"/>
        <w:rPr>
          <w:b/>
          <w:sz w:val="36"/>
        </w:rPr>
      </w:pPr>
      <w:r>
        <w:rPr>
          <w:b/>
          <w:sz w:val="36"/>
        </w:rPr>
        <w:t>CANADIAN CLEARING CLASSIFICATION LETTER</w:t>
      </w:r>
    </w:p>
    <w:p w14:paraId="3C531B3D" w14:textId="623B54EF" w:rsidR="00551812" w:rsidRDefault="00A603CE">
      <w:pPr>
        <w:pStyle w:val="Heading1"/>
        <w:spacing w:before="247"/>
        <w:ind w:left="568" w:right="568"/>
        <w:jc w:val="center"/>
        <w:rPr>
          <w:u w:val="none"/>
        </w:rPr>
      </w:pPr>
      <w:r>
        <w:rPr>
          <w:u w:val="none"/>
        </w:rPr>
        <w:t xml:space="preserve">Published on </w:t>
      </w:r>
      <w:r w:rsidR="00C42DFD">
        <w:rPr>
          <w:u w:val="none"/>
        </w:rPr>
        <w:t>May 12</w:t>
      </w:r>
      <w:r>
        <w:rPr>
          <w:u w:val="none"/>
        </w:rPr>
        <w:t>, 2022</w:t>
      </w:r>
    </w:p>
    <w:p w14:paraId="3C531B3E" w14:textId="77777777" w:rsidR="00551812" w:rsidRDefault="00A603CE">
      <w:pPr>
        <w:spacing w:before="7"/>
        <w:ind w:left="568" w:right="568"/>
        <w:jc w:val="center"/>
        <w:rPr>
          <w:b/>
        </w:rPr>
      </w:pPr>
      <w:r>
        <w:rPr>
          <w:b/>
        </w:rPr>
        <w:t>by the International Swaps and Derivatives Association, Inc.</w:t>
      </w:r>
    </w:p>
    <w:p w14:paraId="3C531B3F" w14:textId="77777777" w:rsidR="00551812" w:rsidRDefault="00A603CE">
      <w:pPr>
        <w:pStyle w:val="BodyText"/>
        <w:rPr>
          <w:b/>
          <w:sz w:val="21"/>
        </w:rPr>
      </w:pPr>
      <w:r>
        <w:pict w14:anchorId="3C531BF9">
          <v:shape id="_x0000_s1033" style="position:absolute;margin-left:55.25pt;margin-top:14.8pt;width:484.85pt;height:.1pt;z-index:-251658240;mso-wrap-distance-left:0;mso-wrap-distance-right:0;mso-position-horizontal-relative:page" coordorigin="1105,296" coordsize="9697,0" path="m1105,296r9697,e" filled="f" strokeweight="1.5pt">
            <v:path arrowok="t"/>
            <w10:wrap type="topAndBottom" anchorx="page"/>
          </v:shape>
        </w:pict>
      </w:r>
    </w:p>
    <w:p w14:paraId="3C531B40" w14:textId="77777777" w:rsidR="00551812" w:rsidRDefault="00551812">
      <w:pPr>
        <w:pStyle w:val="BodyText"/>
        <w:spacing w:before="9"/>
        <w:rPr>
          <w:b/>
          <w:sz w:val="12"/>
        </w:rPr>
      </w:pPr>
    </w:p>
    <w:p w14:paraId="3C531B41" w14:textId="77777777" w:rsidR="00551812" w:rsidRDefault="00A603CE">
      <w:pPr>
        <w:pStyle w:val="BodyText"/>
        <w:spacing w:before="91" w:line="247" w:lineRule="auto"/>
        <w:ind w:left="134" w:right="131"/>
        <w:jc w:val="both"/>
      </w:pPr>
      <w:r>
        <w:t xml:space="preserve">On January 19, 2017, the Canadian Securities Administrators published National Instrument 94-101, </w:t>
      </w:r>
      <w:r>
        <w:rPr>
          <w:i/>
        </w:rPr>
        <w:t xml:space="preserve">Mandatory Central Counterparty Clearing of </w:t>
      </w:r>
      <w:proofErr w:type="gramStart"/>
      <w:r>
        <w:rPr>
          <w:i/>
        </w:rPr>
        <w:t>Derivatives</w:t>
      </w:r>
      <w:proofErr w:type="gramEnd"/>
      <w:r>
        <w:rPr>
          <w:i/>
        </w:rPr>
        <w:t xml:space="preserve"> </w:t>
      </w:r>
      <w:r>
        <w:t>and a related companion policy (as amended, the “</w:t>
      </w:r>
      <w:r>
        <w:rPr>
          <w:b/>
          <w:i/>
        </w:rPr>
        <w:t>Canadian Mandatory Clearing Rule</w:t>
      </w:r>
      <w:r>
        <w:t>”). This classificatio</w:t>
      </w:r>
      <w:r>
        <w:t xml:space="preserve">n letter (this “letter”) allows market participants to provide their counterparties with status information </w:t>
      </w:r>
      <w:proofErr w:type="gramStart"/>
      <w:r>
        <w:t>in order to</w:t>
      </w:r>
      <w:proofErr w:type="gramEnd"/>
      <w:r>
        <w:t xml:space="preserve"> determine if they are in scope for purposes of the</w:t>
      </w:r>
      <w:r>
        <w:rPr>
          <w:spacing w:val="-11"/>
        </w:rPr>
        <w:t xml:space="preserve"> </w:t>
      </w:r>
      <w:r>
        <w:t>Canadian</w:t>
      </w:r>
      <w:r>
        <w:rPr>
          <w:spacing w:val="-10"/>
        </w:rPr>
        <w:t xml:space="preserve"> </w:t>
      </w:r>
      <w:r>
        <w:t>Mandatory</w:t>
      </w:r>
      <w:r>
        <w:rPr>
          <w:spacing w:val="-10"/>
        </w:rPr>
        <w:t xml:space="preserve"> </w:t>
      </w:r>
      <w:r>
        <w:t>Clearing</w:t>
      </w:r>
      <w:r>
        <w:rPr>
          <w:spacing w:val="-10"/>
        </w:rPr>
        <w:t xml:space="preserve"> </w:t>
      </w:r>
      <w:r>
        <w:t>Rule.</w:t>
      </w:r>
      <w:r>
        <w:rPr>
          <w:spacing w:val="35"/>
        </w:rPr>
        <w:t xml:space="preserve"> </w:t>
      </w:r>
      <w:r>
        <w:t>The</w:t>
      </w:r>
      <w:r>
        <w:rPr>
          <w:spacing w:val="-10"/>
        </w:rPr>
        <w:t xml:space="preserve"> </w:t>
      </w:r>
      <w:r>
        <w:t>representations</w:t>
      </w:r>
      <w:r>
        <w:rPr>
          <w:spacing w:val="-10"/>
        </w:rPr>
        <w:t xml:space="preserve"> </w:t>
      </w:r>
      <w:r>
        <w:t>in</w:t>
      </w:r>
      <w:r>
        <w:rPr>
          <w:spacing w:val="-10"/>
        </w:rPr>
        <w:t xml:space="preserve"> </w:t>
      </w:r>
      <w:r>
        <w:t>this</w:t>
      </w:r>
      <w:r>
        <w:rPr>
          <w:spacing w:val="-10"/>
        </w:rPr>
        <w:t xml:space="preserve"> </w:t>
      </w:r>
      <w:r>
        <w:t>letter</w:t>
      </w:r>
      <w:r>
        <w:rPr>
          <w:spacing w:val="-10"/>
        </w:rPr>
        <w:t xml:space="preserve"> </w:t>
      </w:r>
      <w:r>
        <w:t>are</w:t>
      </w:r>
      <w:r>
        <w:rPr>
          <w:spacing w:val="-10"/>
        </w:rPr>
        <w:t xml:space="preserve"> </w:t>
      </w:r>
      <w:r>
        <w:t>solely</w:t>
      </w:r>
      <w:r>
        <w:rPr>
          <w:spacing w:val="-10"/>
        </w:rPr>
        <w:t xml:space="preserve"> </w:t>
      </w:r>
      <w:r>
        <w:t>for</w:t>
      </w:r>
      <w:r>
        <w:rPr>
          <w:spacing w:val="-11"/>
        </w:rPr>
        <w:t xml:space="preserve"> </w:t>
      </w:r>
      <w:r>
        <w:t>t</w:t>
      </w:r>
      <w:r>
        <w:t>he</w:t>
      </w:r>
      <w:r>
        <w:rPr>
          <w:spacing w:val="-10"/>
        </w:rPr>
        <w:t xml:space="preserve"> </w:t>
      </w:r>
      <w:r>
        <w:t>purposes</w:t>
      </w:r>
      <w:r>
        <w:rPr>
          <w:spacing w:val="-10"/>
        </w:rPr>
        <w:t xml:space="preserve"> </w:t>
      </w:r>
      <w:r>
        <w:t>of</w:t>
      </w:r>
      <w:r>
        <w:rPr>
          <w:spacing w:val="-10"/>
        </w:rPr>
        <w:t xml:space="preserve"> </w:t>
      </w:r>
      <w:r>
        <w:t>making that</w:t>
      </w:r>
      <w:r>
        <w:rPr>
          <w:spacing w:val="-1"/>
        </w:rPr>
        <w:t xml:space="preserve"> </w:t>
      </w:r>
      <w:r>
        <w:t>determination.</w:t>
      </w:r>
    </w:p>
    <w:p w14:paraId="3C531B42" w14:textId="77777777" w:rsidR="00551812" w:rsidRDefault="00551812">
      <w:pPr>
        <w:pStyle w:val="BodyText"/>
        <w:spacing w:before="3"/>
      </w:pPr>
    </w:p>
    <w:p w14:paraId="3C531B43" w14:textId="77777777" w:rsidR="00551812" w:rsidRDefault="00A603CE">
      <w:pPr>
        <w:ind w:left="568" w:right="568"/>
        <w:jc w:val="center"/>
        <w:rPr>
          <w:b/>
          <w:i/>
        </w:rPr>
      </w:pPr>
      <w:r>
        <w:rPr>
          <w:b/>
          <w:i/>
        </w:rPr>
        <w:t>Capitalized terms used in this letter are defined in Appendix I.</w:t>
      </w:r>
    </w:p>
    <w:p w14:paraId="3C531B44" w14:textId="77777777" w:rsidR="00551812" w:rsidRDefault="00A603CE">
      <w:pPr>
        <w:pStyle w:val="BodyText"/>
        <w:rPr>
          <w:b/>
          <w:i/>
          <w:sz w:val="21"/>
        </w:rPr>
      </w:pPr>
      <w:r>
        <w:pict w14:anchorId="3C531BFA">
          <v:shape id="_x0000_s1032" style="position:absolute;margin-left:55.25pt;margin-top:14.8pt;width:484.85pt;height:.1pt;z-index:-251657216;mso-wrap-distance-left:0;mso-wrap-distance-right:0;mso-position-horizontal-relative:page" coordorigin="1105,296" coordsize="9697,0" path="m1105,296r9697,e" filled="f" strokeweight="1.5pt">
            <v:path arrowok="t"/>
            <w10:wrap type="topAndBottom" anchorx="page"/>
          </v:shape>
        </w:pict>
      </w:r>
    </w:p>
    <w:p w14:paraId="3C531B45" w14:textId="77777777" w:rsidR="00551812" w:rsidRDefault="00551812">
      <w:pPr>
        <w:pStyle w:val="BodyText"/>
        <w:rPr>
          <w:b/>
          <w:i/>
          <w:sz w:val="11"/>
        </w:rPr>
      </w:pPr>
    </w:p>
    <w:p w14:paraId="3C531B46" w14:textId="77777777" w:rsidR="00551812" w:rsidRDefault="00A603CE">
      <w:pPr>
        <w:pStyle w:val="Heading1"/>
        <w:rPr>
          <w:u w:val="none"/>
        </w:rPr>
      </w:pPr>
      <w:r>
        <w:rPr>
          <w:u w:val="none"/>
        </w:rPr>
        <w:t>CLASSIFICATION STATEMENTS</w:t>
      </w:r>
    </w:p>
    <w:p w14:paraId="3C531B47" w14:textId="77777777" w:rsidR="00551812" w:rsidRDefault="00551812">
      <w:pPr>
        <w:pStyle w:val="BodyText"/>
        <w:spacing w:before="6"/>
        <w:rPr>
          <w:b/>
          <w:sz w:val="21"/>
        </w:rPr>
      </w:pPr>
    </w:p>
    <w:p w14:paraId="3C531B48" w14:textId="77777777" w:rsidR="00551812" w:rsidRDefault="00A603CE">
      <w:pPr>
        <w:tabs>
          <w:tab w:val="left" w:pos="1574"/>
        </w:tabs>
        <w:ind w:left="134"/>
        <w:rPr>
          <w:b/>
        </w:rPr>
      </w:pPr>
      <w:r>
        <w:rPr>
          <w:b/>
        </w:rPr>
        <w:t>Question 1:</w:t>
      </w:r>
      <w:r>
        <w:rPr>
          <w:b/>
        </w:rPr>
        <w:tab/>
      </w:r>
      <w:r>
        <w:rPr>
          <w:b/>
          <w:u w:val="thick"/>
        </w:rPr>
        <w:t>Clearing Agency</w:t>
      </w:r>
      <w:r>
        <w:rPr>
          <w:b/>
          <w:spacing w:val="-2"/>
          <w:u w:val="thick"/>
        </w:rPr>
        <w:t xml:space="preserve"> </w:t>
      </w:r>
      <w:r>
        <w:rPr>
          <w:b/>
          <w:u w:val="thick"/>
        </w:rPr>
        <w:t>Participant</w:t>
      </w:r>
    </w:p>
    <w:p w14:paraId="3C531B49" w14:textId="77777777" w:rsidR="00551812" w:rsidRDefault="00551812">
      <w:pPr>
        <w:pStyle w:val="BodyText"/>
        <w:spacing w:before="6"/>
        <w:rPr>
          <w:b/>
          <w:sz w:val="13"/>
        </w:rPr>
      </w:pPr>
    </w:p>
    <w:p w14:paraId="3C531B4A" w14:textId="77777777" w:rsidR="00551812" w:rsidRDefault="00A603CE">
      <w:pPr>
        <w:pStyle w:val="BodyText"/>
        <w:tabs>
          <w:tab w:val="left" w:pos="1510"/>
        </w:tabs>
        <w:spacing w:before="91" w:line="247" w:lineRule="auto"/>
        <w:ind w:left="134" w:right="132"/>
        <w:rPr>
          <w:sz w:val="14"/>
        </w:rPr>
      </w:pPr>
      <w:r>
        <w:rPr>
          <w:b/>
          <w:i/>
          <w:u w:val="thick"/>
        </w:rPr>
        <w:t>Instructions</w:t>
      </w:r>
      <w:r>
        <w:t>:</w:t>
      </w:r>
      <w:r>
        <w:tab/>
      </w:r>
      <w:r>
        <w:t>Please indicate below each OTC RCA (if any) with which you are a Clearing Agency Participant.</w:t>
      </w:r>
      <w:r>
        <w:rPr>
          <w:position w:val="7"/>
          <w:sz w:val="14"/>
        </w:rPr>
        <w:t>1</w:t>
      </w:r>
    </w:p>
    <w:p w14:paraId="3C531B4B" w14:textId="77777777" w:rsidR="00551812" w:rsidRDefault="00551812">
      <w:pPr>
        <w:pStyle w:val="BodyText"/>
        <w:spacing w:before="9"/>
        <w:rPr>
          <w:sz w:val="20"/>
        </w:rPr>
      </w:pPr>
    </w:p>
    <w:p w14:paraId="3C531B4C" w14:textId="77777777" w:rsidR="00551812" w:rsidRDefault="00A603CE">
      <w:pPr>
        <w:pStyle w:val="BodyText"/>
        <w:ind w:left="843"/>
      </w:pPr>
      <w:r>
        <w:t>We are a Clearing Participant of the following OTC RCAs:</w:t>
      </w:r>
    </w:p>
    <w:p w14:paraId="3C531B4D" w14:textId="77777777" w:rsidR="00551812" w:rsidRDefault="00551812">
      <w:pPr>
        <w:pStyle w:val="BodyText"/>
        <w:rPr>
          <w:sz w:val="20"/>
        </w:rPr>
      </w:pPr>
    </w:p>
    <w:p w14:paraId="3C531B4E" w14:textId="77777777" w:rsidR="00551812" w:rsidRDefault="00A603CE">
      <w:pPr>
        <w:pStyle w:val="BodyText"/>
        <w:spacing w:before="1"/>
        <w:rPr>
          <w:sz w:val="20"/>
        </w:rPr>
      </w:pPr>
      <w:r>
        <w:pict w14:anchorId="3C531BFB">
          <v:shape id="_x0000_s1031" style="position:absolute;margin-left:106.2pt;margin-top:13.8pt;width:220.25pt;height:.1pt;z-index:-251656192;mso-wrap-distance-left:0;mso-wrap-distance-right:0;mso-position-horizontal-relative:page" coordorigin="2124,276" coordsize="4405,0" path="m2124,276r4405,e" filled="f" strokeweight=".5pt">
            <v:path arrowok="t"/>
            <w10:wrap type="topAndBottom" anchorx="page"/>
          </v:shape>
        </w:pict>
      </w:r>
    </w:p>
    <w:p w14:paraId="3C531B4F" w14:textId="77777777" w:rsidR="00551812" w:rsidRDefault="00551812">
      <w:pPr>
        <w:pStyle w:val="BodyText"/>
        <w:rPr>
          <w:sz w:val="11"/>
        </w:rPr>
      </w:pPr>
    </w:p>
    <w:p w14:paraId="3C531B50" w14:textId="77777777" w:rsidR="00551812" w:rsidRDefault="00A603CE">
      <w:pPr>
        <w:pStyle w:val="BodyText"/>
        <w:spacing w:before="91"/>
        <w:ind w:left="854"/>
      </w:pPr>
      <w:r>
        <w:t xml:space="preserve">We are </w:t>
      </w:r>
      <w:r>
        <w:rPr>
          <w:u w:val="single"/>
        </w:rPr>
        <w:t>not</w:t>
      </w:r>
      <w:r>
        <w:t xml:space="preserve"> a Clearing Participant of any OTC RCA</w:t>
      </w:r>
    </w:p>
    <w:p w14:paraId="3C531B51" w14:textId="77777777" w:rsidR="00551812" w:rsidRDefault="00551812">
      <w:pPr>
        <w:pStyle w:val="BodyText"/>
        <w:spacing w:before="7"/>
        <w:rPr>
          <w:sz w:val="13"/>
        </w:rPr>
      </w:pPr>
    </w:p>
    <w:p w14:paraId="3C531B52" w14:textId="77777777" w:rsidR="00551812" w:rsidRDefault="00A603CE">
      <w:pPr>
        <w:pStyle w:val="Heading1"/>
        <w:tabs>
          <w:tab w:val="left" w:pos="1574"/>
        </w:tabs>
        <w:rPr>
          <w:sz w:val="14"/>
          <w:u w:val="none"/>
        </w:rPr>
      </w:pPr>
      <w:r>
        <w:pict w14:anchorId="3C531BFC">
          <v:line id="_x0000_s1030" style="position:absolute;left:0;text-align:left;z-index:251662336;mso-position-horizontal-relative:page" from="128.7pt,16.5pt" to="270.3pt,16.5pt" strokeweight=".36494mm">
            <w10:wrap anchorx="page"/>
          </v:line>
        </w:pict>
      </w:r>
      <w:r>
        <w:rPr>
          <w:u w:val="thick"/>
        </w:rPr>
        <w:t>Question 2</w:t>
      </w:r>
      <w:r>
        <w:rPr>
          <w:u w:val="none"/>
        </w:rPr>
        <w:t>:</w:t>
      </w:r>
      <w:r>
        <w:rPr>
          <w:u w:val="none"/>
        </w:rPr>
        <w:tab/>
        <w:t>Clearing Participant</w:t>
      </w:r>
      <w:r>
        <w:rPr>
          <w:spacing w:val="-1"/>
          <w:u w:val="none"/>
        </w:rPr>
        <w:t xml:space="preserve"> </w:t>
      </w:r>
      <w:r>
        <w:rPr>
          <w:u w:val="none"/>
        </w:rPr>
        <w:t>Affiliate</w:t>
      </w:r>
      <w:r>
        <w:rPr>
          <w:position w:val="7"/>
          <w:sz w:val="14"/>
          <w:u w:val="none"/>
        </w:rPr>
        <w:t>2</w:t>
      </w:r>
    </w:p>
    <w:p w14:paraId="3C531B53" w14:textId="77777777" w:rsidR="00551812" w:rsidRDefault="00551812">
      <w:pPr>
        <w:pStyle w:val="BodyText"/>
        <w:spacing w:before="6"/>
        <w:rPr>
          <w:b/>
          <w:sz w:val="13"/>
        </w:rPr>
      </w:pPr>
    </w:p>
    <w:p w14:paraId="3C531B54" w14:textId="77777777" w:rsidR="00551812" w:rsidRDefault="00A603CE">
      <w:pPr>
        <w:pStyle w:val="BodyText"/>
        <w:spacing w:before="91"/>
        <w:ind w:left="134"/>
      </w:pPr>
      <w:r>
        <w:rPr>
          <w:b/>
          <w:i/>
          <w:u w:val="thick"/>
        </w:rPr>
        <w:t>Instructions:</w:t>
      </w:r>
      <w:r>
        <w:rPr>
          <w:b/>
          <w:i/>
        </w:rPr>
        <w:t xml:space="preserve"> </w:t>
      </w:r>
      <w:r>
        <w:t>Please make one of the two representations below by checking the relevant box.</w:t>
      </w:r>
    </w:p>
    <w:p w14:paraId="3C531B55" w14:textId="77777777" w:rsidR="00551812" w:rsidRDefault="00551812">
      <w:pPr>
        <w:pStyle w:val="BodyText"/>
        <w:spacing w:before="7"/>
        <w:rPr>
          <w:sz w:val="13"/>
        </w:rPr>
      </w:pPr>
    </w:p>
    <w:p w14:paraId="3C531B56" w14:textId="77777777" w:rsidR="00551812" w:rsidRDefault="00A603CE">
      <w:pPr>
        <w:pStyle w:val="BodyText"/>
        <w:spacing w:before="91" w:line="475" w:lineRule="auto"/>
        <w:ind w:left="843" w:right="5323"/>
      </w:pPr>
      <w:r>
        <w:t xml:space="preserve">We are a Clearing Participant Affiliate We are </w:t>
      </w:r>
      <w:r>
        <w:rPr>
          <w:u w:val="single"/>
        </w:rPr>
        <w:t>not</w:t>
      </w:r>
      <w:r>
        <w:t xml:space="preserve"> a Clearing Participant</w:t>
      </w:r>
      <w:r>
        <w:rPr>
          <w:spacing w:val="8"/>
        </w:rPr>
        <w:t xml:space="preserve"> </w:t>
      </w:r>
      <w:r>
        <w:rPr>
          <w:spacing w:val="-3"/>
        </w:rPr>
        <w:t>Affiliate</w:t>
      </w:r>
    </w:p>
    <w:p w14:paraId="3C531B57" w14:textId="77777777" w:rsidR="00551812" w:rsidRDefault="00A603CE">
      <w:pPr>
        <w:pStyle w:val="Heading1"/>
        <w:spacing w:before="0" w:line="251" w:lineRule="exact"/>
        <w:rPr>
          <w:u w:val="none"/>
        </w:rPr>
      </w:pPr>
      <w:r>
        <w:rPr>
          <w:u w:val="thick"/>
        </w:rPr>
        <w:t>Question 3:</w:t>
      </w:r>
      <w:r>
        <w:rPr>
          <w:u w:val="none"/>
        </w:rPr>
        <w:t xml:space="preserve"> </w:t>
      </w:r>
      <w:r>
        <w:rPr>
          <w:u w:val="thick"/>
        </w:rPr>
        <w:t>Large Notional Counterparty</w:t>
      </w:r>
    </w:p>
    <w:p w14:paraId="3C531B58" w14:textId="77777777" w:rsidR="00551812" w:rsidRDefault="00551812">
      <w:pPr>
        <w:pStyle w:val="BodyText"/>
        <w:spacing w:before="6"/>
        <w:rPr>
          <w:b/>
          <w:sz w:val="13"/>
        </w:rPr>
      </w:pPr>
    </w:p>
    <w:p w14:paraId="3C531B59" w14:textId="77777777" w:rsidR="00551812" w:rsidRDefault="00A603CE">
      <w:pPr>
        <w:pStyle w:val="BodyText"/>
        <w:spacing w:before="91" w:line="247" w:lineRule="auto"/>
        <w:ind w:left="134"/>
      </w:pPr>
      <w:r>
        <w:rPr>
          <w:b/>
          <w:i/>
          <w:u w:val="thick"/>
        </w:rPr>
        <w:t>Instructions</w:t>
      </w:r>
      <w:r>
        <w:rPr>
          <w:b/>
          <w:i/>
        </w:rPr>
        <w:t xml:space="preserve">: </w:t>
      </w:r>
      <w:r>
        <w:t>Please make one of the two representations below by checking the relevant box (regardless of your response to Question 1).</w:t>
      </w:r>
    </w:p>
    <w:p w14:paraId="3C531B5A" w14:textId="77777777" w:rsidR="00551812" w:rsidRDefault="00551812">
      <w:pPr>
        <w:pStyle w:val="BodyText"/>
        <w:spacing w:before="9"/>
        <w:rPr>
          <w:sz w:val="20"/>
        </w:rPr>
      </w:pPr>
    </w:p>
    <w:p w14:paraId="3C531B5B" w14:textId="77777777" w:rsidR="00551812" w:rsidRDefault="00A603CE">
      <w:pPr>
        <w:pStyle w:val="BodyText"/>
        <w:ind w:left="843"/>
      </w:pPr>
      <w:r>
        <w:t>We are a Large Notional Counterparty</w:t>
      </w:r>
    </w:p>
    <w:p w14:paraId="3C531B5C" w14:textId="77777777" w:rsidR="00551812" w:rsidRDefault="00A603CE">
      <w:pPr>
        <w:pStyle w:val="BodyText"/>
        <w:spacing w:before="9"/>
        <w:rPr>
          <w:sz w:val="17"/>
        </w:rPr>
      </w:pPr>
      <w:r>
        <w:pict w14:anchorId="3C531BFD">
          <v:shape id="_x0000_s1029" style="position:absolute;margin-left:56.7pt;margin-top:12.6pt;width:143.5pt;height:.1pt;z-index:-251655168;mso-wrap-distance-left:0;mso-wrap-distance-right:0;mso-position-horizontal-relative:page" coordorigin="1134,252" coordsize="2870,0" path="m1134,252r2870,e" filled="f" strokeweight=".72pt">
            <v:path arrowok="t"/>
            <w10:wrap type="topAndBottom" anchorx="page"/>
          </v:shape>
        </w:pict>
      </w:r>
    </w:p>
    <w:p w14:paraId="3C531B5D" w14:textId="77777777" w:rsidR="00551812" w:rsidRDefault="00A603CE">
      <w:pPr>
        <w:spacing w:before="69"/>
        <w:ind w:left="134" w:right="131"/>
        <w:jc w:val="both"/>
        <w:rPr>
          <w:sz w:val="16"/>
        </w:rPr>
      </w:pPr>
      <w:r>
        <w:rPr>
          <w:position w:val="5"/>
          <w:sz w:val="10"/>
        </w:rPr>
        <w:t xml:space="preserve">1 </w:t>
      </w:r>
      <w:r>
        <w:rPr>
          <w:sz w:val="16"/>
        </w:rPr>
        <w:t>The relevant OTC RCAs will depend on the jurisdiction(s) in which the party using this lett</w:t>
      </w:r>
      <w:r>
        <w:rPr>
          <w:sz w:val="16"/>
        </w:rPr>
        <w:t>er to request information is a Local Counterparty. Parties using this letter should list the potential in-scope OTC RCAs to assist the recipient in completing this letter. Clearing agencies or clearing houses may be added over time if additional OTC RCAs a</w:t>
      </w:r>
      <w:r>
        <w:rPr>
          <w:sz w:val="16"/>
        </w:rPr>
        <w:t>re recognized or exempt from recognition in the future.</w:t>
      </w:r>
    </w:p>
    <w:p w14:paraId="3C531B5E" w14:textId="77777777" w:rsidR="00551812" w:rsidRDefault="00A603CE">
      <w:pPr>
        <w:ind w:left="134"/>
        <w:jc w:val="both"/>
        <w:rPr>
          <w:sz w:val="16"/>
        </w:rPr>
      </w:pPr>
      <w:r>
        <w:rPr>
          <w:position w:val="5"/>
          <w:sz w:val="10"/>
        </w:rPr>
        <w:t xml:space="preserve">2 </w:t>
      </w:r>
      <w:r>
        <w:rPr>
          <w:sz w:val="16"/>
        </w:rPr>
        <w:t>For purposes of determining whether you are a Clearing Participant Affiliate, you should only have regard to the OTC RCAs listed in Question 1.</w:t>
      </w:r>
    </w:p>
    <w:p w14:paraId="3C531B5F" w14:textId="77777777" w:rsidR="00551812" w:rsidRDefault="00551812">
      <w:pPr>
        <w:jc w:val="both"/>
        <w:rPr>
          <w:sz w:val="16"/>
        </w:rPr>
        <w:sectPr w:rsidR="00551812" w:rsidSect="00030791">
          <w:footerReference w:type="default" r:id="rId8"/>
          <w:footerReference w:type="first" r:id="rId9"/>
          <w:type w:val="continuous"/>
          <w:pgSz w:w="11910" w:h="16840"/>
          <w:pgMar w:top="1580" w:right="1000" w:bottom="880" w:left="1000" w:header="720" w:footer="698" w:gutter="0"/>
          <w:pgNumType w:start="1"/>
          <w:cols w:space="720"/>
          <w:titlePg/>
          <w:docGrid w:linePitch="299"/>
        </w:sectPr>
      </w:pPr>
    </w:p>
    <w:p w14:paraId="3C531B60" w14:textId="77777777" w:rsidR="00551812" w:rsidRDefault="00A603CE">
      <w:pPr>
        <w:pStyle w:val="BodyText"/>
        <w:spacing w:before="76"/>
        <w:ind w:left="843"/>
      </w:pPr>
      <w:r>
        <w:lastRenderedPageBreak/>
        <w:t xml:space="preserve">We are </w:t>
      </w:r>
      <w:r>
        <w:rPr>
          <w:u w:val="single"/>
        </w:rPr>
        <w:t>not</w:t>
      </w:r>
      <w:r>
        <w:t xml:space="preserve"> a Large Notional Counterparty</w:t>
      </w:r>
    </w:p>
    <w:p w14:paraId="3C531B61" w14:textId="77777777" w:rsidR="00551812" w:rsidRDefault="00551812">
      <w:pPr>
        <w:pStyle w:val="BodyText"/>
        <w:spacing w:before="6"/>
        <w:rPr>
          <w:sz w:val="13"/>
        </w:rPr>
      </w:pPr>
    </w:p>
    <w:p w14:paraId="3C531B62" w14:textId="77777777" w:rsidR="00551812" w:rsidRDefault="00A603CE">
      <w:pPr>
        <w:pStyle w:val="Heading1"/>
        <w:rPr>
          <w:u w:val="none"/>
        </w:rPr>
      </w:pPr>
      <w:r>
        <w:rPr>
          <w:u w:val="thick"/>
        </w:rPr>
        <w:t>Question 4:</w:t>
      </w:r>
      <w:r>
        <w:rPr>
          <w:u w:val="none"/>
        </w:rPr>
        <w:t xml:space="preserve"> </w:t>
      </w:r>
      <w:r>
        <w:rPr>
          <w:u w:val="thick"/>
        </w:rPr>
        <w:t>Notional Threshold Information</w:t>
      </w:r>
    </w:p>
    <w:p w14:paraId="3C531B63" w14:textId="77777777" w:rsidR="00551812" w:rsidRDefault="00551812">
      <w:pPr>
        <w:pStyle w:val="BodyText"/>
        <w:spacing w:before="5"/>
        <w:rPr>
          <w:b/>
          <w:sz w:val="15"/>
        </w:rPr>
      </w:pPr>
    </w:p>
    <w:p w14:paraId="3C531B64" w14:textId="77777777" w:rsidR="00551812" w:rsidRDefault="00A603CE">
      <w:pPr>
        <w:pStyle w:val="BodyText"/>
        <w:spacing w:before="91"/>
        <w:ind w:left="134" w:right="132"/>
        <w:jc w:val="both"/>
      </w:pPr>
      <w:r>
        <w:rPr>
          <w:b/>
          <w:i/>
          <w:u w:val="thick"/>
        </w:rPr>
        <w:t>Instructions</w:t>
      </w:r>
      <w:r>
        <w:rPr>
          <w:b/>
          <w:i/>
        </w:rPr>
        <w:t xml:space="preserve">: </w:t>
      </w:r>
      <w:r>
        <w:t>If you are a Large Notional Counterparty, please indicate whether you intend to take advantage of</w:t>
      </w:r>
      <w:r>
        <w:rPr>
          <w:spacing w:val="-4"/>
        </w:rPr>
        <w:t xml:space="preserve"> </w:t>
      </w:r>
      <w:r>
        <w:t>the</w:t>
      </w:r>
      <w:r>
        <w:rPr>
          <w:spacing w:val="-4"/>
        </w:rPr>
        <w:t xml:space="preserve"> </w:t>
      </w:r>
      <w:r>
        <w:t>90-day</w:t>
      </w:r>
      <w:r>
        <w:rPr>
          <w:spacing w:val="-4"/>
        </w:rPr>
        <w:t xml:space="preserve"> </w:t>
      </w:r>
      <w:r>
        <w:t>transition</w:t>
      </w:r>
      <w:r>
        <w:rPr>
          <w:spacing w:val="-3"/>
        </w:rPr>
        <w:t xml:space="preserve"> </w:t>
      </w:r>
      <w:r>
        <w:t>period</w:t>
      </w:r>
      <w:r>
        <w:rPr>
          <w:spacing w:val="-4"/>
        </w:rPr>
        <w:t xml:space="preserve"> </w:t>
      </w:r>
      <w:r>
        <w:t>under</w:t>
      </w:r>
      <w:r>
        <w:rPr>
          <w:spacing w:val="-4"/>
        </w:rPr>
        <w:t xml:space="preserve"> </w:t>
      </w:r>
      <w:r>
        <w:t>paragraph</w:t>
      </w:r>
      <w:r>
        <w:rPr>
          <w:spacing w:val="-3"/>
        </w:rPr>
        <w:t xml:space="preserve"> </w:t>
      </w:r>
      <w:r>
        <w:t>3(2)</w:t>
      </w:r>
      <w:r>
        <w:rPr>
          <w:spacing w:val="-4"/>
        </w:rPr>
        <w:t xml:space="preserve"> </w:t>
      </w:r>
      <w:r>
        <w:t>of</w:t>
      </w:r>
      <w:r>
        <w:rPr>
          <w:spacing w:val="-4"/>
        </w:rPr>
        <w:t xml:space="preserve"> </w:t>
      </w:r>
      <w:r>
        <w:t>the</w:t>
      </w:r>
      <w:r>
        <w:rPr>
          <w:spacing w:val="-4"/>
        </w:rPr>
        <w:t xml:space="preserve"> </w:t>
      </w:r>
      <w:r>
        <w:t>Canadian</w:t>
      </w:r>
      <w:r>
        <w:rPr>
          <w:spacing w:val="-3"/>
        </w:rPr>
        <w:t xml:space="preserve"> </w:t>
      </w:r>
      <w:r>
        <w:t>Mandatory</w:t>
      </w:r>
      <w:r>
        <w:rPr>
          <w:spacing w:val="-4"/>
        </w:rPr>
        <w:t xml:space="preserve"> </w:t>
      </w:r>
      <w:r>
        <w:t>Clearing</w:t>
      </w:r>
      <w:r>
        <w:rPr>
          <w:spacing w:val="-3"/>
        </w:rPr>
        <w:t xml:space="preserve"> </w:t>
      </w:r>
      <w:r>
        <w:t>Rule</w:t>
      </w:r>
      <w:r>
        <w:rPr>
          <w:spacing w:val="-3"/>
        </w:rPr>
        <w:t xml:space="preserve"> </w:t>
      </w:r>
      <w:r>
        <w:t>(this</w:t>
      </w:r>
      <w:r>
        <w:rPr>
          <w:spacing w:val="-3"/>
        </w:rPr>
        <w:t xml:space="preserve"> </w:t>
      </w:r>
      <w:r>
        <w:t xml:space="preserve">transition period is not available if you have indicated that </w:t>
      </w:r>
      <w:r>
        <w:t>you are a Clearing Agency Participant in Question 1 or a Clearing Participant Affiliate in Question</w:t>
      </w:r>
      <w:r>
        <w:rPr>
          <w:spacing w:val="-2"/>
        </w:rPr>
        <w:t xml:space="preserve"> </w:t>
      </w:r>
      <w:r>
        <w:t>2).</w:t>
      </w:r>
    </w:p>
    <w:p w14:paraId="3C531B65" w14:textId="77777777" w:rsidR="00551812" w:rsidRDefault="00551812">
      <w:pPr>
        <w:pStyle w:val="BodyText"/>
        <w:spacing w:before="6"/>
        <w:rPr>
          <w:sz w:val="21"/>
        </w:rPr>
      </w:pPr>
    </w:p>
    <w:p w14:paraId="3C531B66" w14:textId="77777777" w:rsidR="00551812" w:rsidRDefault="00A603CE">
      <w:pPr>
        <w:pStyle w:val="BodyText"/>
        <w:spacing w:line="475" w:lineRule="auto"/>
        <w:ind w:left="843" w:right="5182" w:firstLine="11"/>
        <w:jc w:val="both"/>
      </w:pPr>
      <w:r>
        <w:t xml:space="preserve">We will use the 90-day transition period We will </w:t>
      </w:r>
      <w:r>
        <w:rPr>
          <w:u w:val="single"/>
        </w:rPr>
        <w:t>not</w:t>
      </w:r>
      <w:r>
        <w:t xml:space="preserve"> use the 90-day transition </w:t>
      </w:r>
      <w:r>
        <w:rPr>
          <w:spacing w:val="-3"/>
        </w:rPr>
        <w:t>period</w:t>
      </w:r>
    </w:p>
    <w:p w14:paraId="3C531B67" w14:textId="77777777" w:rsidR="00551812" w:rsidRDefault="00551812">
      <w:pPr>
        <w:pStyle w:val="BodyText"/>
        <w:spacing w:before="5"/>
        <w:rPr>
          <w:sz w:val="14"/>
        </w:rPr>
      </w:pPr>
    </w:p>
    <w:p w14:paraId="3C531B68" w14:textId="77777777" w:rsidR="00551812" w:rsidRDefault="00A603CE">
      <w:pPr>
        <w:pStyle w:val="BodyText"/>
        <w:spacing w:before="91"/>
        <w:ind w:left="134" w:right="131"/>
        <w:jc w:val="both"/>
      </w:pPr>
      <w:r>
        <w:t>If you have indicated above that you intend to use the 90-day transition period, please specify the first month and</w:t>
      </w:r>
      <w:r>
        <w:rPr>
          <w:spacing w:val="-15"/>
        </w:rPr>
        <w:t xml:space="preserve"> </w:t>
      </w:r>
      <w:r>
        <w:t>year</w:t>
      </w:r>
      <w:r>
        <w:rPr>
          <w:position w:val="7"/>
          <w:sz w:val="14"/>
        </w:rPr>
        <w:t>3</w:t>
      </w:r>
      <w:r>
        <w:rPr>
          <w:spacing w:val="19"/>
          <w:position w:val="7"/>
          <w:sz w:val="14"/>
        </w:rPr>
        <w:t xml:space="preserve"> </w:t>
      </w:r>
      <w:r>
        <w:t>in</w:t>
      </w:r>
      <w:r>
        <w:rPr>
          <w:spacing w:val="-15"/>
        </w:rPr>
        <w:t xml:space="preserve"> </w:t>
      </w:r>
      <w:r>
        <w:t>which</w:t>
      </w:r>
      <w:r>
        <w:rPr>
          <w:spacing w:val="-15"/>
        </w:rPr>
        <w:t xml:space="preserve"> </w:t>
      </w:r>
      <w:r>
        <w:t>you</w:t>
      </w:r>
      <w:r>
        <w:rPr>
          <w:spacing w:val="-14"/>
        </w:rPr>
        <w:t xml:space="preserve"> </w:t>
      </w:r>
      <w:r>
        <w:t>exceeded</w:t>
      </w:r>
      <w:r>
        <w:rPr>
          <w:spacing w:val="-15"/>
        </w:rPr>
        <w:t xml:space="preserve"> </w:t>
      </w:r>
      <w:r>
        <w:t>the</w:t>
      </w:r>
      <w:r>
        <w:rPr>
          <w:spacing w:val="-15"/>
        </w:rPr>
        <w:t xml:space="preserve"> </w:t>
      </w:r>
      <w:r>
        <w:t>month-end</w:t>
      </w:r>
      <w:r>
        <w:rPr>
          <w:spacing w:val="-15"/>
        </w:rPr>
        <w:t xml:space="preserve"> </w:t>
      </w:r>
      <w:r>
        <w:t>gross</w:t>
      </w:r>
      <w:r>
        <w:rPr>
          <w:spacing w:val="-14"/>
        </w:rPr>
        <w:t xml:space="preserve"> </w:t>
      </w:r>
      <w:r>
        <w:t>notional</w:t>
      </w:r>
      <w:r>
        <w:rPr>
          <w:spacing w:val="-15"/>
        </w:rPr>
        <w:t xml:space="preserve"> </w:t>
      </w:r>
      <w:r>
        <w:t>amount</w:t>
      </w:r>
      <w:r>
        <w:rPr>
          <w:spacing w:val="-15"/>
        </w:rPr>
        <w:t xml:space="preserve"> </w:t>
      </w:r>
      <w:r>
        <w:t>in</w:t>
      </w:r>
      <w:r>
        <w:rPr>
          <w:spacing w:val="-15"/>
        </w:rPr>
        <w:t xml:space="preserve"> </w:t>
      </w:r>
      <w:r>
        <w:t>accordance</w:t>
      </w:r>
      <w:r>
        <w:rPr>
          <w:spacing w:val="-14"/>
        </w:rPr>
        <w:t xml:space="preserve"> </w:t>
      </w:r>
      <w:r>
        <w:t>with</w:t>
      </w:r>
      <w:r>
        <w:rPr>
          <w:spacing w:val="-15"/>
        </w:rPr>
        <w:t xml:space="preserve"> </w:t>
      </w:r>
      <w:r>
        <w:t>paragraph</w:t>
      </w:r>
      <w:r>
        <w:rPr>
          <w:spacing w:val="-15"/>
        </w:rPr>
        <w:t xml:space="preserve"> </w:t>
      </w:r>
      <w:r>
        <w:t>3(1)(c)(ii) of the Canadian Mandatory Clearing</w:t>
      </w:r>
      <w:r>
        <w:rPr>
          <w:spacing w:val="-2"/>
        </w:rPr>
        <w:t xml:space="preserve"> </w:t>
      </w:r>
      <w:r>
        <w:t>Rule:</w:t>
      </w:r>
    </w:p>
    <w:p w14:paraId="3C531B69" w14:textId="77777777" w:rsidR="00551812" w:rsidRDefault="00551812">
      <w:pPr>
        <w:pStyle w:val="BodyText"/>
      </w:pPr>
    </w:p>
    <w:p w14:paraId="3C531B6A" w14:textId="77777777" w:rsidR="00551812" w:rsidRDefault="00A603CE">
      <w:pPr>
        <w:pStyle w:val="BodyText"/>
        <w:tabs>
          <w:tab w:val="left" w:pos="8474"/>
        </w:tabs>
        <w:ind w:left="854"/>
      </w:pPr>
      <w:r>
        <w:t xml:space="preserve">Month/Year:  </w:t>
      </w:r>
      <w:r>
        <w:rPr>
          <w:spacing w:val="-1"/>
        </w:rPr>
        <w:t xml:space="preserve"> </w:t>
      </w:r>
      <w:r>
        <w:rPr>
          <w:u w:val="single"/>
        </w:rPr>
        <w:t xml:space="preserve"> </w:t>
      </w:r>
      <w:r>
        <w:rPr>
          <w:u w:val="single"/>
        </w:rPr>
        <w:tab/>
      </w:r>
    </w:p>
    <w:p w14:paraId="3C531B6B" w14:textId="77777777" w:rsidR="00551812" w:rsidRDefault="00551812">
      <w:pPr>
        <w:pStyle w:val="BodyText"/>
        <w:spacing w:before="7"/>
        <w:rPr>
          <w:sz w:val="13"/>
        </w:rPr>
      </w:pPr>
    </w:p>
    <w:p w14:paraId="3C531B6C" w14:textId="77777777" w:rsidR="00551812" w:rsidRDefault="00A603CE">
      <w:pPr>
        <w:pStyle w:val="Heading1"/>
        <w:rPr>
          <w:u w:val="none"/>
        </w:rPr>
      </w:pPr>
      <w:r>
        <w:rPr>
          <w:u w:val="thick"/>
        </w:rPr>
        <w:t>Question 5</w:t>
      </w:r>
      <w:r>
        <w:rPr>
          <w:u w:val="none"/>
        </w:rPr>
        <w:t xml:space="preserve">: </w:t>
      </w:r>
      <w:r>
        <w:rPr>
          <w:u w:val="thick"/>
        </w:rPr>
        <w:t>Clearing Agency Participants that have Clearing Participant Affiliates</w:t>
      </w:r>
    </w:p>
    <w:p w14:paraId="3C531B6D" w14:textId="77777777" w:rsidR="00551812" w:rsidRDefault="00551812">
      <w:pPr>
        <w:pStyle w:val="BodyText"/>
        <w:spacing w:before="6"/>
        <w:rPr>
          <w:b/>
          <w:sz w:val="13"/>
        </w:rPr>
      </w:pPr>
    </w:p>
    <w:p w14:paraId="3C531B6E" w14:textId="77777777" w:rsidR="00551812" w:rsidRDefault="00A603CE">
      <w:pPr>
        <w:pStyle w:val="BodyText"/>
        <w:spacing w:before="91" w:line="247" w:lineRule="auto"/>
        <w:ind w:left="134" w:right="131"/>
        <w:jc w:val="both"/>
      </w:pPr>
      <w:r>
        <w:rPr>
          <w:b/>
          <w:i/>
          <w:u w:val="thick"/>
        </w:rPr>
        <w:t>Instructions</w:t>
      </w:r>
      <w:r>
        <w:t>: Only answer this question if you indicated in response to Question 1 above that you are a Clearing Agency Participant of one or more OTC RCAs identified in Question 1. Please make one of the representations below to indicate whether you have any Clearing</w:t>
      </w:r>
      <w:r>
        <w:t xml:space="preserve"> Participant Affiliates.</w:t>
      </w:r>
    </w:p>
    <w:p w14:paraId="3C531B6F" w14:textId="77777777" w:rsidR="00551812" w:rsidRDefault="00551812">
      <w:pPr>
        <w:pStyle w:val="BodyText"/>
        <w:spacing w:before="8"/>
        <w:rPr>
          <w:sz w:val="20"/>
        </w:rPr>
      </w:pPr>
    </w:p>
    <w:p w14:paraId="3C531B70" w14:textId="77777777" w:rsidR="00551812" w:rsidRDefault="00A603CE">
      <w:pPr>
        <w:pStyle w:val="BodyText"/>
        <w:ind w:left="843"/>
      </w:pPr>
      <w:r>
        <w:t>We do have Clearing Participant Affiliates</w:t>
      </w:r>
    </w:p>
    <w:p w14:paraId="3C531B71" w14:textId="77777777" w:rsidR="00551812" w:rsidRDefault="00551812">
      <w:pPr>
        <w:pStyle w:val="BodyText"/>
        <w:spacing w:before="6"/>
        <w:rPr>
          <w:sz w:val="21"/>
        </w:rPr>
      </w:pPr>
    </w:p>
    <w:p w14:paraId="3C531B72" w14:textId="77777777" w:rsidR="00551812" w:rsidRDefault="00A603CE">
      <w:pPr>
        <w:pStyle w:val="BodyText"/>
        <w:ind w:left="843"/>
      </w:pPr>
      <w:r>
        <w:t xml:space="preserve">We do </w:t>
      </w:r>
      <w:r>
        <w:rPr>
          <w:u w:val="single"/>
        </w:rPr>
        <w:t>not</w:t>
      </w:r>
      <w:r>
        <w:t xml:space="preserve"> have any Clearing Participant Affiliates</w:t>
      </w:r>
    </w:p>
    <w:p w14:paraId="3C531B73" w14:textId="77777777" w:rsidR="00551812" w:rsidRDefault="00551812">
      <w:pPr>
        <w:pStyle w:val="BodyText"/>
        <w:spacing w:before="7"/>
        <w:rPr>
          <w:sz w:val="13"/>
        </w:rPr>
      </w:pPr>
    </w:p>
    <w:p w14:paraId="3C531B74" w14:textId="77777777" w:rsidR="00551812" w:rsidRDefault="00A603CE">
      <w:pPr>
        <w:pStyle w:val="BodyText"/>
        <w:spacing w:before="91" w:line="247" w:lineRule="auto"/>
        <w:ind w:left="134"/>
        <w:rPr>
          <w:sz w:val="14"/>
        </w:rPr>
      </w:pPr>
      <w:r>
        <w:t>If you do have Clearing Participant Affiliates, please list all such Clearing Participant Affiliates in the table below.</w:t>
      </w:r>
      <w:r>
        <w:rPr>
          <w:position w:val="7"/>
          <w:sz w:val="14"/>
        </w:rPr>
        <w:t>4</w:t>
      </w:r>
    </w:p>
    <w:p w14:paraId="3C531B75" w14:textId="77777777" w:rsidR="00551812" w:rsidRDefault="00551812">
      <w:pPr>
        <w:pStyle w:val="BodyText"/>
        <w:spacing w:before="1"/>
        <w:rPr>
          <w:sz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8"/>
        <w:gridCol w:w="2134"/>
        <w:gridCol w:w="1182"/>
        <w:gridCol w:w="512"/>
        <w:gridCol w:w="1002"/>
      </w:tblGrid>
      <w:tr w:rsidR="00551812" w14:paraId="3C531B80" w14:textId="77777777">
        <w:trPr>
          <w:trHeight w:val="1000"/>
        </w:trPr>
        <w:tc>
          <w:tcPr>
            <w:tcW w:w="4798" w:type="dxa"/>
          </w:tcPr>
          <w:p w14:paraId="3C531B76" w14:textId="77777777" w:rsidR="00551812" w:rsidRDefault="00551812">
            <w:pPr>
              <w:pStyle w:val="TableParagraph"/>
              <w:spacing w:before="5"/>
              <w:rPr>
                <w:sz w:val="23"/>
              </w:rPr>
            </w:pPr>
          </w:p>
          <w:p w14:paraId="3C531B77" w14:textId="77777777" w:rsidR="00551812" w:rsidRDefault="00A603CE">
            <w:pPr>
              <w:pStyle w:val="TableParagraph"/>
              <w:ind w:left="108"/>
              <w:rPr>
                <w:b/>
                <w:i/>
                <w:sz w:val="20"/>
              </w:rPr>
            </w:pPr>
            <w:r>
              <w:rPr>
                <w:b/>
                <w:i/>
                <w:sz w:val="20"/>
              </w:rPr>
              <w:t>Full legal name of Clearing Participant Affiliate(s)</w:t>
            </w:r>
          </w:p>
        </w:tc>
        <w:tc>
          <w:tcPr>
            <w:tcW w:w="2134" w:type="dxa"/>
            <w:tcBorders>
              <w:right w:val="nil"/>
            </w:tcBorders>
          </w:tcPr>
          <w:p w14:paraId="3C531B78" w14:textId="77777777" w:rsidR="00551812" w:rsidRDefault="00551812">
            <w:pPr>
              <w:pStyle w:val="TableParagraph"/>
              <w:spacing w:before="5"/>
              <w:rPr>
                <w:sz w:val="23"/>
              </w:rPr>
            </w:pPr>
          </w:p>
          <w:p w14:paraId="3C531B79" w14:textId="77777777" w:rsidR="00551812" w:rsidRPr="00C42DFD" w:rsidRDefault="00A603CE">
            <w:pPr>
              <w:pStyle w:val="TableParagraph"/>
              <w:spacing w:line="271" w:lineRule="auto"/>
              <w:ind w:left="107" w:right="141"/>
              <w:rPr>
                <w:b/>
                <w:i/>
                <w:sz w:val="20"/>
                <w:lang w:val="fr-FR"/>
              </w:rPr>
            </w:pPr>
            <w:r w:rsidRPr="00C42DFD">
              <w:rPr>
                <w:b/>
                <w:i/>
                <w:sz w:val="20"/>
                <w:lang w:val="fr-FR"/>
              </w:rPr>
              <w:t>LEI/CICI</w:t>
            </w:r>
            <w:proofErr w:type="gramStart"/>
            <w:r w:rsidRPr="00C42DFD">
              <w:rPr>
                <w:b/>
                <w:i/>
                <w:sz w:val="20"/>
                <w:lang w:val="fr-FR"/>
              </w:rPr>
              <w:t>/[</w:t>
            </w:r>
            <w:proofErr w:type="gramEnd"/>
            <w:r w:rsidRPr="00C42DFD">
              <w:rPr>
                <w:b/>
                <w:i/>
                <w:sz w:val="20"/>
                <w:lang w:val="fr-FR"/>
              </w:rPr>
              <w:t xml:space="preserve">Alternative Participant </w:t>
            </w:r>
            <w:proofErr w:type="spellStart"/>
            <w:r w:rsidRPr="00C42DFD">
              <w:rPr>
                <w:b/>
                <w:i/>
                <w:sz w:val="20"/>
                <w:lang w:val="fr-FR"/>
              </w:rPr>
              <w:t>Affiliate</w:t>
            </w:r>
            <w:proofErr w:type="spellEnd"/>
            <w:r w:rsidRPr="00C42DFD">
              <w:rPr>
                <w:b/>
                <w:i/>
                <w:sz w:val="20"/>
                <w:lang w:val="fr-FR"/>
              </w:rPr>
              <w:t>(s)</w:t>
            </w:r>
          </w:p>
        </w:tc>
        <w:tc>
          <w:tcPr>
            <w:tcW w:w="1182" w:type="dxa"/>
            <w:tcBorders>
              <w:left w:val="nil"/>
              <w:right w:val="nil"/>
            </w:tcBorders>
          </w:tcPr>
          <w:p w14:paraId="3C531B7A" w14:textId="77777777" w:rsidR="00551812" w:rsidRPr="00C42DFD" w:rsidRDefault="00551812">
            <w:pPr>
              <w:pStyle w:val="TableParagraph"/>
              <w:spacing w:before="5"/>
              <w:rPr>
                <w:sz w:val="23"/>
                <w:lang w:val="fr-FR"/>
              </w:rPr>
            </w:pPr>
          </w:p>
          <w:p w14:paraId="3C531B7B" w14:textId="77777777" w:rsidR="00551812" w:rsidRDefault="00A603CE">
            <w:pPr>
              <w:pStyle w:val="TableParagraph"/>
              <w:ind w:left="169"/>
              <w:rPr>
                <w:b/>
                <w:i/>
                <w:sz w:val="20"/>
              </w:rPr>
            </w:pPr>
            <w:r>
              <w:rPr>
                <w:b/>
                <w:i/>
                <w:sz w:val="20"/>
              </w:rPr>
              <w:t>Identifier]</w:t>
            </w:r>
          </w:p>
        </w:tc>
        <w:tc>
          <w:tcPr>
            <w:tcW w:w="512" w:type="dxa"/>
            <w:tcBorders>
              <w:left w:val="nil"/>
              <w:right w:val="nil"/>
            </w:tcBorders>
          </w:tcPr>
          <w:p w14:paraId="3C531B7C" w14:textId="77777777" w:rsidR="00551812" w:rsidRDefault="00551812">
            <w:pPr>
              <w:pStyle w:val="TableParagraph"/>
              <w:spacing w:before="5"/>
              <w:rPr>
                <w:sz w:val="23"/>
              </w:rPr>
            </w:pPr>
          </w:p>
          <w:p w14:paraId="3C531B7D" w14:textId="77777777" w:rsidR="00551812" w:rsidRDefault="00A603CE">
            <w:pPr>
              <w:pStyle w:val="TableParagraph"/>
              <w:ind w:left="177"/>
              <w:rPr>
                <w:b/>
                <w:i/>
                <w:sz w:val="20"/>
              </w:rPr>
            </w:pPr>
            <w:r>
              <w:rPr>
                <w:b/>
                <w:i/>
                <w:sz w:val="20"/>
              </w:rPr>
              <w:t>of</w:t>
            </w:r>
          </w:p>
        </w:tc>
        <w:tc>
          <w:tcPr>
            <w:tcW w:w="1002" w:type="dxa"/>
            <w:tcBorders>
              <w:left w:val="nil"/>
            </w:tcBorders>
          </w:tcPr>
          <w:p w14:paraId="3C531B7E" w14:textId="77777777" w:rsidR="00551812" w:rsidRDefault="00551812">
            <w:pPr>
              <w:pStyle w:val="TableParagraph"/>
              <w:spacing w:before="5"/>
              <w:rPr>
                <w:sz w:val="23"/>
              </w:rPr>
            </w:pPr>
          </w:p>
          <w:p w14:paraId="3C531B7F" w14:textId="77777777" w:rsidR="00551812" w:rsidRDefault="00A603CE">
            <w:pPr>
              <w:pStyle w:val="TableParagraph"/>
              <w:ind w:left="178"/>
              <w:rPr>
                <w:b/>
                <w:i/>
                <w:sz w:val="20"/>
              </w:rPr>
            </w:pPr>
            <w:r>
              <w:rPr>
                <w:b/>
                <w:i/>
                <w:sz w:val="20"/>
              </w:rPr>
              <w:t>Clearing</w:t>
            </w:r>
          </w:p>
        </w:tc>
      </w:tr>
      <w:tr w:rsidR="00551812" w14:paraId="3C531B83" w14:textId="77777777">
        <w:trPr>
          <w:trHeight w:val="500"/>
        </w:trPr>
        <w:tc>
          <w:tcPr>
            <w:tcW w:w="4798" w:type="dxa"/>
          </w:tcPr>
          <w:p w14:paraId="3C531B81" w14:textId="77777777" w:rsidR="00551812" w:rsidRDefault="00551812">
            <w:pPr>
              <w:pStyle w:val="TableParagraph"/>
              <w:rPr>
                <w:sz w:val="20"/>
              </w:rPr>
            </w:pPr>
          </w:p>
        </w:tc>
        <w:tc>
          <w:tcPr>
            <w:tcW w:w="4830" w:type="dxa"/>
            <w:gridSpan w:val="4"/>
          </w:tcPr>
          <w:p w14:paraId="3C531B82" w14:textId="77777777" w:rsidR="00551812" w:rsidRDefault="00551812">
            <w:pPr>
              <w:pStyle w:val="TableParagraph"/>
              <w:rPr>
                <w:sz w:val="20"/>
              </w:rPr>
            </w:pPr>
          </w:p>
        </w:tc>
      </w:tr>
      <w:tr w:rsidR="00551812" w14:paraId="3C531B86" w14:textId="77777777">
        <w:trPr>
          <w:trHeight w:val="500"/>
        </w:trPr>
        <w:tc>
          <w:tcPr>
            <w:tcW w:w="4798" w:type="dxa"/>
          </w:tcPr>
          <w:p w14:paraId="3C531B84" w14:textId="77777777" w:rsidR="00551812" w:rsidRDefault="00551812">
            <w:pPr>
              <w:pStyle w:val="TableParagraph"/>
              <w:rPr>
                <w:sz w:val="20"/>
              </w:rPr>
            </w:pPr>
          </w:p>
        </w:tc>
        <w:tc>
          <w:tcPr>
            <w:tcW w:w="4830" w:type="dxa"/>
            <w:gridSpan w:val="4"/>
          </w:tcPr>
          <w:p w14:paraId="3C531B85" w14:textId="77777777" w:rsidR="00551812" w:rsidRDefault="00551812">
            <w:pPr>
              <w:pStyle w:val="TableParagraph"/>
              <w:rPr>
                <w:sz w:val="20"/>
              </w:rPr>
            </w:pPr>
          </w:p>
        </w:tc>
      </w:tr>
    </w:tbl>
    <w:p w14:paraId="3C531B87" w14:textId="77777777" w:rsidR="00551812" w:rsidRDefault="00551812">
      <w:pPr>
        <w:pStyle w:val="BodyText"/>
        <w:spacing w:before="5"/>
        <w:rPr>
          <w:sz w:val="21"/>
        </w:rPr>
      </w:pPr>
    </w:p>
    <w:p w14:paraId="3C531B88" w14:textId="77777777" w:rsidR="00551812" w:rsidRDefault="00A603CE">
      <w:pPr>
        <w:pStyle w:val="Heading1"/>
        <w:spacing w:before="0"/>
        <w:rPr>
          <w:u w:val="none"/>
        </w:rPr>
      </w:pPr>
      <w:r>
        <w:rPr>
          <w:u w:val="thick"/>
        </w:rPr>
        <w:t>Question 6:</w:t>
      </w:r>
      <w:r>
        <w:rPr>
          <w:u w:val="none"/>
        </w:rPr>
        <w:t xml:space="preserve"> </w:t>
      </w:r>
      <w:r>
        <w:rPr>
          <w:u w:val="thick"/>
        </w:rPr>
        <w:t>Non-Canadian Local Counterparty</w:t>
      </w:r>
    </w:p>
    <w:p w14:paraId="3C531B89" w14:textId="77777777" w:rsidR="00551812" w:rsidRDefault="00551812">
      <w:pPr>
        <w:pStyle w:val="BodyText"/>
        <w:spacing w:before="7"/>
        <w:rPr>
          <w:b/>
          <w:sz w:val="13"/>
        </w:rPr>
      </w:pPr>
    </w:p>
    <w:p w14:paraId="3C531B8A" w14:textId="77777777" w:rsidR="00551812" w:rsidRDefault="00A603CE">
      <w:pPr>
        <w:pStyle w:val="BodyText"/>
        <w:spacing w:before="91" w:line="247" w:lineRule="auto"/>
        <w:ind w:left="134" w:right="128"/>
      </w:pPr>
      <w:r>
        <w:rPr>
          <w:b/>
          <w:i/>
          <w:u w:val="thick"/>
        </w:rPr>
        <w:t>Instructions</w:t>
      </w:r>
      <w:r>
        <w:rPr>
          <w:b/>
          <w:i/>
        </w:rPr>
        <w:t xml:space="preserve">: </w:t>
      </w:r>
      <w:r>
        <w:t xml:space="preserve">If you are a Non-Canadian Local Counterparty, please indicate below whether you intend to rely on substituted compliance in accordance with paragraph </w:t>
      </w:r>
      <w:proofErr w:type="gramStart"/>
      <w:r>
        <w:t>3.(</w:t>
      </w:r>
      <w:proofErr w:type="gramEnd"/>
      <w:r>
        <w:t>5) of the Canadian Mandatory Clearing Rule.</w:t>
      </w:r>
    </w:p>
    <w:p w14:paraId="3C531B8B" w14:textId="77777777" w:rsidR="00551812" w:rsidRDefault="00551812">
      <w:pPr>
        <w:pStyle w:val="BodyText"/>
        <w:spacing w:before="8"/>
        <w:rPr>
          <w:sz w:val="20"/>
        </w:rPr>
      </w:pPr>
    </w:p>
    <w:p w14:paraId="3C531B8C" w14:textId="77777777" w:rsidR="00551812" w:rsidRDefault="00A603CE">
      <w:pPr>
        <w:pStyle w:val="BodyText"/>
        <w:spacing w:before="1" w:line="475" w:lineRule="auto"/>
        <w:ind w:left="843" w:right="2141"/>
      </w:pPr>
      <w:r>
        <w:t>Non-Canadian Local Counterparty that will rely on substitu</w:t>
      </w:r>
      <w:r>
        <w:t xml:space="preserve">ted compliance Non-Canadian Local Counterparty that will </w:t>
      </w:r>
      <w:r>
        <w:rPr>
          <w:u w:val="single"/>
        </w:rPr>
        <w:t>not</w:t>
      </w:r>
      <w:r>
        <w:t xml:space="preserve"> rely on substituted compliance</w:t>
      </w:r>
    </w:p>
    <w:p w14:paraId="3C531B8D" w14:textId="77777777" w:rsidR="00551812" w:rsidRDefault="00551812">
      <w:pPr>
        <w:pStyle w:val="BodyText"/>
        <w:rPr>
          <w:sz w:val="20"/>
        </w:rPr>
      </w:pPr>
    </w:p>
    <w:p w14:paraId="3C531B8E" w14:textId="77777777" w:rsidR="00551812" w:rsidRDefault="00A603CE">
      <w:pPr>
        <w:pStyle w:val="BodyText"/>
        <w:spacing w:before="2"/>
        <w:rPr>
          <w:sz w:val="29"/>
        </w:rPr>
      </w:pPr>
      <w:r>
        <w:pict w14:anchorId="3C531BFE">
          <v:shape id="_x0000_s1028" style="position:absolute;margin-left:56.7pt;margin-top:19.15pt;width:143.5pt;height:.1pt;z-index:-251653120;mso-wrap-distance-left:0;mso-wrap-distance-right:0;mso-position-horizontal-relative:page" coordorigin="1134,383" coordsize="2870,0" path="m1134,383r2870,e" filled="f" strokeweight=".72pt">
            <v:path arrowok="t"/>
            <w10:wrap type="topAndBottom" anchorx="page"/>
          </v:shape>
        </w:pict>
      </w:r>
    </w:p>
    <w:p w14:paraId="3C531B8F" w14:textId="77777777" w:rsidR="00551812" w:rsidRDefault="00A603CE">
      <w:pPr>
        <w:spacing w:before="69"/>
        <w:ind w:left="134"/>
        <w:rPr>
          <w:sz w:val="16"/>
        </w:rPr>
      </w:pPr>
      <w:r>
        <w:rPr>
          <w:position w:val="5"/>
          <w:sz w:val="10"/>
        </w:rPr>
        <w:t xml:space="preserve">3 </w:t>
      </w:r>
      <w:r>
        <w:rPr>
          <w:sz w:val="16"/>
        </w:rPr>
        <w:t>The earliest month specified should be April 2017.</w:t>
      </w:r>
    </w:p>
    <w:p w14:paraId="3C531B90" w14:textId="77777777" w:rsidR="00551812" w:rsidRDefault="00A603CE">
      <w:pPr>
        <w:ind w:left="134"/>
        <w:rPr>
          <w:sz w:val="16"/>
        </w:rPr>
      </w:pPr>
      <w:r>
        <w:rPr>
          <w:position w:val="5"/>
          <w:sz w:val="10"/>
        </w:rPr>
        <w:t xml:space="preserve">4 </w:t>
      </w:r>
      <w:r>
        <w:rPr>
          <w:sz w:val="16"/>
        </w:rPr>
        <w:t>Please use a separate sheet if additional space is needed to list all Clearing Participant Affiliates.</w:t>
      </w:r>
    </w:p>
    <w:p w14:paraId="3C531B91" w14:textId="77777777" w:rsidR="00551812" w:rsidRDefault="00551812">
      <w:pPr>
        <w:rPr>
          <w:sz w:val="16"/>
        </w:rPr>
        <w:sectPr w:rsidR="00551812">
          <w:pgSz w:w="11910" w:h="16840"/>
          <w:pgMar w:top="1500" w:right="1000" w:bottom="880" w:left="1000" w:header="0" w:footer="698" w:gutter="0"/>
          <w:cols w:space="720"/>
        </w:sectPr>
      </w:pPr>
    </w:p>
    <w:p w14:paraId="3C531B92" w14:textId="77777777" w:rsidR="00551812" w:rsidRDefault="00A603CE">
      <w:pPr>
        <w:pStyle w:val="BodyText"/>
        <w:spacing w:before="76" w:line="247" w:lineRule="auto"/>
        <w:ind w:left="134" w:right="131"/>
        <w:jc w:val="both"/>
      </w:pPr>
      <w:r>
        <w:lastRenderedPageBreak/>
        <w:t xml:space="preserve">The undersigned agrees to notify the recipient of this letter in writing before or as soon as reasonably practicable following any of the statements made in this letter ceasing to be true. The recipient may rely on the statements made in </w:t>
      </w:r>
      <w:r>
        <w:t>this letter, unless and until the recipient receives written notification to the contrary from the undersigned.</w:t>
      </w:r>
    </w:p>
    <w:p w14:paraId="3C531B93" w14:textId="77777777" w:rsidR="00551812" w:rsidRDefault="00551812">
      <w:pPr>
        <w:pStyle w:val="BodyText"/>
        <w:rPr>
          <w:sz w:val="24"/>
        </w:rPr>
      </w:pPr>
    </w:p>
    <w:p w14:paraId="3C531B94" w14:textId="77777777" w:rsidR="00551812" w:rsidRDefault="00551812">
      <w:pPr>
        <w:pStyle w:val="BodyText"/>
        <w:rPr>
          <w:sz w:val="24"/>
        </w:rPr>
      </w:pPr>
    </w:p>
    <w:p w14:paraId="3C531B95" w14:textId="77777777" w:rsidR="00551812" w:rsidRDefault="00A603CE">
      <w:pPr>
        <w:pStyle w:val="Heading1"/>
        <w:spacing w:before="197"/>
        <w:jc w:val="both"/>
        <w:rPr>
          <w:u w:val="none"/>
        </w:rPr>
      </w:pPr>
      <w:r>
        <w:rPr>
          <w:u w:val="thick"/>
        </w:rPr>
        <w:t>Executed and delivered with effect from:</w:t>
      </w:r>
    </w:p>
    <w:p w14:paraId="3C531B96" w14:textId="77777777" w:rsidR="00551812" w:rsidRDefault="00551812">
      <w:pPr>
        <w:pStyle w:val="BodyText"/>
        <w:rPr>
          <w:b/>
          <w:sz w:val="20"/>
        </w:rPr>
      </w:pPr>
    </w:p>
    <w:p w14:paraId="3C531B97" w14:textId="77777777" w:rsidR="00551812" w:rsidRDefault="00551812">
      <w:pPr>
        <w:pStyle w:val="BodyText"/>
        <w:spacing w:before="9"/>
        <w:rPr>
          <w:b/>
          <w:sz w:val="16"/>
        </w:rPr>
      </w:pPr>
    </w:p>
    <w:p w14:paraId="3C531B98" w14:textId="77777777" w:rsidR="00551812" w:rsidRDefault="00A603CE">
      <w:pPr>
        <w:pStyle w:val="BodyText"/>
        <w:spacing w:before="90"/>
        <w:ind w:left="134"/>
      </w:pPr>
      <w:r>
        <w:pict w14:anchorId="3C531BFF">
          <v:line id="_x0000_s1027" style="position:absolute;left:0;text-align:left;z-index:251665408;mso-position-horizontal-relative:page" from="308.7pt,16.25pt" to="488.7pt,16.25pt" strokeweight=".18947mm">
            <w10:wrap anchorx="page"/>
          </v:line>
        </w:pict>
      </w:r>
      <w:r>
        <w:t>Date:</w:t>
      </w:r>
    </w:p>
    <w:p w14:paraId="3C531B99" w14:textId="77777777" w:rsidR="00551812" w:rsidRDefault="00551812">
      <w:pPr>
        <w:pStyle w:val="BodyText"/>
        <w:rPr>
          <w:sz w:val="20"/>
        </w:rPr>
      </w:pPr>
    </w:p>
    <w:p w14:paraId="3C531B9A" w14:textId="77777777" w:rsidR="00551812" w:rsidRDefault="00551812">
      <w:pPr>
        <w:pStyle w:val="BodyText"/>
        <w:rPr>
          <w:sz w:val="20"/>
        </w:rPr>
      </w:pPr>
    </w:p>
    <w:p w14:paraId="3C531B9B" w14:textId="77777777" w:rsidR="00551812" w:rsidRDefault="00551812">
      <w:pPr>
        <w:pStyle w:val="BodyText"/>
        <w:spacing w:before="1"/>
        <w:rPr>
          <w:sz w:val="17"/>
        </w:rPr>
      </w:pPr>
    </w:p>
    <w:p w14:paraId="3C531B9C" w14:textId="77777777" w:rsidR="00551812" w:rsidRDefault="00A603CE">
      <w:pPr>
        <w:tabs>
          <w:tab w:val="left" w:pos="5173"/>
          <w:tab w:val="left" w:pos="8823"/>
        </w:tabs>
        <w:spacing w:before="91"/>
        <w:ind w:left="134"/>
      </w:pPr>
      <w:r>
        <w:t>[</w:t>
      </w:r>
      <w:r>
        <w:rPr>
          <w:i/>
        </w:rPr>
        <w:t>Full name of Entity Completing</w:t>
      </w:r>
      <w:r>
        <w:rPr>
          <w:i/>
          <w:spacing w:val="-8"/>
        </w:rPr>
        <w:t xml:space="preserve"> </w:t>
      </w:r>
      <w:r>
        <w:rPr>
          <w:i/>
        </w:rPr>
        <w:t>Letter</w:t>
      </w:r>
      <w:r>
        <w:t>]:</w:t>
      </w:r>
      <w:r>
        <w:tab/>
      </w:r>
      <w:r>
        <w:rPr>
          <w:u w:val="single"/>
        </w:rPr>
        <w:t xml:space="preserve"> </w:t>
      </w:r>
      <w:r>
        <w:rPr>
          <w:u w:val="single"/>
        </w:rPr>
        <w:tab/>
      </w:r>
    </w:p>
    <w:p w14:paraId="3C531B9D" w14:textId="77777777" w:rsidR="00551812" w:rsidRDefault="00551812">
      <w:pPr>
        <w:pStyle w:val="BodyText"/>
        <w:rPr>
          <w:sz w:val="20"/>
        </w:rPr>
      </w:pPr>
    </w:p>
    <w:p w14:paraId="3C531B9E" w14:textId="77777777" w:rsidR="00551812" w:rsidRDefault="00551812">
      <w:pPr>
        <w:pStyle w:val="BodyText"/>
        <w:rPr>
          <w:sz w:val="20"/>
        </w:rPr>
      </w:pPr>
    </w:p>
    <w:p w14:paraId="3C531B9F" w14:textId="77777777" w:rsidR="00551812" w:rsidRDefault="00551812">
      <w:pPr>
        <w:pStyle w:val="BodyText"/>
        <w:spacing w:before="1"/>
        <w:rPr>
          <w:sz w:val="17"/>
        </w:rPr>
      </w:pPr>
    </w:p>
    <w:p w14:paraId="3C531BA0" w14:textId="77777777" w:rsidR="00551812" w:rsidRPr="00C42DFD" w:rsidRDefault="00A603CE">
      <w:pPr>
        <w:pStyle w:val="BodyText"/>
        <w:tabs>
          <w:tab w:val="left" w:pos="5173"/>
          <w:tab w:val="left" w:pos="8823"/>
        </w:tabs>
        <w:spacing w:before="91"/>
        <w:ind w:left="134"/>
        <w:rPr>
          <w:lang w:val="fr-FR"/>
        </w:rPr>
      </w:pPr>
      <w:r w:rsidRPr="00C42DFD">
        <w:rPr>
          <w:lang w:val="fr-FR"/>
        </w:rPr>
        <w:t>LEI/CICI</w:t>
      </w:r>
      <w:proofErr w:type="gramStart"/>
      <w:r w:rsidRPr="00C42DFD">
        <w:rPr>
          <w:lang w:val="fr-FR"/>
        </w:rPr>
        <w:t>/[</w:t>
      </w:r>
      <w:proofErr w:type="gramEnd"/>
      <w:r w:rsidRPr="00C42DFD">
        <w:rPr>
          <w:lang w:val="fr-FR"/>
        </w:rPr>
        <w:t>Alternative</w:t>
      </w:r>
      <w:r w:rsidRPr="00C42DFD">
        <w:rPr>
          <w:spacing w:val="-4"/>
          <w:lang w:val="fr-FR"/>
        </w:rPr>
        <w:t xml:space="preserve"> </w:t>
      </w:r>
      <w:r w:rsidRPr="00C42DFD">
        <w:rPr>
          <w:lang w:val="fr-FR"/>
        </w:rPr>
        <w:t>Identifier</w:t>
      </w:r>
      <w:r w:rsidRPr="00C42DFD">
        <w:rPr>
          <w:position w:val="7"/>
          <w:sz w:val="14"/>
          <w:lang w:val="fr-FR"/>
        </w:rPr>
        <w:t>5</w:t>
      </w:r>
      <w:r w:rsidRPr="00C42DFD">
        <w:rPr>
          <w:lang w:val="fr-FR"/>
        </w:rPr>
        <w:t>]:</w:t>
      </w:r>
      <w:r w:rsidRPr="00C42DFD">
        <w:rPr>
          <w:lang w:val="fr-FR"/>
        </w:rPr>
        <w:tab/>
      </w:r>
      <w:r w:rsidRPr="00C42DFD">
        <w:rPr>
          <w:u w:val="single"/>
          <w:lang w:val="fr-FR"/>
        </w:rPr>
        <w:t xml:space="preserve"> </w:t>
      </w:r>
      <w:r w:rsidRPr="00C42DFD">
        <w:rPr>
          <w:u w:val="single"/>
          <w:lang w:val="fr-FR"/>
        </w:rPr>
        <w:tab/>
      </w:r>
    </w:p>
    <w:p w14:paraId="3C531BA1" w14:textId="77777777" w:rsidR="00551812" w:rsidRPr="00C42DFD" w:rsidRDefault="00551812">
      <w:pPr>
        <w:pStyle w:val="BodyText"/>
        <w:rPr>
          <w:sz w:val="20"/>
          <w:lang w:val="fr-FR"/>
        </w:rPr>
      </w:pPr>
    </w:p>
    <w:p w14:paraId="3C531BA2" w14:textId="77777777" w:rsidR="00551812" w:rsidRPr="00C42DFD" w:rsidRDefault="00551812">
      <w:pPr>
        <w:pStyle w:val="BodyText"/>
        <w:rPr>
          <w:sz w:val="20"/>
          <w:lang w:val="fr-FR"/>
        </w:rPr>
      </w:pPr>
    </w:p>
    <w:p w14:paraId="3C531BA3" w14:textId="77777777" w:rsidR="00551812" w:rsidRPr="00C42DFD" w:rsidRDefault="00551812">
      <w:pPr>
        <w:pStyle w:val="BodyText"/>
        <w:rPr>
          <w:sz w:val="17"/>
          <w:lang w:val="fr-FR"/>
        </w:rPr>
      </w:pPr>
    </w:p>
    <w:p w14:paraId="3C531BA4" w14:textId="77777777" w:rsidR="00551812" w:rsidRPr="00C42DFD" w:rsidRDefault="00A603CE">
      <w:pPr>
        <w:pStyle w:val="BodyText"/>
        <w:tabs>
          <w:tab w:val="left" w:pos="5173"/>
          <w:tab w:val="left" w:pos="8823"/>
        </w:tabs>
        <w:spacing w:before="91"/>
        <w:ind w:left="134"/>
        <w:rPr>
          <w:lang w:val="fr-FR"/>
        </w:rPr>
      </w:pPr>
      <w:proofErr w:type="gramStart"/>
      <w:r w:rsidRPr="00C42DFD">
        <w:rPr>
          <w:lang w:val="fr-FR"/>
        </w:rPr>
        <w:t>Signature:</w:t>
      </w:r>
      <w:proofErr w:type="gramEnd"/>
      <w:r w:rsidRPr="00C42DFD">
        <w:rPr>
          <w:lang w:val="fr-FR"/>
        </w:rPr>
        <w:tab/>
      </w:r>
      <w:r w:rsidRPr="00C42DFD">
        <w:rPr>
          <w:u w:val="single"/>
          <w:lang w:val="fr-FR"/>
        </w:rPr>
        <w:t xml:space="preserve"> </w:t>
      </w:r>
      <w:r w:rsidRPr="00C42DFD">
        <w:rPr>
          <w:u w:val="single"/>
          <w:lang w:val="fr-FR"/>
        </w:rPr>
        <w:tab/>
      </w:r>
    </w:p>
    <w:p w14:paraId="3C531BA5" w14:textId="77777777" w:rsidR="00551812" w:rsidRPr="00C42DFD" w:rsidRDefault="00551812">
      <w:pPr>
        <w:pStyle w:val="BodyText"/>
        <w:spacing w:before="7"/>
        <w:rPr>
          <w:sz w:val="13"/>
          <w:lang w:val="fr-FR"/>
        </w:rPr>
      </w:pPr>
    </w:p>
    <w:p w14:paraId="3C531BA6" w14:textId="77777777" w:rsidR="00551812" w:rsidRDefault="00A603CE">
      <w:pPr>
        <w:pStyle w:val="BodyText"/>
        <w:tabs>
          <w:tab w:val="left" w:pos="5173"/>
          <w:tab w:val="left" w:pos="8823"/>
        </w:tabs>
        <w:spacing w:before="91"/>
        <w:ind w:left="134"/>
      </w:pPr>
      <w:r>
        <w:t>Name of</w:t>
      </w:r>
      <w:r>
        <w:rPr>
          <w:spacing w:val="-10"/>
        </w:rPr>
        <w:t xml:space="preserve"> </w:t>
      </w:r>
      <w:r>
        <w:t>signatory:</w:t>
      </w:r>
      <w:r>
        <w:tab/>
      </w:r>
      <w:r>
        <w:rPr>
          <w:u w:val="single"/>
        </w:rPr>
        <w:t xml:space="preserve"> </w:t>
      </w:r>
      <w:r>
        <w:rPr>
          <w:u w:val="single"/>
        </w:rPr>
        <w:tab/>
      </w:r>
    </w:p>
    <w:p w14:paraId="3C531BA7" w14:textId="77777777" w:rsidR="00551812" w:rsidRDefault="00551812">
      <w:pPr>
        <w:pStyle w:val="BodyText"/>
        <w:spacing w:before="6"/>
        <w:rPr>
          <w:sz w:val="13"/>
        </w:rPr>
      </w:pPr>
    </w:p>
    <w:p w14:paraId="3C531BA8" w14:textId="77777777" w:rsidR="00551812" w:rsidRDefault="00A603CE">
      <w:pPr>
        <w:pStyle w:val="BodyText"/>
        <w:tabs>
          <w:tab w:val="left" w:pos="5173"/>
          <w:tab w:val="left" w:pos="8823"/>
        </w:tabs>
        <w:spacing w:before="91"/>
        <w:ind w:left="134"/>
      </w:pPr>
      <w:r>
        <w:t>Title of</w:t>
      </w:r>
      <w:r>
        <w:rPr>
          <w:spacing w:val="-10"/>
        </w:rPr>
        <w:t xml:space="preserve"> </w:t>
      </w:r>
      <w:r>
        <w:t>signatory:</w:t>
      </w:r>
      <w:r>
        <w:tab/>
      </w:r>
      <w:r>
        <w:rPr>
          <w:u w:val="single"/>
        </w:rPr>
        <w:t xml:space="preserve"> </w:t>
      </w:r>
      <w:r>
        <w:rPr>
          <w:u w:val="single"/>
        </w:rPr>
        <w:tab/>
      </w:r>
    </w:p>
    <w:p w14:paraId="3C531BA9" w14:textId="77777777" w:rsidR="00551812" w:rsidRDefault="00551812">
      <w:pPr>
        <w:pStyle w:val="BodyText"/>
        <w:rPr>
          <w:sz w:val="20"/>
        </w:rPr>
      </w:pPr>
    </w:p>
    <w:p w14:paraId="3C531BAA" w14:textId="77777777" w:rsidR="00551812" w:rsidRDefault="00551812">
      <w:pPr>
        <w:pStyle w:val="BodyText"/>
        <w:rPr>
          <w:sz w:val="20"/>
        </w:rPr>
      </w:pPr>
    </w:p>
    <w:p w14:paraId="3C531BAB" w14:textId="77777777" w:rsidR="00551812" w:rsidRDefault="00551812">
      <w:pPr>
        <w:pStyle w:val="BodyText"/>
        <w:rPr>
          <w:sz w:val="20"/>
        </w:rPr>
      </w:pPr>
    </w:p>
    <w:p w14:paraId="3C531BAC" w14:textId="77777777" w:rsidR="00551812" w:rsidRDefault="00551812">
      <w:pPr>
        <w:pStyle w:val="BodyText"/>
        <w:rPr>
          <w:sz w:val="20"/>
        </w:rPr>
      </w:pPr>
    </w:p>
    <w:p w14:paraId="3C531BAD" w14:textId="77777777" w:rsidR="00551812" w:rsidRDefault="00551812">
      <w:pPr>
        <w:pStyle w:val="BodyText"/>
        <w:rPr>
          <w:sz w:val="20"/>
        </w:rPr>
      </w:pPr>
    </w:p>
    <w:p w14:paraId="3C531BAE" w14:textId="77777777" w:rsidR="00551812" w:rsidRDefault="00551812">
      <w:pPr>
        <w:pStyle w:val="BodyText"/>
        <w:rPr>
          <w:sz w:val="20"/>
        </w:rPr>
      </w:pPr>
    </w:p>
    <w:p w14:paraId="3C531BAF" w14:textId="77777777" w:rsidR="00551812" w:rsidRDefault="00551812">
      <w:pPr>
        <w:pStyle w:val="BodyText"/>
        <w:rPr>
          <w:sz w:val="20"/>
        </w:rPr>
      </w:pPr>
    </w:p>
    <w:p w14:paraId="3C531BB0" w14:textId="77777777" w:rsidR="00551812" w:rsidRDefault="00551812">
      <w:pPr>
        <w:pStyle w:val="BodyText"/>
        <w:rPr>
          <w:sz w:val="20"/>
        </w:rPr>
      </w:pPr>
    </w:p>
    <w:p w14:paraId="3C531BB1" w14:textId="77777777" w:rsidR="00551812" w:rsidRDefault="00551812">
      <w:pPr>
        <w:pStyle w:val="BodyText"/>
        <w:rPr>
          <w:sz w:val="20"/>
        </w:rPr>
      </w:pPr>
    </w:p>
    <w:p w14:paraId="3C531BB2" w14:textId="77777777" w:rsidR="00551812" w:rsidRDefault="00551812">
      <w:pPr>
        <w:pStyle w:val="BodyText"/>
        <w:rPr>
          <w:sz w:val="20"/>
        </w:rPr>
      </w:pPr>
    </w:p>
    <w:p w14:paraId="3C531BB3" w14:textId="77777777" w:rsidR="00551812" w:rsidRDefault="00551812">
      <w:pPr>
        <w:pStyle w:val="BodyText"/>
        <w:rPr>
          <w:sz w:val="20"/>
        </w:rPr>
      </w:pPr>
    </w:p>
    <w:p w14:paraId="3C531BB4" w14:textId="77777777" w:rsidR="00551812" w:rsidRDefault="00551812">
      <w:pPr>
        <w:pStyle w:val="BodyText"/>
        <w:rPr>
          <w:sz w:val="20"/>
        </w:rPr>
      </w:pPr>
    </w:p>
    <w:p w14:paraId="3C531BB5" w14:textId="77777777" w:rsidR="00551812" w:rsidRDefault="00551812">
      <w:pPr>
        <w:pStyle w:val="BodyText"/>
        <w:rPr>
          <w:sz w:val="20"/>
        </w:rPr>
      </w:pPr>
    </w:p>
    <w:p w14:paraId="3C531BB6" w14:textId="77777777" w:rsidR="00551812" w:rsidRDefault="00551812">
      <w:pPr>
        <w:pStyle w:val="BodyText"/>
        <w:rPr>
          <w:sz w:val="20"/>
        </w:rPr>
      </w:pPr>
    </w:p>
    <w:p w14:paraId="3C531BB7" w14:textId="77777777" w:rsidR="00551812" w:rsidRDefault="00551812">
      <w:pPr>
        <w:pStyle w:val="BodyText"/>
        <w:rPr>
          <w:sz w:val="20"/>
        </w:rPr>
      </w:pPr>
    </w:p>
    <w:p w14:paraId="3C531BB8" w14:textId="77777777" w:rsidR="00551812" w:rsidRDefault="00551812">
      <w:pPr>
        <w:pStyle w:val="BodyText"/>
        <w:rPr>
          <w:sz w:val="20"/>
        </w:rPr>
      </w:pPr>
    </w:p>
    <w:p w14:paraId="3C531BB9" w14:textId="77777777" w:rsidR="00551812" w:rsidRDefault="00551812">
      <w:pPr>
        <w:pStyle w:val="BodyText"/>
        <w:rPr>
          <w:sz w:val="20"/>
        </w:rPr>
      </w:pPr>
    </w:p>
    <w:p w14:paraId="3C531BBA" w14:textId="77777777" w:rsidR="00551812" w:rsidRDefault="00551812">
      <w:pPr>
        <w:pStyle w:val="BodyText"/>
        <w:rPr>
          <w:sz w:val="20"/>
        </w:rPr>
      </w:pPr>
    </w:p>
    <w:p w14:paraId="3C531BBB" w14:textId="77777777" w:rsidR="00551812" w:rsidRDefault="00551812">
      <w:pPr>
        <w:pStyle w:val="BodyText"/>
        <w:rPr>
          <w:sz w:val="20"/>
        </w:rPr>
      </w:pPr>
    </w:p>
    <w:p w14:paraId="3C531BBC" w14:textId="77777777" w:rsidR="00551812" w:rsidRDefault="00551812">
      <w:pPr>
        <w:pStyle w:val="BodyText"/>
        <w:rPr>
          <w:sz w:val="20"/>
        </w:rPr>
      </w:pPr>
    </w:p>
    <w:p w14:paraId="3C531BBD" w14:textId="77777777" w:rsidR="00551812" w:rsidRDefault="00551812">
      <w:pPr>
        <w:pStyle w:val="BodyText"/>
        <w:rPr>
          <w:sz w:val="20"/>
        </w:rPr>
      </w:pPr>
    </w:p>
    <w:p w14:paraId="3C531BBE" w14:textId="77777777" w:rsidR="00551812" w:rsidRDefault="00551812">
      <w:pPr>
        <w:pStyle w:val="BodyText"/>
        <w:rPr>
          <w:sz w:val="20"/>
        </w:rPr>
      </w:pPr>
    </w:p>
    <w:p w14:paraId="3C531BBF" w14:textId="77777777" w:rsidR="00551812" w:rsidRDefault="00551812">
      <w:pPr>
        <w:pStyle w:val="BodyText"/>
        <w:rPr>
          <w:sz w:val="20"/>
        </w:rPr>
      </w:pPr>
    </w:p>
    <w:p w14:paraId="3C531BC0" w14:textId="77777777" w:rsidR="00551812" w:rsidRDefault="00551812">
      <w:pPr>
        <w:pStyle w:val="BodyText"/>
        <w:rPr>
          <w:sz w:val="20"/>
        </w:rPr>
      </w:pPr>
    </w:p>
    <w:p w14:paraId="3C531BC1" w14:textId="77777777" w:rsidR="00551812" w:rsidRDefault="00551812">
      <w:pPr>
        <w:pStyle w:val="BodyText"/>
        <w:rPr>
          <w:sz w:val="20"/>
        </w:rPr>
      </w:pPr>
    </w:p>
    <w:p w14:paraId="3C531BC2" w14:textId="77777777" w:rsidR="00551812" w:rsidRDefault="00551812">
      <w:pPr>
        <w:pStyle w:val="BodyText"/>
        <w:rPr>
          <w:sz w:val="20"/>
        </w:rPr>
      </w:pPr>
    </w:p>
    <w:p w14:paraId="3C531BC3" w14:textId="77777777" w:rsidR="00551812" w:rsidRDefault="00551812">
      <w:pPr>
        <w:pStyle w:val="BodyText"/>
        <w:rPr>
          <w:sz w:val="20"/>
        </w:rPr>
      </w:pPr>
    </w:p>
    <w:p w14:paraId="3C531BC4" w14:textId="77777777" w:rsidR="00551812" w:rsidRDefault="00551812">
      <w:pPr>
        <w:pStyle w:val="BodyText"/>
        <w:rPr>
          <w:sz w:val="20"/>
        </w:rPr>
      </w:pPr>
    </w:p>
    <w:p w14:paraId="3C531BC5" w14:textId="77777777" w:rsidR="00551812" w:rsidRDefault="00551812">
      <w:pPr>
        <w:pStyle w:val="BodyText"/>
        <w:rPr>
          <w:sz w:val="20"/>
        </w:rPr>
      </w:pPr>
    </w:p>
    <w:p w14:paraId="3C531BC6" w14:textId="77777777" w:rsidR="00551812" w:rsidRDefault="00A603CE">
      <w:pPr>
        <w:pStyle w:val="BodyText"/>
        <w:spacing w:before="5"/>
        <w:rPr>
          <w:sz w:val="12"/>
        </w:rPr>
      </w:pPr>
      <w:r>
        <w:pict w14:anchorId="3C531C00">
          <v:shape id="_x0000_s1026" style="position:absolute;margin-left:56.7pt;margin-top:9.5pt;width:143.5pt;height:.1pt;z-index:-251652096;mso-wrap-distance-left:0;mso-wrap-distance-right:0;mso-position-horizontal-relative:page" coordorigin="1134,190" coordsize="2870,0" path="m1134,190r2870,e" filled="f" strokeweight=".72pt">
            <v:path arrowok="t"/>
            <w10:wrap type="topAndBottom" anchorx="page"/>
          </v:shape>
        </w:pict>
      </w:r>
    </w:p>
    <w:p w14:paraId="3C531BC7" w14:textId="77777777" w:rsidR="00551812" w:rsidRDefault="00A603CE">
      <w:pPr>
        <w:spacing w:before="69"/>
        <w:ind w:left="134"/>
        <w:rPr>
          <w:sz w:val="16"/>
        </w:rPr>
      </w:pPr>
      <w:r>
        <w:rPr>
          <w:position w:val="5"/>
          <w:sz w:val="10"/>
        </w:rPr>
        <w:t xml:space="preserve">5 </w:t>
      </w:r>
      <w:r>
        <w:rPr>
          <w:sz w:val="16"/>
        </w:rPr>
        <w:t>If you would like to include an alternative identifier, please describe the type of identifier provided.</w:t>
      </w:r>
    </w:p>
    <w:p w14:paraId="3C531BC8" w14:textId="77777777" w:rsidR="00551812" w:rsidRDefault="00551812">
      <w:pPr>
        <w:rPr>
          <w:sz w:val="16"/>
        </w:rPr>
        <w:sectPr w:rsidR="00551812">
          <w:pgSz w:w="11910" w:h="16840"/>
          <w:pgMar w:top="1500" w:right="1000" w:bottom="880" w:left="1000" w:header="0" w:footer="698" w:gutter="0"/>
          <w:cols w:space="720"/>
        </w:sectPr>
      </w:pPr>
    </w:p>
    <w:p w14:paraId="3C531BC9" w14:textId="77777777" w:rsidR="00551812" w:rsidRDefault="00A603CE">
      <w:pPr>
        <w:pStyle w:val="Heading1"/>
        <w:spacing w:before="76"/>
        <w:ind w:left="568" w:right="568"/>
        <w:jc w:val="center"/>
        <w:rPr>
          <w:u w:val="none"/>
        </w:rPr>
      </w:pPr>
      <w:r>
        <w:rPr>
          <w:u w:val="none"/>
        </w:rPr>
        <w:lastRenderedPageBreak/>
        <w:t>APPENDIX I</w:t>
      </w:r>
    </w:p>
    <w:p w14:paraId="3C531BCA" w14:textId="77777777" w:rsidR="00551812" w:rsidRDefault="00A603CE">
      <w:pPr>
        <w:spacing w:before="7" w:line="475" w:lineRule="auto"/>
        <w:ind w:left="2099" w:right="2097"/>
        <w:jc w:val="center"/>
        <w:rPr>
          <w:b/>
        </w:rPr>
      </w:pPr>
      <w:r>
        <w:rPr>
          <w:b/>
        </w:rPr>
        <w:t>TO CANADIAN CLEARING CLASSIFICATION LETTER DEFINED TERMS</w:t>
      </w:r>
    </w:p>
    <w:p w14:paraId="3C531BCB" w14:textId="77777777" w:rsidR="00551812" w:rsidRDefault="00A603CE">
      <w:pPr>
        <w:pStyle w:val="BodyText"/>
        <w:spacing w:line="247" w:lineRule="auto"/>
        <w:ind w:left="134" w:right="130"/>
        <w:jc w:val="both"/>
      </w:pPr>
      <w:r>
        <w:t>As used in the letter (including in this Appendix I), the words “affiliate” and “affiliated” shall be construed</w:t>
      </w:r>
      <w:r>
        <w:rPr>
          <w:spacing w:val="-27"/>
        </w:rPr>
        <w:t xml:space="preserve"> </w:t>
      </w:r>
      <w:r>
        <w:t xml:space="preserve">as provided in paragraphs </w:t>
      </w:r>
      <w:proofErr w:type="gramStart"/>
      <w:r>
        <w:t>1.(</w:t>
      </w:r>
      <w:proofErr w:type="gramEnd"/>
      <w:r>
        <w:t>2), 3.(01) and 3.(0.2) of the Canadian Mandatory Clearing</w:t>
      </w:r>
      <w:r>
        <w:rPr>
          <w:spacing w:val="-5"/>
        </w:rPr>
        <w:t xml:space="preserve"> </w:t>
      </w:r>
      <w:r>
        <w:t>Rule.</w:t>
      </w:r>
    </w:p>
    <w:p w14:paraId="3C531BCC" w14:textId="77777777" w:rsidR="00551812" w:rsidRDefault="00551812">
      <w:pPr>
        <w:pStyle w:val="BodyText"/>
        <w:spacing w:before="7"/>
        <w:rPr>
          <w:sz w:val="20"/>
        </w:rPr>
      </w:pPr>
    </w:p>
    <w:p w14:paraId="3C531BCD" w14:textId="77777777" w:rsidR="00551812" w:rsidRDefault="00A603CE">
      <w:pPr>
        <w:ind w:left="134"/>
        <w:jc w:val="both"/>
      </w:pPr>
      <w:r>
        <w:t>“</w:t>
      </w:r>
      <w:r>
        <w:rPr>
          <w:b/>
          <w:i/>
        </w:rPr>
        <w:t>Canadian Mandatory Clearing Rule</w:t>
      </w:r>
      <w:r>
        <w:t>” has the meaning given to it above on page 1 of this letter.</w:t>
      </w:r>
    </w:p>
    <w:p w14:paraId="3C531BCE" w14:textId="77777777" w:rsidR="00551812" w:rsidRDefault="00551812">
      <w:pPr>
        <w:pStyle w:val="BodyText"/>
        <w:spacing w:before="5"/>
        <w:rPr>
          <w:sz w:val="21"/>
        </w:rPr>
      </w:pPr>
    </w:p>
    <w:p w14:paraId="3C531BCF" w14:textId="77777777" w:rsidR="00551812" w:rsidRDefault="00A603CE">
      <w:pPr>
        <w:pStyle w:val="BodyText"/>
        <w:spacing w:line="247" w:lineRule="auto"/>
        <w:ind w:left="134" w:right="131"/>
        <w:jc w:val="both"/>
      </w:pPr>
      <w:r>
        <w:t>“</w:t>
      </w:r>
      <w:r>
        <w:rPr>
          <w:b/>
          <w:i/>
        </w:rPr>
        <w:t>Clearing Agency Participant</w:t>
      </w:r>
      <w:r>
        <w:t>” means any Participant of an OTC RCA, other than an Exempt Entity, that subscribes to clearing services for Mandatory Clearable Deri</w:t>
      </w:r>
      <w:r>
        <w:t>vative(s).</w:t>
      </w:r>
    </w:p>
    <w:p w14:paraId="3C531BD0" w14:textId="77777777" w:rsidR="00551812" w:rsidRDefault="00551812">
      <w:pPr>
        <w:pStyle w:val="BodyText"/>
        <w:spacing w:before="9"/>
        <w:rPr>
          <w:sz w:val="20"/>
        </w:rPr>
      </w:pPr>
    </w:p>
    <w:p w14:paraId="3C531BD1" w14:textId="77777777" w:rsidR="00551812" w:rsidRDefault="00A603CE">
      <w:pPr>
        <w:pStyle w:val="BodyText"/>
        <w:spacing w:line="247" w:lineRule="auto"/>
        <w:ind w:left="134" w:right="130"/>
        <w:jc w:val="both"/>
      </w:pPr>
      <w:r>
        <w:t>“</w:t>
      </w:r>
      <w:r>
        <w:rPr>
          <w:b/>
          <w:i/>
        </w:rPr>
        <w:t>Clearing Participant Affiliate</w:t>
      </w:r>
      <w:r>
        <w:t>” means an affiliate, other than an Exempt Entity, of a Participant of an OTC RCA listed in Question 1 of this letter that subscribes to clearing services for Mandatory Clearable Derivative(s), where such affiliat</w:t>
      </w:r>
      <w:r>
        <w:t>e had, for the months of March, April and May preceding the Reference Period in which the transaction is to be executed, an average month-end gross notional amount under all outstanding over-the-counter derivatives (as defined in the Canadian Mandatory Cle</w:t>
      </w:r>
      <w:r>
        <w:t>aring Rule) exceeding CAD $1,000,000,000 (or such other amount specified in the future pursuant to an amendment, supplement or other revision to the Canadian Mandatory Clearing Rule), excluding derivatives eligible for the Intragroup Exemption.</w:t>
      </w:r>
    </w:p>
    <w:p w14:paraId="3C531BD2" w14:textId="77777777" w:rsidR="00551812" w:rsidRDefault="00551812">
      <w:pPr>
        <w:pStyle w:val="BodyText"/>
        <w:rPr>
          <w:sz w:val="21"/>
        </w:rPr>
      </w:pPr>
    </w:p>
    <w:p w14:paraId="3C531BD3" w14:textId="77777777" w:rsidR="00551812" w:rsidRDefault="00A603CE">
      <w:pPr>
        <w:pStyle w:val="BodyText"/>
        <w:ind w:left="134" w:right="130"/>
        <w:jc w:val="both"/>
      </w:pPr>
      <w:r>
        <w:t>“</w:t>
      </w:r>
      <w:r>
        <w:rPr>
          <w:b/>
          <w:i/>
        </w:rPr>
        <w:t>Exempt En</w:t>
      </w:r>
      <w:r>
        <w:rPr>
          <w:b/>
          <w:i/>
        </w:rPr>
        <w:t>tity</w:t>
      </w:r>
      <w:r>
        <w:t>” means (i) the government of Canada, the government of a jurisdiction of Canada or the government of a foreign jurisdiction; (ii) a crown corporation for which the government of the jurisdiction where the crown corporation was constituted is liable fo</w:t>
      </w:r>
      <w:r>
        <w:t>r all or substantially all the liabilities; (iii) a person or company wholly owned by one or more governments referred to in paragraph (i) of this definition of Exempt Entity if the government or governments are liable for all or substantially all the liab</w:t>
      </w:r>
      <w:r>
        <w:t>ilities of the person or company; (iv) the Bank of Canada or a central bank of a foreign jurisdiction; (v) the Bank for International Settlements; and (vi) the International Monetary Fund.</w:t>
      </w:r>
    </w:p>
    <w:p w14:paraId="3C531BD4" w14:textId="77777777" w:rsidR="00551812" w:rsidRDefault="00551812">
      <w:pPr>
        <w:pStyle w:val="BodyText"/>
        <w:spacing w:before="6"/>
        <w:rPr>
          <w:sz w:val="21"/>
        </w:rPr>
      </w:pPr>
    </w:p>
    <w:p w14:paraId="3C531BD5" w14:textId="77777777" w:rsidR="00551812" w:rsidRDefault="00A603CE">
      <w:pPr>
        <w:pStyle w:val="BodyText"/>
        <w:spacing w:line="247" w:lineRule="auto"/>
        <w:ind w:left="134" w:right="131"/>
        <w:jc w:val="both"/>
      </w:pPr>
      <w:r>
        <w:t>“</w:t>
      </w:r>
      <w:r>
        <w:rPr>
          <w:b/>
          <w:i/>
        </w:rPr>
        <w:t>Intragroup Exemption</w:t>
      </w:r>
      <w:r>
        <w:t>” means the intragroup exemption from mandato</w:t>
      </w:r>
      <w:r>
        <w:t>ry clearing provided for in section 7 of the Canadian Mandatory Clearing Rule.</w:t>
      </w:r>
    </w:p>
    <w:p w14:paraId="3C531BD6" w14:textId="77777777" w:rsidR="00551812" w:rsidRDefault="00551812">
      <w:pPr>
        <w:pStyle w:val="BodyText"/>
        <w:spacing w:before="8"/>
        <w:rPr>
          <w:sz w:val="20"/>
        </w:rPr>
      </w:pPr>
    </w:p>
    <w:p w14:paraId="3C531BD7" w14:textId="77777777" w:rsidR="00551812" w:rsidRDefault="00A603CE">
      <w:pPr>
        <w:pStyle w:val="BodyText"/>
        <w:spacing w:before="1" w:line="247" w:lineRule="auto"/>
        <w:ind w:left="134" w:right="130"/>
        <w:jc w:val="both"/>
      </w:pPr>
      <w:r>
        <w:t>“</w:t>
      </w:r>
      <w:r>
        <w:rPr>
          <w:b/>
          <w:i/>
        </w:rPr>
        <w:t>Large</w:t>
      </w:r>
      <w:r>
        <w:rPr>
          <w:b/>
          <w:i/>
          <w:spacing w:val="-6"/>
        </w:rPr>
        <w:t xml:space="preserve"> </w:t>
      </w:r>
      <w:r>
        <w:rPr>
          <w:b/>
          <w:i/>
        </w:rPr>
        <w:t>Notional</w:t>
      </w:r>
      <w:r>
        <w:rPr>
          <w:b/>
          <w:i/>
          <w:spacing w:val="-5"/>
        </w:rPr>
        <w:t xml:space="preserve"> </w:t>
      </w:r>
      <w:r>
        <w:rPr>
          <w:b/>
          <w:i/>
        </w:rPr>
        <w:t>Counterparty</w:t>
      </w:r>
      <w:r>
        <w:t>”</w:t>
      </w:r>
      <w:r>
        <w:rPr>
          <w:spacing w:val="-6"/>
        </w:rPr>
        <w:t xml:space="preserve"> </w:t>
      </w:r>
      <w:r>
        <w:t>means</w:t>
      </w:r>
      <w:r>
        <w:rPr>
          <w:spacing w:val="-5"/>
        </w:rPr>
        <w:t xml:space="preserve"> </w:t>
      </w:r>
      <w:r>
        <w:t>a</w:t>
      </w:r>
      <w:r>
        <w:rPr>
          <w:spacing w:val="-5"/>
        </w:rPr>
        <w:t xml:space="preserve"> </w:t>
      </w:r>
      <w:r>
        <w:t>Local</w:t>
      </w:r>
      <w:r>
        <w:rPr>
          <w:spacing w:val="-6"/>
        </w:rPr>
        <w:t xml:space="preserve"> </w:t>
      </w:r>
      <w:r>
        <w:t>Counterparty</w:t>
      </w:r>
      <w:r>
        <w:rPr>
          <w:spacing w:val="-5"/>
        </w:rPr>
        <w:t xml:space="preserve"> </w:t>
      </w:r>
      <w:r>
        <w:t>in</w:t>
      </w:r>
      <w:r>
        <w:rPr>
          <w:spacing w:val="-6"/>
        </w:rPr>
        <w:t xml:space="preserve"> </w:t>
      </w:r>
      <w:r>
        <w:t>any</w:t>
      </w:r>
      <w:r>
        <w:rPr>
          <w:spacing w:val="-5"/>
        </w:rPr>
        <w:t xml:space="preserve"> </w:t>
      </w:r>
      <w:r>
        <w:t>jurisdiction</w:t>
      </w:r>
      <w:r>
        <w:rPr>
          <w:spacing w:val="-5"/>
        </w:rPr>
        <w:t xml:space="preserve"> </w:t>
      </w:r>
      <w:r>
        <w:t>of</w:t>
      </w:r>
      <w:r>
        <w:rPr>
          <w:spacing w:val="-6"/>
        </w:rPr>
        <w:t xml:space="preserve"> </w:t>
      </w:r>
      <w:r>
        <w:t>Canada</w:t>
      </w:r>
      <w:r>
        <w:rPr>
          <w:spacing w:val="-5"/>
        </w:rPr>
        <w:t xml:space="preserve"> </w:t>
      </w:r>
      <w:r>
        <w:t>that</w:t>
      </w:r>
      <w:r>
        <w:rPr>
          <w:spacing w:val="-6"/>
        </w:rPr>
        <w:t xml:space="preserve"> </w:t>
      </w:r>
      <w:r>
        <w:t>(i)</w:t>
      </w:r>
      <w:r>
        <w:rPr>
          <w:spacing w:val="-5"/>
        </w:rPr>
        <w:t xml:space="preserve"> </w:t>
      </w:r>
      <w:r>
        <w:t>had,</w:t>
      </w:r>
      <w:r>
        <w:rPr>
          <w:spacing w:val="-5"/>
        </w:rPr>
        <w:t xml:space="preserve"> </w:t>
      </w:r>
      <w:r>
        <w:t>during the 12-month period prior to the intended execution of the transacti</w:t>
      </w:r>
      <w:r>
        <w:t>on, a month-end gross notional amount under all outstanding over-the-counter derivatives (as defined in the Canadian Mandatory Clearing Rule), combined</w:t>
      </w:r>
      <w:r>
        <w:rPr>
          <w:spacing w:val="-12"/>
        </w:rPr>
        <w:t xml:space="preserve"> </w:t>
      </w:r>
      <w:r>
        <w:t>with</w:t>
      </w:r>
      <w:r>
        <w:rPr>
          <w:spacing w:val="-13"/>
        </w:rPr>
        <w:t xml:space="preserve"> </w:t>
      </w:r>
      <w:r>
        <w:t>each</w:t>
      </w:r>
      <w:r>
        <w:rPr>
          <w:spacing w:val="-11"/>
        </w:rPr>
        <w:t xml:space="preserve"> </w:t>
      </w:r>
      <w:r>
        <w:t>affiliated</w:t>
      </w:r>
      <w:r>
        <w:rPr>
          <w:spacing w:val="-13"/>
        </w:rPr>
        <w:t xml:space="preserve"> </w:t>
      </w:r>
      <w:r>
        <w:t>entity</w:t>
      </w:r>
      <w:r>
        <w:rPr>
          <w:spacing w:val="-12"/>
        </w:rPr>
        <w:t xml:space="preserve"> </w:t>
      </w:r>
      <w:r>
        <w:t>that</w:t>
      </w:r>
      <w:r>
        <w:rPr>
          <w:spacing w:val="-11"/>
        </w:rPr>
        <w:t xml:space="preserve"> </w:t>
      </w:r>
      <w:r>
        <w:t>is</w:t>
      </w:r>
      <w:r>
        <w:rPr>
          <w:spacing w:val="-13"/>
        </w:rPr>
        <w:t xml:space="preserve"> </w:t>
      </w:r>
      <w:r>
        <w:t>a</w:t>
      </w:r>
      <w:r>
        <w:rPr>
          <w:spacing w:val="-13"/>
        </w:rPr>
        <w:t xml:space="preserve"> </w:t>
      </w:r>
      <w:r>
        <w:t>Local</w:t>
      </w:r>
      <w:r>
        <w:rPr>
          <w:spacing w:val="-12"/>
        </w:rPr>
        <w:t xml:space="preserve"> </w:t>
      </w:r>
      <w:r>
        <w:t>Counterparty</w:t>
      </w:r>
      <w:r>
        <w:rPr>
          <w:spacing w:val="-12"/>
        </w:rPr>
        <w:t xml:space="preserve"> </w:t>
      </w:r>
      <w:r>
        <w:t>in</w:t>
      </w:r>
      <w:r>
        <w:rPr>
          <w:spacing w:val="-13"/>
        </w:rPr>
        <w:t xml:space="preserve"> </w:t>
      </w:r>
      <w:r>
        <w:t>any</w:t>
      </w:r>
      <w:r>
        <w:rPr>
          <w:spacing w:val="-12"/>
        </w:rPr>
        <w:t xml:space="preserve"> </w:t>
      </w:r>
      <w:r>
        <w:t>jurisdiction</w:t>
      </w:r>
      <w:r>
        <w:rPr>
          <w:spacing w:val="-12"/>
        </w:rPr>
        <w:t xml:space="preserve"> </w:t>
      </w:r>
      <w:r>
        <w:t>of</w:t>
      </w:r>
      <w:r>
        <w:rPr>
          <w:spacing w:val="-13"/>
        </w:rPr>
        <w:t xml:space="preserve"> </w:t>
      </w:r>
      <w:r>
        <w:t>Canada,</w:t>
      </w:r>
      <w:r>
        <w:rPr>
          <w:spacing w:val="-12"/>
        </w:rPr>
        <w:t xml:space="preserve"> </w:t>
      </w:r>
      <w:r>
        <w:t>exceeding</w:t>
      </w:r>
      <w:r>
        <w:rPr>
          <w:spacing w:val="-13"/>
        </w:rPr>
        <w:t xml:space="preserve"> </w:t>
      </w:r>
      <w:r>
        <w:t>CAD</w:t>
      </w:r>
    </w:p>
    <w:p w14:paraId="3C531BD8" w14:textId="77777777" w:rsidR="00551812" w:rsidRDefault="00A603CE">
      <w:pPr>
        <w:pStyle w:val="BodyText"/>
        <w:spacing w:line="247" w:lineRule="auto"/>
        <w:ind w:left="134" w:right="130"/>
        <w:jc w:val="both"/>
      </w:pPr>
      <w:r>
        <w:t>$500,000,000,000 (or such other amount specified in the future pursuant to an amendment, supplement or other revision to the Canadian Mandatory Clearing Rule), excluding derivatives eligible for the Intragroup Exemption</w:t>
      </w:r>
      <w:r>
        <w:rPr>
          <w:spacing w:val="-4"/>
        </w:rPr>
        <w:t xml:space="preserve"> </w:t>
      </w:r>
      <w:r>
        <w:t>and</w:t>
      </w:r>
      <w:r>
        <w:rPr>
          <w:spacing w:val="-3"/>
        </w:rPr>
        <w:t xml:space="preserve"> </w:t>
      </w:r>
      <w:r>
        <w:t>(ii)</w:t>
      </w:r>
      <w:r>
        <w:rPr>
          <w:spacing w:val="-3"/>
        </w:rPr>
        <w:t xml:space="preserve"> </w:t>
      </w:r>
      <w:r>
        <w:t>had,</w:t>
      </w:r>
      <w:r>
        <w:rPr>
          <w:spacing w:val="-3"/>
        </w:rPr>
        <w:t xml:space="preserve"> </w:t>
      </w:r>
      <w:r>
        <w:t>for</w:t>
      </w:r>
      <w:r>
        <w:rPr>
          <w:spacing w:val="-3"/>
        </w:rPr>
        <w:t xml:space="preserve"> </w:t>
      </w:r>
      <w:r>
        <w:t>the</w:t>
      </w:r>
      <w:r>
        <w:rPr>
          <w:spacing w:val="-4"/>
        </w:rPr>
        <w:t xml:space="preserve"> </w:t>
      </w:r>
      <w:r>
        <w:t>months</w:t>
      </w:r>
      <w:r>
        <w:rPr>
          <w:spacing w:val="-3"/>
        </w:rPr>
        <w:t xml:space="preserve"> </w:t>
      </w:r>
      <w:r>
        <w:t>of</w:t>
      </w:r>
      <w:r>
        <w:rPr>
          <w:spacing w:val="-3"/>
        </w:rPr>
        <w:t xml:space="preserve"> </w:t>
      </w:r>
      <w:r>
        <w:t>March,</w:t>
      </w:r>
      <w:r>
        <w:rPr>
          <w:spacing w:val="-3"/>
        </w:rPr>
        <w:t xml:space="preserve"> </w:t>
      </w:r>
      <w:r>
        <w:t>April</w:t>
      </w:r>
      <w:r>
        <w:rPr>
          <w:spacing w:val="-3"/>
        </w:rPr>
        <w:t xml:space="preserve"> </w:t>
      </w:r>
      <w:r>
        <w:t>and</w:t>
      </w:r>
      <w:r>
        <w:rPr>
          <w:spacing w:val="-3"/>
        </w:rPr>
        <w:t xml:space="preserve"> </w:t>
      </w:r>
      <w:r>
        <w:t>May</w:t>
      </w:r>
      <w:r>
        <w:rPr>
          <w:spacing w:val="-4"/>
        </w:rPr>
        <w:t xml:space="preserve"> </w:t>
      </w:r>
      <w:r>
        <w:t>preceding</w:t>
      </w:r>
      <w:r>
        <w:rPr>
          <w:spacing w:val="-3"/>
        </w:rPr>
        <w:t xml:space="preserve"> </w:t>
      </w:r>
      <w:r>
        <w:t>the</w:t>
      </w:r>
      <w:r>
        <w:rPr>
          <w:spacing w:val="-3"/>
        </w:rPr>
        <w:t xml:space="preserve"> </w:t>
      </w:r>
      <w:r>
        <w:t>Reference</w:t>
      </w:r>
      <w:r>
        <w:rPr>
          <w:spacing w:val="-3"/>
        </w:rPr>
        <w:t xml:space="preserve"> </w:t>
      </w:r>
      <w:r>
        <w:t>Period</w:t>
      </w:r>
      <w:r>
        <w:rPr>
          <w:spacing w:val="-3"/>
        </w:rPr>
        <w:t xml:space="preserve"> </w:t>
      </w:r>
      <w:r>
        <w:t>in</w:t>
      </w:r>
      <w:r>
        <w:rPr>
          <w:spacing w:val="-3"/>
        </w:rPr>
        <w:t xml:space="preserve"> </w:t>
      </w:r>
      <w:r>
        <w:t>which</w:t>
      </w:r>
      <w:r>
        <w:rPr>
          <w:spacing w:val="-4"/>
        </w:rPr>
        <w:t xml:space="preserve"> </w:t>
      </w:r>
      <w:r>
        <w:t>the transaction is to be executed, an average month-end gross notional amount under all outstanding over-the- counter</w:t>
      </w:r>
      <w:r>
        <w:rPr>
          <w:spacing w:val="-8"/>
        </w:rPr>
        <w:t xml:space="preserve"> </w:t>
      </w:r>
      <w:r>
        <w:t>derivatives</w:t>
      </w:r>
      <w:r>
        <w:rPr>
          <w:spacing w:val="-8"/>
        </w:rPr>
        <w:t xml:space="preserve"> </w:t>
      </w:r>
      <w:r>
        <w:t>(as</w:t>
      </w:r>
      <w:r>
        <w:rPr>
          <w:spacing w:val="-8"/>
        </w:rPr>
        <w:t xml:space="preserve"> </w:t>
      </w:r>
      <w:r>
        <w:t>defined</w:t>
      </w:r>
      <w:r>
        <w:rPr>
          <w:spacing w:val="-7"/>
        </w:rPr>
        <w:t xml:space="preserve"> </w:t>
      </w:r>
      <w:r>
        <w:t>in</w:t>
      </w:r>
      <w:r>
        <w:rPr>
          <w:spacing w:val="-8"/>
        </w:rPr>
        <w:t xml:space="preserve"> </w:t>
      </w:r>
      <w:r>
        <w:t>the</w:t>
      </w:r>
      <w:r>
        <w:rPr>
          <w:spacing w:val="-8"/>
        </w:rPr>
        <w:t xml:space="preserve"> </w:t>
      </w:r>
      <w:r>
        <w:t>Canadian</w:t>
      </w:r>
      <w:r>
        <w:rPr>
          <w:spacing w:val="-8"/>
        </w:rPr>
        <w:t xml:space="preserve"> </w:t>
      </w:r>
      <w:r>
        <w:t>Mandatory</w:t>
      </w:r>
      <w:r>
        <w:rPr>
          <w:spacing w:val="-7"/>
        </w:rPr>
        <w:t xml:space="preserve"> </w:t>
      </w:r>
      <w:r>
        <w:t>Clearing</w:t>
      </w:r>
      <w:r>
        <w:rPr>
          <w:spacing w:val="-8"/>
        </w:rPr>
        <w:t xml:space="preserve"> </w:t>
      </w:r>
      <w:r>
        <w:t>Rule)</w:t>
      </w:r>
      <w:r>
        <w:rPr>
          <w:spacing w:val="-8"/>
        </w:rPr>
        <w:t xml:space="preserve"> </w:t>
      </w:r>
      <w:r>
        <w:t>ex</w:t>
      </w:r>
      <w:r>
        <w:t>ceeding</w:t>
      </w:r>
      <w:r>
        <w:rPr>
          <w:spacing w:val="-8"/>
        </w:rPr>
        <w:t xml:space="preserve"> </w:t>
      </w:r>
      <w:r>
        <w:t>CAD</w:t>
      </w:r>
      <w:r>
        <w:rPr>
          <w:spacing w:val="-7"/>
        </w:rPr>
        <w:t xml:space="preserve"> </w:t>
      </w:r>
      <w:r>
        <w:t>$1,000,000,000</w:t>
      </w:r>
      <w:r>
        <w:rPr>
          <w:spacing w:val="-8"/>
        </w:rPr>
        <w:t xml:space="preserve"> </w:t>
      </w:r>
      <w:r>
        <w:t>(or such other amount specified in the future pursuant to an amendment, supplement or other revision to the Canadian Mandatory Clearing Rule), excluding derivatives eligible for the Intragroup</w:t>
      </w:r>
      <w:r>
        <w:rPr>
          <w:spacing w:val="-3"/>
        </w:rPr>
        <w:t xml:space="preserve"> </w:t>
      </w:r>
      <w:r>
        <w:t>Exemption.</w:t>
      </w:r>
    </w:p>
    <w:p w14:paraId="3C531BD9" w14:textId="77777777" w:rsidR="00551812" w:rsidRDefault="00551812">
      <w:pPr>
        <w:pStyle w:val="BodyText"/>
        <w:spacing w:before="3"/>
        <w:rPr>
          <w:sz w:val="20"/>
        </w:rPr>
      </w:pPr>
    </w:p>
    <w:p w14:paraId="3C531BDA" w14:textId="77777777" w:rsidR="00551812" w:rsidRDefault="00A603CE">
      <w:pPr>
        <w:pStyle w:val="BodyText"/>
        <w:spacing w:line="247" w:lineRule="auto"/>
        <w:ind w:left="134" w:right="128"/>
        <w:jc w:val="both"/>
      </w:pPr>
      <w:r>
        <w:t>“</w:t>
      </w:r>
      <w:r>
        <w:rPr>
          <w:b/>
          <w:i/>
        </w:rPr>
        <w:t>Local</w:t>
      </w:r>
      <w:r>
        <w:rPr>
          <w:b/>
          <w:i/>
          <w:spacing w:val="-11"/>
        </w:rPr>
        <w:t xml:space="preserve"> </w:t>
      </w:r>
      <w:r>
        <w:rPr>
          <w:b/>
          <w:i/>
        </w:rPr>
        <w:t>Counterparty</w:t>
      </w:r>
      <w:r>
        <w:t>”</w:t>
      </w:r>
      <w:r>
        <w:rPr>
          <w:spacing w:val="-9"/>
        </w:rPr>
        <w:t xml:space="preserve"> </w:t>
      </w:r>
      <w:r>
        <w:t>means</w:t>
      </w:r>
      <w:r>
        <w:rPr>
          <w:spacing w:val="-10"/>
        </w:rPr>
        <w:t xml:space="preserve"> </w:t>
      </w:r>
      <w:r>
        <w:t>a</w:t>
      </w:r>
      <w:r>
        <w:rPr>
          <w:spacing w:val="-10"/>
        </w:rPr>
        <w:t xml:space="preserve"> </w:t>
      </w:r>
      <w:r>
        <w:t>counterparty</w:t>
      </w:r>
      <w:r>
        <w:rPr>
          <w:spacing w:val="-10"/>
        </w:rPr>
        <w:t xml:space="preserve"> </w:t>
      </w:r>
      <w:r>
        <w:t>to</w:t>
      </w:r>
      <w:r>
        <w:rPr>
          <w:spacing w:val="-10"/>
        </w:rPr>
        <w:t xml:space="preserve"> </w:t>
      </w:r>
      <w:r>
        <w:t>a</w:t>
      </w:r>
      <w:r>
        <w:rPr>
          <w:spacing w:val="-9"/>
        </w:rPr>
        <w:t xml:space="preserve"> </w:t>
      </w:r>
      <w:r>
        <w:t>derivative</w:t>
      </w:r>
      <w:r>
        <w:rPr>
          <w:spacing w:val="-10"/>
        </w:rPr>
        <w:t xml:space="preserve"> </w:t>
      </w:r>
      <w:r>
        <w:t>if,</w:t>
      </w:r>
      <w:r>
        <w:rPr>
          <w:spacing w:val="-9"/>
        </w:rPr>
        <w:t xml:space="preserve"> </w:t>
      </w:r>
      <w:r>
        <w:t>at</w:t>
      </w:r>
      <w:r>
        <w:rPr>
          <w:spacing w:val="-10"/>
        </w:rPr>
        <w:t xml:space="preserve"> </w:t>
      </w:r>
      <w:r>
        <w:t>the</w:t>
      </w:r>
      <w:r>
        <w:rPr>
          <w:spacing w:val="-9"/>
        </w:rPr>
        <w:t xml:space="preserve"> </w:t>
      </w:r>
      <w:r>
        <w:t>time</w:t>
      </w:r>
      <w:r>
        <w:rPr>
          <w:spacing w:val="-9"/>
        </w:rPr>
        <w:t xml:space="preserve"> </w:t>
      </w:r>
      <w:r>
        <w:t>of</w:t>
      </w:r>
      <w:r>
        <w:rPr>
          <w:spacing w:val="-11"/>
        </w:rPr>
        <w:t xml:space="preserve"> </w:t>
      </w:r>
      <w:r>
        <w:t>execution</w:t>
      </w:r>
      <w:r>
        <w:rPr>
          <w:spacing w:val="-10"/>
        </w:rPr>
        <w:t xml:space="preserve"> </w:t>
      </w:r>
      <w:r>
        <w:t>of</w:t>
      </w:r>
      <w:r>
        <w:rPr>
          <w:spacing w:val="-10"/>
        </w:rPr>
        <w:t xml:space="preserve"> </w:t>
      </w:r>
      <w:r>
        <w:t>the</w:t>
      </w:r>
      <w:r>
        <w:rPr>
          <w:spacing w:val="-11"/>
        </w:rPr>
        <w:t xml:space="preserve"> </w:t>
      </w:r>
      <w:r>
        <w:t>transaction,</w:t>
      </w:r>
      <w:r>
        <w:rPr>
          <w:spacing w:val="-9"/>
        </w:rPr>
        <w:t xml:space="preserve"> </w:t>
      </w:r>
      <w:r>
        <w:t>either of the following</w:t>
      </w:r>
      <w:r>
        <w:rPr>
          <w:spacing w:val="-1"/>
        </w:rPr>
        <w:t xml:space="preserve"> </w:t>
      </w:r>
      <w:r>
        <w:t>applies:</w:t>
      </w:r>
    </w:p>
    <w:p w14:paraId="3C531BDB" w14:textId="77777777" w:rsidR="00551812" w:rsidRDefault="00551812">
      <w:pPr>
        <w:pStyle w:val="BodyText"/>
        <w:spacing w:before="9"/>
        <w:rPr>
          <w:sz w:val="20"/>
        </w:rPr>
      </w:pPr>
    </w:p>
    <w:p w14:paraId="3C531BDC" w14:textId="77777777" w:rsidR="00551812" w:rsidRDefault="00A603CE">
      <w:pPr>
        <w:pStyle w:val="ListParagraph"/>
        <w:numPr>
          <w:ilvl w:val="0"/>
          <w:numId w:val="2"/>
        </w:numPr>
        <w:tabs>
          <w:tab w:val="left" w:pos="406"/>
        </w:tabs>
        <w:spacing w:line="247" w:lineRule="auto"/>
        <w:ind w:right="131" w:firstLine="0"/>
      </w:pPr>
      <w:r>
        <w:t>the counterparty is a person or company, other than an individual, to which one or more of the following apply:</w:t>
      </w:r>
    </w:p>
    <w:p w14:paraId="3C531BDD" w14:textId="77777777" w:rsidR="00551812" w:rsidRDefault="00551812">
      <w:pPr>
        <w:pStyle w:val="BodyText"/>
        <w:spacing w:before="9"/>
        <w:rPr>
          <w:sz w:val="20"/>
        </w:rPr>
      </w:pPr>
    </w:p>
    <w:p w14:paraId="3C531BDE" w14:textId="77777777" w:rsidR="00551812" w:rsidRDefault="00A603CE">
      <w:pPr>
        <w:pStyle w:val="ListParagraph"/>
        <w:numPr>
          <w:ilvl w:val="1"/>
          <w:numId w:val="2"/>
        </w:numPr>
        <w:tabs>
          <w:tab w:val="left" w:pos="1573"/>
          <w:tab w:val="left" w:pos="1575"/>
        </w:tabs>
      </w:pPr>
      <w:r>
        <w:t>the person or company is organized under the laws of the local</w:t>
      </w:r>
      <w:r>
        <w:rPr>
          <w:spacing w:val="-5"/>
        </w:rPr>
        <w:t xml:space="preserve"> </w:t>
      </w:r>
      <w:proofErr w:type="gramStart"/>
      <w:r>
        <w:t>jurisdiction;</w:t>
      </w:r>
      <w:proofErr w:type="gramEnd"/>
    </w:p>
    <w:p w14:paraId="3C531BDF" w14:textId="77777777" w:rsidR="00551812" w:rsidRDefault="00551812">
      <w:pPr>
        <w:pStyle w:val="BodyText"/>
        <w:spacing w:before="6"/>
        <w:rPr>
          <w:sz w:val="21"/>
        </w:rPr>
      </w:pPr>
    </w:p>
    <w:p w14:paraId="3C531BE0" w14:textId="77777777" w:rsidR="00551812" w:rsidRDefault="00A603CE">
      <w:pPr>
        <w:pStyle w:val="ListParagraph"/>
        <w:numPr>
          <w:ilvl w:val="1"/>
          <w:numId w:val="2"/>
        </w:numPr>
        <w:tabs>
          <w:tab w:val="left" w:pos="1573"/>
          <w:tab w:val="left" w:pos="1575"/>
        </w:tabs>
      </w:pPr>
      <w:r>
        <w:t>the head office of the person or company is in the local</w:t>
      </w:r>
      <w:r>
        <w:rPr>
          <w:spacing w:val="-2"/>
        </w:rPr>
        <w:t xml:space="preserve"> </w:t>
      </w:r>
      <w:proofErr w:type="gramStart"/>
      <w:r>
        <w:t>jurisdic</w:t>
      </w:r>
      <w:r>
        <w:t>tion;</w:t>
      </w:r>
      <w:proofErr w:type="gramEnd"/>
    </w:p>
    <w:p w14:paraId="3C531BE1" w14:textId="77777777" w:rsidR="00551812" w:rsidRDefault="00551812">
      <w:pPr>
        <w:sectPr w:rsidR="00551812">
          <w:pgSz w:w="11910" w:h="16840"/>
          <w:pgMar w:top="1500" w:right="1000" w:bottom="880" w:left="1000" w:header="0" w:footer="698" w:gutter="0"/>
          <w:cols w:space="720"/>
        </w:sectPr>
      </w:pPr>
    </w:p>
    <w:p w14:paraId="3C531BE2" w14:textId="77777777" w:rsidR="00551812" w:rsidRDefault="00A603CE">
      <w:pPr>
        <w:pStyle w:val="ListParagraph"/>
        <w:numPr>
          <w:ilvl w:val="1"/>
          <w:numId w:val="2"/>
        </w:numPr>
        <w:tabs>
          <w:tab w:val="left" w:pos="1573"/>
          <w:tab w:val="left" w:pos="1575"/>
        </w:tabs>
        <w:spacing w:before="76"/>
      </w:pPr>
      <w:r>
        <w:lastRenderedPageBreak/>
        <w:t>the principal place of business of the person or company is in the local jurisdiction;</w:t>
      </w:r>
      <w:r>
        <w:rPr>
          <w:spacing w:val="-4"/>
        </w:rPr>
        <w:t xml:space="preserve"> </w:t>
      </w:r>
      <w:r>
        <w:t>or</w:t>
      </w:r>
    </w:p>
    <w:p w14:paraId="3C531BE3" w14:textId="77777777" w:rsidR="00551812" w:rsidRDefault="00551812">
      <w:pPr>
        <w:pStyle w:val="BodyText"/>
        <w:spacing w:before="10"/>
        <w:rPr>
          <w:sz w:val="20"/>
        </w:rPr>
      </w:pPr>
    </w:p>
    <w:p w14:paraId="3C531BE4" w14:textId="77777777" w:rsidR="00551812" w:rsidRDefault="00A603CE">
      <w:pPr>
        <w:pStyle w:val="ListParagraph"/>
        <w:numPr>
          <w:ilvl w:val="0"/>
          <w:numId w:val="2"/>
        </w:numPr>
        <w:tabs>
          <w:tab w:val="left" w:pos="854"/>
        </w:tabs>
        <w:ind w:left="854" w:right="131" w:hanging="720"/>
        <w:jc w:val="both"/>
      </w:pPr>
      <w:r>
        <w:t>the counterparty is an affiliated entity of a person or company referred to in paragraph (i) of this definition of Local Counterparty and the</w:t>
      </w:r>
      <w:r>
        <w:t xml:space="preserve"> person or company is liable for all or substantially all the liabilities of the</w:t>
      </w:r>
      <w:r>
        <w:rPr>
          <w:spacing w:val="-1"/>
        </w:rPr>
        <w:t xml:space="preserve"> </w:t>
      </w:r>
      <w:r>
        <w:t>counterparty.</w:t>
      </w:r>
    </w:p>
    <w:p w14:paraId="3C531BE5" w14:textId="77777777" w:rsidR="00551812" w:rsidRDefault="00551812">
      <w:pPr>
        <w:pStyle w:val="BodyText"/>
        <w:spacing w:before="5"/>
        <w:rPr>
          <w:sz w:val="21"/>
        </w:rPr>
      </w:pPr>
    </w:p>
    <w:p w14:paraId="3C531BE6" w14:textId="77777777" w:rsidR="00551812" w:rsidRDefault="00A603CE">
      <w:pPr>
        <w:spacing w:line="247" w:lineRule="auto"/>
        <w:ind w:left="134" w:right="132"/>
        <w:jc w:val="both"/>
      </w:pPr>
      <w:r>
        <w:t>“</w:t>
      </w:r>
      <w:r>
        <w:rPr>
          <w:b/>
          <w:i/>
        </w:rPr>
        <w:t>Mandatory Clearable Derivative</w:t>
      </w:r>
      <w:r>
        <w:t>” means a derivative within a class of derivatives listed in Appendix A to the Canadian Mandatory Clearing Rule.</w:t>
      </w:r>
    </w:p>
    <w:p w14:paraId="3C531BE7" w14:textId="77777777" w:rsidR="00551812" w:rsidRDefault="00551812">
      <w:pPr>
        <w:pStyle w:val="BodyText"/>
        <w:spacing w:before="9"/>
        <w:rPr>
          <w:sz w:val="20"/>
        </w:rPr>
      </w:pPr>
    </w:p>
    <w:p w14:paraId="3C531BE8" w14:textId="77777777" w:rsidR="00551812" w:rsidRDefault="00A603CE">
      <w:pPr>
        <w:spacing w:line="247" w:lineRule="auto"/>
        <w:ind w:left="134" w:right="132"/>
        <w:jc w:val="both"/>
      </w:pPr>
      <w:r>
        <w:t>“</w:t>
      </w:r>
      <w:r>
        <w:rPr>
          <w:b/>
          <w:i/>
        </w:rPr>
        <w:t>Non-Canadian L</w:t>
      </w:r>
      <w:r>
        <w:rPr>
          <w:b/>
          <w:i/>
        </w:rPr>
        <w:t>ocal Counterparty</w:t>
      </w:r>
      <w:r>
        <w:t>” means an entity to which only paragraph (ii) of the definition of Local Counterparty applies.</w:t>
      </w:r>
    </w:p>
    <w:p w14:paraId="3C531BE9" w14:textId="77777777" w:rsidR="00551812" w:rsidRDefault="00551812">
      <w:pPr>
        <w:pStyle w:val="BodyText"/>
        <w:spacing w:before="9"/>
        <w:rPr>
          <w:sz w:val="20"/>
        </w:rPr>
      </w:pPr>
    </w:p>
    <w:p w14:paraId="3C531BEA" w14:textId="77777777" w:rsidR="00551812" w:rsidRDefault="00A603CE">
      <w:pPr>
        <w:pStyle w:val="BodyText"/>
        <w:spacing w:line="247" w:lineRule="auto"/>
        <w:ind w:left="134" w:right="133" w:firstLine="55"/>
        <w:jc w:val="both"/>
      </w:pPr>
      <w:r>
        <w:t>“</w:t>
      </w:r>
      <w:r>
        <w:rPr>
          <w:b/>
          <w:i/>
        </w:rPr>
        <w:t>OTC RCA</w:t>
      </w:r>
      <w:r>
        <w:t>” means a Regulated Clearing Agency that offers clearing services in respect of Mandatory Clearable Derivatives.</w:t>
      </w:r>
    </w:p>
    <w:p w14:paraId="3C531BEB" w14:textId="77777777" w:rsidR="00551812" w:rsidRDefault="00551812">
      <w:pPr>
        <w:pStyle w:val="BodyText"/>
        <w:spacing w:before="9"/>
        <w:rPr>
          <w:sz w:val="20"/>
        </w:rPr>
      </w:pPr>
    </w:p>
    <w:p w14:paraId="3C531BEC" w14:textId="77777777" w:rsidR="00551812" w:rsidRDefault="00A603CE">
      <w:pPr>
        <w:pStyle w:val="BodyText"/>
        <w:spacing w:line="247" w:lineRule="auto"/>
        <w:ind w:left="134" w:right="130" w:firstLine="55"/>
        <w:jc w:val="both"/>
      </w:pPr>
      <w:r>
        <w:t>“</w:t>
      </w:r>
      <w:r>
        <w:rPr>
          <w:b/>
          <w:i/>
        </w:rPr>
        <w:t>Participant</w:t>
      </w:r>
      <w:r>
        <w:t>” means a person or company that has entered into an agreement with a Regulated Clearing Agency to access the services of the Regu</w:t>
      </w:r>
      <w:r>
        <w:t>lated Clearing Agency and is bound by the Regulated Clearing Agency’s rules and procedures.</w:t>
      </w:r>
    </w:p>
    <w:p w14:paraId="3C531BED" w14:textId="77777777" w:rsidR="00551812" w:rsidRDefault="00551812">
      <w:pPr>
        <w:pStyle w:val="BodyText"/>
        <w:spacing w:before="8"/>
        <w:rPr>
          <w:sz w:val="20"/>
        </w:rPr>
      </w:pPr>
    </w:p>
    <w:p w14:paraId="3C531BEE" w14:textId="77777777" w:rsidR="00551812" w:rsidRDefault="00A603CE">
      <w:pPr>
        <w:pStyle w:val="BodyText"/>
        <w:spacing w:line="247" w:lineRule="auto"/>
        <w:ind w:left="134" w:right="132"/>
        <w:jc w:val="both"/>
      </w:pPr>
      <w:r>
        <w:t>“</w:t>
      </w:r>
      <w:r>
        <w:rPr>
          <w:b/>
          <w:i/>
        </w:rPr>
        <w:t>Reference Period</w:t>
      </w:r>
      <w:r>
        <w:t xml:space="preserve">” means the period beginning on September 1 </w:t>
      </w:r>
      <w:proofErr w:type="gramStart"/>
      <w:r>
        <w:t>in a given year</w:t>
      </w:r>
      <w:proofErr w:type="gramEnd"/>
      <w:r>
        <w:t xml:space="preserve"> and ending on August 31 of the following year.</w:t>
      </w:r>
    </w:p>
    <w:p w14:paraId="3C531BEF" w14:textId="77777777" w:rsidR="00551812" w:rsidRDefault="00551812">
      <w:pPr>
        <w:pStyle w:val="BodyText"/>
        <w:spacing w:before="9"/>
        <w:rPr>
          <w:sz w:val="20"/>
        </w:rPr>
      </w:pPr>
    </w:p>
    <w:p w14:paraId="3C531BF0" w14:textId="77777777" w:rsidR="00551812" w:rsidRDefault="00A603CE">
      <w:pPr>
        <w:ind w:left="189"/>
        <w:jc w:val="both"/>
      </w:pPr>
      <w:r>
        <w:t>“</w:t>
      </w:r>
      <w:r>
        <w:rPr>
          <w:b/>
          <w:i/>
        </w:rPr>
        <w:t>Regulated Clearing Agency</w:t>
      </w:r>
      <w:r>
        <w:t>” means,</w:t>
      </w:r>
    </w:p>
    <w:p w14:paraId="3C531BF1" w14:textId="77777777" w:rsidR="00551812" w:rsidRDefault="00551812">
      <w:pPr>
        <w:pStyle w:val="BodyText"/>
        <w:spacing w:before="10"/>
        <w:rPr>
          <w:sz w:val="20"/>
        </w:rPr>
      </w:pPr>
    </w:p>
    <w:p w14:paraId="3C531BF2" w14:textId="77777777" w:rsidR="00551812" w:rsidRDefault="00A603CE">
      <w:pPr>
        <w:pStyle w:val="ListParagraph"/>
        <w:numPr>
          <w:ilvl w:val="0"/>
          <w:numId w:val="1"/>
        </w:numPr>
        <w:tabs>
          <w:tab w:val="left" w:pos="855"/>
        </w:tabs>
        <w:ind w:right="130" w:hanging="360"/>
        <w:jc w:val="both"/>
      </w:pPr>
      <w:r>
        <w:t>in Alberta, New Brunswick, Newfoundland and Labrador, the Northwest Territories, Nova Scotia, Nunavut, Prince Ed</w:t>
      </w:r>
      <w:r>
        <w:t>ward Island, Saskatchewan and Yukon, a person or company recognized or exempted</w:t>
      </w:r>
      <w:r>
        <w:rPr>
          <w:spacing w:val="-8"/>
        </w:rPr>
        <w:t xml:space="preserve"> </w:t>
      </w:r>
      <w:r>
        <w:t>from</w:t>
      </w:r>
      <w:r>
        <w:rPr>
          <w:spacing w:val="-8"/>
        </w:rPr>
        <w:t xml:space="preserve"> </w:t>
      </w:r>
      <w:r>
        <w:t>recognition</w:t>
      </w:r>
      <w:r>
        <w:rPr>
          <w:spacing w:val="-8"/>
        </w:rPr>
        <w:t xml:space="preserve"> </w:t>
      </w:r>
      <w:r>
        <w:t>as</w:t>
      </w:r>
      <w:r>
        <w:rPr>
          <w:spacing w:val="-8"/>
        </w:rPr>
        <w:t xml:space="preserve"> </w:t>
      </w:r>
      <w:r>
        <w:t>a</w:t>
      </w:r>
      <w:r>
        <w:rPr>
          <w:spacing w:val="-7"/>
        </w:rPr>
        <w:t xml:space="preserve"> </w:t>
      </w:r>
      <w:r>
        <w:t>clearing</w:t>
      </w:r>
      <w:r>
        <w:rPr>
          <w:spacing w:val="-8"/>
        </w:rPr>
        <w:t xml:space="preserve"> </w:t>
      </w:r>
      <w:r>
        <w:t>agency</w:t>
      </w:r>
      <w:r>
        <w:rPr>
          <w:spacing w:val="-8"/>
        </w:rPr>
        <w:t xml:space="preserve"> </w:t>
      </w:r>
      <w:r>
        <w:t>or</w:t>
      </w:r>
      <w:r>
        <w:rPr>
          <w:spacing w:val="-9"/>
        </w:rPr>
        <w:t xml:space="preserve"> </w:t>
      </w:r>
      <w:r>
        <w:t>clearing</w:t>
      </w:r>
      <w:r>
        <w:rPr>
          <w:spacing w:val="-7"/>
        </w:rPr>
        <w:t xml:space="preserve"> </w:t>
      </w:r>
      <w:r>
        <w:t>house</w:t>
      </w:r>
      <w:r>
        <w:rPr>
          <w:spacing w:val="-8"/>
        </w:rPr>
        <w:t xml:space="preserve"> </w:t>
      </w:r>
      <w:r>
        <w:t>pursuant</w:t>
      </w:r>
      <w:r>
        <w:rPr>
          <w:spacing w:val="-9"/>
        </w:rPr>
        <w:t xml:space="preserve"> </w:t>
      </w:r>
      <w:r>
        <w:t>to</w:t>
      </w:r>
      <w:r>
        <w:rPr>
          <w:spacing w:val="-8"/>
        </w:rPr>
        <w:t xml:space="preserve"> </w:t>
      </w:r>
      <w:r>
        <w:t>the</w:t>
      </w:r>
      <w:r>
        <w:rPr>
          <w:spacing w:val="-7"/>
        </w:rPr>
        <w:t xml:space="preserve"> </w:t>
      </w:r>
      <w:r>
        <w:t>securities</w:t>
      </w:r>
      <w:r>
        <w:rPr>
          <w:spacing w:val="-8"/>
        </w:rPr>
        <w:t xml:space="preserve"> </w:t>
      </w:r>
      <w:r>
        <w:t>legislation of any jurisdiction of</w:t>
      </w:r>
      <w:r>
        <w:rPr>
          <w:spacing w:val="-1"/>
        </w:rPr>
        <w:t xml:space="preserve"> </w:t>
      </w:r>
      <w:r>
        <w:t>Canada,</w:t>
      </w:r>
    </w:p>
    <w:p w14:paraId="3C531BF3" w14:textId="77777777" w:rsidR="00551812" w:rsidRDefault="00551812">
      <w:pPr>
        <w:pStyle w:val="BodyText"/>
        <w:spacing w:before="10"/>
        <w:rPr>
          <w:sz w:val="20"/>
        </w:rPr>
      </w:pPr>
    </w:p>
    <w:p w14:paraId="3C531BF4" w14:textId="77777777" w:rsidR="00551812" w:rsidRDefault="00A603CE">
      <w:pPr>
        <w:pStyle w:val="ListParagraph"/>
        <w:numPr>
          <w:ilvl w:val="0"/>
          <w:numId w:val="1"/>
        </w:numPr>
        <w:tabs>
          <w:tab w:val="left" w:pos="854"/>
        </w:tabs>
        <w:ind w:right="133" w:hanging="360"/>
        <w:jc w:val="both"/>
      </w:pPr>
      <w:r>
        <w:t>in British Columbia, Manitoba and Ontario, a pers</w:t>
      </w:r>
      <w:r>
        <w:t>on or company recognized or exempted from recognition as a clearing agency in the local jurisdiction,</w:t>
      </w:r>
      <w:r>
        <w:rPr>
          <w:spacing w:val="-1"/>
        </w:rPr>
        <w:t xml:space="preserve"> </w:t>
      </w:r>
      <w:r>
        <w:t>and</w:t>
      </w:r>
    </w:p>
    <w:p w14:paraId="3C531BF5" w14:textId="77777777" w:rsidR="00551812" w:rsidRDefault="00551812">
      <w:pPr>
        <w:pStyle w:val="BodyText"/>
        <w:spacing w:before="10"/>
        <w:rPr>
          <w:sz w:val="20"/>
        </w:rPr>
      </w:pPr>
    </w:p>
    <w:p w14:paraId="3C531BF6" w14:textId="77777777" w:rsidR="00551812" w:rsidRDefault="00A603CE">
      <w:pPr>
        <w:pStyle w:val="ListParagraph"/>
        <w:numPr>
          <w:ilvl w:val="0"/>
          <w:numId w:val="1"/>
        </w:numPr>
        <w:tabs>
          <w:tab w:val="left" w:pos="855"/>
        </w:tabs>
      </w:pPr>
      <w:r>
        <w:t>in Québec, a person recognized or exempted from recognition as a clearing</w:t>
      </w:r>
      <w:r>
        <w:rPr>
          <w:spacing w:val="-6"/>
        </w:rPr>
        <w:t xml:space="preserve"> </w:t>
      </w:r>
      <w:r>
        <w:t>house.</w:t>
      </w:r>
    </w:p>
    <w:sectPr w:rsidR="00551812">
      <w:pgSz w:w="11910" w:h="16840"/>
      <w:pgMar w:top="1500" w:right="1000" w:bottom="880" w:left="1000" w:header="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1C06" w14:textId="77777777" w:rsidR="00000000" w:rsidRDefault="00A603CE">
      <w:r>
        <w:separator/>
      </w:r>
    </w:p>
  </w:endnote>
  <w:endnote w:type="continuationSeparator" w:id="0">
    <w:p w14:paraId="3C531C08" w14:textId="77777777" w:rsidR="00000000" w:rsidRDefault="00A6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885738"/>
      <w:docPartObj>
        <w:docPartGallery w:val="Page Numbers (Bottom of Page)"/>
        <w:docPartUnique/>
      </w:docPartObj>
    </w:sdtPr>
    <w:sdtEndPr>
      <w:rPr>
        <w:noProof/>
      </w:rPr>
    </w:sdtEndPr>
    <w:sdtContent>
      <w:p w14:paraId="36911031" w14:textId="5B62AB36" w:rsidR="00A603CE" w:rsidRDefault="00A603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531C01" w14:textId="5C535430" w:rsidR="00551812" w:rsidRPr="00030791" w:rsidRDefault="00551812" w:rsidP="00030791">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270" w14:textId="77777777" w:rsidR="00030791" w:rsidRDefault="00030791" w:rsidP="00030791">
    <w:pPr>
      <w:pStyle w:val="Footer"/>
      <w:jc w:val="center"/>
      <w:rPr>
        <w:sz w:val="20"/>
        <w:szCs w:val="20"/>
      </w:rPr>
    </w:pPr>
  </w:p>
  <w:p w14:paraId="26C04CEC" w14:textId="3A53C8EF" w:rsidR="00030791" w:rsidRPr="00030791" w:rsidRDefault="00030791" w:rsidP="00030791">
    <w:pPr>
      <w:pStyle w:val="Footer"/>
      <w:jc w:val="center"/>
      <w:rPr>
        <w:sz w:val="20"/>
        <w:szCs w:val="20"/>
      </w:rPr>
    </w:pPr>
    <w:r w:rsidRPr="00030791">
      <w:rPr>
        <w:sz w:val="20"/>
        <w:szCs w:val="20"/>
      </w:rPr>
      <w:t>© 2017-2022 by the International Swaps and Derivatives Association, Inc.</w:t>
    </w:r>
  </w:p>
  <w:p w14:paraId="6FAF192F" w14:textId="77777777" w:rsidR="00D5798C" w:rsidRDefault="00D57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1C02" w14:textId="77777777" w:rsidR="00000000" w:rsidRDefault="00A603CE">
      <w:r>
        <w:separator/>
      </w:r>
    </w:p>
  </w:footnote>
  <w:footnote w:type="continuationSeparator" w:id="0">
    <w:p w14:paraId="3C531C04" w14:textId="77777777" w:rsidR="00000000" w:rsidRDefault="00A6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9FB"/>
    <w:multiLevelType w:val="hybridMultilevel"/>
    <w:tmpl w:val="0A746636"/>
    <w:lvl w:ilvl="0" w:tplc="BAA26B16">
      <w:start w:val="1"/>
      <w:numFmt w:val="lowerRoman"/>
      <w:lvlText w:val="(%1)"/>
      <w:lvlJc w:val="left"/>
      <w:pPr>
        <w:ind w:left="134" w:hanging="272"/>
        <w:jc w:val="left"/>
      </w:pPr>
      <w:rPr>
        <w:rFonts w:ascii="Times New Roman" w:eastAsia="Times New Roman" w:hAnsi="Times New Roman" w:cs="Times New Roman" w:hint="default"/>
        <w:w w:val="100"/>
        <w:sz w:val="22"/>
        <w:szCs w:val="22"/>
        <w:lang w:val="en-US" w:eastAsia="en-US" w:bidi="en-US"/>
      </w:rPr>
    </w:lvl>
    <w:lvl w:ilvl="1" w:tplc="BB16D4DE">
      <w:start w:val="1"/>
      <w:numFmt w:val="lowerLetter"/>
      <w:lvlText w:val="(%2)"/>
      <w:lvlJc w:val="left"/>
      <w:pPr>
        <w:ind w:left="1574" w:hanging="721"/>
        <w:jc w:val="left"/>
      </w:pPr>
      <w:rPr>
        <w:rFonts w:ascii="Times New Roman" w:eastAsia="Times New Roman" w:hAnsi="Times New Roman" w:cs="Times New Roman" w:hint="default"/>
        <w:spacing w:val="-1"/>
        <w:w w:val="100"/>
        <w:sz w:val="22"/>
        <w:szCs w:val="22"/>
        <w:lang w:val="en-US" w:eastAsia="en-US" w:bidi="en-US"/>
      </w:rPr>
    </w:lvl>
    <w:lvl w:ilvl="2" w:tplc="D54E9C2C">
      <w:numFmt w:val="bullet"/>
      <w:lvlText w:val="•"/>
      <w:lvlJc w:val="left"/>
      <w:pPr>
        <w:ind w:left="2505" w:hanging="721"/>
      </w:pPr>
      <w:rPr>
        <w:rFonts w:hint="default"/>
        <w:lang w:val="en-US" w:eastAsia="en-US" w:bidi="en-US"/>
      </w:rPr>
    </w:lvl>
    <w:lvl w:ilvl="3" w:tplc="AC4C72C6">
      <w:numFmt w:val="bullet"/>
      <w:lvlText w:val="•"/>
      <w:lvlJc w:val="left"/>
      <w:pPr>
        <w:ind w:left="3430" w:hanging="721"/>
      </w:pPr>
      <w:rPr>
        <w:rFonts w:hint="default"/>
        <w:lang w:val="en-US" w:eastAsia="en-US" w:bidi="en-US"/>
      </w:rPr>
    </w:lvl>
    <w:lvl w:ilvl="4" w:tplc="7606592C">
      <w:numFmt w:val="bullet"/>
      <w:lvlText w:val="•"/>
      <w:lvlJc w:val="left"/>
      <w:pPr>
        <w:ind w:left="4355" w:hanging="721"/>
      </w:pPr>
      <w:rPr>
        <w:rFonts w:hint="default"/>
        <w:lang w:val="en-US" w:eastAsia="en-US" w:bidi="en-US"/>
      </w:rPr>
    </w:lvl>
    <w:lvl w:ilvl="5" w:tplc="700E643C">
      <w:numFmt w:val="bullet"/>
      <w:lvlText w:val="•"/>
      <w:lvlJc w:val="left"/>
      <w:pPr>
        <w:ind w:left="5280" w:hanging="721"/>
      </w:pPr>
      <w:rPr>
        <w:rFonts w:hint="default"/>
        <w:lang w:val="en-US" w:eastAsia="en-US" w:bidi="en-US"/>
      </w:rPr>
    </w:lvl>
    <w:lvl w:ilvl="6" w:tplc="EE387CD0">
      <w:numFmt w:val="bullet"/>
      <w:lvlText w:val="•"/>
      <w:lvlJc w:val="left"/>
      <w:pPr>
        <w:ind w:left="6206" w:hanging="721"/>
      </w:pPr>
      <w:rPr>
        <w:rFonts w:hint="default"/>
        <w:lang w:val="en-US" w:eastAsia="en-US" w:bidi="en-US"/>
      </w:rPr>
    </w:lvl>
    <w:lvl w:ilvl="7" w:tplc="BF50FF42">
      <w:numFmt w:val="bullet"/>
      <w:lvlText w:val="•"/>
      <w:lvlJc w:val="left"/>
      <w:pPr>
        <w:ind w:left="7131" w:hanging="721"/>
      </w:pPr>
      <w:rPr>
        <w:rFonts w:hint="default"/>
        <w:lang w:val="en-US" w:eastAsia="en-US" w:bidi="en-US"/>
      </w:rPr>
    </w:lvl>
    <w:lvl w:ilvl="8" w:tplc="4CA845A2">
      <w:numFmt w:val="bullet"/>
      <w:lvlText w:val="•"/>
      <w:lvlJc w:val="left"/>
      <w:pPr>
        <w:ind w:left="8056" w:hanging="721"/>
      </w:pPr>
      <w:rPr>
        <w:rFonts w:hint="default"/>
        <w:lang w:val="en-US" w:eastAsia="en-US" w:bidi="en-US"/>
      </w:rPr>
    </w:lvl>
  </w:abstractNum>
  <w:abstractNum w:abstractNumId="1" w15:restartNumberingAfterBreak="0">
    <w:nsid w:val="5B477398"/>
    <w:multiLevelType w:val="hybridMultilevel"/>
    <w:tmpl w:val="C1DE081E"/>
    <w:lvl w:ilvl="0" w:tplc="A8AA202C">
      <w:start w:val="1"/>
      <w:numFmt w:val="lowerLetter"/>
      <w:lvlText w:val="%1)"/>
      <w:lvlJc w:val="left"/>
      <w:pPr>
        <w:ind w:left="854" w:hanging="361"/>
        <w:jc w:val="left"/>
      </w:pPr>
      <w:rPr>
        <w:rFonts w:ascii="Times New Roman" w:eastAsia="Times New Roman" w:hAnsi="Times New Roman" w:cs="Times New Roman" w:hint="default"/>
        <w:spacing w:val="-14"/>
        <w:w w:val="100"/>
        <w:sz w:val="21"/>
        <w:szCs w:val="21"/>
        <w:lang w:val="en-US" w:eastAsia="en-US" w:bidi="en-US"/>
      </w:rPr>
    </w:lvl>
    <w:lvl w:ilvl="1" w:tplc="B9488FEA">
      <w:numFmt w:val="bullet"/>
      <w:lvlText w:val="•"/>
      <w:lvlJc w:val="left"/>
      <w:pPr>
        <w:ind w:left="1764" w:hanging="361"/>
      </w:pPr>
      <w:rPr>
        <w:rFonts w:hint="default"/>
        <w:lang w:val="en-US" w:eastAsia="en-US" w:bidi="en-US"/>
      </w:rPr>
    </w:lvl>
    <w:lvl w:ilvl="2" w:tplc="99806E00">
      <w:numFmt w:val="bullet"/>
      <w:lvlText w:val="•"/>
      <w:lvlJc w:val="left"/>
      <w:pPr>
        <w:ind w:left="2669" w:hanging="361"/>
      </w:pPr>
      <w:rPr>
        <w:rFonts w:hint="default"/>
        <w:lang w:val="en-US" w:eastAsia="en-US" w:bidi="en-US"/>
      </w:rPr>
    </w:lvl>
    <w:lvl w:ilvl="3" w:tplc="63122E0C">
      <w:numFmt w:val="bullet"/>
      <w:lvlText w:val="•"/>
      <w:lvlJc w:val="left"/>
      <w:pPr>
        <w:ind w:left="3574" w:hanging="361"/>
      </w:pPr>
      <w:rPr>
        <w:rFonts w:hint="default"/>
        <w:lang w:val="en-US" w:eastAsia="en-US" w:bidi="en-US"/>
      </w:rPr>
    </w:lvl>
    <w:lvl w:ilvl="4" w:tplc="E818863A">
      <w:numFmt w:val="bullet"/>
      <w:lvlText w:val="•"/>
      <w:lvlJc w:val="left"/>
      <w:pPr>
        <w:ind w:left="4478" w:hanging="361"/>
      </w:pPr>
      <w:rPr>
        <w:rFonts w:hint="default"/>
        <w:lang w:val="en-US" w:eastAsia="en-US" w:bidi="en-US"/>
      </w:rPr>
    </w:lvl>
    <w:lvl w:ilvl="5" w:tplc="FBD4927E">
      <w:numFmt w:val="bullet"/>
      <w:lvlText w:val="•"/>
      <w:lvlJc w:val="left"/>
      <w:pPr>
        <w:ind w:left="5383" w:hanging="361"/>
      </w:pPr>
      <w:rPr>
        <w:rFonts w:hint="default"/>
        <w:lang w:val="en-US" w:eastAsia="en-US" w:bidi="en-US"/>
      </w:rPr>
    </w:lvl>
    <w:lvl w:ilvl="6" w:tplc="69B6CD48">
      <w:numFmt w:val="bullet"/>
      <w:lvlText w:val="•"/>
      <w:lvlJc w:val="left"/>
      <w:pPr>
        <w:ind w:left="6288" w:hanging="361"/>
      </w:pPr>
      <w:rPr>
        <w:rFonts w:hint="default"/>
        <w:lang w:val="en-US" w:eastAsia="en-US" w:bidi="en-US"/>
      </w:rPr>
    </w:lvl>
    <w:lvl w:ilvl="7" w:tplc="CD3AE54A">
      <w:numFmt w:val="bullet"/>
      <w:lvlText w:val="•"/>
      <w:lvlJc w:val="left"/>
      <w:pPr>
        <w:ind w:left="7192" w:hanging="361"/>
      </w:pPr>
      <w:rPr>
        <w:rFonts w:hint="default"/>
        <w:lang w:val="en-US" w:eastAsia="en-US" w:bidi="en-US"/>
      </w:rPr>
    </w:lvl>
    <w:lvl w:ilvl="8" w:tplc="E720573C">
      <w:numFmt w:val="bullet"/>
      <w:lvlText w:val="•"/>
      <w:lvlJc w:val="left"/>
      <w:pPr>
        <w:ind w:left="8097" w:hanging="361"/>
      </w:pPr>
      <w:rPr>
        <w:rFonts w:hint="default"/>
        <w:lang w:val="en-US" w:eastAsia="en-US" w:bidi="en-US"/>
      </w:rPr>
    </w:lvl>
  </w:abstractNum>
  <w:num w:numId="1" w16cid:durableId="1732266042">
    <w:abstractNumId w:val="1"/>
  </w:num>
  <w:num w:numId="2" w16cid:durableId="191045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51812"/>
    <w:rsid w:val="00030791"/>
    <w:rsid w:val="00551812"/>
    <w:rsid w:val="007B248F"/>
    <w:rsid w:val="00A603CE"/>
    <w:rsid w:val="00C42DFD"/>
    <w:rsid w:val="00D5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531B38"/>
  <w15:docId w15:val="{D5C2E522-1018-4706-83E0-9DDEBD2D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1"/>
      <w:ind w:left="134"/>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4"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798C"/>
    <w:pPr>
      <w:tabs>
        <w:tab w:val="center" w:pos="4680"/>
        <w:tab w:val="right" w:pos="9360"/>
      </w:tabs>
    </w:pPr>
  </w:style>
  <w:style w:type="character" w:customStyle="1" w:styleId="HeaderChar">
    <w:name w:val="Header Char"/>
    <w:basedOn w:val="DefaultParagraphFont"/>
    <w:link w:val="Header"/>
    <w:uiPriority w:val="99"/>
    <w:rsid w:val="00D5798C"/>
    <w:rPr>
      <w:rFonts w:ascii="Times New Roman" w:eastAsia="Times New Roman" w:hAnsi="Times New Roman" w:cs="Times New Roman"/>
      <w:lang w:bidi="en-US"/>
    </w:rPr>
  </w:style>
  <w:style w:type="paragraph" w:styleId="Footer">
    <w:name w:val="footer"/>
    <w:basedOn w:val="Normal"/>
    <w:link w:val="FooterChar"/>
    <w:uiPriority w:val="99"/>
    <w:unhideWhenUsed/>
    <w:rsid w:val="00D5798C"/>
    <w:pPr>
      <w:tabs>
        <w:tab w:val="center" w:pos="4680"/>
        <w:tab w:val="right" w:pos="9360"/>
      </w:tabs>
    </w:pPr>
  </w:style>
  <w:style w:type="character" w:customStyle="1" w:styleId="FooterChar">
    <w:name w:val="Footer Char"/>
    <w:basedOn w:val="DefaultParagraphFont"/>
    <w:link w:val="Footer"/>
    <w:uiPriority w:val="99"/>
    <w:rsid w:val="00D5798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 Quenzer</cp:lastModifiedBy>
  <cp:revision>5</cp:revision>
  <dcterms:created xsi:type="dcterms:W3CDTF">2022-05-12T16:27:00Z</dcterms:created>
  <dcterms:modified xsi:type="dcterms:W3CDTF">2022-05-12T16:52:00Z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Aspose Ltd.</vt:lpwstr>
  </property>
  <property fmtid="{D5CDD505-2E9C-101B-9397-08002B2CF9AE}" pid="4" name="LastSaved">
    <vt:filetime>2022-04-19T00:00:00Z</vt:filetime>
  </property>
</Properties>
</file>