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768A4" w14:textId="77777777" w:rsidR="004D2ECC" w:rsidRDefault="004D2ECC" w:rsidP="00E100C2">
      <w:pPr>
        <w:spacing w:after="0" w:line="240" w:lineRule="auto"/>
        <w:jc w:val="center"/>
        <w:rPr>
          <w:rFonts w:ascii="Times New Roman" w:hAnsi="Times New Roman" w:cs="Times New Roman"/>
          <w:b/>
          <w:sz w:val="24"/>
          <w:szCs w:val="24"/>
          <w:lang w:val="en-GB"/>
        </w:rPr>
      </w:pPr>
    </w:p>
    <w:p w14:paraId="1090303D" w14:textId="1D28160D" w:rsidR="004D2ECC" w:rsidRDefault="004D2ECC" w:rsidP="004D2ECC">
      <w:pPr>
        <w:spacing w:after="0" w:line="240" w:lineRule="auto"/>
        <w:rPr>
          <w:rFonts w:ascii="Times New Roman" w:hAnsi="Times New Roman" w:cs="Times New Roman"/>
          <w:b/>
          <w:sz w:val="24"/>
          <w:szCs w:val="24"/>
          <w:lang w:val="en-GB"/>
        </w:rPr>
      </w:pPr>
      <w:r>
        <w:rPr>
          <w:noProof/>
          <w:lang w:val="en-GB" w:eastAsia="en-GB"/>
        </w:rPr>
        <w:drawing>
          <wp:inline distT="0" distB="0" distL="0" distR="0" wp14:anchorId="25E2B117" wp14:editId="5F3A0578">
            <wp:extent cx="2432050" cy="642620"/>
            <wp:effectExtent l="0" t="0" r="6350" b="508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2050" cy="642620"/>
                    </a:xfrm>
                    <a:prstGeom prst="rect">
                      <a:avLst/>
                    </a:prstGeom>
                    <a:noFill/>
                    <a:ln>
                      <a:noFill/>
                    </a:ln>
                  </pic:spPr>
                </pic:pic>
              </a:graphicData>
            </a:graphic>
          </wp:inline>
        </w:drawing>
      </w:r>
    </w:p>
    <w:p w14:paraId="7F462C1B" w14:textId="77777777" w:rsidR="004D2ECC" w:rsidRDefault="004D2ECC" w:rsidP="00E100C2">
      <w:pPr>
        <w:spacing w:after="0" w:line="240" w:lineRule="auto"/>
        <w:jc w:val="center"/>
        <w:rPr>
          <w:rFonts w:ascii="Times New Roman" w:hAnsi="Times New Roman" w:cs="Times New Roman"/>
          <w:b/>
          <w:sz w:val="24"/>
          <w:szCs w:val="24"/>
          <w:lang w:val="en-GB"/>
        </w:rPr>
      </w:pPr>
    </w:p>
    <w:p w14:paraId="46A4D102" w14:textId="77777777" w:rsidR="004D2ECC" w:rsidRDefault="004D2ECC" w:rsidP="00E100C2">
      <w:pPr>
        <w:spacing w:after="0" w:line="240" w:lineRule="auto"/>
        <w:jc w:val="center"/>
        <w:rPr>
          <w:rFonts w:ascii="Times New Roman" w:hAnsi="Times New Roman" w:cs="Times New Roman"/>
          <w:b/>
          <w:sz w:val="24"/>
          <w:szCs w:val="24"/>
          <w:lang w:val="en-GB"/>
        </w:rPr>
      </w:pPr>
    </w:p>
    <w:p w14:paraId="0F8A1B09" w14:textId="4947C2AC" w:rsidR="00A02747" w:rsidRDefault="00A02747" w:rsidP="00E100C2">
      <w:pPr>
        <w:spacing w:after="0" w:line="240" w:lineRule="auto"/>
        <w:jc w:val="center"/>
        <w:rPr>
          <w:rFonts w:ascii="Times New Roman" w:hAnsi="Times New Roman" w:cs="Times New Roman"/>
          <w:b/>
          <w:sz w:val="32"/>
          <w:szCs w:val="24"/>
          <w:lang w:val="en-GB"/>
        </w:rPr>
      </w:pPr>
      <w:r>
        <w:rPr>
          <w:rFonts w:ascii="Times New Roman" w:hAnsi="Times New Roman" w:cs="Times New Roman"/>
          <w:b/>
          <w:sz w:val="32"/>
          <w:szCs w:val="24"/>
          <w:lang w:val="en-GB"/>
        </w:rPr>
        <w:t xml:space="preserve">EMIR Refit: </w:t>
      </w:r>
      <w:r w:rsidR="00F95116">
        <w:rPr>
          <w:rFonts w:ascii="Times New Roman" w:hAnsi="Times New Roman" w:cs="Times New Roman"/>
          <w:b/>
          <w:sz w:val="32"/>
          <w:szCs w:val="24"/>
          <w:lang w:val="en-GB"/>
        </w:rPr>
        <w:t>Financial counterparties legal liability for reporting on behalf of both itself and non-financial counterparties</w:t>
      </w:r>
    </w:p>
    <w:p w14:paraId="3C80D410" w14:textId="0D553264" w:rsidR="00C53A11" w:rsidRPr="00982AC9" w:rsidRDefault="00A02747" w:rsidP="00E100C2">
      <w:pPr>
        <w:spacing w:after="0" w:line="240" w:lineRule="auto"/>
        <w:jc w:val="center"/>
        <w:rPr>
          <w:rFonts w:ascii="Times New Roman" w:hAnsi="Times New Roman" w:cs="Times New Roman"/>
          <w:b/>
          <w:sz w:val="32"/>
          <w:szCs w:val="24"/>
          <w:lang w:val="en-GB"/>
        </w:rPr>
      </w:pPr>
      <w:r>
        <w:rPr>
          <w:rFonts w:ascii="Times New Roman" w:hAnsi="Times New Roman" w:cs="Times New Roman"/>
          <w:b/>
          <w:sz w:val="32"/>
          <w:szCs w:val="24"/>
          <w:lang w:val="en-GB"/>
        </w:rPr>
        <w:t>Operational considerations</w:t>
      </w:r>
    </w:p>
    <w:p w14:paraId="2234B4A8" w14:textId="77777777" w:rsidR="001B7547" w:rsidRPr="00B65462" w:rsidRDefault="001B7547" w:rsidP="00E100C2">
      <w:pPr>
        <w:spacing w:after="0" w:line="240" w:lineRule="auto"/>
        <w:ind w:left="2160" w:firstLine="720"/>
        <w:rPr>
          <w:rFonts w:ascii="Times New Roman" w:hAnsi="Times New Roman" w:cs="Times New Roman"/>
          <w:i/>
          <w:sz w:val="24"/>
          <w:szCs w:val="24"/>
          <w:lang w:val="en-GB"/>
        </w:rPr>
      </w:pPr>
    </w:p>
    <w:p w14:paraId="6E30815D" w14:textId="3164069F" w:rsidR="00061C17" w:rsidRDefault="00AE3B75" w:rsidP="00E100C2">
      <w:pPr>
        <w:spacing w:after="0" w:line="240" w:lineRule="auto"/>
        <w:rPr>
          <w:rFonts w:ascii="Times New Roman" w:hAnsi="Times New Roman" w:cs="Times New Roman"/>
          <w:sz w:val="24"/>
          <w:szCs w:val="24"/>
          <w:lang w:val="en-GB"/>
        </w:rPr>
      </w:pPr>
      <w:r w:rsidRPr="00AE3B75">
        <w:rPr>
          <w:rFonts w:ascii="Times New Roman" w:hAnsi="Times New Roman" w:cs="Times New Roman"/>
          <w:sz w:val="24"/>
          <w:szCs w:val="24"/>
          <w:lang w:val="en-GB"/>
        </w:rPr>
        <w:t>Updated: 7 May 2020</w:t>
      </w:r>
    </w:p>
    <w:p w14:paraId="0862E8BC" w14:textId="77777777" w:rsidR="00A31BDE" w:rsidRPr="00A31BDE" w:rsidRDefault="00A31BDE" w:rsidP="00A31BDE">
      <w:pPr>
        <w:pStyle w:val="ListParagraph"/>
        <w:numPr>
          <w:ilvl w:val="0"/>
          <w:numId w:val="37"/>
        </w:numPr>
        <w:rPr>
          <w:rFonts w:ascii="Times New Roman" w:hAnsi="Times New Roman" w:cs="Times New Roman"/>
          <w:sz w:val="24"/>
          <w:szCs w:val="24"/>
          <w:lang w:val="en-GB"/>
        </w:rPr>
      </w:pPr>
      <w:r>
        <w:rPr>
          <w:rFonts w:ascii="Times New Roman" w:hAnsi="Times New Roman" w:cs="Times New Roman"/>
          <w:sz w:val="24"/>
          <w:szCs w:val="24"/>
          <w:lang w:val="en-GB"/>
        </w:rPr>
        <w:t>S</w:t>
      </w:r>
      <w:r w:rsidRPr="00862090">
        <w:rPr>
          <w:rFonts w:ascii="Times New Roman" w:hAnsi="Times New Roman" w:cs="Times New Roman"/>
          <w:sz w:val="24"/>
          <w:szCs w:val="24"/>
          <w:lang w:val="en-GB"/>
        </w:rPr>
        <w:t>ection ‘</w:t>
      </w:r>
      <w:r w:rsidRPr="00A31BDE">
        <w:rPr>
          <w:rFonts w:ascii="Times New Roman" w:hAnsi="Times New Roman" w:cs="Times New Roman"/>
          <w:sz w:val="24"/>
          <w:szCs w:val="24"/>
        </w:rPr>
        <w:t xml:space="preserve">The Trade Repositories (TRs) used by the FC and NFC-’ updated to reflect that as per ESMA guidance, trades can only be transferred between Trade Repositories via the portability guidelines. </w:t>
      </w:r>
    </w:p>
    <w:p w14:paraId="5587174A" w14:textId="77777777" w:rsidR="00A31BDE" w:rsidRPr="00A31BDE" w:rsidRDefault="00A31BDE" w:rsidP="00A31BDE">
      <w:pPr>
        <w:pStyle w:val="ListParagraph"/>
        <w:numPr>
          <w:ilvl w:val="0"/>
          <w:numId w:val="37"/>
        </w:numPr>
        <w:rPr>
          <w:rFonts w:ascii="Times New Roman" w:hAnsi="Times New Roman" w:cs="Times New Roman"/>
          <w:sz w:val="24"/>
          <w:szCs w:val="24"/>
        </w:rPr>
      </w:pPr>
      <w:r w:rsidRPr="00A31BDE">
        <w:rPr>
          <w:rFonts w:ascii="Times New Roman" w:hAnsi="Times New Roman" w:cs="Times New Roman"/>
          <w:sz w:val="24"/>
          <w:szCs w:val="24"/>
        </w:rPr>
        <w:t>Section ‘LEI of the NFC-’ updated to reflect the FC is liable to report, but the NFC- is responsible for maintaining its LEI.</w:t>
      </w:r>
    </w:p>
    <w:p w14:paraId="0FB23ACE" w14:textId="77777777" w:rsidR="00AE3B75" w:rsidRPr="00B65462" w:rsidRDefault="00AE3B75" w:rsidP="00E100C2">
      <w:pPr>
        <w:spacing w:after="0" w:line="240" w:lineRule="auto"/>
        <w:rPr>
          <w:rFonts w:ascii="Times New Roman" w:hAnsi="Times New Roman" w:cs="Times New Roman"/>
          <w:i/>
          <w:sz w:val="24"/>
          <w:szCs w:val="24"/>
          <w:lang w:val="en-GB"/>
        </w:rPr>
      </w:pPr>
    </w:p>
    <w:p w14:paraId="773E98A2" w14:textId="77777777" w:rsidR="001712F4" w:rsidRPr="00B65462" w:rsidRDefault="001712F4" w:rsidP="00BA3B5F">
      <w:pPr>
        <w:shd w:val="clear" w:color="auto" w:fill="FFFFFF" w:themeFill="background1"/>
        <w:spacing w:after="0" w:line="240" w:lineRule="auto"/>
        <w:rPr>
          <w:rFonts w:ascii="Times New Roman" w:hAnsi="Times New Roman" w:cs="Times New Roman"/>
          <w:b/>
          <w:sz w:val="24"/>
          <w:szCs w:val="24"/>
          <w:lang w:val="en-GB"/>
        </w:rPr>
      </w:pPr>
      <w:r w:rsidRPr="00B65462">
        <w:rPr>
          <w:rFonts w:ascii="Times New Roman" w:hAnsi="Times New Roman" w:cs="Times New Roman"/>
          <w:b/>
          <w:sz w:val="24"/>
          <w:szCs w:val="24"/>
          <w:lang w:val="en-GB"/>
        </w:rPr>
        <w:t>Introduction</w:t>
      </w:r>
    </w:p>
    <w:p w14:paraId="37727803" w14:textId="77777777" w:rsidR="001712F4" w:rsidRPr="00B65462" w:rsidRDefault="001712F4" w:rsidP="00BA3B5F">
      <w:pPr>
        <w:shd w:val="clear" w:color="auto" w:fill="FFFFFF" w:themeFill="background1"/>
        <w:spacing w:after="0" w:line="240" w:lineRule="auto"/>
        <w:rPr>
          <w:rFonts w:ascii="Times New Roman" w:hAnsi="Times New Roman" w:cs="Times New Roman"/>
          <w:sz w:val="24"/>
          <w:szCs w:val="24"/>
          <w:lang w:val="en-GB"/>
        </w:rPr>
      </w:pPr>
    </w:p>
    <w:p w14:paraId="0BC4DFAA" w14:textId="2725EC92" w:rsidR="00EB7F32" w:rsidRDefault="00A02747" w:rsidP="00C95C22">
      <w:pPr>
        <w:pStyle w:val="CM1"/>
        <w:jc w:val="both"/>
        <w:rPr>
          <w:rFonts w:ascii="Times New Roman" w:hAnsi="Times New Roman" w:cs="Times New Roman"/>
        </w:rPr>
      </w:pPr>
      <w:r w:rsidRPr="00E07B0B">
        <w:rPr>
          <w:rFonts w:ascii="Times New Roman" w:hAnsi="Times New Roman" w:cs="Times New Roman"/>
        </w:rPr>
        <w:t>EMIR Refit was publish</w:t>
      </w:r>
      <w:r w:rsidR="00E07B0B" w:rsidRPr="00E07B0B">
        <w:rPr>
          <w:rFonts w:ascii="Times New Roman" w:hAnsi="Times New Roman" w:cs="Times New Roman"/>
        </w:rPr>
        <w:t>ed</w:t>
      </w:r>
      <w:r w:rsidRPr="00186FBC">
        <w:rPr>
          <w:rFonts w:ascii="Times New Roman" w:hAnsi="Times New Roman" w:cs="Times New Roman"/>
        </w:rPr>
        <w:t xml:space="preserve"> in the </w:t>
      </w:r>
      <w:hyperlink r:id="rId9" w:history="1">
        <w:r w:rsidRPr="00E07B0B">
          <w:rPr>
            <w:rStyle w:val="Hyperlink"/>
            <w:rFonts w:ascii="Times New Roman" w:hAnsi="Times New Roman" w:cs="Times New Roman"/>
          </w:rPr>
          <w:t>Official Journal of the European Union</w:t>
        </w:r>
      </w:hyperlink>
      <w:r w:rsidRPr="00E07B0B">
        <w:rPr>
          <w:rFonts w:ascii="Times New Roman" w:hAnsi="Times New Roman" w:cs="Times New Roman"/>
        </w:rPr>
        <w:t xml:space="preserve"> </w:t>
      </w:r>
      <w:r w:rsidR="00724B54" w:rsidRPr="00E07B0B">
        <w:rPr>
          <w:rFonts w:ascii="Times New Roman" w:hAnsi="Times New Roman" w:cs="Times New Roman"/>
        </w:rPr>
        <w:t xml:space="preserve">(OJ) </w:t>
      </w:r>
      <w:r w:rsidRPr="00E07B0B">
        <w:rPr>
          <w:rFonts w:ascii="Times New Roman" w:hAnsi="Times New Roman" w:cs="Times New Roman"/>
        </w:rPr>
        <w:t xml:space="preserve">on 28 May 2019 </w:t>
      </w:r>
      <w:r w:rsidR="00B80553" w:rsidRPr="00186FBC">
        <w:rPr>
          <w:rFonts w:ascii="Times New Roman" w:hAnsi="Times New Roman" w:cs="Times New Roman"/>
        </w:rPr>
        <w:t>(</w:t>
      </w:r>
      <w:r w:rsidRPr="00186FBC">
        <w:rPr>
          <w:rFonts w:ascii="Times New Roman" w:hAnsi="Times New Roman" w:cs="Times New Roman"/>
        </w:rPr>
        <w:t>and c</w:t>
      </w:r>
      <w:r w:rsidR="00B80553" w:rsidRPr="00186FBC">
        <w:rPr>
          <w:rFonts w:ascii="Times New Roman" w:hAnsi="Times New Roman" w:cs="Times New Roman"/>
        </w:rPr>
        <w:t>a</w:t>
      </w:r>
      <w:r w:rsidRPr="00186FBC">
        <w:rPr>
          <w:rFonts w:ascii="Times New Roman" w:hAnsi="Times New Roman" w:cs="Times New Roman"/>
        </w:rPr>
        <w:t>me into force on 18 June 2019</w:t>
      </w:r>
      <w:r w:rsidR="00B80553" w:rsidRPr="00186FBC">
        <w:rPr>
          <w:rFonts w:ascii="Times New Roman" w:hAnsi="Times New Roman" w:cs="Times New Roman"/>
        </w:rPr>
        <w:t xml:space="preserve">), </w:t>
      </w:r>
      <w:r w:rsidR="00B16EC0">
        <w:rPr>
          <w:rFonts w:ascii="Times New Roman" w:hAnsi="Times New Roman" w:cs="Times New Roman"/>
        </w:rPr>
        <w:t xml:space="preserve">and introduced a requirement </w:t>
      </w:r>
      <w:r w:rsidR="00654E56">
        <w:rPr>
          <w:rFonts w:ascii="Times New Roman" w:hAnsi="Times New Roman" w:cs="Times New Roman"/>
        </w:rPr>
        <w:t xml:space="preserve">whereby </w:t>
      </w:r>
      <w:r w:rsidRPr="00186FBC">
        <w:rPr>
          <w:rFonts w:ascii="Times New Roman" w:hAnsi="Times New Roman" w:cs="Times New Roman"/>
        </w:rPr>
        <w:t xml:space="preserve">financial counterparties (FC) </w:t>
      </w:r>
      <w:r w:rsidR="00724B54" w:rsidRPr="00E07B0B">
        <w:rPr>
          <w:rFonts w:ascii="Times New Roman" w:hAnsi="Times New Roman" w:cs="Times New Roman"/>
        </w:rPr>
        <w:t xml:space="preserve">will be responsible and legally liable for the timely and accurate reporting of </w:t>
      </w:r>
      <w:r w:rsidR="004C5B36" w:rsidRPr="00E07B0B">
        <w:rPr>
          <w:rFonts w:ascii="Times New Roman" w:hAnsi="Times New Roman" w:cs="Times New Roman"/>
        </w:rPr>
        <w:t>over-the counter (</w:t>
      </w:r>
      <w:r w:rsidR="00724B54" w:rsidRPr="00E07B0B">
        <w:rPr>
          <w:rFonts w:ascii="Times New Roman" w:hAnsi="Times New Roman" w:cs="Times New Roman"/>
        </w:rPr>
        <w:t>OTC</w:t>
      </w:r>
      <w:r w:rsidR="004C5B36" w:rsidRPr="00E07B0B">
        <w:rPr>
          <w:rFonts w:ascii="Times New Roman" w:hAnsi="Times New Roman" w:cs="Times New Roman"/>
        </w:rPr>
        <w:t>)</w:t>
      </w:r>
      <w:r w:rsidR="00724B54" w:rsidRPr="00E07B0B">
        <w:rPr>
          <w:rFonts w:ascii="Times New Roman" w:hAnsi="Times New Roman" w:cs="Times New Roman"/>
        </w:rPr>
        <w:t xml:space="preserve"> derivative contracts </w:t>
      </w:r>
      <w:r w:rsidRPr="00E07B0B">
        <w:rPr>
          <w:rFonts w:ascii="Times New Roman" w:hAnsi="Times New Roman" w:cs="Times New Roman"/>
        </w:rPr>
        <w:t xml:space="preserve">on behalf of </w:t>
      </w:r>
      <w:r w:rsidR="00724B54" w:rsidRPr="00E07B0B">
        <w:rPr>
          <w:rFonts w:ascii="Times New Roman" w:hAnsi="Times New Roman" w:cs="Times New Roman"/>
        </w:rPr>
        <w:t xml:space="preserve">both themselves and </w:t>
      </w:r>
      <w:r w:rsidRPr="00E07B0B">
        <w:rPr>
          <w:rFonts w:ascii="Times New Roman" w:hAnsi="Times New Roman" w:cs="Times New Roman"/>
        </w:rPr>
        <w:t>their non-financial counterparties that are not subject to the clearing obligation (NFC-)</w:t>
      </w:r>
      <w:r w:rsidR="00F95116" w:rsidRPr="00E07B0B">
        <w:rPr>
          <w:rFonts w:ascii="Times New Roman" w:hAnsi="Times New Roman" w:cs="Times New Roman"/>
        </w:rPr>
        <w:t>, (see item 18 within the OJ)</w:t>
      </w:r>
      <w:r w:rsidRPr="00E07B0B">
        <w:rPr>
          <w:rFonts w:ascii="Times New Roman" w:hAnsi="Times New Roman" w:cs="Times New Roman"/>
        </w:rPr>
        <w:t xml:space="preserve">. </w:t>
      </w:r>
      <w:r w:rsidR="00997CE3" w:rsidRPr="00E07B0B">
        <w:rPr>
          <w:rFonts w:ascii="Times New Roman" w:hAnsi="Times New Roman" w:cs="Times New Roman"/>
        </w:rPr>
        <w:t xml:space="preserve">EMIR </w:t>
      </w:r>
      <w:r w:rsidR="00724B54" w:rsidRPr="00E07B0B">
        <w:rPr>
          <w:rFonts w:ascii="Times New Roman" w:hAnsi="Times New Roman" w:cs="Times New Roman"/>
        </w:rPr>
        <w:t xml:space="preserve">Refit also states </w:t>
      </w:r>
      <w:r w:rsidR="00B80553" w:rsidRPr="00E07B0B">
        <w:rPr>
          <w:rFonts w:ascii="Times New Roman" w:hAnsi="Times New Roman" w:cs="Times New Roman"/>
        </w:rPr>
        <w:t xml:space="preserve">that </w:t>
      </w:r>
      <w:r w:rsidR="00724B54" w:rsidRPr="00E07B0B">
        <w:rPr>
          <w:rFonts w:ascii="Times New Roman" w:hAnsi="Times New Roman" w:cs="Times New Roman"/>
        </w:rPr>
        <w:t xml:space="preserve">in order for an FC to successfully and accurately report OTC contracts on behalf of </w:t>
      </w:r>
      <w:r w:rsidR="00997CE3" w:rsidRPr="00E07B0B">
        <w:rPr>
          <w:rFonts w:ascii="Times New Roman" w:hAnsi="Times New Roman" w:cs="Times New Roman"/>
        </w:rPr>
        <w:t xml:space="preserve">its </w:t>
      </w:r>
      <w:r w:rsidR="00724B54" w:rsidRPr="00E07B0B">
        <w:rPr>
          <w:rFonts w:ascii="Times New Roman" w:hAnsi="Times New Roman" w:cs="Times New Roman"/>
        </w:rPr>
        <w:t>NFC- client, the NFC- must provide the data that FC “cannot be reasonably expected to possess”.</w:t>
      </w:r>
      <w:r w:rsidR="005A3B7F" w:rsidRPr="00E07B0B">
        <w:rPr>
          <w:rFonts w:ascii="Times New Roman" w:hAnsi="Times New Roman" w:cs="Times New Roman"/>
        </w:rPr>
        <w:t xml:space="preserve"> </w:t>
      </w:r>
    </w:p>
    <w:p w14:paraId="74F15D66" w14:textId="77777777" w:rsidR="00C95C22" w:rsidRPr="00C95C22" w:rsidRDefault="00C95C22" w:rsidP="00C95C22">
      <w:pPr>
        <w:spacing w:after="0"/>
        <w:rPr>
          <w:lang w:val="en-GB"/>
        </w:rPr>
      </w:pPr>
    </w:p>
    <w:p w14:paraId="5884CE30" w14:textId="22C45A9C" w:rsidR="00EB7F32" w:rsidRDefault="005A3B7F" w:rsidP="00C95C22">
      <w:pPr>
        <w:pStyle w:val="CM1"/>
        <w:jc w:val="both"/>
        <w:rPr>
          <w:rFonts w:ascii="Times New Roman" w:hAnsi="Times New Roman" w:cs="Times New Roman"/>
        </w:rPr>
      </w:pPr>
      <w:r w:rsidRPr="00E07B0B">
        <w:rPr>
          <w:rFonts w:ascii="Times New Roman" w:hAnsi="Times New Roman" w:cs="Times New Roman"/>
        </w:rPr>
        <w:t>For the avoidance of doubt,</w:t>
      </w:r>
      <w:r w:rsidR="00EB7F32">
        <w:rPr>
          <w:rFonts w:ascii="Times New Roman" w:hAnsi="Times New Roman" w:cs="Times New Roman"/>
        </w:rPr>
        <w:t xml:space="preserve"> this </w:t>
      </w:r>
      <w:r w:rsidR="00BC3B1C">
        <w:rPr>
          <w:rFonts w:ascii="Times New Roman" w:hAnsi="Times New Roman" w:cs="Times New Roman"/>
        </w:rPr>
        <w:t xml:space="preserve">EMIR </w:t>
      </w:r>
      <w:r w:rsidR="00C95C22">
        <w:rPr>
          <w:rFonts w:ascii="Times New Roman" w:hAnsi="Times New Roman" w:cs="Times New Roman"/>
        </w:rPr>
        <w:t>Refit</w:t>
      </w:r>
      <w:r w:rsidR="00BC3B1C">
        <w:rPr>
          <w:rFonts w:ascii="Times New Roman" w:hAnsi="Times New Roman" w:cs="Times New Roman"/>
        </w:rPr>
        <w:t xml:space="preserve"> </w:t>
      </w:r>
      <w:r w:rsidR="00EB7F32">
        <w:rPr>
          <w:rFonts w:ascii="Times New Roman" w:hAnsi="Times New Roman" w:cs="Times New Roman"/>
        </w:rPr>
        <w:t xml:space="preserve">requirement applies to OTC derivative contracts only, and </w:t>
      </w:r>
      <w:r w:rsidR="002565AC">
        <w:rPr>
          <w:rFonts w:ascii="Times New Roman" w:hAnsi="Times New Roman" w:cs="Times New Roman"/>
        </w:rPr>
        <w:t xml:space="preserve">an </w:t>
      </w:r>
      <w:r w:rsidR="00BC3B1C">
        <w:rPr>
          <w:rFonts w:ascii="Times New Roman" w:hAnsi="Times New Roman" w:cs="Times New Roman"/>
        </w:rPr>
        <w:t xml:space="preserve">FC will not be legally liable for the reporting of </w:t>
      </w:r>
      <w:r w:rsidR="00EB7F32">
        <w:rPr>
          <w:rFonts w:ascii="Times New Roman" w:hAnsi="Times New Roman" w:cs="Times New Roman"/>
        </w:rPr>
        <w:t>e</w:t>
      </w:r>
      <w:r w:rsidR="00BC3B1C">
        <w:rPr>
          <w:rFonts w:ascii="Times New Roman" w:hAnsi="Times New Roman" w:cs="Times New Roman"/>
        </w:rPr>
        <w:t>xchange traded derivative</w:t>
      </w:r>
      <w:r w:rsidR="00EB7F32">
        <w:rPr>
          <w:rFonts w:ascii="Times New Roman" w:hAnsi="Times New Roman" w:cs="Times New Roman"/>
        </w:rPr>
        <w:t xml:space="preserve"> (ETD)</w:t>
      </w:r>
      <w:r w:rsidR="00BC3B1C">
        <w:rPr>
          <w:rFonts w:ascii="Times New Roman" w:hAnsi="Times New Roman" w:cs="Times New Roman"/>
        </w:rPr>
        <w:t xml:space="preserve"> contracts on behalf of </w:t>
      </w:r>
      <w:r w:rsidR="002565AC">
        <w:rPr>
          <w:rFonts w:ascii="Times New Roman" w:hAnsi="Times New Roman" w:cs="Times New Roman"/>
        </w:rPr>
        <w:t xml:space="preserve">its </w:t>
      </w:r>
      <w:r w:rsidR="00BC3B1C">
        <w:rPr>
          <w:rFonts w:ascii="Times New Roman" w:hAnsi="Times New Roman" w:cs="Times New Roman"/>
        </w:rPr>
        <w:t>NFC- clients</w:t>
      </w:r>
      <w:r w:rsidR="00EB7F32">
        <w:rPr>
          <w:rFonts w:ascii="Times New Roman" w:hAnsi="Times New Roman" w:cs="Times New Roman"/>
        </w:rPr>
        <w:t>.</w:t>
      </w:r>
      <w:r w:rsidR="002565AC">
        <w:rPr>
          <w:rFonts w:ascii="Times New Roman" w:hAnsi="Times New Roman" w:cs="Times New Roman"/>
        </w:rPr>
        <w:t xml:space="preserve"> An</w:t>
      </w:r>
      <w:r w:rsidR="00EB7F32">
        <w:rPr>
          <w:rFonts w:ascii="Times New Roman" w:hAnsi="Times New Roman" w:cs="Times New Roman"/>
        </w:rPr>
        <w:t xml:space="preserve"> </w:t>
      </w:r>
      <w:r w:rsidR="002565AC">
        <w:rPr>
          <w:rFonts w:ascii="Times New Roman" w:hAnsi="Times New Roman" w:cs="Times New Roman"/>
        </w:rPr>
        <w:t>NFC- entity</w:t>
      </w:r>
      <w:r w:rsidR="00EB7F32">
        <w:rPr>
          <w:rFonts w:ascii="Times New Roman" w:hAnsi="Times New Roman" w:cs="Times New Roman"/>
        </w:rPr>
        <w:t xml:space="preserve"> will remain liable for the reporting of </w:t>
      </w:r>
      <w:r w:rsidR="002565AC">
        <w:rPr>
          <w:rFonts w:ascii="Times New Roman" w:hAnsi="Times New Roman" w:cs="Times New Roman"/>
        </w:rPr>
        <w:t xml:space="preserve">its </w:t>
      </w:r>
      <w:r w:rsidR="00EB7F32">
        <w:rPr>
          <w:rFonts w:ascii="Times New Roman" w:hAnsi="Times New Roman" w:cs="Times New Roman"/>
        </w:rPr>
        <w:t>ETD trades.</w:t>
      </w:r>
      <w:r w:rsidR="00EB7F32">
        <w:rPr>
          <w:rStyle w:val="FootnoteReference"/>
          <w:rFonts w:ascii="Times New Roman" w:hAnsi="Times New Roman" w:cs="Times New Roman"/>
        </w:rPr>
        <w:footnoteReference w:id="1"/>
      </w:r>
    </w:p>
    <w:p w14:paraId="2ECB4182" w14:textId="5486DCAC" w:rsidR="00724B54" w:rsidRPr="00E07B0B" w:rsidRDefault="00724B54" w:rsidP="00C95C22">
      <w:pPr>
        <w:shd w:val="clear" w:color="auto" w:fill="FFFFFF" w:themeFill="background1"/>
        <w:spacing w:after="0" w:line="240" w:lineRule="auto"/>
        <w:jc w:val="both"/>
        <w:rPr>
          <w:rFonts w:ascii="Times New Roman" w:hAnsi="Times New Roman" w:cs="Times New Roman"/>
          <w:sz w:val="24"/>
          <w:szCs w:val="24"/>
          <w:lang w:val="en-GB"/>
        </w:rPr>
      </w:pPr>
    </w:p>
    <w:p w14:paraId="54CCA2CD" w14:textId="7261050D" w:rsidR="00724B54" w:rsidRPr="00440858" w:rsidRDefault="00724B54" w:rsidP="00C95C22">
      <w:pPr>
        <w:shd w:val="clear" w:color="auto" w:fill="FFFFFF" w:themeFill="background1"/>
        <w:spacing w:after="0" w:line="240" w:lineRule="auto"/>
        <w:jc w:val="both"/>
        <w:rPr>
          <w:rFonts w:ascii="Times New Roman" w:hAnsi="Times New Roman" w:cs="Times New Roman"/>
          <w:sz w:val="24"/>
          <w:szCs w:val="24"/>
          <w:lang w:val="en-GB"/>
        </w:rPr>
      </w:pPr>
      <w:r w:rsidRPr="00440858">
        <w:rPr>
          <w:rFonts w:ascii="Times New Roman" w:hAnsi="Times New Roman" w:cs="Times New Roman"/>
          <w:sz w:val="24"/>
          <w:szCs w:val="24"/>
          <w:lang w:val="en-GB"/>
        </w:rPr>
        <w:t xml:space="preserve">ISDA members </w:t>
      </w:r>
      <w:r w:rsidR="00B80553" w:rsidRPr="00440858">
        <w:rPr>
          <w:rFonts w:ascii="Times New Roman" w:hAnsi="Times New Roman" w:cs="Times New Roman"/>
          <w:sz w:val="24"/>
          <w:szCs w:val="24"/>
          <w:lang w:val="en-GB"/>
        </w:rPr>
        <w:t xml:space="preserve">have </w:t>
      </w:r>
      <w:r w:rsidRPr="00440858">
        <w:rPr>
          <w:rFonts w:ascii="Times New Roman" w:hAnsi="Times New Roman" w:cs="Times New Roman"/>
          <w:sz w:val="24"/>
          <w:szCs w:val="24"/>
          <w:lang w:val="en-GB"/>
        </w:rPr>
        <w:t xml:space="preserve">identified a number of operational considerations and challenges </w:t>
      </w:r>
      <w:r w:rsidR="00B80553" w:rsidRPr="00440858">
        <w:rPr>
          <w:rFonts w:ascii="Times New Roman" w:hAnsi="Times New Roman" w:cs="Times New Roman"/>
          <w:sz w:val="24"/>
          <w:szCs w:val="24"/>
          <w:lang w:val="en-GB"/>
        </w:rPr>
        <w:t xml:space="preserve">as to </w:t>
      </w:r>
      <w:r w:rsidRPr="00440858">
        <w:rPr>
          <w:rFonts w:ascii="Times New Roman" w:hAnsi="Times New Roman" w:cs="Times New Roman"/>
          <w:sz w:val="24"/>
          <w:szCs w:val="24"/>
          <w:lang w:val="en-GB"/>
        </w:rPr>
        <w:t xml:space="preserve">how this legislation is to be </w:t>
      </w:r>
      <w:r w:rsidR="00801E8E" w:rsidRPr="00440858">
        <w:rPr>
          <w:rFonts w:ascii="Times New Roman" w:hAnsi="Times New Roman" w:cs="Times New Roman"/>
          <w:sz w:val="24"/>
          <w:szCs w:val="24"/>
          <w:lang w:val="en-GB"/>
        </w:rPr>
        <w:t>implemented that</w:t>
      </w:r>
      <w:r w:rsidRPr="00440858">
        <w:rPr>
          <w:rFonts w:ascii="Times New Roman" w:hAnsi="Times New Roman" w:cs="Times New Roman"/>
          <w:sz w:val="24"/>
          <w:szCs w:val="24"/>
          <w:lang w:val="en-GB"/>
        </w:rPr>
        <w:t xml:space="preserve"> </w:t>
      </w:r>
      <w:r w:rsidR="00B80553" w:rsidRPr="00440858">
        <w:rPr>
          <w:rFonts w:ascii="Times New Roman" w:hAnsi="Times New Roman" w:cs="Times New Roman"/>
          <w:sz w:val="24"/>
          <w:szCs w:val="24"/>
          <w:lang w:val="en-GB"/>
        </w:rPr>
        <w:t xml:space="preserve">the OJ does </w:t>
      </w:r>
      <w:r w:rsidRPr="00440858">
        <w:rPr>
          <w:rFonts w:ascii="Times New Roman" w:hAnsi="Times New Roman" w:cs="Times New Roman"/>
          <w:sz w:val="24"/>
          <w:szCs w:val="24"/>
          <w:lang w:val="en-GB"/>
        </w:rPr>
        <w:t xml:space="preserve">not necessarily fully addressed. Therefore, members </w:t>
      </w:r>
      <w:r w:rsidR="00CB2CC0">
        <w:rPr>
          <w:rFonts w:ascii="Times New Roman" w:hAnsi="Times New Roman" w:cs="Times New Roman"/>
          <w:sz w:val="24"/>
          <w:szCs w:val="24"/>
          <w:lang w:val="en-GB"/>
        </w:rPr>
        <w:t xml:space="preserve">of </w:t>
      </w:r>
      <w:r w:rsidRPr="00440858">
        <w:rPr>
          <w:rFonts w:ascii="Times New Roman" w:hAnsi="Times New Roman" w:cs="Times New Roman"/>
          <w:sz w:val="24"/>
          <w:szCs w:val="24"/>
          <w:lang w:val="en-GB"/>
        </w:rPr>
        <w:t>the ISDA Data and Reporting EMEA Working Group</w:t>
      </w:r>
      <w:r w:rsidR="00CB2CC0">
        <w:rPr>
          <w:rFonts w:ascii="Times New Roman" w:hAnsi="Times New Roman" w:cs="Times New Roman"/>
          <w:sz w:val="24"/>
          <w:szCs w:val="24"/>
          <w:lang w:val="en-GB"/>
        </w:rPr>
        <w:t xml:space="preserve"> met</w:t>
      </w:r>
      <w:r w:rsidR="00442181">
        <w:rPr>
          <w:rFonts w:ascii="Times New Roman" w:hAnsi="Times New Roman" w:cs="Times New Roman"/>
          <w:sz w:val="24"/>
          <w:szCs w:val="24"/>
          <w:lang w:val="en-GB"/>
        </w:rPr>
        <w:t xml:space="preserve"> </w:t>
      </w:r>
      <w:r w:rsidR="006D2480">
        <w:rPr>
          <w:rFonts w:ascii="Times New Roman" w:hAnsi="Times New Roman" w:cs="Times New Roman"/>
          <w:sz w:val="24"/>
          <w:szCs w:val="24"/>
          <w:lang w:val="en-GB"/>
        </w:rPr>
        <w:t xml:space="preserve">with the intention of coming to </w:t>
      </w:r>
      <w:r w:rsidRPr="00440858">
        <w:rPr>
          <w:rFonts w:ascii="Times New Roman" w:hAnsi="Times New Roman" w:cs="Times New Roman"/>
          <w:sz w:val="24"/>
          <w:szCs w:val="24"/>
          <w:lang w:val="en-GB"/>
        </w:rPr>
        <w:t xml:space="preserve">a common understanding of the requirements and </w:t>
      </w:r>
      <w:r w:rsidR="00B80553" w:rsidRPr="00440858">
        <w:rPr>
          <w:rFonts w:ascii="Times New Roman" w:hAnsi="Times New Roman" w:cs="Times New Roman"/>
          <w:sz w:val="24"/>
          <w:szCs w:val="24"/>
          <w:lang w:val="en-GB"/>
        </w:rPr>
        <w:t xml:space="preserve">whether there can be </w:t>
      </w:r>
      <w:r w:rsidRPr="00440858">
        <w:rPr>
          <w:rFonts w:ascii="Times New Roman" w:hAnsi="Times New Roman" w:cs="Times New Roman"/>
          <w:sz w:val="24"/>
          <w:szCs w:val="24"/>
          <w:lang w:val="en-GB"/>
        </w:rPr>
        <w:t>a standard ap</w:t>
      </w:r>
      <w:r w:rsidR="00B80553" w:rsidRPr="00440858">
        <w:rPr>
          <w:rFonts w:ascii="Times New Roman" w:hAnsi="Times New Roman" w:cs="Times New Roman"/>
          <w:sz w:val="24"/>
          <w:szCs w:val="24"/>
          <w:lang w:val="en-GB"/>
        </w:rPr>
        <w:t>proach for how to implement them</w:t>
      </w:r>
      <w:r w:rsidRPr="00440858">
        <w:rPr>
          <w:rFonts w:ascii="Times New Roman" w:hAnsi="Times New Roman" w:cs="Times New Roman"/>
          <w:sz w:val="24"/>
          <w:szCs w:val="24"/>
          <w:lang w:val="en-GB"/>
        </w:rPr>
        <w:t>.</w:t>
      </w:r>
    </w:p>
    <w:p w14:paraId="46D3F543" w14:textId="6AFCAD01" w:rsidR="00724B54" w:rsidRPr="00440858" w:rsidRDefault="00724B54" w:rsidP="00BA3B5F">
      <w:pPr>
        <w:shd w:val="clear" w:color="auto" w:fill="FFFFFF" w:themeFill="background1"/>
        <w:spacing w:after="0" w:line="240" w:lineRule="auto"/>
        <w:jc w:val="both"/>
        <w:rPr>
          <w:rFonts w:ascii="Times New Roman" w:hAnsi="Times New Roman" w:cs="Times New Roman"/>
          <w:sz w:val="24"/>
          <w:szCs w:val="24"/>
          <w:lang w:val="en-GB"/>
        </w:rPr>
      </w:pPr>
    </w:p>
    <w:p w14:paraId="7A85F5F9" w14:textId="39E8BFEB" w:rsidR="00724B54" w:rsidRPr="00CB2CC0" w:rsidRDefault="00440858" w:rsidP="00801E8E">
      <w:pPr>
        <w:shd w:val="clear" w:color="auto" w:fill="FFFFFF" w:themeFill="background1"/>
        <w:spacing w:after="0" w:line="240" w:lineRule="auto"/>
        <w:jc w:val="both"/>
        <w:rPr>
          <w:rFonts w:ascii="Times New Roman" w:hAnsi="Times New Roman" w:cs="Times New Roman"/>
          <w:bCs/>
          <w:iCs/>
          <w:sz w:val="24"/>
          <w:szCs w:val="24"/>
        </w:rPr>
      </w:pPr>
      <w:r w:rsidRPr="00CB2CC0">
        <w:rPr>
          <w:rFonts w:ascii="Times New Roman" w:hAnsi="Times New Roman" w:cs="Times New Roman"/>
          <w:sz w:val="24"/>
          <w:szCs w:val="24"/>
          <w:lang w:val="en-GB"/>
        </w:rPr>
        <w:t>This document</w:t>
      </w:r>
      <w:r w:rsidR="00724B54" w:rsidRPr="00CB2CC0">
        <w:rPr>
          <w:rFonts w:ascii="Times New Roman" w:hAnsi="Times New Roman" w:cs="Times New Roman"/>
          <w:sz w:val="24"/>
          <w:szCs w:val="24"/>
          <w:lang w:val="en-GB"/>
        </w:rPr>
        <w:t xml:space="preserve"> </w:t>
      </w:r>
      <w:r w:rsidR="00FC63D0" w:rsidRPr="00CB2CC0">
        <w:rPr>
          <w:rFonts w:ascii="Times New Roman" w:hAnsi="Times New Roman" w:cs="Times New Roman"/>
          <w:sz w:val="24"/>
          <w:szCs w:val="24"/>
          <w:lang w:val="en-GB"/>
        </w:rPr>
        <w:t xml:space="preserve">has been prepared as a record and summary of discussions held within </w:t>
      </w:r>
      <w:r w:rsidR="00724B54" w:rsidRPr="00CB2CC0">
        <w:rPr>
          <w:rFonts w:ascii="Times New Roman" w:hAnsi="Times New Roman" w:cs="Times New Roman"/>
          <w:sz w:val="24"/>
          <w:szCs w:val="24"/>
          <w:lang w:val="en-GB"/>
        </w:rPr>
        <w:t xml:space="preserve">the </w:t>
      </w:r>
      <w:r w:rsidR="00FC63D0" w:rsidRPr="00CB2CC0">
        <w:rPr>
          <w:rFonts w:ascii="Times New Roman" w:hAnsi="Times New Roman" w:cs="Times New Roman"/>
          <w:sz w:val="24"/>
          <w:szCs w:val="24"/>
          <w:lang w:val="en-GB"/>
        </w:rPr>
        <w:t xml:space="preserve">ISDA Data and Reporting EMEA </w:t>
      </w:r>
      <w:r w:rsidR="00CB2CC0">
        <w:rPr>
          <w:rFonts w:ascii="Times New Roman" w:hAnsi="Times New Roman" w:cs="Times New Roman"/>
          <w:sz w:val="24"/>
          <w:szCs w:val="24"/>
          <w:lang w:val="en-GB"/>
        </w:rPr>
        <w:t>W</w:t>
      </w:r>
      <w:r w:rsidR="00724B54" w:rsidRPr="00CB2CC0">
        <w:rPr>
          <w:rFonts w:ascii="Times New Roman" w:hAnsi="Times New Roman" w:cs="Times New Roman"/>
          <w:sz w:val="24"/>
          <w:szCs w:val="24"/>
          <w:lang w:val="en-GB"/>
        </w:rPr>
        <w:t xml:space="preserve">orking </w:t>
      </w:r>
      <w:r w:rsidR="00CB2CC0">
        <w:rPr>
          <w:rFonts w:ascii="Times New Roman" w:hAnsi="Times New Roman" w:cs="Times New Roman"/>
          <w:sz w:val="24"/>
          <w:szCs w:val="24"/>
          <w:lang w:val="en-GB"/>
        </w:rPr>
        <w:t>G</w:t>
      </w:r>
      <w:r w:rsidR="00CB2CC0" w:rsidRPr="00CB2CC0">
        <w:rPr>
          <w:rFonts w:ascii="Times New Roman" w:hAnsi="Times New Roman" w:cs="Times New Roman"/>
          <w:sz w:val="24"/>
          <w:szCs w:val="24"/>
          <w:lang w:val="en-GB"/>
        </w:rPr>
        <w:t>roup</w:t>
      </w:r>
      <w:r w:rsidR="00724B54" w:rsidRPr="00CB2CC0">
        <w:rPr>
          <w:rFonts w:ascii="Times New Roman" w:hAnsi="Times New Roman" w:cs="Times New Roman"/>
          <w:sz w:val="24"/>
          <w:szCs w:val="24"/>
          <w:lang w:val="en-GB"/>
        </w:rPr>
        <w:t xml:space="preserve"> </w:t>
      </w:r>
      <w:r w:rsidR="00FC63D0" w:rsidRPr="00CB2CC0">
        <w:rPr>
          <w:rFonts w:ascii="Times New Roman" w:hAnsi="Times New Roman" w:cs="Times New Roman"/>
          <w:sz w:val="24"/>
          <w:szCs w:val="24"/>
          <w:lang w:val="en-GB"/>
        </w:rPr>
        <w:t>on</w:t>
      </w:r>
      <w:r w:rsidR="00724B54" w:rsidRPr="00CB2CC0">
        <w:rPr>
          <w:rFonts w:ascii="Times New Roman" w:hAnsi="Times New Roman" w:cs="Times New Roman"/>
          <w:sz w:val="24"/>
          <w:szCs w:val="24"/>
          <w:lang w:val="en-GB"/>
        </w:rPr>
        <w:t xml:space="preserve"> </w:t>
      </w:r>
      <w:r w:rsidR="00FC63D0" w:rsidRPr="00CB2CC0">
        <w:rPr>
          <w:rFonts w:ascii="Times New Roman" w:hAnsi="Times New Roman" w:cs="Times New Roman"/>
          <w:sz w:val="24"/>
          <w:szCs w:val="24"/>
          <w:lang w:val="en-GB"/>
        </w:rPr>
        <w:t xml:space="preserve">the </w:t>
      </w:r>
      <w:r w:rsidR="00724B54" w:rsidRPr="00CB2CC0">
        <w:rPr>
          <w:rFonts w:ascii="Times New Roman" w:hAnsi="Times New Roman" w:cs="Times New Roman"/>
          <w:sz w:val="24"/>
          <w:szCs w:val="24"/>
          <w:lang w:val="en-GB"/>
        </w:rPr>
        <w:t>interpret</w:t>
      </w:r>
      <w:r w:rsidR="00FC63D0" w:rsidRPr="00CB2CC0">
        <w:rPr>
          <w:rFonts w:ascii="Times New Roman" w:hAnsi="Times New Roman" w:cs="Times New Roman"/>
          <w:sz w:val="24"/>
          <w:szCs w:val="24"/>
          <w:lang w:val="en-GB"/>
        </w:rPr>
        <w:t>ation</w:t>
      </w:r>
      <w:r w:rsidR="00724B54" w:rsidRPr="00CB2CC0">
        <w:rPr>
          <w:rFonts w:ascii="Times New Roman" w:hAnsi="Times New Roman" w:cs="Times New Roman"/>
          <w:sz w:val="24"/>
          <w:szCs w:val="24"/>
          <w:lang w:val="en-GB"/>
        </w:rPr>
        <w:t>, implement</w:t>
      </w:r>
      <w:r w:rsidR="00FC63D0" w:rsidRPr="00CB2CC0">
        <w:rPr>
          <w:rFonts w:ascii="Times New Roman" w:hAnsi="Times New Roman" w:cs="Times New Roman"/>
          <w:sz w:val="24"/>
          <w:szCs w:val="24"/>
          <w:lang w:val="en-GB"/>
        </w:rPr>
        <w:t>ation</w:t>
      </w:r>
      <w:r w:rsidR="00724B54" w:rsidRPr="00CB2CC0">
        <w:rPr>
          <w:rFonts w:ascii="Times New Roman" w:hAnsi="Times New Roman" w:cs="Times New Roman"/>
          <w:sz w:val="24"/>
          <w:szCs w:val="24"/>
          <w:lang w:val="en-GB"/>
        </w:rPr>
        <w:t xml:space="preserve"> and manage</w:t>
      </w:r>
      <w:r w:rsidR="00FC63D0" w:rsidRPr="00CB2CC0">
        <w:rPr>
          <w:rFonts w:ascii="Times New Roman" w:hAnsi="Times New Roman" w:cs="Times New Roman"/>
          <w:sz w:val="24"/>
          <w:szCs w:val="24"/>
          <w:lang w:val="en-GB"/>
        </w:rPr>
        <w:t>ment of</w:t>
      </w:r>
      <w:r w:rsidR="00724B54" w:rsidRPr="00CB2CC0">
        <w:rPr>
          <w:rFonts w:ascii="Times New Roman" w:hAnsi="Times New Roman" w:cs="Times New Roman"/>
          <w:sz w:val="24"/>
          <w:szCs w:val="24"/>
          <w:lang w:val="en-GB"/>
        </w:rPr>
        <w:t xml:space="preserve"> the EMIR Refit </w:t>
      </w:r>
      <w:r w:rsidRPr="00CB2CC0">
        <w:rPr>
          <w:rFonts w:ascii="Times New Roman" w:hAnsi="Times New Roman" w:cs="Times New Roman"/>
          <w:sz w:val="24"/>
          <w:szCs w:val="24"/>
          <w:lang w:val="en-GB"/>
        </w:rPr>
        <w:t>requirement</w:t>
      </w:r>
      <w:r w:rsidR="00F95116">
        <w:rPr>
          <w:rFonts w:ascii="Times New Roman" w:hAnsi="Times New Roman" w:cs="Times New Roman"/>
          <w:sz w:val="24"/>
          <w:szCs w:val="24"/>
          <w:lang w:val="en-GB"/>
        </w:rPr>
        <w:t xml:space="preserve"> for FCs to report on behalf of</w:t>
      </w:r>
      <w:r w:rsidR="00CD4C84">
        <w:rPr>
          <w:rFonts w:ascii="Times New Roman" w:hAnsi="Times New Roman" w:cs="Times New Roman"/>
          <w:sz w:val="24"/>
          <w:szCs w:val="24"/>
          <w:lang w:val="en-GB"/>
        </w:rPr>
        <w:t xml:space="preserve"> both</w:t>
      </w:r>
      <w:r w:rsidR="00F95116">
        <w:rPr>
          <w:rFonts w:ascii="Times New Roman" w:hAnsi="Times New Roman" w:cs="Times New Roman"/>
          <w:sz w:val="24"/>
          <w:szCs w:val="24"/>
          <w:lang w:val="en-GB"/>
        </w:rPr>
        <w:t xml:space="preserve"> themselves and their NFC- clients</w:t>
      </w:r>
      <w:r w:rsidR="00724B54" w:rsidRPr="00CB2CC0">
        <w:rPr>
          <w:rFonts w:ascii="Times New Roman" w:hAnsi="Times New Roman" w:cs="Times New Roman"/>
          <w:sz w:val="24"/>
          <w:szCs w:val="24"/>
          <w:lang w:val="en-GB"/>
        </w:rPr>
        <w:t xml:space="preserve">. </w:t>
      </w:r>
      <w:r w:rsidR="00996F1A" w:rsidRPr="00CB2CC0">
        <w:rPr>
          <w:rFonts w:ascii="Times New Roman" w:hAnsi="Times New Roman" w:cs="Times New Roman"/>
          <w:sz w:val="24"/>
          <w:szCs w:val="24"/>
          <w:lang w:val="en-GB"/>
        </w:rPr>
        <w:t xml:space="preserve">This document does not constitute </w:t>
      </w:r>
      <w:r w:rsidR="00FC63D0" w:rsidRPr="00CB2CC0">
        <w:rPr>
          <w:rFonts w:ascii="Times New Roman" w:hAnsi="Times New Roman" w:cs="Times New Roman"/>
          <w:sz w:val="24"/>
          <w:szCs w:val="24"/>
          <w:lang w:val="en-GB"/>
        </w:rPr>
        <w:t xml:space="preserve">legal, </w:t>
      </w:r>
      <w:r w:rsidR="00996F1A" w:rsidRPr="00CB2CC0">
        <w:rPr>
          <w:rFonts w:ascii="Times New Roman" w:hAnsi="Times New Roman" w:cs="Times New Roman"/>
          <w:sz w:val="24"/>
          <w:szCs w:val="24"/>
          <w:lang w:val="en-GB"/>
        </w:rPr>
        <w:t xml:space="preserve">regulatory </w:t>
      </w:r>
      <w:r w:rsidR="00FC63D0" w:rsidRPr="00CB2CC0">
        <w:rPr>
          <w:rFonts w:ascii="Times New Roman" w:hAnsi="Times New Roman" w:cs="Times New Roman"/>
          <w:sz w:val="24"/>
          <w:szCs w:val="24"/>
          <w:lang w:val="en-GB"/>
        </w:rPr>
        <w:t xml:space="preserve">or any other form of </w:t>
      </w:r>
      <w:r w:rsidR="00FC63D0" w:rsidRPr="00CB2CC0">
        <w:rPr>
          <w:rFonts w:ascii="Times New Roman" w:hAnsi="Times New Roman" w:cs="Times New Roman"/>
          <w:sz w:val="24"/>
          <w:szCs w:val="24"/>
          <w:lang w:val="en-GB"/>
        </w:rPr>
        <w:lastRenderedPageBreak/>
        <w:t xml:space="preserve">professional </w:t>
      </w:r>
      <w:r w:rsidR="00996F1A" w:rsidRPr="00CB2CC0">
        <w:rPr>
          <w:rFonts w:ascii="Times New Roman" w:hAnsi="Times New Roman" w:cs="Times New Roman"/>
          <w:sz w:val="24"/>
          <w:szCs w:val="24"/>
          <w:lang w:val="en-GB"/>
        </w:rPr>
        <w:t>advice</w:t>
      </w:r>
      <w:r w:rsidR="00FC63D0" w:rsidRPr="00CB2CC0">
        <w:rPr>
          <w:rFonts w:ascii="Times New Roman" w:hAnsi="Times New Roman" w:cs="Times New Roman"/>
          <w:sz w:val="24"/>
          <w:szCs w:val="24"/>
          <w:lang w:val="en-GB"/>
        </w:rPr>
        <w:t>,</w:t>
      </w:r>
      <w:r w:rsidR="00996F1A" w:rsidRPr="00CB2CC0">
        <w:rPr>
          <w:rFonts w:ascii="Times New Roman" w:hAnsi="Times New Roman" w:cs="Times New Roman"/>
          <w:sz w:val="24"/>
          <w:szCs w:val="24"/>
          <w:lang w:val="en-GB"/>
        </w:rPr>
        <w:t xml:space="preserve"> </w:t>
      </w:r>
      <w:r w:rsidR="00FC63D0" w:rsidRPr="00CB2CC0">
        <w:rPr>
          <w:rFonts w:ascii="Times New Roman" w:hAnsi="Times New Roman" w:cs="Times New Roman"/>
          <w:sz w:val="24"/>
          <w:szCs w:val="24"/>
          <w:lang w:val="en-GB"/>
        </w:rPr>
        <w:t>n</w:t>
      </w:r>
      <w:r w:rsidR="00996F1A" w:rsidRPr="00CB2CC0">
        <w:rPr>
          <w:rFonts w:ascii="Times New Roman" w:hAnsi="Times New Roman" w:cs="Times New Roman"/>
          <w:sz w:val="24"/>
          <w:szCs w:val="24"/>
          <w:lang w:val="en-GB"/>
        </w:rPr>
        <w:t>or</w:t>
      </w:r>
      <w:r w:rsidR="00FC63D0" w:rsidRPr="00CB2CC0">
        <w:rPr>
          <w:rFonts w:ascii="Times New Roman" w:hAnsi="Times New Roman" w:cs="Times New Roman"/>
          <w:sz w:val="24"/>
          <w:szCs w:val="24"/>
          <w:lang w:val="en-GB"/>
        </w:rPr>
        <w:t xml:space="preserve"> does it constitute</w:t>
      </w:r>
      <w:r w:rsidR="00996F1A" w:rsidRPr="00CB2CC0">
        <w:rPr>
          <w:rFonts w:ascii="Times New Roman" w:hAnsi="Times New Roman" w:cs="Times New Roman"/>
          <w:sz w:val="24"/>
          <w:szCs w:val="24"/>
          <w:lang w:val="en-GB"/>
        </w:rPr>
        <w:t xml:space="preserve"> official guidance</w:t>
      </w:r>
      <w:r w:rsidR="00FC63D0" w:rsidRPr="00CB2CC0">
        <w:rPr>
          <w:rFonts w:ascii="Times New Roman" w:hAnsi="Times New Roman" w:cs="Times New Roman"/>
          <w:sz w:val="24"/>
          <w:szCs w:val="24"/>
          <w:lang w:val="en-GB"/>
        </w:rPr>
        <w:t>.</w:t>
      </w:r>
      <w:r w:rsidRPr="00CB2CC0">
        <w:rPr>
          <w:rFonts w:ascii="Times New Roman" w:hAnsi="Times New Roman" w:cs="Times New Roman"/>
          <w:sz w:val="24"/>
          <w:szCs w:val="24"/>
          <w:lang w:val="en-GB"/>
        </w:rPr>
        <w:t xml:space="preserve"> </w:t>
      </w:r>
      <w:r w:rsidR="00FC63D0" w:rsidRPr="00CB2CC0">
        <w:rPr>
          <w:rFonts w:ascii="Times New Roman" w:hAnsi="Times New Roman" w:cs="Times New Roman"/>
          <w:sz w:val="24"/>
          <w:szCs w:val="24"/>
          <w:lang w:val="en-GB"/>
        </w:rPr>
        <w:t>A</w:t>
      </w:r>
      <w:r w:rsidR="00801E8E" w:rsidRPr="00CB2CC0">
        <w:rPr>
          <w:rFonts w:ascii="Times New Roman" w:hAnsi="Times New Roman" w:cs="Times New Roman"/>
          <w:sz w:val="24"/>
          <w:szCs w:val="24"/>
          <w:lang w:val="en-GB"/>
        </w:rPr>
        <w:t xml:space="preserve">s </w:t>
      </w:r>
      <w:r w:rsidR="00996F1A" w:rsidRPr="00CB2CC0">
        <w:rPr>
          <w:rFonts w:ascii="Times New Roman" w:hAnsi="Times New Roman" w:cs="Times New Roman"/>
          <w:bCs/>
          <w:iCs/>
          <w:sz w:val="24"/>
          <w:szCs w:val="24"/>
        </w:rPr>
        <w:t>with all information that ISDA disseminates, parties are free to choose alternate means of addressing the specific facts of their situation. ISDA assumes no responsibility for any use of this document and undertakes no duty to update it to reflect future regulatory</w:t>
      </w:r>
      <w:r w:rsidR="00FC63D0" w:rsidRPr="00CB2CC0">
        <w:rPr>
          <w:rFonts w:ascii="Times New Roman" w:hAnsi="Times New Roman" w:cs="Times New Roman"/>
          <w:bCs/>
          <w:iCs/>
          <w:sz w:val="24"/>
          <w:szCs w:val="24"/>
        </w:rPr>
        <w:t>,</w:t>
      </w:r>
      <w:r w:rsidR="00996F1A" w:rsidRPr="00CB2CC0">
        <w:rPr>
          <w:rFonts w:ascii="Times New Roman" w:hAnsi="Times New Roman" w:cs="Times New Roman"/>
          <w:bCs/>
          <w:iCs/>
          <w:sz w:val="24"/>
          <w:szCs w:val="24"/>
        </w:rPr>
        <w:t xml:space="preserve"> market</w:t>
      </w:r>
      <w:r w:rsidR="00FC63D0" w:rsidRPr="00CB2CC0">
        <w:rPr>
          <w:rFonts w:ascii="Times New Roman" w:hAnsi="Times New Roman" w:cs="Times New Roman"/>
          <w:bCs/>
          <w:iCs/>
          <w:sz w:val="24"/>
          <w:szCs w:val="24"/>
        </w:rPr>
        <w:t xml:space="preserve"> or other</w:t>
      </w:r>
      <w:r w:rsidR="00996F1A" w:rsidRPr="00CB2CC0">
        <w:rPr>
          <w:rFonts w:ascii="Times New Roman" w:hAnsi="Times New Roman" w:cs="Times New Roman"/>
          <w:bCs/>
          <w:iCs/>
          <w:sz w:val="24"/>
          <w:szCs w:val="24"/>
        </w:rPr>
        <w:t xml:space="preserve"> developments. </w:t>
      </w:r>
      <w:r w:rsidR="00150ED5" w:rsidRPr="00CB2CC0">
        <w:rPr>
          <w:rFonts w:ascii="Times New Roman" w:hAnsi="Times New Roman" w:cs="Times New Roman"/>
          <w:sz w:val="24"/>
          <w:szCs w:val="24"/>
          <w:lang w:val="en-GB"/>
        </w:rPr>
        <w:t xml:space="preserve">This document reflects discussions held within </w:t>
      </w:r>
      <w:r w:rsidR="00CB2CC0">
        <w:rPr>
          <w:rFonts w:ascii="Times New Roman" w:hAnsi="Times New Roman" w:cs="Times New Roman"/>
          <w:sz w:val="24"/>
          <w:szCs w:val="24"/>
          <w:lang w:val="en-GB"/>
        </w:rPr>
        <w:t>the ISDA Data and Reporting EMEA Working Group</w:t>
      </w:r>
      <w:r w:rsidR="00150ED5" w:rsidRPr="00CB2CC0">
        <w:rPr>
          <w:rFonts w:ascii="Times New Roman" w:hAnsi="Times New Roman" w:cs="Times New Roman"/>
          <w:sz w:val="24"/>
          <w:szCs w:val="24"/>
          <w:lang w:val="en-GB"/>
        </w:rPr>
        <w:t xml:space="preserve"> and does not purport to be an exhaustive list of all the relevant issues that market participants should consider. </w:t>
      </w:r>
      <w:r w:rsidR="00996F1A" w:rsidRPr="00CB2CC0">
        <w:rPr>
          <w:rFonts w:ascii="Times New Roman" w:hAnsi="Times New Roman" w:cs="Times New Roman"/>
          <w:bCs/>
          <w:iCs/>
          <w:sz w:val="24"/>
          <w:szCs w:val="24"/>
        </w:rPr>
        <w:t>Each user of this publication should consult with its own legal or other adviser prior to acting on or using any information included in or referred to by this publication, and should satisfy itself that following or not following any of the proposed guidelines set out herein is appropriate to their specific circumstances.</w:t>
      </w:r>
    </w:p>
    <w:p w14:paraId="2833F193" w14:textId="3685AB24" w:rsidR="00801E8E" w:rsidRPr="00CB2CC0" w:rsidRDefault="00801E8E" w:rsidP="00801E8E">
      <w:pPr>
        <w:shd w:val="clear" w:color="auto" w:fill="FFFFFF" w:themeFill="background1"/>
        <w:spacing w:after="0" w:line="240" w:lineRule="auto"/>
        <w:jc w:val="both"/>
        <w:rPr>
          <w:rFonts w:ascii="Times New Roman" w:hAnsi="Times New Roman" w:cs="Times New Roman"/>
          <w:bCs/>
          <w:iCs/>
          <w:sz w:val="24"/>
          <w:szCs w:val="24"/>
        </w:rPr>
      </w:pPr>
    </w:p>
    <w:p w14:paraId="41034A36" w14:textId="0FA701B4" w:rsidR="00801E8E" w:rsidRPr="00CB2CC0" w:rsidRDefault="00801E8E" w:rsidP="00801E8E">
      <w:pPr>
        <w:shd w:val="clear" w:color="auto" w:fill="FFFFFF" w:themeFill="background1"/>
        <w:spacing w:after="0" w:line="240" w:lineRule="auto"/>
        <w:jc w:val="both"/>
        <w:rPr>
          <w:rFonts w:ascii="Times New Roman" w:hAnsi="Times New Roman" w:cs="Times New Roman"/>
          <w:bCs/>
          <w:iCs/>
          <w:sz w:val="24"/>
          <w:szCs w:val="24"/>
        </w:rPr>
      </w:pPr>
      <w:r w:rsidRPr="00CB2CC0">
        <w:rPr>
          <w:rFonts w:ascii="Times New Roman" w:hAnsi="Times New Roman" w:cs="Times New Roman"/>
          <w:sz w:val="24"/>
          <w:szCs w:val="24"/>
          <w:lang w:val="en-GB"/>
        </w:rPr>
        <w:t xml:space="preserve">This document is not a substitute for market participants communicating with their clients as to how the </w:t>
      </w:r>
      <w:r w:rsidR="00203A40">
        <w:rPr>
          <w:rFonts w:ascii="Times New Roman" w:hAnsi="Times New Roman" w:cs="Times New Roman"/>
          <w:sz w:val="24"/>
          <w:szCs w:val="24"/>
          <w:lang w:val="en-GB"/>
        </w:rPr>
        <w:t xml:space="preserve">EMIR Refit </w:t>
      </w:r>
      <w:r w:rsidRPr="00CB2CC0">
        <w:rPr>
          <w:rFonts w:ascii="Times New Roman" w:hAnsi="Times New Roman" w:cs="Times New Roman"/>
          <w:sz w:val="24"/>
          <w:szCs w:val="24"/>
          <w:lang w:val="en-GB"/>
        </w:rPr>
        <w:t>OTC derivative</w:t>
      </w:r>
      <w:r w:rsidR="00203A40">
        <w:rPr>
          <w:rFonts w:ascii="Times New Roman" w:hAnsi="Times New Roman" w:cs="Times New Roman"/>
          <w:sz w:val="24"/>
          <w:szCs w:val="24"/>
          <w:lang w:val="en-GB"/>
        </w:rPr>
        <w:t xml:space="preserve"> contact reporting requirements are </w:t>
      </w:r>
      <w:r w:rsidRPr="00CB2CC0">
        <w:rPr>
          <w:rFonts w:ascii="Times New Roman" w:hAnsi="Times New Roman" w:cs="Times New Roman"/>
          <w:sz w:val="24"/>
          <w:szCs w:val="24"/>
          <w:lang w:val="en-GB"/>
        </w:rPr>
        <w:t>to be implemented and managed.</w:t>
      </w:r>
    </w:p>
    <w:p w14:paraId="59437C6B" w14:textId="77777777" w:rsidR="00801E8E" w:rsidRPr="00CB2CC0" w:rsidRDefault="00801E8E" w:rsidP="00801E8E">
      <w:pPr>
        <w:shd w:val="clear" w:color="auto" w:fill="FFFFFF" w:themeFill="background1"/>
        <w:spacing w:after="0" w:line="240" w:lineRule="auto"/>
        <w:jc w:val="both"/>
        <w:rPr>
          <w:rFonts w:ascii="Times New Roman" w:hAnsi="Times New Roman" w:cs="Times New Roman"/>
          <w:bCs/>
          <w:iCs/>
          <w:sz w:val="24"/>
          <w:szCs w:val="24"/>
        </w:rPr>
      </w:pPr>
    </w:p>
    <w:p w14:paraId="39B43FF1" w14:textId="520DE684" w:rsidR="00440858" w:rsidRPr="00440858" w:rsidRDefault="00440858" w:rsidP="00BA3B5F">
      <w:pPr>
        <w:shd w:val="clear" w:color="auto" w:fill="FFFFFF" w:themeFill="background1"/>
        <w:spacing w:after="0" w:line="240" w:lineRule="auto"/>
        <w:jc w:val="both"/>
        <w:rPr>
          <w:rFonts w:ascii="Times New Roman" w:hAnsi="Times New Roman" w:cs="Times New Roman"/>
          <w:bCs/>
          <w:i/>
          <w:iCs/>
          <w:sz w:val="24"/>
          <w:szCs w:val="24"/>
        </w:rPr>
      </w:pPr>
      <w:r w:rsidRPr="00CB2CC0">
        <w:rPr>
          <w:rFonts w:ascii="Times New Roman" w:hAnsi="Times New Roman" w:cs="Times New Roman"/>
          <w:sz w:val="24"/>
          <w:szCs w:val="24"/>
        </w:rPr>
        <w:t xml:space="preserve">In the event </w:t>
      </w:r>
      <w:r w:rsidR="00801E8E" w:rsidRPr="00CB2CC0">
        <w:rPr>
          <w:rFonts w:ascii="Times New Roman" w:hAnsi="Times New Roman" w:cs="Times New Roman"/>
          <w:sz w:val="24"/>
          <w:szCs w:val="24"/>
        </w:rPr>
        <w:t>regulators publish additional guidance</w:t>
      </w:r>
      <w:r w:rsidR="00FC63D0" w:rsidRPr="00CB2CC0">
        <w:rPr>
          <w:rFonts w:ascii="Times New Roman" w:hAnsi="Times New Roman" w:cs="Times New Roman"/>
          <w:sz w:val="24"/>
          <w:szCs w:val="24"/>
        </w:rPr>
        <w:t xml:space="preserve"> on </w:t>
      </w:r>
      <w:r w:rsidR="00203A40">
        <w:rPr>
          <w:rFonts w:ascii="Times New Roman" w:hAnsi="Times New Roman" w:cs="Times New Roman"/>
          <w:sz w:val="24"/>
          <w:szCs w:val="24"/>
        </w:rPr>
        <w:t xml:space="preserve">these EMIR Refit </w:t>
      </w:r>
      <w:r w:rsidR="00FC63D0" w:rsidRPr="00CB2CC0">
        <w:rPr>
          <w:rFonts w:ascii="Times New Roman" w:hAnsi="Times New Roman" w:cs="Times New Roman"/>
          <w:sz w:val="24"/>
          <w:szCs w:val="24"/>
        </w:rPr>
        <w:t>reporting</w:t>
      </w:r>
      <w:r w:rsidR="00203A40">
        <w:rPr>
          <w:rFonts w:ascii="Times New Roman" w:hAnsi="Times New Roman" w:cs="Times New Roman"/>
          <w:sz w:val="24"/>
          <w:szCs w:val="24"/>
        </w:rPr>
        <w:t xml:space="preserve"> requirements</w:t>
      </w:r>
      <w:r w:rsidRPr="00CB2CC0">
        <w:rPr>
          <w:rFonts w:ascii="Times New Roman" w:hAnsi="Times New Roman" w:cs="Times New Roman"/>
          <w:sz w:val="24"/>
          <w:szCs w:val="24"/>
        </w:rPr>
        <w:t>, market participants should consider whether such guidance</w:t>
      </w:r>
      <w:r w:rsidR="00FC63D0" w:rsidRPr="00CB2CC0">
        <w:rPr>
          <w:rFonts w:ascii="Times New Roman" w:hAnsi="Times New Roman" w:cs="Times New Roman"/>
          <w:sz w:val="24"/>
          <w:szCs w:val="24"/>
        </w:rPr>
        <w:t xml:space="preserve"> impacts upon or</w:t>
      </w:r>
      <w:r w:rsidRPr="00CB2CC0">
        <w:rPr>
          <w:rFonts w:ascii="Times New Roman" w:hAnsi="Times New Roman" w:cs="Times New Roman"/>
          <w:sz w:val="24"/>
          <w:szCs w:val="24"/>
        </w:rPr>
        <w:t xml:space="preserve"> supersedes any</w:t>
      </w:r>
      <w:r w:rsidR="00FC63D0" w:rsidRPr="00CB2CC0">
        <w:rPr>
          <w:rFonts w:ascii="Times New Roman" w:hAnsi="Times New Roman" w:cs="Times New Roman"/>
          <w:sz w:val="24"/>
          <w:szCs w:val="24"/>
        </w:rPr>
        <w:t>thing</w:t>
      </w:r>
      <w:r w:rsidRPr="00CB2CC0">
        <w:rPr>
          <w:rFonts w:ascii="Times New Roman" w:hAnsi="Times New Roman" w:cs="Times New Roman"/>
          <w:sz w:val="24"/>
          <w:szCs w:val="24"/>
        </w:rPr>
        <w:t xml:space="preserve"> </w:t>
      </w:r>
      <w:r w:rsidR="00FC63D0" w:rsidRPr="00CB2CC0">
        <w:rPr>
          <w:rFonts w:ascii="Times New Roman" w:hAnsi="Times New Roman" w:cs="Times New Roman"/>
          <w:sz w:val="24"/>
          <w:szCs w:val="24"/>
        </w:rPr>
        <w:t>contained</w:t>
      </w:r>
      <w:r w:rsidRPr="00CB2CC0">
        <w:rPr>
          <w:rFonts w:ascii="Times New Roman" w:hAnsi="Times New Roman" w:cs="Times New Roman"/>
          <w:sz w:val="24"/>
          <w:szCs w:val="24"/>
        </w:rPr>
        <w:t xml:space="preserve"> within this document.</w:t>
      </w:r>
    </w:p>
    <w:p w14:paraId="4FB56CF4" w14:textId="77777777" w:rsidR="007E1316" w:rsidRPr="00B65462" w:rsidRDefault="007E1316" w:rsidP="00BA3B5F">
      <w:pPr>
        <w:shd w:val="clear" w:color="auto" w:fill="FFFFFF" w:themeFill="background1"/>
        <w:spacing w:after="0" w:line="240" w:lineRule="auto"/>
        <w:ind w:left="360"/>
        <w:rPr>
          <w:rStyle w:val="Emphasis"/>
          <w:rFonts w:ascii="Times New Roman" w:hAnsi="Times New Roman" w:cs="Times New Roman"/>
          <w:i w:val="0"/>
          <w:shd w:val="clear" w:color="auto" w:fill="FFFFFF"/>
          <w:lang w:val="en-GB"/>
        </w:rPr>
      </w:pPr>
    </w:p>
    <w:p w14:paraId="06FE97E4" w14:textId="0C1E313A" w:rsidR="00126120" w:rsidRPr="00B65462" w:rsidRDefault="00126120" w:rsidP="00BA3B5F">
      <w:pPr>
        <w:shd w:val="clear" w:color="auto" w:fill="FFFFFF" w:themeFill="background1"/>
        <w:spacing w:after="0" w:line="240" w:lineRule="auto"/>
        <w:rPr>
          <w:rFonts w:ascii="Times New Roman" w:hAnsi="Times New Roman" w:cs="Times New Roman"/>
          <w:sz w:val="24"/>
          <w:szCs w:val="24"/>
          <w:lang w:val="en-GB"/>
        </w:rPr>
      </w:pPr>
    </w:p>
    <w:p w14:paraId="0978318B" w14:textId="644C0A6D" w:rsidR="009B07EE" w:rsidRPr="00B65462" w:rsidRDefault="00DF497F" w:rsidP="00BA3B5F">
      <w:pPr>
        <w:pStyle w:val="ListParagraph"/>
        <w:numPr>
          <w:ilvl w:val="0"/>
          <w:numId w:val="13"/>
        </w:numPr>
        <w:shd w:val="clear" w:color="auto" w:fill="FFFFFF" w:themeFill="background1"/>
        <w:ind w:left="0" w:hanging="567"/>
        <w:jc w:val="both"/>
        <w:rPr>
          <w:rFonts w:ascii="Times New Roman" w:hAnsi="Times New Roman" w:cs="Times New Roman"/>
          <w:b/>
          <w:sz w:val="28"/>
          <w:lang w:val="en-GB"/>
        </w:rPr>
      </w:pPr>
      <w:r>
        <w:rPr>
          <w:rFonts w:ascii="Times New Roman" w:hAnsi="Times New Roman" w:cs="Times New Roman"/>
          <w:b/>
          <w:sz w:val="28"/>
          <w:lang w:val="en-GB"/>
        </w:rPr>
        <w:t xml:space="preserve">Data to be provided by the </w:t>
      </w:r>
      <w:r w:rsidR="008A5807">
        <w:rPr>
          <w:rFonts w:ascii="Times New Roman" w:hAnsi="Times New Roman" w:cs="Times New Roman"/>
          <w:b/>
          <w:sz w:val="28"/>
          <w:lang w:val="en-GB"/>
        </w:rPr>
        <w:t>NFC- client</w:t>
      </w:r>
      <w:r>
        <w:rPr>
          <w:rFonts w:ascii="Times New Roman" w:hAnsi="Times New Roman" w:cs="Times New Roman"/>
          <w:b/>
          <w:sz w:val="28"/>
          <w:lang w:val="en-GB"/>
        </w:rPr>
        <w:t xml:space="preserve"> to the FC</w:t>
      </w:r>
    </w:p>
    <w:p w14:paraId="3EE90D90" w14:textId="3511EA6E" w:rsidR="00887FA6" w:rsidRPr="00B65462" w:rsidRDefault="00887FA6" w:rsidP="00BA3B5F">
      <w:pPr>
        <w:shd w:val="clear" w:color="auto" w:fill="FFFFFF" w:themeFill="background1"/>
        <w:spacing w:after="0" w:line="240" w:lineRule="auto"/>
        <w:jc w:val="both"/>
        <w:rPr>
          <w:rFonts w:ascii="Times New Roman" w:hAnsi="Times New Roman" w:cs="Times New Roman"/>
          <w:lang w:val="en-GB"/>
        </w:rPr>
      </w:pPr>
    </w:p>
    <w:p w14:paraId="1BF10515" w14:textId="2CC699A3" w:rsidR="009D76FA" w:rsidRPr="00DD1F7D" w:rsidRDefault="008A5807" w:rsidP="00EC6879">
      <w:pPr>
        <w:shd w:val="clear" w:color="auto" w:fill="FFFFFF" w:themeFill="background1"/>
        <w:spacing w:after="0" w:line="240" w:lineRule="auto"/>
        <w:jc w:val="both"/>
        <w:rPr>
          <w:rFonts w:ascii="Times New Roman" w:hAnsi="Times New Roman" w:cs="Times New Roman"/>
          <w:sz w:val="24"/>
          <w:szCs w:val="24"/>
          <w:lang w:val="en-GB"/>
        </w:rPr>
      </w:pPr>
      <w:r w:rsidRPr="00DD1F7D">
        <w:rPr>
          <w:rFonts w:ascii="Times New Roman" w:hAnsi="Times New Roman" w:cs="Times New Roman"/>
          <w:sz w:val="24"/>
          <w:szCs w:val="24"/>
          <w:lang w:val="en-GB"/>
        </w:rPr>
        <w:t xml:space="preserve">The below EMIR fields were identified as </w:t>
      </w:r>
      <w:r w:rsidR="00D361BC" w:rsidRPr="00DD1F7D">
        <w:rPr>
          <w:rFonts w:ascii="Times New Roman" w:hAnsi="Times New Roman" w:cs="Times New Roman"/>
          <w:sz w:val="24"/>
          <w:szCs w:val="24"/>
          <w:lang w:val="en-GB"/>
        </w:rPr>
        <w:t xml:space="preserve">those </w:t>
      </w:r>
      <w:r w:rsidR="00997CE3" w:rsidRPr="00DD1F7D">
        <w:rPr>
          <w:rFonts w:ascii="Times New Roman" w:hAnsi="Times New Roman" w:cs="Times New Roman"/>
          <w:sz w:val="24"/>
          <w:szCs w:val="24"/>
          <w:lang w:val="en-GB"/>
        </w:rPr>
        <w:t xml:space="preserve">which relate to </w:t>
      </w:r>
      <w:r w:rsidR="0059778A" w:rsidRPr="00DD1F7D">
        <w:rPr>
          <w:rFonts w:ascii="Times New Roman" w:hAnsi="Times New Roman" w:cs="Times New Roman"/>
          <w:sz w:val="24"/>
          <w:szCs w:val="24"/>
          <w:lang w:val="en-GB"/>
        </w:rPr>
        <w:t xml:space="preserve">an </w:t>
      </w:r>
      <w:r w:rsidRPr="00DD1F7D">
        <w:rPr>
          <w:rFonts w:ascii="Times New Roman" w:hAnsi="Times New Roman" w:cs="Times New Roman"/>
          <w:sz w:val="24"/>
          <w:szCs w:val="24"/>
          <w:lang w:val="en-GB"/>
        </w:rPr>
        <w:t>NFC- client</w:t>
      </w:r>
      <w:r w:rsidR="00997CE3" w:rsidRPr="00DD1F7D">
        <w:rPr>
          <w:rFonts w:ascii="Times New Roman" w:hAnsi="Times New Roman" w:cs="Times New Roman"/>
          <w:sz w:val="24"/>
          <w:szCs w:val="24"/>
          <w:lang w:val="en-GB"/>
        </w:rPr>
        <w:t>,</w:t>
      </w:r>
      <w:r w:rsidRPr="00DD1F7D">
        <w:rPr>
          <w:rFonts w:ascii="Times New Roman" w:hAnsi="Times New Roman" w:cs="Times New Roman"/>
          <w:sz w:val="24"/>
          <w:szCs w:val="24"/>
          <w:lang w:val="en-GB"/>
        </w:rPr>
        <w:t xml:space="preserve"> </w:t>
      </w:r>
      <w:r w:rsidR="00997CE3" w:rsidRPr="00DD1F7D">
        <w:rPr>
          <w:rFonts w:ascii="Times New Roman" w:hAnsi="Times New Roman" w:cs="Times New Roman"/>
          <w:sz w:val="24"/>
          <w:szCs w:val="24"/>
          <w:lang w:val="en-GB"/>
        </w:rPr>
        <w:t xml:space="preserve">where the client may be required </w:t>
      </w:r>
      <w:r w:rsidR="0059778A" w:rsidRPr="00DD1F7D">
        <w:rPr>
          <w:rFonts w:ascii="Times New Roman" w:hAnsi="Times New Roman" w:cs="Times New Roman"/>
          <w:sz w:val="24"/>
          <w:szCs w:val="24"/>
          <w:lang w:val="en-GB"/>
        </w:rPr>
        <w:t xml:space="preserve">to provide </w:t>
      </w:r>
      <w:r w:rsidRPr="00DD1F7D">
        <w:rPr>
          <w:rFonts w:ascii="Times New Roman" w:hAnsi="Times New Roman" w:cs="Times New Roman"/>
          <w:sz w:val="24"/>
          <w:szCs w:val="24"/>
          <w:lang w:val="en-GB"/>
        </w:rPr>
        <w:t xml:space="preserve">data in order </w:t>
      </w:r>
      <w:r w:rsidR="00D361BC" w:rsidRPr="00DD1F7D">
        <w:rPr>
          <w:rFonts w:ascii="Times New Roman" w:hAnsi="Times New Roman" w:cs="Times New Roman"/>
          <w:sz w:val="24"/>
          <w:szCs w:val="24"/>
          <w:lang w:val="en-GB"/>
        </w:rPr>
        <w:t>for the FC to report the correct information</w:t>
      </w:r>
      <w:r w:rsidRPr="00DD1F7D">
        <w:rPr>
          <w:rFonts w:ascii="Times New Roman" w:hAnsi="Times New Roman" w:cs="Times New Roman"/>
          <w:sz w:val="24"/>
          <w:szCs w:val="24"/>
          <w:lang w:val="en-GB"/>
        </w:rPr>
        <w:t xml:space="preserve">. </w:t>
      </w:r>
      <w:r w:rsidR="002565AC" w:rsidRPr="00DD1F7D">
        <w:rPr>
          <w:rFonts w:ascii="Times New Roman" w:hAnsi="Times New Roman" w:cs="Times New Roman"/>
          <w:sz w:val="24"/>
          <w:szCs w:val="24"/>
          <w:lang w:val="en-GB"/>
        </w:rPr>
        <w:t>I</w:t>
      </w:r>
      <w:r w:rsidR="009D76FA" w:rsidRPr="00DD1F7D">
        <w:rPr>
          <w:rFonts w:ascii="Times New Roman" w:hAnsi="Times New Roman" w:cs="Times New Roman"/>
          <w:sz w:val="24"/>
          <w:szCs w:val="24"/>
          <w:lang w:val="en-GB"/>
        </w:rPr>
        <w:t>t is expected that the data provided by the NFC- for these fields is accurate</w:t>
      </w:r>
      <w:r w:rsidR="002565AC" w:rsidRPr="00DD1F7D">
        <w:rPr>
          <w:rFonts w:ascii="Times New Roman" w:hAnsi="Times New Roman" w:cs="Times New Roman"/>
          <w:sz w:val="24"/>
          <w:szCs w:val="24"/>
          <w:lang w:val="en-GB"/>
        </w:rPr>
        <w:t xml:space="preserve">. The </w:t>
      </w:r>
      <w:r w:rsidR="009D76FA" w:rsidRPr="00DD1F7D">
        <w:rPr>
          <w:rFonts w:ascii="Times New Roman" w:hAnsi="Times New Roman" w:cs="Times New Roman"/>
          <w:sz w:val="24"/>
          <w:szCs w:val="24"/>
          <w:lang w:val="en-GB"/>
        </w:rPr>
        <w:t xml:space="preserve">NFC- is not required to validate the data being reported by the FC within these fields. </w:t>
      </w:r>
    </w:p>
    <w:p w14:paraId="5541029F" w14:textId="264BC914" w:rsidR="008A5807" w:rsidRPr="00DD1F7D" w:rsidRDefault="009D76FA" w:rsidP="008062BB">
      <w:pPr>
        <w:shd w:val="clear" w:color="auto" w:fill="FFFFFF" w:themeFill="background1"/>
        <w:spacing w:after="0" w:line="240" w:lineRule="auto"/>
        <w:jc w:val="both"/>
        <w:rPr>
          <w:rFonts w:ascii="Times New Roman" w:hAnsi="Times New Roman" w:cs="Times New Roman"/>
          <w:sz w:val="24"/>
          <w:szCs w:val="24"/>
          <w:lang w:val="en-GB"/>
        </w:rPr>
      </w:pPr>
      <w:r w:rsidRPr="00DD1F7D">
        <w:rPr>
          <w:rFonts w:ascii="Times New Roman" w:hAnsi="Times New Roman" w:cs="Times New Roman"/>
          <w:sz w:val="24"/>
          <w:szCs w:val="24"/>
          <w:lang w:val="en-GB"/>
        </w:rPr>
        <w:t xml:space="preserve">FCs may </w:t>
      </w:r>
      <w:r w:rsidR="00CD3921" w:rsidRPr="00DD1F7D">
        <w:rPr>
          <w:rFonts w:ascii="Times New Roman" w:hAnsi="Times New Roman" w:cs="Times New Roman"/>
          <w:sz w:val="24"/>
          <w:szCs w:val="24"/>
          <w:lang w:val="en-GB"/>
        </w:rPr>
        <w:t xml:space="preserve">choose </w:t>
      </w:r>
      <w:r w:rsidRPr="00DD1F7D">
        <w:rPr>
          <w:rFonts w:ascii="Times New Roman" w:hAnsi="Times New Roman" w:cs="Times New Roman"/>
          <w:sz w:val="24"/>
          <w:szCs w:val="24"/>
          <w:lang w:val="en-GB"/>
        </w:rPr>
        <w:t xml:space="preserve">to </w:t>
      </w:r>
      <w:r w:rsidR="008A5807" w:rsidRPr="00DD1F7D">
        <w:rPr>
          <w:rFonts w:ascii="Times New Roman" w:hAnsi="Times New Roman" w:cs="Times New Roman"/>
          <w:sz w:val="24"/>
          <w:szCs w:val="24"/>
          <w:lang w:val="en-GB"/>
        </w:rPr>
        <w:t xml:space="preserve">perform their own validation of </w:t>
      </w:r>
      <w:r w:rsidR="0059778A" w:rsidRPr="00DD1F7D">
        <w:rPr>
          <w:rFonts w:ascii="Times New Roman" w:hAnsi="Times New Roman" w:cs="Times New Roman"/>
          <w:sz w:val="24"/>
          <w:szCs w:val="24"/>
          <w:lang w:val="en-GB"/>
        </w:rPr>
        <w:t xml:space="preserve">the </w:t>
      </w:r>
      <w:r w:rsidR="008A5807" w:rsidRPr="00DD1F7D">
        <w:rPr>
          <w:rFonts w:ascii="Times New Roman" w:hAnsi="Times New Roman" w:cs="Times New Roman"/>
          <w:sz w:val="24"/>
          <w:szCs w:val="24"/>
          <w:lang w:val="en-GB"/>
        </w:rPr>
        <w:t xml:space="preserve">EMIR fields </w:t>
      </w:r>
      <w:r w:rsidR="0059778A" w:rsidRPr="00DD1F7D">
        <w:rPr>
          <w:rFonts w:ascii="Times New Roman" w:hAnsi="Times New Roman" w:cs="Times New Roman"/>
          <w:sz w:val="24"/>
          <w:szCs w:val="24"/>
          <w:lang w:val="en-GB"/>
        </w:rPr>
        <w:t xml:space="preserve">for which </w:t>
      </w:r>
      <w:r w:rsidRPr="00DD1F7D">
        <w:rPr>
          <w:rFonts w:ascii="Times New Roman" w:hAnsi="Times New Roman" w:cs="Times New Roman"/>
          <w:sz w:val="24"/>
          <w:szCs w:val="24"/>
          <w:lang w:val="en-GB"/>
        </w:rPr>
        <w:t xml:space="preserve">they require </w:t>
      </w:r>
      <w:r w:rsidR="00D361BC" w:rsidRPr="00DD1F7D">
        <w:rPr>
          <w:rFonts w:ascii="Times New Roman" w:hAnsi="Times New Roman" w:cs="Times New Roman"/>
          <w:sz w:val="24"/>
          <w:szCs w:val="24"/>
          <w:lang w:val="en-GB"/>
        </w:rPr>
        <w:t xml:space="preserve">data from </w:t>
      </w:r>
      <w:r w:rsidRPr="00DD1F7D">
        <w:rPr>
          <w:rFonts w:ascii="Times New Roman" w:hAnsi="Times New Roman" w:cs="Times New Roman"/>
          <w:sz w:val="24"/>
          <w:szCs w:val="24"/>
          <w:lang w:val="en-GB"/>
        </w:rPr>
        <w:t xml:space="preserve">their </w:t>
      </w:r>
      <w:r w:rsidR="00E840C7" w:rsidRPr="00DD1F7D">
        <w:rPr>
          <w:rFonts w:ascii="Times New Roman" w:hAnsi="Times New Roman" w:cs="Times New Roman"/>
          <w:sz w:val="24"/>
          <w:szCs w:val="24"/>
          <w:lang w:val="en-GB"/>
        </w:rPr>
        <w:t>NCF- client</w:t>
      </w:r>
      <w:r w:rsidRPr="00DD1F7D">
        <w:rPr>
          <w:rFonts w:ascii="Times New Roman" w:hAnsi="Times New Roman" w:cs="Times New Roman"/>
          <w:sz w:val="24"/>
          <w:szCs w:val="24"/>
          <w:lang w:val="en-GB"/>
        </w:rPr>
        <w:t>s</w:t>
      </w:r>
      <w:r w:rsidR="00E840C7" w:rsidRPr="00DD1F7D">
        <w:rPr>
          <w:rFonts w:ascii="Times New Roman" w:hAnsi="Times New Roman" w:cs="Times New Roman"/>
          <w:sz w:val="24"/>
          <w:szCs w:val="24"/>
          <w:lang w:val="en-GB"/>
        </w:rPr>
        <w:t>.</w:t>
      </w:r>
    </w:p>
    <w:p w14:paraId="37943164" w14:textId="275D3496" w:rsidR="00E840C7" w:rsidRDefault="00E840C7" w:rsidP="00BA3B5F">
      <w:pPr>
        <w:shd w:val="clear" w:color="auto" w:fill="FFFFFF" w:themeFill="background1"/>
        <w:spacing w:after="0" w:line="240" w:lineRule="auto"/>
        <w:jc w:val="both"/>
        <w:rPr>
          <w:rFonts w:ascii="Times New Roman" w:hAnsi="Times New Roman" w:cs="Times New Roman"/>
          <w:lang w:val="en-GB"/>
        </w:rPr>
      </w:pPr>
    </w:p>
    <w:p w14:paraId="4EE24061" w14:textId="12438D46" w:rsidR="00E840C7" w:rsidRDefault="00E840C7" w:rsidP="00E840C7">
      <w:pPr>
        <w:pStyle w:val="NormalWeb"/>
        <w:numPr>
          <w:ilvl w:val="0"/>
          <w:numId w:val="30"/>
        </w:numPr>
        <w:spacing w:before="0" w:beforeAutospacing="0" w:after="0" w:afterAutospacing="0"/>
        <w:jc w:val="both"/>
      </w:pPr>
      <w:r>
        <w:t>R</w:t>
      </w:r>
      <w:r w:rsidRPr="00607A8B">
        <w:t xml:space="preserve">eporting Counterparty ID </w:t>
      </w:r>
      <w:r>
        <w:t>(field 2</w:t>
      </w:r>
      <w:r w:rsidR="0095675B">
        <w:t xml:space="preserve"> of Table 1</w:t>
      </w:r>
      <w:r>
        <w:t>)</w:t>
      </w:r>
    </w:p>
    <w:p w14:paraId="58CCAFD0" w14:textId="46A372E4" w:rsidR="00E840C7" w:rsidRPr="00A027B7" w:rsidRDefault="00E840C7" w:rsidP="00E840C7">
      <w:pPr>
        <w:pStyle w:val="NormalWeb"/>
        <w:numPr>
          <w:ilvl w:val="0"/>
          <w:numId w:val="30"/>
        </w:numPr>
        <w:spacing w:before="0" w:beforeAutospacing="0" w:after="0" w:afterAutospacing="0"/>
        <w:jc w:val="both"/>
      </w:pPr>
      <w:r w:rsidRPr="00A027B7">
        <w:t>Corporate sector of the reporting counterparty (field 6</w:t>
      </w:r>
      <w:r w:rsidR="0095675B">
        <w:t xml:space="preserve"> of Table 1</w:t>
      </w:r>
      <w:r w:rsidRPr="00A027B7">
        <w:t>)</w:t>
      </w:r>
    </w:p>
    <w:p w14:paraId="3F81B1F4" w14:textId="44A167A3" w:rsidR="00E840C7" w:rsidRDefault="00E840C7" w:rsidP="00E840C7">
      <w:pPr>
        <w:pStyle w:val="NormalWeb"/>
        <w:numPr>
          <w:ilvl w:val="0"/>
          <w:numId w:val="30"/>
        </w:numPr>
        <w:spacing w:before="0" w:beforeAutospacing="0" w:after="0" w:afterAutospacing="0"/>
        <w:jc w:val="both"/>
      </w:pPr>
      <w:r w:rsidRPr="00A027B7">
        <w:t>Nature of the reporting counterparty (field 7</w:t>
      </w:r>
      <w:r w:rsidR="0095675B">
        <w:t xml:space="preserve"> of Table 1</w:t>
      </w:r>
      <w:r w:rsidRPr="00A027B7">
        <w:t>)</w:t>
      </w:r>
    </w:p>
    <w:p w14:paraId="6D94ACFD" w14:textId="59FCDA7C" w:rsidR="00E840C7" w:rsidRDefault="00E840C7" w:rsidP="00E840C7">
      <w:pPr>
        <w:pStyle w:val="NormalWeb"/>
        <w:numPr>
          <w:ilvl w:val="0"/>
          <w:numId w:val="30"/>
        </w:numPr>
        <w:spacing w:before="0" w:beforeAutospacing="0" w:after="0" w:afterAutospacing="0"/>
        <w:jc w:val="both"/>
      </w:pPr>
      <w:r>
        <w:t>Beneficiary ID (field 12</w:t>
      </w:r>
      <w:r w:rsidR="0095675B">
        <w:t xml:space="preserve"> of Table 1</w:t>
      </w:r>
      <w:r>
        <w:t>)</w:t>
      </w:r>
    </w:p>
    <w:p w14:paraId="7BBD4D75" w14:textId="589B5973" w:rsidR="00E840C7" w:rsidRDefault="00E840C7" w:rsidP="00E840C7">
      <w:pPr>
        <w:pStyle w:val="NormalWeb"/>
        <w:numPr>
          <w:ilvl w:val="0"/>
          <w:numId w:val="30"/>
        </w:numPr>
        <w:spacing w:before="0" w:beforeAutospacing="0" w:after="0" w:afterAutospacing="0"/>
        <w:jc w:val="both"/>
      </w:pPr>
      <w:r>
        <w:t>Trading Capacity (field 13</w:t>
      </w:r>
      <w:r w:rsidR="0095675B">
        <w:t xml:space="preserve"> of Table 1</w:t>
      </w:r>
      <w:r>
        <w:t>)</w:t>
      </w:r>
    </w:p>
    <w:p w14:paraId="285182E8" w14:textId="70702A40" w:rsidR="00E840C7" w:rsidRPr="00CA4F74" w:rsidRDefault="00E840C7" w:rsidP="00E840C7">
      <w:pPr>
        <w:pStyle w:val="NormalWeb"/>
        <w:numPr>
          <w:ilvl w:val="0"/>
          <w:numId w:val="30"/>
        </w:numPr>
        <w:spacing w:before="0" w:beforeAutospacing="0" w:after="0" w:afterAutospacing="0"/>
        <w:rPr>
          <w:color w:val="000000" w:themeColor="text1"/>
        </w:rPr>
      </w:pPr>
      <w:r w:rsidRPr="00607A8B">
        <w:t>Directly linked to commercial activity or treasury financing</w:t>
      </w:r>
      <w:r>
        <w:t xml:space="preserve"> (field 15</w:t>
      </w:r>
      <w:r w:rsidR="0095675B">
        <w:t xml:space="preserve"> of Table 1</w:t>
      </w:r>
      <w:r>
        <w:t>)</w:t>
      </w:r>
    </w:p>
    <w:p w14:paraId="5A17CC6E" w14:textId="42108A60" w:rsidR="00E840C7" w:rsidRDefault="00E840C7" w:rsidP="00E840C7">
      <w:pPr>
        <w:pStyle w:val="NormalWeb"/>
        <w:numPr>
          <w:ilvl w:val="0"/>
          <w:numId w:val="30"/>
        </w:numPr>
        <w:spacing w:before="0" w:beforeAutospacing="0" w:after="0" w:afterAutospacing="0"/>
        <w:jc w:val="both"/>
      </w:pPr>
      <w:r w:rsidRPr="003D2AD2">
        <w:t>Clearing member ID</w:t>
      </w:r>
      <w:r>
        <w:t xml:space="preserve"> (field 10</w:t>
      </w:r>
      <w:r w:rsidR="0095675B">
        <w:t xml:space="preserve"> of Table 1</w:t>
      </w:r>
      <w:r>
        <w:t>) *</w:t>
      </w:r>
    </w:p>
    <w:p w14:paraId="5E0A831B" w14:textId="524A10A9" w:rsidR="00E840C7" w:rsidRDefault="00E840C7" w:rsidP="00E840C7">
      <w:pPr>
        <w:pStyle w:val="NormalWeb"/>
        <w:numPr>
          <w:ilvl w:val="0"/>
          <w:numId w:val="30"/>
        </w:numPr>
        <w:spacing w:before="0" w:beforeAutospacing="0" w:after="0" w:afterAutospacing="0"/>
        <w:jc w:val="both"/>
      </w:pPr>
      <w:r>
        <w:t xml:space="preserve">Execution Agent </w:t>
      </w:r>
      <w:r w:rsidR="00DF497F">
        <w:t xml:space="preserve">or similar * – Note. This is </w:t>
      </w:r>
      <w:r w:rsidR="00E45771">
        <w:t xml:space="preserve">a </w:t>
      </w:r>
      <w:r w:rsidR="00DF497F">
        <w:t xml:space="preserve">field Trade Repositories may use </w:t>
      </w:r>
      <w:r>
        <w:t xml:space="preserve">and </w:t>
      </w:r>
      <w:r w:rsidR="00DF497F">
        <w:t xml:space="preserve">is </w:t>
      </w:r>
      <w:r>
        <w:t xml:space="preserve">not </w:t>
      </w:r>
      <w:r w:rsidR="00DF497F">
        <w:t xml:space="preserve">an </w:t>
      </w:r>
      <w:r>
        <w:t>EMIR</w:t>
      </w:r>
      <w:r w:rsidR="00DF497F">
        <w:t xml:space="preserve"> field in its own right</w:t>
      </w:r>
      <w:r>
        <w:t xml:space="preserve"> </w:t>
      </w:r>
    </w:p>
    <w:p w14:paraId="54549945" w14:textId="77777777" w:rsidR="00E840C7" w:rsidRDefault="00E840C7" w:rsidP="00E840C7">
      <w:pPr>
        <w:pStyle w:val="NormalWeb"/>
        <w:spacing w:before="0" w:beforeAutospacing="0" w:after="0" w:afterAutospacing="0"/>
        <w:jc w:val="both"/>
      </w:pPr>
    </w:p>
    <w:p w14:paraId="4C88CC93" w14:textId="3CAAD255" w:rsidR="00E840C7" w:rsidRDefault="00E840C7" w:rsidP="00EC6879">
      <w:pPr>
        <w:pStyle w:val="NormalWeb"/>
        <w:spacing w:before="0" w:beforeAutospacing="0" w:after="0" w:afterAutospacing="0"/>
        <w:jc w:val="both"/>
      </w:pPr>
      <w:r>
        <w:t xml:space="preserve">* = </w:t>
      </w:r>
      <w:r w:rsidR="00DF497F">
        <w:t xml:space="preserve">these </w:t>
      </w:r>
      <w:r>
        <w:t>fields may not be applicable to every NFC-</w:t>
      </w:r>
    </w:p>
    <w:p w14:paraId="3DB72034" w14:textId="7D118416" w:rsidR="00E840C7" w:rsidRDefault="00E840C7" w:rsidP="00EC6879">
      <w:pPr>
        <w:shd w:val="clear" w:color="auto" w:fill="FFFFFF" w:themeFill="background1"/>
        <w:spacing w:after="0" w:line="240" w:lineRule="auto"/>
        <w:jc w:val="both"/>
        <w:rPr>
          <w:rFonts w:ascii="Times New Roman" w:hAnsi="Times New Roman" w:cs="Times New Roman"/>
          <w:lang w:val="en-GB"/>
        </w:rPr>
      </w:pPr>
    </w:p>
    <w:p w14:paraId="4F755379" w14:textId="1AC8B69B" w:rsidR="00E840C7" w:rsidRDefault="00E840C7" w:rsidP="00EC6879">
      <w:pPr>
        <w:pStyle w:val="NormalWeb"/>
        <w:spacing w:before="0" w:beforeAutospacing="0" w:after="0" w:afterAutospacing="0"/>
        <w:jc w:val="both"/>
      </w:pPr>
      <w:r>
        <w:t xml:space="preserve">For ‘Beneficiary ID’, if a client does not provide details to an FC, </w:t>
      </w:r>
      <w:r w:rsidR="00DF497F">
        <w:t xml:space="preserve">the ISDA </w:t>
      </w:r>
      <w:r w:rsidR="00997CE3">
        <w:t xml:space="preserve">Data and Reporting EMEA Working Group </w:t>
      </w:r>
      <w:r w:rsidR="00DF497F">
        <w:t xml:space="preserve">proposed </w:t>
      </w:r>
      <w:r>
        <w:t xml:space="preserve">the default value </w:t>
      </w:r>
      <w:r w:rsidR="00DF497F">
        <w:t xml:space="preserve">would </w:t>
      </w:r>
      <w:r>
        <w:t xml:space="preserve">be </w:t>
      </w:r>
      <w:r w:rsidR="00DF497F">
        <w:t xml:space="preserve">the ID of the </w:t>
      </w:r>
      <w:r>
        <w:t>NFC-</w:t>
      </w:r>
      <w:r w:rsidR="00186FBC">
        <w:t>, i.e. the</w:t>
      </w:r>
      <w:r w:rsidR="00C57DB5">
        <w:t xml:space="preserve"> same</w:t>
      </w:r>
      <w:r w:rsidR="00186FBC">
        <w:t xml:space="preserve"> LEI reported for </w:t>
      </w:r>
      <w:r w:rsidR="00C57DB5">
        <w:t xml:space="preserve">the field </w:t>
      </w:r>
      <w:r w:rsidR="00186FBC">
        <w:t>‘</w:t>
      </w:r>
      <w:r w:rsidR="00186FBC" w:rsidRPr="00186FBC">
        <w:t>Reporting Counterparty ID</w:t>
      </w:r>
      <w:r w:rsidR="00186FBC">
        <w:t>’(field 2 of Table 1)</w:t>
      </w:r>
      <w:r>
        <w:t>.</w:t>
      </w:r>
    </w:p>
    <w:p w14:paraId="3EAF3C92" w14:textId="37549538" w:rsidR="00DF497F" w:rsidRDefault="00DF497F" w:rsidP="00EC6879">
      <w:pPr>
        <w:pStyle w:val="NormalWeb"/>
        <w:spacing w:before="0" w:beforeAutospacing="0" w:after="0" w:afterAutospacing="0"/>
        <w:jc w:val="both"/>
      </w:pPr>
    </w:p>
    <w:p w14:paraId="42ED4E8D" w14:textId="09D9A86A" w:rsidR="00DF497F" w:rsidRDefault="00DF497F" w:rsidP="00EC6879">
      <w:pPr>
        <w:pStyle w:val="NormalWeb"/>
        <w:spacing w:before="0" w:beforeAutospacing="0" w:after="0" w:afterAutospacing="0"/>
        <w:jc w:val="both"/>
      </w:pPr>
      <w:r>
        <w:t>In addition to information the FC requires in order to populate the above mentioned fields, FCs may also want to consider requesting the following information from their NFC- clients:</w:t>
      </w:r>
    </w:p>
    <w:p w14:paraId="6780A678" w14:textId="77777777" w:rsidR="00DF497F" w:rsidRPr="00C22FB3" w:rsidRDefault="00DF497F" w:rsidP="00EC6879">
      <w:pPr>
        <w:pStyle w:val="NormalWeb"/>
        <w:numPr>
          <w:ilvl w:val="1"/>
          <w:numId w:val="29"/>
        </w:numPr>
        <w:spacing w:before="0" w:beforeAutospacing="0" w:after="0" w:afterAutospacing="0"/>
        <w:ind w:left="1080"/>
        <w:jc w:val="both"/>
        <w:rPr>
          <w:bCs/>
        </w:rPr>
      </w:pPr>
      <w:r w:rsidRPr="00B85505">
        <w:rPr>
          <w:u w:val="single"/>
        </w:rPr>
        <w:lastRenderedPageBreak/>
        <w:t>Whether the NFC- intends to report for themselves</w:t>
      </w:r>
      <w:r>
        <w:t xml:space="preserve">. If the NFC- makes no statement either way, the assumption is that the FC </w:t>
      </w:r>
      <w:r w:rsidRPr="00DF497F">
        <w:rPr>
          <w:u w:val="single"/>
        </w:rPr>
        <w:t>will</w:t>
      </w:r>
      <w:r>
        <w:t xml:space="preserve"> report on behalf of the NFC-.</w:t>
      </w:r>
    </w:p>
    <w:p w14:paraId="22458213" w14:textId="5F1A4998" w:rsidR="00DF497F" w:rsidRPr="000D063F" w:rsidRDefault="005A3B7F" w:rsidP="00EC6879">
      <w:pPr>
        <w:pStyle w:val="NormalWeb"/>
        <w:numPr>
          <w:ilvl w:val="1"/>
          <w:numId w:val="29"/>
        </w:numPr>
        <w:spacing w:before="0" w:beforeAutospacing="0" w:after="0" w:afterAutospacing="0"/>
        <w:ind w:left="1080"/>
        <w:jc w:val="both"/>
        <w:rPr>
          <w:bCs/>
        </w:rPr>
      </w:pPr>
      <w:r>
        <w:rPr>
          <w:u w:val="single"/>
        </w:rPr>
        <w:t>Exchange trade</w:t>
      </w:r>
      <w:r w:rsidR="006313D6">
        <w:rPr>
          <w:u w:val="single"/>
        </w:rPr>
        <w:t>d</w:t>
      </w:r>
      <w:r>
        <w:rPr>
          <w:u w:val="single"/>
        </w:rPr>
        <w:t xml:space="preserve"> derivative (</w:t>
      </w:r>
      <w:r w:rsidR="00DF497F" w:rsidRPr="00B85505">
        <w:rPr>
          <w:u w:val="single"/>
        </w:rPr>
        <w:t>ETD</w:t>
      </w:r>
      <w:r>
        <w:rPr>
          <w:u w:val="single"/>
        </w:rPr>
        <w:t>) contract</w:t>
      </w:r>
      <w:r w:rsidR="00DF497F" w:rsidRPr="00B85505">
        <w:rPr>
          <w:u w:val="single"/>
        </w:rPr>
        <w:t xml:space="preserve"> reporting</w:t>
      </w:r>
      <w:r w:rsidR="00DF497F">
        <w:t xml:space="preserve">. </w:t>
      </w:r>
      <w:r w:rsidR="002E696D">
        <w:t>As stated above, t</w:t>
      </w:r>
      <w:r w:rsidR="006313D6">
        <w:t xml:space="preserve">he EMIR Refit reporting requirement </w:t>
      </w:r>
      <w:r w:rsidR="00DF497F">
        <w:t>only applies to OTC trades</w:t>
      </w:r>
      <w:r w:rsidR="006313D6">
        <w:t>.</w:t>
      </w:r>
      <w:r w:rsidR="00DF497F">
        <w:t xml:space="preserve"> </w:t>
      </w:r>
      <w:r w:rsidR="006313D6">
        <w:t xml:space="preserve">Therefore </w:t>
      </w:r>
      <w:r w:rsidR="00DF497F">
        <w:t xml:space="preserve">the assumption will be that an NFC- client </w:t>
      </w:r>
      <w:r w:rsidR="009661AC">
        <w:t xml:space="preserve">will </w:t>
      </w:r>
      <w:r w:rsidR="00DF497F">
        <w:t xml:space="preserve">report ETD trades </w:t>
      </w:r>
      <w:r w:rsidR="008D422A">
        <w:t>itself</w:t>
      </w:r>
      <w:r w:rsidR="00DF497F">
        <w:t>.</w:t>
      </w:r>
    </w:p>
    <w:p w14:paraId="5F9BDC7B" w14:textId="595BB434" w:rsidR="00DF497F" w:rsidRPr="000D063F" w:rsidRDefault="00DF497F" w:rsidP="00EC6879">
      <w:pPr>
        <w:pStyle w:val="NormalWeb"/>
        <w:numPr>
          <w:ilvl w:val="1"/>
          <w:numId w:val="29"/>
        </w:numPr>
        <w:spacing w:before="0" w:beforeAutospacing="0" w:after="0" w:afterAutospacing="0"/>
        <w:ind w:left="1080"/>
        <w:jc w:val="both"/>
        <w:rPr>
          <w:bCs/>
        </w:rPr>
      </w:pPr>
      <w:r w:rsidRPr="00B85505">
        <w:rPr>
          <w:u w:val="single"/>
        </w:rPr>
        <w:t>W</w:t>
      </w:r>
      <w:r w:rsidR="007D1C74">
        <w:rPr>
          <w:u w:val="single"/>
        </w:rPr>
        <w:t>hether the NFC- entity</w:t>
      </w:r>
      <w:r w:rsidRPr="00B85505">
        <w:rPr>
          <w:u w:val="single"/>
        </w:rPr>
        <w:t xml:space="preserve"> will be </w:t>
      </w:r>
      <w:r w:rsidR="00D14C32">
        <w:rPr>
          <w:u w:val="single"/>
        </w:rPr>
        <w:t xml:space="preserve">in scope for EU-EMIR reporting, or the </w:t>
      </w:r>
      <w:proofErr w:type="spellStart"/>
      <w:r w:rsidR="00D14C32">
        <w:rPr>
          <w:u w:val="single"/>
        </w:rPr>
        <w:t>onshored</w:t>
      </w:r>
      <w:proofErr w:type="spellEnd"/>
      <w:r w:rsidR="00D14C32">
        <w:rPr>
          <w:u w:val="single"/>
        </w:rPr>
        <w:t xml:space="preserve"> UK-EMIR reporting regime </w:t>
      </w:r>
      <w:r>
        <w:rPr>
          <w:u w:val="single"/>
        </w:rPr>
        <w:t xml:space="preserve">after the </w:t>
      </w:r>
      <w:hyperlink r:id="rId10" w:history="1">
        <w:r w:rsidR="00D14C32" w:rsidRPr="00D14C32">
          <w:rPr>
            <w:rStyle w:val="Hyperlink"/>
          </w:rPr>
          <w:t>transition period</w:t>
        </w:r>
      </w:hyperlink>
      <w:r>
        <w:rPr>
          <w:u w:val="single"/>
        </w:rPr>
        <w:t xml:space="preserve"> </w:t>
      </w:r>
      <w:r w:rsidR="007D1C74">
        <w:rPr>
          <w:u w:val="single"/>
        </w:rPr>
        <w:t>ends following the UK</w:t>
      </w:r>
      <w:r w:rsidR="008D422A">
        <w:rPr>
          <w:u w:val="single"/>
        </w:rPr>
        <w:t>’</w:t>
      </w:r>
      <w:r w:rsidR="007D1C74">
        <w:rPr>
          <w:u w:val="single"/>
        </w:rPr>
        <w:t>s withdrawal from the EU.</w:t>
      </w:r>
      <w:r w:rsidR="007D1C74" w:rsidRPr="007D1C74">
        <w:t xml:space="preserve"> </w:t>
      </w:r>
      <w:r w:rsidR="007D1C74">
        <w:t xml:space="preserve">The implementation period is </w:t>
      </w:r>
      <w:r w:rsidRPr="007D1C74">
        <w:t>due to end on 31 December 2020</w:t>
      </w:r>
      <w:r w:rsidR="008D422A">
        <w:t>, (subject to any extension)</w:t>
      </w:r>
      <w:r>
        <w:t xml:space="preserve">. </w:t>
      </w:r>
    </w:p>
    <w:p w14:paraId="631BF1C7" w14:textId="2A10B577" w:rsidR="00DF497F" w:rsidRPr="00A31BDE" w:rsidRDefault="00DF497F" w:rsidP="00EC6879">
      <w:pPr>
        <w:pStyle w:val="NormalWeb"/>
        <w:numPr>
          <w:ilvl w:val="1"/>
          <w:numId w:val="29"/>
        </w:numPr>
        <w:spacing w:before="0" w:beforeAutospacing="0" w:after="0" w:afterAutospacing="0"/>
        <w:ind w:left="1080"/>
        <w:jc w:val="both"/>
      </w:pPr>
      <w:r w:rsidRPr="00A31BDE">
        <w:rPr>
          <w:u w:val="single"/>
        </w:rPr>
        <w:t xml:space="preserve">The Trade Repositories </w:t>
      </w:r>
      <w:r w:rsidR="008D422A" w:rsidRPr="00A31BDE">
        <w:rPr>
          <w:u w:val="single"/>
        </w:rPr>
        <w:t xml:space="preserve">(TRs) </w:t>
      </w:r>
      <w:r w:rsidRPr="00A31BDE">
        <w:rPr>
          <w:u w:val="single"/>
        </w:rPr>
        <w:t>use</w:t>
      </w:r>
      <w:r w:rsidR="008D422A" w:rsidRPr="00A31BDE">
        <w:rPr>
          <w:u w:val="single"/>
        </w:rPr>
        <w:t>d</w:t>
      </w:r>
      <w:r w:rsidRPr="00A31BDE">
        <w:rPr>
          <w:u w:val="single"/>
        </w:rPr>
        <w:t xml:space="preserve"> by the FC and NFC-</w:t>
      </w:r>
      <w:r w:rsidRPr="00A31BDE">
        <w:t xml:space="preserve">. </w:t>
      </w:r>
    </w:p>
    <w:p w14:paraId="0F148943" w14:textId="77777777" w:rsidR="00E76CC3" w:rsidRPr="00A31BDE" w:rsidRDefault="00DF497F" w:rsidP="00EC6879">
      <w:pPr>
        <w:pStyle w:val="NormalWeb"/>
        <w:spacing w:before="0" w:beforeAutospacing="0" w:after="0" w:afterAutospacing="0"/>
        <w:ind w:left="1080"/>
        <w:jc w:val="both"/>
      </w:pPr>
      <w:r w:rsidRPr="00A31BDE">
        <w:t xml:space="preserve">If the FC and NFC- report to different TRs, existing </w:t>
      </w:r>
      <w:r w:rsidR="007D1C74" w:rsidRPr="00A31BDE">
        <w:t>positions initially reported by the NFC-</w:t>
      </w:r>
      <w:r w:rsidRPr="00A31BDE">
        <w:t xml:space="preserve"> would need to be </w:t>
      </w:r>
      <w:r w:rsidR="008870C1" w:rsidRPr="00A31BDE">
        <w:t xml:space="preserve">removed from the TR used by the NFC- and </w:t>
      </w:r>
      <w:r w:rsidR="00CD3921" w:rsidRPr="00A31BDE">
        <w:t xml:space="preserve">entered </w:t>
      </w:r>
      <w:r w:rsidR="008870C1" w:rsidRPr="00A31BDE">
        <w:t xml:space="preserve">into </w:t>
      </w:r>
      <w:r w:rsidR="007D1C74" w:rsidRPr="00A31BDE">
        <w:t>the</w:t>
      </w:r>
      <w:r w:rsidRPr="00A31BDE">
        <w:t xml:space="preserve"> TR </w:t>
      </w:r>
      <w:r w:rsidR="008A7BC2" w:rsidRPr="00A31BDE">
        <w:t>used by the FC</w:t>
      </w:r>
      <w:r w:rsidRPr="00A31BDE">
        <w:t xml:space="preserve">. </w:t>
      </w:r>
    </w:p>
    <w:p w14:paraId="46533A4E" w14:textId="0A35E20D" w:rsidR="000E4DBA" w:rsidRPr="00A31BDE" w:rsidRDefault="008A7BC2" w:rsidP="00EC6879">
      <w:pPr>
        <w:pStyle w:val="NormalWeb"/>
        <w:spacing w:before="0" w:beforeAutospacing="0" w:after="0" w:afterAutospacing="0"/>
        <w:ind w:left="1080"/>
        <w:jc w:val="both"/>
      </w:pPr>
      <w:r w:rsidRPr="00A31BDE">
        <w:t>I</w:t>
      </w:r>
      <w:r w:rsidR="00DF497F" w:rsidRPr="00A31BDE">
        <w:t xml:space="preserve">f the FC and NFC- use the same TR, there </w:t>
      </w:r>
      <w:r w:rsidRPr="00A31BDE">
        <w:t xml:space="preserve">should </w:t>
      </w:r>
      <w:r w:rsidR="00DF497F" w:rsidRPr="00A31BDE">
        <w:t xml:space="preserve">be no need to </w:t>
      </w:r>
      <w:r w:rsidR="00AD2A5E">
        <w:t>transfer</w:t>
      </w:r>
      <w:r w:rsidR="00AD2A5E" w:rsidRPr="00A31BDE">
        <w:t xml:space="preserve"> </w:t>
      </w:r>
      <w:r w:rsidR="00DF497F" w:rsidRPr="00A31BDE">
        <w:t>the positions</w:t>
      </w:r>
      <w:r w:rsidR="00E76CC3" w:rsidRPr="00A31BDE">
        <w:t xml:space="preserve">, although there may be </w:t>
      </w:r>
      <w:r w:rsidR="0074154F" w:rsidRPr="00A31BDE">
        <w:t xml:space="preserve">positions where the FC and NFC- have reported under different UTIs, in which case it </w:t>
      </w:r>
      <w:r w:rsidR="00AD2A5E">
        <w:t>would</w:t>
      </w:r>
      <w:r w:rsidR="00AD2A5E" w:rsidRPr="00A31BDE">
        <w:t xml:space="preserve"> </w:t>
      </w:r>
      <w:r w:rsidR="0074154F" w:rsidRPr="00A31BDE">
        <w:t>be necessary to exit and re-</w:t>
      </w:r>
      <w:r w:rsidR="00AD2A5E">
        <w:t>report</w:t>
      </w:r>
      <w:r w:rsidR="00AD2A5E" w:rsidRPr="00A31BDE">
        <w:t xml:space="preserve"> </w:t>
      </w:r>
      <w:r w:rsidR="0074154F" w:rsidRPr="00A31BDE">
        <w:t>such positions</w:t>
      </w:r>
      <w:r w:rsidR="00DF497F" w:rsidRPr="00A31BDE">
        <w:t xml:space="preserve">. </w:t>
      </w:r>
    </w:p>
    <w:p w14:paraId="48F25919" w14:textId="3B53083D" w:rsidR="00DD1F7D" w:rsidRPr="00A31BDE" w:rsidRDefault="000E4DBA" w:rsidP="00DD1F7D">
      <w:pPr>
        <w:pStyle w:val="NormalWeb"/>
        <w:spacing w:before="0" w:beforeAutospacing="0" w:after="0" w:afterAutospacing="0"/>
        <w:ind w:left="1080"/>
        <w:jc w:val="both"/>
      </w:pPr>
      <w:r w:rsidRPr="00A31BDE">
        <w:t xml:space="preserve">In the event positions do need to be moved between TRs, </w:t>
      </w:r>
      <w:hyperlink r:id="rId11" w:history="1">
        <w:r w:rsidR="00DD1F7D" w:rsidRPr="00A31BDE">
          <w:rPr>
            <w:rStyle w:val="Hyperlink"/>
          </w:rPr>
          <w:t>ESMA Consultation Paper</w:t>
        </w:r>
      </w:hyperlink>
      <w:r w:rsidR="00DD1F7D" w:rsidRPr="00A31BDE">
        <w:t xml:space="preserve"> on the Technical standards on reporting, data quality, data access and registration of Trade Repositories under EMIR Refit advised that “</w:t>
      </w:r>
      <w:r w:rsidR="00AD2A5E">
        <w:t>a</w:t>
      </w:r>
      <w:r w:rsidR="00AD2A5E" w:rsidRPr="00A31BDE">
        <w:t xml:space="preserve">ny </w:t>
      </w:r>
      <w:r w:rsidR="00DD1F7D" w:rsidRPr="00A31BDE">
        <w:t xml:space="preserve">transfer of the derivatives between the TRs will need to be performed in accordance with the </w:t>
      </w:r>
      <w:hyperlink r:id="rId12" w:history="1">
        <w:r w:rsidR="00DD1F7D" w:rsidRPr="00A31BDE">
          <w:rPr>
            <w:rStyle w:val="Hyperlink"/>
          </w:rPr>
          <w:t>guidelines on portability</w:t>
        </w:r>
      </w:hyperlink>
      <w:r w:rsidR="00DD1F7D" w:rsidRPr="00A31BDE">
        <w:t>”.</w:t>
      </w:r>
      <w:r w:rsidR="00DD1F7D" w:rsidRPr="00A31BDE">
        <w:t xml:space="preserve"> </w:t>
      </w:r>
    </w:p>
    <w:p w14:paraId="2255E44C" w14:textId="4EB4D388" w:rsidR="000E4DBA" w:rsidRPr="00A31BDE" w:rsidRDefault="00DD1F7D" w:rsidP="00DD1F7D">
      <w:pPr>
        <w:pStyle w:val="NormalWeb"/>
        <w:spacing w:before="0" w:beforeAutospacing="0" w:after="0" w:afterAutospacing="0"/>
        <w:ind w:left="1080"/>
        <w:jc w:val="both"/>
      </w:pPr>
      <w:r w:rsidRPr="00A31BDE">
        <w:t xml:space="preserve">Although working group members considered the option of the </w:t>
      </w:r>
      <w:r w:rsidR="000E4DBA" w:rsidRPr="00A31BDE">
        <w:t>FC and NFC- bilaterally agree</w:t>
      </w:r>
      <w:r w:rsidRPr="00A31BDE">
        <w:t>ing</w:t>
      </w:r>
      <w:r w:rsidR="000E4DBA" w:rsidRPr="00A31BDE">
        <w:t xml:space="preserve"> to move the positions themselves, i.e. the NFC- exits the existing positions from the TR they use and the FC enters (or ‘</w:t>
      </w:r>
      <w:r w:rsidR="00650969" w:rsidRPr="00A31BDE">
        <w:t>re-</w:t>
      </w:r>
      <w:r w:rsidR="003343CC" w:rsidRPr="00A31BDE">
        <w:t>reports</w:t>
      </w:r>
      <w:r w:rsidR="003343CC" w:rsidRPr="00A31BDE">
        <w:t>’</w:t>
      </w:r>
      <w:r w:rsidR="000E4DBA" w:rsidRPr="00A31BDE">
        <w:t>) those positions into the TR they use</w:t>
      </w:r>
      <w:r w:rsidRPr="00A31BDE">
        <w:t>, as the abovementioned consultation paper identifies, this method would result in the counterparties being out of compliance</w:t>
      </w:r>
      <w:r w:rsidR="000E4DBA" w:rsidRPr="00A31BDE">
        <w:t>.</w:t>
      </w:r>
    </w:p>
    <w:p w14:paraId="251AF9BE" w14:textId="4126B498" w:rsidR="000E4DBA" w:rsidRDefault="000E4DBA" w:rsidP="00EC6879">
      <w:pPr>
        <w:pStyle w:val="NormalWeb"/>
        <w:spacing w:before="0" w:beforeAutospacing="0" w:after="0" w:afterAutospacing="0"/>
        <w:jc w:val="both"/>
      </w:pPr>
    </w:p>
    <w:p w14:paraId="04EB1133" w14:textId="40C5608E" w:rsidR="000E4DBA" w:rsidRDefault="006846BB" w:rsidP="00A31BDE">
      <w:pPr>
        <w:pStyle w:val="NormalWeb"/>
        <w:spacing w:before="0" w:beforeAutospacing="0" w:after="0" w:afterAutospacing="0"/>
        <w:ind w:left="1080"/>
        <w:jc w:val="both"/>
      </w:pPr>
      <w:r>
        <w:t xml:space="preserve">Prior to </w:t>
      </w:r>
      <w:r>
        <w:t>porting trade</w:t>
      </w:r>
      <w:r>
        <w:t>s</w:t>
      </w:r>
      <w:r>
        <w:t xml:space="preserve"> between TRs</w:t>
      </w:r>
      <w:r>
        <w:t xml:space="preserve">, the UTIs reported by the NFC- and FC for </w:t>
      </w:r>
      <w:r w:rsidR="003343CC">
        <w:t xml:space="preserve">each </w:t>
      </w:r>
      <w:r>
        <w:t>trade must match. If there is a mismatch</w:t>
      </w:r>
      <w:r w:rsidR="003343CC">
        <w:t xml:space="preserve"> on the UTI</w:t>
      </w:r>
      <w:r>
        <w:t xml:space="preserve"> it will not be possible for the FC to successfully report post-trade events </w:t>
      </w:r>
      <w:r w:rsidR="003343CC">
        <w:t xml:space="preserve">as </w:t>
      </w:r>
      <w:r>
        <w:t xml:space="preserve">the existing position </w:t>
      </w:r>
      <w:r w:rsidR="003343CC">
        <w:t xml:space="preserve">will have </w:t>
      </w:r>
      <w:r>
        <w:t xml:space="preserve">a UTI that differs from </w:t>
      </w:r>
      <w:r w:rsidR="003343CC">
        <w:t xml:space="preserve">that recognized by </w:t>
      </w:r>
      <w:r>
        <w:t xml:space="preserve">the FC. Therefore, where </w:t>
      </w:r>
      <w:r w:rsidR="001C6135">
        <w:t xml:space="preserve">the UTI of </w:t>
      </w:r>
      <w:r w:rsidR="00597148">
        <w:t>existing position</w:t>
      </w:r>
      <w:r w:rsidR="003A559E">
        <w:t>s</w:t>
      </w:r>
      <w:r w:rsidR="00597148">
        <w:t xml:space="preserve"> </w:t>
      </w:r>
      <w:r>
        <w:t>(as reported by the NFC- and FC counterparties) do not match</w:t>
      </w:r>
      <w:r w:rsidR="001C6135">
        <w:t>,</w:t>
      </w:r>
      <w:r w:rsidR="00650969">
        <w:t xml:space="preserve"> </w:t>
      </w:r>
      <w:r>
        <w:t xml:space="preserve">such </w:t>
      </w:r>
      <w:r w:rsidR="002E696D">
        <w:t>position</w:t>
      </w:r>
      <w:r>
        <w:t>s</w:t>
      </w:r>
      <w:r w:rsidR="002E696D">
        <w:t xml:space="preserve"> </w:t>
      </w:r>
      <w:r>
        <w:t>must be correct</w:t>
      </w:r>
      <w:r w:rsidR="003343CC">
        <w:t>ed before porting between TRs</w:t>
      </w:r>
      <w:r>
        <w:t xml:space="preserve">. </w:t>
      </w:r>
      <w:r w:rsidR="003343CC">
        <w:t xml:space="preserve">In order to correct a UTI, the counterparty that reported the </w:t>
      </w:r>
      <w:r w:rsidR="00091713">
        <w:t xml:space="preserve">incorrect UTI </w:t>
      </w:r>
      <w:r w:rsidR="003343CC">
        <w:t>will need to cancel</w:t>
      </w:r>
      <w:r w:rsidR="00091713">
        <w:t xml:space="preserve"> the </w:t>
      </w:r>
      <w:r>
        <w:t xml:space="preserve">trade </w:t>
      </w:r>
      <w:r w:rsidR="00091713">
        <w:t>via an Action Type of “Error”</w:t>
      </w:r>
      <w:r>
        <w:t>,</w:t>
      </w:r>
      <w:r w:rsidR="00091713">
        <w:t xml:space="preserve"> and </w:t>
      </w:r>
      <w:r>
        <w:t xml:space="preserve">then </w:t>
      </w:r>
      <w:r w:rsidR="003343CC">
        <w:t>re-report</w:t>
      </w:r>
      <w:r w:rsidR="00091713">
        <w:t xml:space="preserve"> with </w:t>
      </w:r>
      <w:r w:rsidR="003343CC">
        <w:t xml:space="preserve">an </w:t>
      </w:r>
      <w:r w:rsidR="00091713">
        <w:t xml:space="preserve">Action Type </w:t>
      </w:r>
      <w:r w:rsidR="003343CC">
        <w:t xml:space="preserve">of </w:t>
      </w:r>
      <w:r w:rsidR="00091713">
        <w:t xml:space="preserve">“New” using the correct UTI. Until the UTI is corrected, the trade should not </w:t>
      </w:r>
      <w:r w:rsidR="00AD2A5E">
        <w:t xml:space="preserve">be </w:t>
      </w:r>
      <w:r w:rsidR="00091713">
        <w:t xml:space="preserve">ported over because to do so would </w:t>
      </w:r>
      <w:r w:rsidR="00AD2A5E">
        <w:t xml:space="preserve">result in </w:t>
      </w:r>
      <w:r w:rsidR="00091713">
        <w:t xml:space="preserve">the FC </w:t>
      </w:r>
      <w:r w:rsidR="00AD2A5E">
        <w:t>being un</w:t>
      </w:r>
      <w:r w:rsidR="00091713">
        <w:t>able to successfully report post trade events</w:t>
      </w:r>
      <w:r>
        <w:t xml:space="preserve">. </w:t>
      </w:r>
    </w:p>
    <w:p w14:paraId="697725C7" w14:textId="77777777" w:rsidR="00997905" w:rsidRDefault="00997905" w:rsidP="00EC6879">
      <w:pPr>
        <w:pStyle w:val="NormalWeb"/>
        <w:spacing w:before="0" w:beforeAutospacing="0" w:after="0" w:afterAutospacing="0"/>
        <w:ind w:left="1440"/>
        <w:jc w:val="both"/>
      </w:pPr>
    </w:p>
    <w:p w14:paraId="08CDBE3F" w14:textId="72AB7835" w:rsidR="000E4DBA" w:rsidRDefault="000E4DBA" w:rsidP="00EC6879">
      <w:pPr>
        <w:pStyle w:val="NormalWeb"/>
        <w:spacing w:before="0" w:beforeAutospacing="0" w:after="0" w:afterAutospacing="0"/>
        <w:jc w:val="both"/>
      </w:pPr>
    </w:p>
    <w:p w14:paraId="71913134" w14:textId="060ED9C4" w:rsidR="00395610" w:rsidRDefault="00395610" w:rsidP="00EC6879">
      <w:pPr>
        <w:pStyle w:val="NormalWeb"/>
        <w:spacing w:before="0" w:beforeAutospacing="0" w:after="0" w:afterAutospacing="0"/>
        <w:jc w:val="both"/>
      </w:pPr>
      <w:r>
        <w:t xml:space="preserve">This is not necessarily an exhaustive list of data items that </w:t>
      </w:r>
      <w:r w:rsidR="007D1C74">
        <w:t xml:space="preserve">the FC may require from their NFC- client </w:t>
      </w:r>
      <w:r>
        <w:t>be required. Firms should consider all possibly information they may need.</w:t>
      </w:r>
    </w:p>
    <w:p w14:paraId="77E8FDCB" w14:textId="2A3C16D9" w:rsidR="00507FBE" w:rsidRDefault="00507FBE" w:rsidP="00395610">
      <w:pPr>
        <w:pStyle w:val="NormalWeb"/>
        <w:spacing w:before="0" w:beforeAutospacing="0" w:after="0" w:afterAutospacing="0"/>
      </w:pPr>
    </w:p>
    <w:p w14:paraId="5E4556D3" w14:textId="4E71FB25" w:rsidR="00507FBE" w:rsidRDefault="00507FBE" w:rsidP="00395610">
      <w:pPr>
        <w:pStyle w:val="NormalWeb"/>
        <w:spacing w:before="0" w:beforeAutospacing="0" w:after="0" w:afterAutospacing="0"/>
      </w:pPr>
    </w:p>
    <w:p w14:paraId="070BCBEC" w14:textId="77777777" w:rsidR="00507FBE" w:rsidRPr="00507FBE" w:rsidRDefault="00507FBE" w:rsidP="000E4DBA">
      <w:pPr>
        <w:pStyle w:val="ListParagraph"/>
        <w:keepNext/>
        <w:keepLines/>
        <w:numPr>
          <w:ilvl w:val="0"/>
          <w:numId w:val="13"/>
        </w:numPr>
        <w:shd w:val="clear" w:color="auto" w:fill="FFFFFF" w:themeFill="background1"/>
        <w:ind w:left="0" w:hanging="567"/>
        <w:jc w:val="both"/>
        <w:rPr>
          <w:rFonts w:ascii="Times New Roman" w:hAnsi="Times New Roman" w:cs="Times New Roman"/>
          <w:b/>
          <w:sz w:val="28"/>
          <w:lang w:val="en-GB"/>
        </w:rPr>
      </w:pPr>
      <w:r w:rsidRPr="00507FBE">
        <w:rPr>
          <w:rFonts w:ascii="Times New Roman" w:hAnsi="Times New Roman" w:cs="Times New Roman"/>
          <w:b/>
          <w:sz w:val="28"/>
          <w:lang w:val="en-GB"/>
        </w:rPr>
        <w:lastRenderedPageBreak/>
        <w:t>LEI of the NFC-</w:t>
      </w:r>
    </w:p>
    <w:p w14:paraId="05BC8C7E" w14:textId="198610D7" w:rsidR="00507FBE" w:rsidRDefault="00507FBE" w:rsidP="000E4DBA">
      <w:pPr>
        <w:pStyle w:val="NormalWeb"/>
        <w:keepNext/>
        <w:keepLines/>
        <w:spacing w:before="0" w:beforeAutospacing="0" w:after="0" w:afterAutospacing="0"/>
      </w:pPr>
    </w:p>
    <w:p w14:paraId="7A145CEA" w14:textId="1B5E5321" w:rsidR="0091331D" w:rsidRDefault="00914158" w:rsidP="00EC6879">
      <w:pPr>
        <w:pStyle w:val="NormalWeb"/>
        <w:keepNext/>
        <w:keepLines/>
        <w:spacing w:before="0" w:beforeAutospacing="0" w:after="0" w:afterAutospacing="0"/>
        <w:jc w:val="both"/>
      </w:pPr>
      <w:r>
        <w:t xml:space="preserve">Each entity is responsible for setting up and maintaining their own LEI. </w:t>
      </w:r>
      <w:r w:rsidR="00A76729">
        <w:t>A</w:t>
      </w:r>
      <w:r>
        <w:t xml:space="preserve">n FC cannot successfully report </w:t>
      </w:r>
      <w:r w:rsidR="0091331D">
        <w:t xml:space="preserve">a </w:t>
      </w:r>
      <w:r>
        <w:t>trade on behalf of the</w:t>
      </w:r>
      <w:r w:rsidR="0091331D">
        <w:t>ir</w:t>
      </w:r>
      <w:r>
        <w:t xml:space="preserve"> NFC- client</w:t>
      </w:r>
      <w:r w:rsidR="0091331D">
        <w:t xml:space="preserve"> without a valid LEI</w:t>
      </w:r>
      <w:r w:rsidR="00A76729">
        <w:t>. Therefore,</w:t>
      </w:r>
      <w:r>
        <w:t xml:space="preserve"> </w:t>
      </w:r>
      <w:r w:rsidR="0091331D">
        <w:t xml:space="preserve">the NFC- </w:t>
      </w:r>
      <w:r w:rsidR="006F1A21">
        <w:t>is responsible for renew</w:t>
      </w:r>
      <w:r w:rsidR="003343CC">
        <w:t>ing</w:t>
      </w:r>
      <w:r w:rsidR="006F1A21">
        <w:t xml:space="preserve"> and maintain</w:t>
      </w:r>
      <w:r w:rsidR="003343CC">
        <w:t>ing</w:t>
      </w:r>
      <w:r w:rsidR="006F1A21">
        <w:t xml:space="preserve"> its LEI, as while an FC is still liable to report on behalf of the NFC- client, the FC is </w:t>
      </w:r>
      <w:bookmarkStart w:id="0" w:name="_GoBack"/>
      <w:bookmarkEnd w:id="0"/>
      <w:r w:rsidR="006F1A21">
        <w:t>unable to successfully report if the NFC- does not have a valid LEI.</w:t>
      </w:r>
    </w:p>
    <w:p w14:paraId="5BF39D4D" w14:textId="613EC503" w:rsidR="0091331D" w:rsidRDefault="0091331D" w:rsidP="00EC6879">
      <w:pPr>
        <w:pStyle w:val="NormalWeb"/>
        <w:keepNext/>
        <w:keepLines/>
        <w:spacing w:before="0" w:beforeAutospacing="0" w:after="0" w:afterAutospacing="0"/>
        <w:jc w:val="both"/>
      </w:pPr>
      <w:r>
        <w:t>Essentially,</w:t>
      </w:r>
      <w:r w:rsidR="00914158">
        <w:t xml:space="preserve"> a </w:t>
      </w:r>
      <w:r w:rsidR="00914158" w:rsidRPr="0091331D">
        <w:t>valid</w:t>
      </w:r>
      <w:r w:rsidR="00914158">
        <w:t xml:space="preserve"> LEI </w:t>
      </w:r>
      <w:r>
        <w:t xml:space="preserve">could be considered </w:t>
      </w:r>
      <w:r w:rsidR="00A76729">
        <w:t xml:space="preserve">as </w:t>
      </w:r>
      <w:r w:rsidR="00914158">
        <w:t>one of the data items an NFC- client must provide an FC.</w:t>
      </w:r>
    </w:p>
    <w:p w14:paraId="7E1E9BF5" w14:textId="74C90E54" w:rsidR="00DF497F" w:rsidRDefault="00DF497F" w:rsidP="00DF497F">
      <w:pPr>
        <w:pStyle w:val="NormalWeb"/>
        <w:spacing w:before="0" w:beforeAutospacing="0" w:after="0" w:afterAutospacing="0"/>
      </w:pPr>
    </w:p>
    <w:p w14:paraId="6037A659" w14:textId="45131F61" w:rsidR="0059173A" w:rsidRPr="0059173A" w:rsidRDefault="0059173A" w:rsidP="00402BE3">
      <w:pPr>
        <w:pStyle w:val="ListParagraph"/>
        <w:keepNext/>
        <w:keepLines/>
        <w:numPr>
          <w:ilvl w:val="0"/>
          <w:numId w:val="13"/>
        </w:numPr>
        <w:shd w:val="clear" w:color="auto" w:fill="FFFFFF" w:themeFill="background1"/>
        <w:ind w:left="0" w:hanging="567"/>
        <w:jc w:val="both"/>
        <w:rPr>
          <w:rFonts w:ascii="Times New Roman" w:hAnsi="Times New Roman" w:cs="Times New Roman"/>
          <w:b/>
          <w:sz w:val="28"/>
          <w:lang w:val="en-GB"/>
        </w:rPr>
      </w:pPr>
      <w:r w:rsidRPr="0059173A">
        <w:rPr>
          <w:rFonts w:ascii="Times New Roman" w:hAnsi="Times New Roman" w:cs="Times New Roman"/>
          <w:b/>
          <w:sz w:val="28"/>
          <w:lang w:val="en-GB"/>
        </w:rPr>
        <w:t>Scope of impacted positions</w:t>
      </w:r>
    </w:p>
    <w:p w14:paraId="0BEF7625" w14:textId="17507A7B" w:rsidR="0059173A" w:rsidRDefault="0059173A" w:rsidP="00402BE3">
      <w:pPr>
        <w:pStyle w:val="NormalWeb"/>
        <w:keepNext/>
        <w:keepLines/>
        <w:spacing w:before="0" w:beforeAutospacing="0" w:after="0" w:afterAutospacing="0"/>
      </w:pPr>
    </w:p>
    <w:p w14:paraId="57DD54C9" w14:textId="10DA7DE9" w:rsidR="0059173A" w:rsidRDefault="0059173A" w:rsidP="00402BE3">
      <w:pPr>
        <w:pStyle w:val="NormalWeb"/>
        <w:keepNext/>
        <w:keepLines/>
        <w:spacing w:before="0" w:beforeAutospacing="0" w:after="0" w:afterAutospacing="0"/>
        <w:jc w:val="both"/>
      </w:pPr>
      <w:r>
        <w:t xml:space="preserve">The legal position of the </w:t>
      </w:r>
      <w:r w:rsidR="006313D6">
        <w:t xml:space="preserve">EMIR Refit </w:t>
      </w:r>
      <w:r>
        <w:t xml:space="preserve">legislation </w:t>
      </w:r>
      <w:r w:rsidR="000E4282">
        <w:t xml:space="preserve">for FCs reporting on behalf of NFC- clients </w:t>
      </w:r>
      <w:r>
        <w:t xml:space="preserve">is not clear-cut as to whether it </w:t>
      </w:r>
      <w:r w:rsidRPr="0059173A">
        <w:t xml:space="preserve">only applies to transactions executed </w:t>
      </w:r>
      <w:r w:rsidRPr="008E2655">
        <w:rPr>
          <w:u w:val="single"/>
        </w:rPr>
        <w:t>on or after 18 June 2020</w:t>
      </w:r>
      <w:r>
        <w:t xml:space="preserve">, or whether lifecycle events of trades </w:t>
      </w:r>
      <w:r w:rsidRPr="008E2655">
        <w:rPr>
          <w:u w:val="single"/>
        </w:rPr>
        <w:t>executed prior to 18 June 2020</w:t>
      </w:r>
      <w:r w:rsidR="00265103" w:rsidRPr="008E2655">
        <w:rPr>
          <w:u w:val="single"/>
        </w:rPr>
        <w:t>,</w:t>
      </w:r>
      <w:r w:rsidRPr="008E2655">
        <w:rPr>
          <w:u w:val="single"/>
        </w:rPr>
        <w:t xml:space="preserve"> and </w:t>
      </w:r>
      <w:r w:rsidR="00C14901">
        <w:rPr>
          <w:u w:val="single"/>
        </w:rPr>
        <w:t xml:space="preserve">which </w:t>
      </w:r>
      <w:r w:rsidR="00265103" w:rsidRPr="008E2655">
        <w:rPr>
          <w:u w:val="single"/>
        </w:rPr>
        <w:t xml:space="preserve">are </w:t>
      </w:r>
      <w:r w:rsidRPr="008E2655">
        <w:rPr>
          <w:u w:val="single"/>
        </w:rPr>
        <w:t>still live</w:t>
      </w:r>
      <w:r w:rsidRPr="0059173A">
        <w:t xml:space="preserve"> as of </w:t>
      </w:r>
      <w:r>
        <w:t>18 June 2020, are also in scope.</w:t>
      </w:r>
    </w:p>
    <w:p w14:paraId="291D204C" w14:textId="77777777" w:rsidR="00C95C22" w:rsidRDefault="00C95C22" w:rsidP="00402BE3">
      <w:pPr>
        <w:pStyle w:val="NormalWeb"/>
        <w:keepNext/>
        <w:keepLines/>
        <w:spacing w:before="0" w:beforeAutospacing="0" w:after="0" w:afterAutospacing="0"/>
        <w:jc w:val="both"/>
      </w:pPr>
    </w:p>
    <w:p w14:paraId="610A7613" w14:textId="27F0B317" w:rsidR="0059173A" w:rsidRDefault="0059173A" w:rsidP="00EC6879">
      <w:pPr>
        <w:pStyle w:val="NormalWeb"/>
        <w:spacing w:before="0" w:beforeAutospacing="0" w:after="0" w:afterAutospacing="0"/>
        <w:jc w:val="both"/>
      </w:pPr>
      <w:r>
        <w:t xml:space="preserve">As the intention is </w:t>
      </w:r>
      <w:r w:rsidR="00265103">
        <w:t xml:space="preserve">to </w:t>
      </w:r>
      <w:r>
        <w:t xml:space="preserve">‘reduce the burden of reporting OTC derivative contracts for non-financial counterparties’ (as per the OJ), the ISDA </w:t>
      </w:r>
      <w:r w:rsidR="00C14901">
        <w:t xml:space="preserve">Data and Reporting EMEA Working Group </w:t>
      </w:r>
      <w:r>
        <w:t xml:space="preserve">came to the view that all reporting </w:t>
      </w:r>
      <w:r w:rsidR="00265103">
        <w:t xml:space="preserve">(both </w:t>
      </w:r>
      <w:r w:rsidR="00EB3207">
        <w:t xml:space="preserve">for </w:t>
      </w:r>
      <w:r w:rsidR="00265103">
        <w:t xml:space="preserve">new and lifecycle events) are </w:t>
      </w:r>
      <w:r>
        <w:t>to be carried out by the FC</w:t>
      </w:r>
      <w:r w:rsidR="00EB3207">
        <w:t xml:space="preserve"> post 18 June 2020</w:t>
      </w:r>
      <w:r>
        <w:t xml:space="preserve">. That is to say, </w:t>
      </w:r>
      <w:r w:rsidRPr="00B5434B">
        <w:t xml:space="preserve">new contracts executed </w:t>
      </w:r>
      <w:r w:rsidR="006313D6">
        <w:t xml:space="preserve">with an NFC- client </w:t>
      </w:r>
      <w:r w:rsidRPr="008870C1">
        <w:rPr>
          <w:i/>
        </w:rPr>
        <w:t>on or after</w:t>
      </w:r>
      <w:r w:rsidRPr="00B5434B">
        <w:t xml:space="preserve"> 18 June 2020 </w:t>
      </w:r>
      <w:r w:rsidRPr="009361C1">
        <w:rPr>
          <w:u w:val="single"/>
        </w:rPr>
        <w:t>and</w:t>
      </w:r>
      <w:r w:rsidRPr="00B5434B">
        <w:t xml:space="preserve"> lifecycle events of contracts executed</w:t>
      </w:r>
      <w:r w:rsidR="00C14901">
        <w:t xml:space="preserve"> with an NFC- client</w:t>
      </w:r>
      <w:r w:rsidRPr="00B5434B">
        <w:t xml:space="preserve"> </w:t>
      </w:r>
      <w:r w:rsidRPr="008870C1">
        <w:rPr>
          <w:i/>
        </w:rPr>
        <w:t>prior</w:t>
      </w:r>
      <w:r w:rsidRPr="00B5434B">
        <w:t xml:space="preserve"> to 18 June 2020 are in scope for </w:t>
      </w:r>
      <w:r w:rsidR="006313D6">
        <w:t xml:space="preserve">an FCs </w:t>
      </w:r>
      <w:r w:rsidRPr="00B5434B">
        <w:t>reporting</w:t>
      </w:r>
      <w:r w:rsidR="006313D6">
        <w:t xml:space="preserve"> requirements</w:t>
      </w:r>
      <w:r w:rsidRPr="00B5434B">
        <w:t>.</w:t>
      </w:r>
    </w:p>
    <w:p w14:paraId="77D0DA53" w14:textId="58165719" w:rsidR="00EB3207" w:rsidRDefault="00EB3207" w:rsidP="00EC6879">
      <w:pPr>
        <w:pStyle w:val="NormalWeb"/>
        <w:spacing w:before="0" w:beforeAutospacing="0" w:after="0" w:afterAutospacing="0"/>
        <w:jc w:val="both"/>
      </w:pPr>
    </w:p>
    <w:p w14:paraId="4DD95017" w14:textId="77777777" w:rsidR="00EB3207" w:rsidRDefault="00EB3207" w:rsidP="00EC6879">
      <w:pPr>
        <w:pStyle w:val="NormalWeb"/>
        <w:spacing w:before="0" w:beforeAutospacing="0" w:after="0" w:afterAutospacing="0"/>
        <w:jc w:val="both"/>
      </w:pPr>
      <w:r>
        <w:t xml:space="preserve">For example: </w:t>
      </w:r>
    </w:p>
    <w:p w14:paraId="0F3CE832" w14:textId="59D8BBE4" w:rsidR="00EB3207" w:rsidRDefault="00EB3207" w:rsidP="00EC6879">
      <w:pPr>
        <w:pStyle w:val="NormalWeb"/>
        <w:spacing w:before="0" w:beforeAutospacing="0" w:after="0" w:afterAutospacing="0"/>
        <w:ind w:firstLine="720"/>
        <w:jc w:val="both"/>
      </w:pPr>
      <w:r>
        <w:t>A trade is executed on 1 May 2020 between an FC and NFC-. The NFC- report</w:t>
      </w:r>
      <w:r w:rsidR="00702085">
        <w:t>s this trade</w:t>
      </w:r>
      <w:r>
        <w:t xml:space="preserve"> to their TR accordingly. </w:t>
      </w:r>
    </w:p>
    <w:p w14:paraId="6C182F20" w14:textId="6ADC6006" w:rsidR="00EB3207" w:rsidRDefault="00EB3207" w:rsidP="00EC6879">
      <w:pPr>
        <w:pStyle w:val="NormalWeb"/>
        <w:spacing w:before="0" w:beforeAutospacing="0" w:after="0" w:afterAutospacing="0"/>
        <w:ind w:firstLine="720"/>
        <w:jc w:val="both"/>
      </w:pPr>
      <w:r>
        <w:t xml:space="preserve">On 1 July 2020, i.e. after the implementation of </w:t>
      </w:r>
      <w:r w:rsidR="006313D6">
        <w:t xml:space="preserve">the EMIR Refit FC </w:t>
      </w:r>
      <w:r>
        <w:t>reporting</w:t>
      </w:r>
      <w:r w:rsidR="006313D6">
        <w:t xml:space="preserve"> requirement</w:t>
      </w:r>
      <w:r>
        <w:t xml:space="preserve">, a reportable post-trade event occurs, (e.g. </w:t>
      </w:r>
      <w:r w:rsidR="00702085">
        <w:t xml:space="preserve">a </w:t>
      </w:r>
      <w:r>
        <w:t xml:space="preserve">partial termination). Although the trade was originally reported by </w:t>
      </w:r>
      <w:r w:rsidR="008E2655">
        <w:t xml:space="preserve">the NFC-, the responsibility to report this post-trade event would now </w:t>
      </w:r>
      <w:r>
        <w:t xml:space="preserve">be </w:t>
      </w:r>
      <w:r w:rsidR="008E2655">
        <w:t xml:space="preserve">with </w:t>
      </w:r>
      <w:r>
        <w:t>the FC</w:t>
      </w:r>
      <w:r w:rsidR="00D5574D">
        <w:t>, (unless the NFC- client has opted out of this EMIR Refit legislation. See section 6 below)</w:t>
      </w:r>
      <w:r>
        <w:t>.</w:t>
      </w:r>
    </w:p>
    <w:p w14:paraId="6FDAF116" w14:textId="0532F8BA" w:rsidR="002916FB" w:rsidRDefault="002916FB" w:rsidP="00EC6879">
      <w:pPr>
        <w:pStyle w:val="NormalWeb"/>
        <w:spacing w:before="0" w:beforeAutospacing="0" w:after="0" w:afterAutospacing="0"/>
        <w:jc w:val="both"/>
      </w:pPr>
    </w:p>
    <w:p w14:paraId="0F7CA967" w14:textId="6DBE53FC" w:rsidR="002916FB" w:rsidRDefault="001743D0" w:rsidP="00EC6879">
      <w:pPr>
        <w:pStyle w:val="NormalWeb"/>
        <w:spacing w:before="0" w:beforeAutospacing="0" w:after="0" w:afterAutospacing="0"/>
        <w:jc w:val="both"/>
      </w:pPr>
      <w:r>
        <w:t>T</w:t>
      </w:r>
      <w:r w:rsidR="002916FB">
        <w:t xml:space="preserve">he FC and NFC- parties to a contract should communicate and confirm </w:t>
      </w:r>
      <w:r>
        <w:t xml:space="preserve">between themselves whether lifecycle events will be reported by the FC and </w:t>
      </w:r>
      <w:r w:rsidR="002916FB">
        <w:t xml:space="preserve">what actions (if any) </w:t>
      </w:r>
      <w:r>
        <w:t>the NFC-</w:t>
      </w:r>
      <w:r w:rsidR="00E4568D">
        <w:t xml:space="preserve"> </w:t>
      </w:r>
      <w:r w:rsidR="002916FB">
        <w:t>may need to take prior to 18 June 2020 in order for the FC to successfully report lifecycle events of live positions</w:t>
      </w:r>
      <w:r>
        <w:t>. F</w:t>
      </w:r>
      <w:r w:rsidR="002916FB">
        <w:t>or example, remediate any outstanding breaks on live contract</w:t>
      </w:r>
      <w:r w:rsidR="00E4568D">
        <w:t>s</w:t>
      </w:r>
      <w:r w:rsidR="00BE51FD">
        <w:t xml:space="preserve">, or potentially </w:t>
      </w:r>
      <w:r w:rsidR="003374B4">
        <w:t xml:space="preserve">for the FC </w:t>
      </w:r>
      <w:r>
        <w:t xml:space="preserve">to </w:t>
      </w:r>
      <w:r w:rsidR="00BE51FD">
        <w:t xml:space="preserve">commence reporting </w:t>
      </w:r>
      <w:r w:rsidR="003374B4">
        <w:t xml:space="preserve">on behalf of </w:t>
      </w:r>
      <w:r w:rsidR="002665B4">
        <w:t xml:space="preserve">itself </w:t>
      </w:r>
      <w:r w:rsidR="003374B4">
        <w:t xml:space="preserve">and </w:t>
      </w:r>
      <w:r w:rsidR="002665B4">
        <w:t xml:space="preserve">its </w:t>
      </w:r>
      <w:r w:rsidR="003374B4">
        <w:t xml:space="preserve">NFC- clients </w:t>
      </w:r>
      <w:r w:rsidR="00BE51FD">
        <w:t>before 18 June 2020</w:t>
      </w:r>
      <w:r w:rsidR="002916FB">
        <w:t>.</w:t>
      </w:r>
    </w:p>
    <w:p w14:paraId="219C8B0B" w14:textId="36FD10A1" w:rsidR="00674D5C" w:rsidRDefault="00674D5C" w:rsidP="00EC6879">
      <w:pPr>
        <w:pStyle w:val="NormalWeb"/>
        <w:spacing w:before="0" w:beforeAutospacing="0" w:after="0" w:afterAutospacing="0"/>
        <w:jc w:val="both"/>
      </w:pPr>
    </w:p>
    <w:p w14:paraId="2573C529" w14:textId="7DA57681" w:rsidR="00674D5C" w:rsidRDefault="00674D5C" w:rsidP="00EC6879">
      <w:pPr>
        <w:pStyle w:val="NormalWeb"/>
        <w:spacing w:before="0" w:beforeAutospacing="0" w:after="0" w:afterAutospacing="0"/>
        <w:jc w:val="both"/>
      </w:pPr>
      <w:r>
        <w:t xml:space="preserve">For the avoidance of doubt, the working group agreed that where an NFC entity is an NFC+ in at least one asset class, they are considered to be an NFC+ </w:t>
      </w:r>
      <w:r w:rsidR="00D14C32">
        <w:t xml:space="preserve">for the </w:t>
      </w:r>
      <w:r>
        <w:t>purposes</w:t>
      </w:r>
      <w:r w:rsidR="00D14C32">
        <w:t xml:space="preserve"> of determining whether </w:t>
      </w:r>
      <w:r w:rsidR="00E4568D">
        <w:t>FC</w:t>
      </w:r>
      <w:r w:rsidR="004945BB">
        <w:t>s</w:t>
      </w:r>
      <w:r w:rsidR="00E4568D">
        <w:t xml:space="preserve"> </w:t>
      </w:r>
      <w:r w:rsidR="004945BB">
        <w:t xml:space="preserve">are </w:t>
      </w:r>
      <w:r w:rsidR="00E4568D">
        <w:t>required to report on behalf of themselves and the NFC- client.</w:t>
      </w:r>
      <w:r>
        <w:t xml:space="preserve"> Therefore, the </w:t>
      </w:r>
      <w:r w:rsidR="00703612">
        <w:t xml:space="preserve">EMIR Refit </w:t>
      </w:r>
      <w:r>
        <w:t xml:space="preserve">reporting obligation would </w:t>
      </w:r>
      <w:r w:rsidRPr="00703612">
        <w:rPr>
          <w:u w:val="single"/>
        </w:rPr>
        <w:t>not</w:t>
      </w:r>
      <w:r>
        <w:t xml:space="preserve"> </w:t>
      </w:r>
      <w:r w:rsidR="003607CD">
        <w:t xml:space="preserve">apply to </w:t>
      </w:r>
      <w:r w:rsidR="00D14C32">
        <w:t xml:space="preserve">any trades </w:t>
      </w:r>
      <w:r>
        <w:t xml:space="preserve">where </w:t>
      </w:r>
      <w:r w:rsidR="00703612">
        <w:t>the FC</w:t>
      </w:r>
      <w:r w:rsidR="0089546A">
        <w:t>’</w:t>
      </w:r>
      <w:r w:rsidR="00703612">
        <w:t xml:space="preserve">s </w:t>
      </w:r>
      <w:r>
        <w:t>client is an NFC+ in at least one asset class</w:t>
      </w:r>
      <w:r w:rsidRPr="00540BC2">
        <w:t>.</w:t>
      </w:r>
    </w:p>
    <w:p w14:paraId="057772D1" w14:textId="07FB333B" w:rsidR="0059173A" w:rsidRDefault="0059173A" w:rsidP="00DF497F">
      <w:pPr>
        <w:pStyle w:val="NormalWeb"/>
        <w:spacing w:before="0" w:beforeAutospacing="0" w:after="0" w:afterAutospacing="0"/>
      </w:pPr>
    </w:p>
    <w:p w14:paraId="4AE921B8" w14:textId="301B696F" w:rsidR="0059173A" w:rsidRDefault="0059173A" w:rsidP="00DF497F">
      <w:pPr>
        <w:pStyle w:val="NormalWeb"/>
        <w:spacing w:before="0" w:beforeAutospacing="0" w:after="0" w:afterAutospacing="0"/>
      </w:pPr>
    </w:p>
    <w:p w14:paraId="26A89B5C" w14:textId="2CAA34E1" w:rsidR="002916FB" w:rsidRPr="000020C4" w:rsidRDefault="000020C4" w:rsidP="00C95C22">
      <w:pPr>
        <w:pStyle w:val="ListParagraph"/>
        <w:keepNext/>
        <w:keepLines/>
        <w:numPr>
          <w:ilvl w:val="0"/>
          <w:numId w:val="13"/>
        </w:numPr>
        <w:shd w:val="clear" w:color="auto" w:fill="FFFFFF" w:themeFill="background1"/>
        <w:ind w:left="0" w:hanging="567"/>
        <w:jc w:val="both"/>
        <w:rPr>
          <w:rFonts w:ascii="Times New Roman" w:hAnsi="Times New Roman" w:cs="Times New Roman"/>
          <w:b/>
          <w:sz w:val="28"/>
          <w:lang w:val="en-GB"/>
        </w:rPr>
      </w:pPr>
      <w:r w:rsidRPr="000020C4">
        <w:rPr>
          <w:rFonts w:ascii="Times New Roman" w:hAnsi="Times New Roman" w:cs="Times New Roman"/>
          <w:b/>
          <w:sz w:val="28"/>
          <w:lang w:val="en-GB"/>
        </w:rPr>
        <w:lastRenderedPageBreak/>
        <w:t xml:space="preserve">NFC classification change and </w:t>
      </w:r>
      <w:r>
        <w:rPr>
          <w:rFonts w:ascii="Times New Roman" w:hAnsi="Times New Roman" w:cs="Times New Roman"/>
          <w:b/>
          <w:sz w:val="28"/>
          <w:lang w:val="en-GB"/>
        </w:rPr>
        <w:t xml:space="preserve">assumption </w:t>
      </w:r>
      <w:r w:rsidRPr="000020C4">
        <w:rPr>
          <w:rFonts w:ascii="Times New Roman" w:hAnsi="Times New Roman" w:cs="Times New Roman"/>
          <w:b/>
          <w:sz w:val="28"/>
          <w:lang w:val="en-GB"/>
        </w:rPr>
        <w:t xml:space="preserve">of reporting liability </w:t>
      </w:r>
      <w:r>
        <w:rPr>
          <w:rFonts w:ascii="Times New Roman" w:hAnsi="Times New Roman" w:cs="Times New Roman"/>
          <w:b/>
          <w:sz w:val="28"/>
          <w:lang w:val="en-GB"/>
        </w:rPr>
        <w:t>by FC / NFC+</w:t>
      </w:r>
    </w:p>
    <w:p w14:paraId="07E1AB9D" w14:textId="7878901C" w:rsidR="000020C4" w:rsidRDefault="000020C4" w:rsidP="00C95C22">
      <w:pPr>
        <w:pStyle w:val="NormalWeb"/>
        <w:keepNext/>
        <w:keepLines/>
        <w:spacing w:before="0" w:beforeAutospacing="0" w:after="0" w:afterAutospacing="0"/>
      </w:pPr>
    </w:p>
    <w:p w14:paraId="6B1714D4" w14:textId="1A35D132" w:rsidR="000020C4" w:rsidRDefault="000020C4" w:rsidP="00C95C22">
      <w:pPr>
        <w:pStyle w:val="NormalWeb"/>
        <w:keepNext/>
        <w:keepLines/>
        <w:spacing w:before="0" w:beforeAutospacing="0" w:after="0" w:afterAutospacing="0"/>
        <w:jc w:val="both"/>
      </w:pPr>
      <w:r>
        <w:t xml:space="preserve">When </w:t>
      </w:r>
      <w:r w:rsidR="00370412">
        <w:t xml:space="preserve">the classification of </w:t>
      </w:r>
      <w:r>
        <w:t xml:space="preserve">an NFC </w:t>
      </w:r>
      <w:r w:rsidR="00370412">
        <w:t xml:space="preserve">client </w:t>
      </w:r>
      <w:r>
        <w:t xml:space="preserve">changes from being NFC+ to NFC-, it is understood the FC is </w:t>
      </w:r>
      <w:r w:rsidR="00370412">
        <w:t xml:space="preserve">immediately </w:t>
      </w:r>
      <w:r>
        <w:t xml:space="preserve">liable to report on behalf of the </w:t>
      </w:r>
      <w:r w:rsidR="00370412">
        <w:t>NFC- client</w:t>
      </w:r>
      <w:r w:rsidR="00674D5C">
        <w:t>, (for both new and lifecycle events</w:t>
      </w:r>
      <w:r w:rsidR="00E03151">
        <w:t>, as per item 3 above</w:t>
      </w:r>
      <w:r w:rsidR="00674D5C">
        <w:t>)</w:t>
      </w:r>
      <w:r w:rsidR="00370412">
        <w:t xml:space="preserve">. That is to say, </w:t>
      </w:r>
      <w:r w:rsidR="0007112E">
        <w:t xml:space="preserve">an FC is to report on behalf of </w:t>
      </w:r>
      <w:r w:rsidR="004945BB">
        <w:t xml:space="preserve">its </w:t>
      </w:r>
      <w:r w:rsidR="0007112E">
        <w:t xml:space="preserve">NFC- client </w:t>
      </w:r>
      <w:r w:rsidR="00370412">
        <w:t xml:space="preserve">as of the </w:t>
      </w:r>
      <w:r>
        <w:t xml:space="preserve">date </w:t>
      </w:r>
      <w:r w:rsidR="00370412">
        <w:t xml:space="preserve">when the NFC </w:t>
      </w:r>
      <w:r w:rsidR="006A54F4">
        <w:t>calculates their classification has changed from NFC+ to NFC-</w:t>
      </w:r>
      <w:r>
        <w:t xml:space="preserve">. </w:t>
      </w:r>
      <w:r w:rsidR="005A3B7F">
        <w:t xml:space="preserve">To facilitate the transfer or reporting </w:t>
      </w:r>
      <w:r w:rsidR="006A54F4">
        <w:t>liability</w:t>
      </w:r>
      <w:r w:rsidR="005A3B7F">
        <w:t xml:space="preserve"> from the NFC- to the FC</w:t>
      </w:r>
      <w:r>
        <w:t xml:space="preserve">, </w:t>
      </w:r>
      <w:r w:rsidR="005130D9">
        <w:t xml:space="preserve">the FC is reliant on being informed by </w:t>
      </w:r>
      <w:r w:rsidR="004945BB">
        <w:t xml:space="preserve">its </w:t>
      </w:r>
      <w:r w:rsidR="005130D9">
        <w:t xml:space="preserve">NFC- </w:t>
      </w:r>
      <w:r w:rsidR="004945BB">
        <w:t xml:space="preserve">client </w:t>
      </w:r>
      <w:r w:rsidR="005130D9">
        <w:t xml:space="preserve">of the </w:t>
      </w:r>
      <w:r>
        <w:t>classification change</w:t>
      </w:r>
      <w:r w:rsidR="00370412">
        <w:t xml:space="preserve">. </w:t>
      </w:r>
      <w:r w:rsidR="006A54F4">
        <w:t>EMIR Refit is unclear as to whether an FC is liable for any non-reporting of an NFC- client</w:t>
      </w:r>
      <w:r w:rsidR="004945BB">
        <w:t>’</w:t>
      </w:r>
      <w:r w:rsidR="006A54F4">
        <w:t xml:space="preserve">s OTC derivative contracts if the FC has not been made aware of </w:t>
      </w:r>
      <w:r w:rsidR="004945BB">
        <w:t xml:space="preserve">its </w:t>
      </w:r>
      <w:r w:rsidR="006A54F4">
        <w:t>client</w:t>
      </w:r>
      <w:r w:rsidR="004945BB">
        <w:t>’</w:t>
      </w:r>
      <w:r w:rsidR="006A54F4">
        <w:t xml:space="preserve">s classification change and so additional regulator clarification has been requested on this point. </w:t>
      </w:r>
    </w:p>
    <w:p w14:paraId="75B55396" w14:textId="77777777" w:rsidR="005130D9" w:rsidRDefault="005130D9" w:rsidP="00EC6879">
      <w:pPr>
        <w:pStyle w:val="NormalWeb"/>
        <w:spacing w:before="0" w:beforeAutospacing="0" w:after="0" w:afterAutospacing="0"/>
        <w:jc w:val="both"/>
      </w:pPr>
    </w:p>
    <w:p w14:paraId="0811369E" w14:textId="22AFDC0B" w:rsidR="00370412" w:rsidRDefault="00370412" w:rsidP="00EC6879">
      <w:pPr>
        <w:pStyle w:val="NormalWeb"/>
        <w:spacing w:before="0" w:beforeAutospacing="0" w:after="0" w:afterAutospacing="0"/>
        <w:jc w:val="both"/>
      </w:pPr>
      <w:r>
        <w:t xml:space="preserve">Similarly, if an NFC- entity </w:t>
      </w:r>
      <w:r w:rsidR="00E03151">
        <w:t>were</w:t>
      </w:r>
      <w:r>
        <w:t xml:space="preserve"> </w:t>
      </w:r>
      <w:r w:rsidR="00E03151">
        <w:t xml:space="preserve">to be </w:t>
      </w:r>
      <w:r>
        <w:t xml:space="preserve">reclassified as an NFC+, </w:t>
      </w:r>
      <w:r w:rsidR="004945BB">
        <w:t xml:space="preserve">it </w:t>
      </w:r>
      <w:r>
        <w:t xml:space="preserve">would be liable for </w:t>
      </w:r>
      <w:r w:rsidR="004945BB">
        <w:t xml:space="preserve">its </w:t>
      </w:r>
      <w:r>
        <w:t xml:space="preserve">own reporting as of the calculation date, and should inform the FC immediately to avoid duplicate reporting. </w:t>
      </w:r>
    </w:p>
    <w:p w14:paraId="7A74F50C" w14:textId="427E7925" w:rsidR="00370412" w:rsidRDefault="00370412" w:rsidP="00EC6879">
      <w:pPr>
        <w:pStyle w:val="NormalWeb"/>
        <w:spacing w:before="0" w:beforeAutospacing="0" w:after="0" w:afterAutospacing="0"/>
        <w:jc w:val="both"/>
      </w:pPr>
    </w:p>
    <w:p w14:paraId="37A55E9D" w14:textId="745D2BE6" w:rsidR="00B96161" w:rsidRDefault="000C16D6" w:rsidP="009B655E">
      <w:pPr>
        <w:pStyle w:val="NormalWeb"/>
        <w:keepNext/>
        <w:keepLines/>
        <w:spacing w:before="0" w:beforeAutospacing="0" w:after="0" w:afterAutospacing="0"/>
        <w:jc w:val="both"/>
      </w:pPr>
      <w:r>
        <w:t xml:space="preserve">In order to assist with the transition either from or to </w:t>
      </w:r>
      <w:r w:rsidR="00A667FC">
        <w:t xml:space="preserve">an FC reporting on behalf of </w:t>
      </w:r>
      <w:r w:rsidR="004945BB">
        <w:t xml:space="preserve">its </w:t>
      </w:r>
      <w:r w:rsidR="00A667FC">
        <w:t xml:space="preserve">NFC- client </w:t>
      </w:r>
      <w:r>
        <w:t xml:space="preserve">following a change </w:t>
      </w:r>
      <w:r w:rsidR="004945BB">
        <w:t xml:space="preserve">in </w:t>
      </w:r>
      <w:r w:rsidR="00B96161">
        <w:t>an NFC</w:t>
      </w:r>
      <w:r w:rsidR="00A667FC">
        <w:t>s</w:t>
      </w:r>
      <w:r w:rsidR="00B96161">
        <w:t xml:space="preserve"> classification, </w:t>
      </w:r>
      <w:r>
        <w:t xml:space="preserve">it may be beneficial for the NFC and/or FC to </w:t>
      </w:r>
      <w:r w:rsidR="00B96161">
        <w:t xml:space="preserve">consider </w:t>
      </w:r>
      <w:r>
        <w:t xml:space="preserve">and communicate </w:t>
      </w:r>
      <w:r w:rsidR="00B96161">
        <w:t>some of the below points</w:t>
      </w:r>
      <w:r>
        <w:t xml:space="preserve">. This is not an exhaustive list of items to agree upon, and FCs and NFCs should verify </w:t>
      </w:r>
      <w:r w:rsidR="00E71356">
        <w:t xml:space="preserve">the full scope of </w:t>
      </w:r>
      <w:r>
        <w:t xml:space="preserve">information required </w:t>
      </w:r>
      <w:r w:rsidR="004B3393">
        <w:t>when moving</w:t>
      </w:r>
      <w:r>
        <w:t xml:space="preserve"> </w:t>
      </w:r>
      <w:r w:rsidR="00E71356">
        <w:t>over to</w:t>
      </w:r>
      <w:r w:rsidR="004B3393">
        <w:t>,</w:t>
      </w:r>
      <w:r>
        <w:t xml:space="preserve"> or </w:t>
      </w:r>
      <w:r w:rsidR="00E71356">
        <w:t xml:space="preserve">away </w:t>
      </w:r>
      <w:r w:rsidR="000627B0">
        <w:t>from</w:t>
      </w:r>
      <w:r w:rsidR="004B3393">
        <w:t>,</w:t>
      </w:r>
      <w:r w:rsidR="000627B0">
        <w:t xml:space="preserve"> </w:t>
      </w:r>
      <w:r w:rsidR="00A667FC">
        <w:t xml:space="preserve">an FC reporting on behalf of </w:t>
      </w:r>
      <w:r w:rsidR="004945BB">
        <w:t xml:space="preserve">itself </w:t>
      </w:r>
      <w:r w:rsidR="00A667FC">
        <w:t xml:space="preserve">and </w:t>
      </w:r>
      <w:r w:rsidR="004945BB">
        <w:t xml:space="preserve">its </w:t>
      </w:r>
      <w:r w:rsidR="00A667FC">
        <w:t>NFC-</w:t>
      </w:r>
      <w:r w:rsidR="00E71356">
        <w:t xml:space="preserve"> client</w:t>
      </w:r>
      <w:r>
        <w:t>.</w:t>
      </w:r>
    </w:p>
    <w:p w14:paraId="55C439FC" w14:textId="77EA3BD1" w:rsidR="00B96161" w:rsidRDefault="000C16D6" w:rsidP="009B655E">
      <w:pPr>
        <w:pStyle w:val="NormalWeb"/>
        <w:keepNext/>
        <w:keepLines/>
        <w:numPr>
          <w:ilvl w:val="0"/>
          <w:numId w:val="35"/>
        </w:numPr>
        <w:spacing w:before="0" w:beforeAutospacing="0" w:after="0" w:afterAutospacing="0"/>
        <w:jc w:val="both"/>
      </w:pPr>
      <w:r>
        <w:t>The NFC should a</w:t>
      </w:r>
      <w:r w:rsidR="00B96161">
        <w:t xml:space="preserve">dvise </w:t>
      </w:r>
      <w:r w:rsidR="004945BB">
        <w:t xml:space="preserve">its </w:t>
      </w:r>
      <w:r w:rsidR="00B96161">
        <w:t xml:space="preserve">FC counterparties in advance (if possible) of </w:t>
      </w:r>
      <w:r>
        <w:t xml:space="preserve">an </w:t>
      </w:r>
      <w:r w:rsidR="00B96161">
        <w:t>upcoming classification change</w:t>
      </w:r>
      <w:r>
        <w:t>, whether that is from an NFC+ to an NFC-, or vice versa</w:t>
      </w:r>
      <w:r w:rsidR="00B96161">
        <w:t>.</w:t>
      </w:r>
    </w:p>
    <w:p w14:paraId="3D80A139" w14:textId="53330D39" w:rsidR="00B96161" w:rsidRDefault="000C16D6" w:rsidP="00EC6879">
      <w:pPr>
        <w:pStyle w:val="NormalWeb"/>
        <w:numPr>
          <w:ilvl w:val="0"/>
          <w:numId w:val="35"/>
        </w:numPr>
        <w:spacing w:before="0" w:beforeAutospacing="0" w:after="0" w:afterAutospacing="0"/>
        <w:jc w:val="both"/>
      </w:pPr>
      <w:r>
        <w:t>The NFC should advi</w:t>
      </w:r>
      <w:r w:rsidR="004B3393">
        <w:t>s</w:t>
      </w:r>
      <w:r>
        <w:t xml:space="preserve">e the </w:t>
      </w:r>
      <w:r w:rsidR="00B96161">
        <w:t xml:space="preserve">date </w:t>
      </w:r>
      <w:r>
        <w:t xml:space="preserve">on which </w:t>
      </w:r>
      <w:r w:rsidR="00B96161">
        <w:t xml:space="preserve">the classification change to </w:t>
      </w:r>
      <w:r>
        <w:t xml:space="preserve">an </w:t>
      </w:r>
      <w:r w:rsidR="00B96161">
        <w:t>NFC- / NFC+</w:t>
      </w:r>
      <w:r>
        <w:t xml:space="preserve"> will apply</w:t>
      </w:r>
      <w:r w:rsidR="00B96161">
        <w:t>.</w:t>
      </w:r>
    </w:p>
    <w:p w14:paraId="15C4FFD1" w14:textId="5A9EC8D2" w:rsidR="00B96161" w:rsidRDefault="000C16D6" w:rsidP="00EC6879">
      <w:pPr>
        <w:pStyle w:val="NormalWeb"/>
        <w:numPr>
          <w:ilvl w:val="0"/>
          <w:numId w:val="35"/>
        </w:numPr>
        <w:spacing w:before="0" w:beforeAutospacing="0" w:after="0" w:afterAutospacing="0"/>
        <w:jc w:val="both"/>
      </w:pPr>
      <w:r>
        <w:t xml:space="preserve">FC and NFC to agree on </w:t>
      </w:r>
      <w:r w:rsidR="00B96161">
        <w:t xml:space="preserve">whether </w:t>
      </w:r>
      <w:r>
        <w:t xml:space="preserve">voluntary </w:t>
      </w:r>
      <w:r w:rsidR="00B96161">
        <w:t xml:space="preserve">delegated reporting </w:t>
      </w:r>
      <w:r w:rsidR="004B3393">
        <w:t xml:space="preserve">is to be </w:t>
      </w:r>
      <w:r>
        <w:t>in place, (in the event the classification change is from NFC</w:t>
      </w:r>
      <w:r w:rsidR="007E60E9">
        <w:t xml:space="preserve">- </w:t>
      </w:r>
      <w:r>
        <w:t>to NFC</w:t>
      </w:r>
      <w:r w:rsidR="007E60E9">
        <w:t>+).</w:t>
      </w:r>
    </w:p>
    <w:p w14:paraId="53822870" w14:textId="5E811809" w:rsidR="00B96161" w:rsidRDefault="00B96161" w:rsidP="00EC6879">
      <w:pPr>
        <w:pStyle w:val="NormalWeb"/>
        <w:numPr>
          <w:ilvl w:val="0"/>
          <w:numId w:val="35"/>
        </w:numPr>
        <w:spacing w:before="0" w:beforeAutospacing="0" w:after="0" w:afterAutospacing="0"/>
        <w:jc w:val="both"/>
      </w:pPr>
      <w:r>
        <w:t>FC</w:t>
      </w:r>
      <w:r w:rsidR="000C16D6">
        <w:t xml:space="preserve"> and NFC to clarify w</w:t>
      </w:r>
      <w:r>
        <w:t xml:space="preserve">hich TR </w:t>
      </w:r>
      <w:r w:rsidR="000C16D6">
        <w:t xml:space="preserve">holds </w:t>
      </w:r>
      <w:r>
        <w:t xml:space="preserve">the </w:t>
      </w:r>
      <w:r w:rsidR="000C16D6">
        <w:t>NFCs existing live positions, and the UTIs of those positions.</w:t>
      </w:r>
    </w:p>
    <w:p w14:paraId="1983FAD9" w14:textId="77777777" w:rsidR="007D1322" w:rsidRDefault="007D1322" w:rsidP="007D1322">
      <w:pPr>
        <w:pStyle w:val="NormalWeb"/>
        <w:spacing w:before="0" w:beforeAutospacing="0" w:after="0" w:afterAutospacing="0"/>
        <w:ind w:left="840"/>
      </w:pPr>
    </w:p>
    <w:p w14:paraId="712E7D64" w14:textId="77777777" w:rsidR="002F28D4" w:rsidRDefault="002F28D4" w:rsidP="0084768D">
      <w:pPr>
        <w:pStyle w:val="ListParagraph"/>
        <w:keepNext/>
        <w:keepLines/>
        <w:numPr>
          <w:ilvl w:val="0"/>
          <w:numId w:val="13"/>
        </w:numPr>
        <w:shd w:val="clear" w:color="auto" w:fill="FFFFFF" w:themeFill="background1"/>
        <w:ind w:left="0" w:hanging="567"/>
        <w:jc w:val="both"/>
        <w:rPr>
          <w:rFonts w:ascii="Times New Roman" w:hAnsi="Times New Roman" w:cs="Times New Roman"/>
          <w:b/>
          <w:sz w:val="28"/>
          <w:lang w:val="en-GB"/>
        </w:rPr>
      </w:pPr>
      <w:r w:rsidRPr="00D57F05">
        <w:rPr>
          <w:rFonts w:ascii="Times New Roman" w:hAnsi="Times New Roman" w:cs="Times New Roman"/>
          <w:b/>
          <w:sz w:val="28"/>
          <w:lang w:val="en-GB"/>
        </w:rPr>
        <w:t>AIF / UCITS as an NFC-</w:t>
      </w:r>
    </w:p>
    <w:p w14:paraId="1F8D4D42" w14:textId="77777777" w:rsidR="002F28D4" w:rsidRDefault="002F28D4" w:rsidP="0084768D">
      <w:pPr>
        <w:spacing w:after="0"/>
      </w:pPr>
    </w:p>
    <w:p w14:paraId="0AD98E0F" w14:textId="351ECA84" w:rsidR="002F28D4" w:rsidRDefault="002F28D4" w:rsidP="00EC6879">
      <w:pPr>
        <w:spacing w:after="0"/>
        <w:jc w:val="both"/>
        <w:rPr>
          <w:rFonts w:ascii="Times New Roman" w:hAnsi="Times New Roman" w:cs="Times New Roman"/>
          <w:sz w:val="24"/>
          <w:szCs w:val="24"/>
        </w:rPr>
      </w:pPr>
      <w:r w:rsidRPr="008A3ECF">
        <w:rPr>
          <w:rFonts w:ascii="Times New Roman" w:hAnsi="Times New Roman" w:cs="Times New Roman"/>
          <w:sz w:val="24"/>
          <w:szCs w:val="24"/>
        </w:rPr>
        <w:t xml:space="preserve">AIFs and UCITS </w:t>
      </w:r>
      <w:r>
        <w:rPr>
          <w:rFonts w:ascii="Times New Roman" w:hAnsi="Times New Roman" w:cs="Times New Roman"/>
          <w:sz w:val="24"/>
          <w:szCs w:val="24"/>
        </w:rPr>
        <w:t xml:space="preserve">are generally </w:t>
      </w:r>
      <w:r w:rsidRPr="008A3ECF">
        <w:rPr>
          <w:rFonts w:ascii="Times New Roman" w:hAnsi="Times New Roman" w:cs="Times New Roman"/>
          <w:sz w:val="24"/>
          <w:szCs w:val="24"/>
        </w:rPr>
        <w:t>classified as a Financial Counterparty</w:t>
      </w:r>
      <w:r>
        <w:rPr>
          <w:rFonts w:ascii="Times New Roman" w:hAnsi="Times New Roman" w:cs="Times New Roman"/>
          <w:sz w:val="24"/>
          <w:szCs w:val="24"/>
        </w:rPr>
        <w:t xml:space="preserve">, however </w:t>
      </w:r>
      <w:r w:rsidRPr="008A3ECF">
        <w:rPr>
          <w:rFonts w:ascii="Times New Roman" w:hAnsi="Times New Roman" w:cs="Times New Roman"/>
          <w:sz w:val="24"/>
          <w:szCs w:val="24"/>
        </w:rPr>
        <w:t xml:space="preserve">paragraph 6 </w:t>
      </w:r>
      <w:r>
        <w:rPr>
          <w:rFonts w:ascii="Times New Roman" w:hAnsi="Times New Roman" w:cs="Times New Roman"/>
          <w:sz w:val="24"/>
          <w:szCs w:val="24"/>
        </w:rPr>
        <w:t xml:space="preserve">of EMIR </w:t>
      </w:r>
      <w:r w:rsidRPr="008A3ECF">
        <w:rPr>
          <w:rFonts w:ascii="Times New Roman" w:hAnsi="Times New Roman" w:cs="Times New Roman"/>
          <w:sz w:val="24"/>
          <w:szCs w:val="24"/>
        </w:rPr>
        <w:t xml:space="preserve">Refit </w:t>
      </w:r>
      <w:r w:rsidR="00956D68">
        <w:rPr>
          <w:rFonts w:ascii="Times New Roman" w:hAnsi="Times New Roman" w:cs="Times New Roman"/>
          <w:sz w:val="24"/>
          <w:szCs w:val="24"/>
        </w:rPr>
        <w:t xml:space="preserve">provides </w:t>
      </w:r>
      <w:r w:rsidRPr="008A3ECF">
        <w:rPr>
          <w:rFonts w:ascii="Times New Roman" w:hAnsi="Times New Roman" w:cs="Times New Roman"/>
          <w:sz w:val="24"/>
          <w:szCs w:val="24"/>
        </w:rPr>
        <w:t xml:space="preserve">a scenario where </w:t>
      </w:r>
      <w:r>
        <w:rPr>
          <w:rFonts w:ascii="Times New Roman" w:hAnsi="Times New Roman" w:cs="Times New Roman"/>
          <w:sz w:val="24"/>
          <w:szCs w:val="24"/>
        </w:rPr>
        <w:t>an AIF</w:t>
      </w:r>
      <w:r w:rsidR="00956D68">
        <w:rPr>
          <w:rFonts w:ascii="Times New Roman" w:hAnsi="Times New Roman" w:cs="Times New Roman"/>
          <w:sz w:val="24"/>
          <w:szCs w:val="24"/>
        </w:rPr>
        <w:t xml:space="preserve"> </w:t>
      </w:r>
      <w:r>
        <w:rPr>
          <w:rFonts w:ascii="Times New Roman" w:hAnsi="Times New Roman" w:cs="Times New Roman"/>
          <w:sz w:val="24"/>
          <w:szCs w:val="24"/>
        </w:rPr>
        <w:t>/</w:t>
      </w:r>
      <w:r w:rsidR="00956D68">
        <w:rPr>
          <w:rFonts w:ascii="Times New Roman" w:hAnsi="Times New Roman" w:cs="Times New Roman"/>
          <w:sz w:val="24"/>
          <w:szCs w:val="24"/>
        </w:rPr>
        <w:t xml:space="preserve"> </w:t>
      </w:r>
      <w:r>
        <w:rPr>
          <w:rFonts w:ascii="Times New Roman" w:hAnsi="Times New Roman" w:cs="Times New Roman"/>
          <w:sz w:val="24"/>
          <w:szCs w:val="24"/>
        </w:rPr>
        <w:t xml:space="preserve">UCITS </w:t>
      </w:r>
      <w:r w:rsidRPr="008A3ECF">
        <w:rPr>
          <w:rFonts w:ascii="Times New Roman" w:hAnsi="Times New Roman" w:cs="Times New Roman"/>
          <w:sz w:val="24"/>
          <w:szCs w:val="24"/>
        </w:rPr>
        <w:t>would not be an FC</w:t>
      </w:r>
      <w:r>
        <w:rPr>
          <w:rFonts w:ascii="Times New Roman" w:hAnsi="Times New Roman" w:cs="Times New Roman"/>
          <w:sz w:val="24"/>
          <w:szCs w:val="24"/>
        </w:rPr>
        <w:t xml:space="preserve"> and </w:t>
      </w:r>
      <w:r w:rsidR="004945BB">
        <w:rPr>
          <w:rFonts w:ascii="Times New Roman" w:hAnsi="Times New Roman" w:cs="Times New Roman"/>
          <w:sz w:val="24"/>
          <w:szCs w:val="24"/>
        </w:rPr>
        <w:t xml:space="preserve">where </w:t>
      </w:r>
      <w:r>
        <w:rPr>
          <w:rFonts w:ascii="Times New Roman" w:hAnsi="Times New Roman" w:cs="Times New Roman"/>
          <w:sz w:val="24"/>
          <w:szCs w:val="24"/>
        </w:rPr>
        <w:t xml:space="preserve">such entities could </w:t>
      </w:r>
      <w:r w:rsidR="004945BB">
        <w:rPr>
          <w:rFonts w:ascii="Times New Roman" w:hAnsi="Times New Roman" w:cs="Times New Roman"/>
          <w:sz w:val="24"/>
          <w:szCs w:val="24"/>
        </w:rPr>
        <w:t xml:space="preserve">therefore </w:t>
      </w:r>
      <w:r>
        <w:rPr>
          <w:rFonts w:ascii="Times New Roman" w:hAnsi="Times New Roman" w:cs="Times New Roman"/>
          <w:sz w:val="24"/>
          <w:szCs w:val="24"/>
        </w:rPr>
        <w:t xml:space="preserve">potentially </w:t>
      </w:r>
      <w:r w:rsidRPr="008A3ECF">
        <w:rPr>
          <w:rFonts w:ascii="Times New Roman" w:hAnsi="Times New Roman" w:cs="Times New Roman"/>
          <w:sz w:val="24"/>
          <w:szCs w:val="24"/>
        </w:rPr>
        <w:t xml:space="preserve">be </w:t>
      </w:r>
      <w:r>
        <w:rPr>
          <w:rFonts w:ascii="Times New Roman" w:hAnsi="Times New Roman" w:cs="Times New Roman"/>
          <w:sz w:val="24"/>
          <w:szCs w:val="24"/>
        </w:rPr>
        <w:t xml:space="preserve">classified </w:t>
      </w:r>
      <w:r w:rsidR="004945BB">
        <w:rPr>
          <w:rFonts w:ascii="Times New Roman" w:hAnsi="Times New Roman" w:cs="Times New Roman"/>
          <w:sz w:val="24"/>
          <w:szCs w:val="24"/>
        </w:rPr>
        <w:t xml:space="preserve">as </w:t>
      </w:r>
      <w:r w:rsidRPr="008A3ECF">
        <w:rPr>
          <w:rFonts w:ascii="Times New Roman" w:hAnsi="Times New Roman" w:cs="Times New Roman"/>
          <w:sz w:val="24"/>
          <w:szCs w:val="24"/>
        </w:rPr>
        <w:t>an NFC</w:t>
      </w:r>
      <w:r>
        <w:rPr>
          <w:rFonts w:ascii="Times New Roman" w:hAnsi="Times New Roman" w:cs="Times New Roman"/>
          <w:sz w:val="24"/>
          <w:szCs w:val="24"/>
        </w:rPr>
        <w:t>+ or NFC-</w:t>
      </w:r>
      <w:r w:rsidRPr="008A3ECF">
        <w:rPr>
          <w:rFonts w:ascii="Times New Roman" w:hAnsi="Times New Roman" w:cs="Times New Roman"/>
          <w:sz w:val="24"/>
          <w:szCs w:val="24"/>
        </w:rPr>
        <w:t>.</w:t>
      </w:r>
    </w:p>
    <w:p w14:paraId="7FE15A7F" w14:textId="77777777" w:rsidR="00AF689D" w:rsidRPr="008A3ECF" w:rsidRDefault="00AF689D" w:rsidP="00EC6879">
      <w:pPr>
        <w:spacing w:after="0"/>
        <w:jc w:val="both"/>
        <w:rPr>
          <w:rFonts w:ascii="Times New Roman" w:hAnsi="Times New Roman" w:cs="Times New Roman"/>
          <w:sz w:val="24"/>
          <w:szCs w:val="24"/>
        </w:rPr>
      </w:pPr>
    </w:p>
    <w:p w14:paraId="572B87F3" w14:textId="1AADD0E1" w:rsidR="002F28D4" w:rsidRDefault="002F28D4" w:rsidP="00EC6879">
      <w:pPr>
        <w:spacing w:after="0"/>
        <w:jc w:val="both"/>
        <w:rPr>
          <w:rFonts w:ascii="Times New Roman" w:hAnsi="Times New Roman" w:cs="Times New Roman"/>
          <w:sz w:val="24"/>
          <w:szCs w:val="24"/>
        </w:rPr>
      </w:pPr>
      <w:r>
        <w:rPr>
          <w:rFonts w:ascii="Times New Roman" w:hAnsi="Times New Roman" w:cs="Times New Roman"/>
          <w:sz w:val="24"/>
          <w:szCs w:val="24"/>
        </w:rPr>
        <w:t xml:space="preserve">EMIR </w:t>
      </w:r>
      <w:r w:rsidRPr="008A3ECF">
        <w:rPr>
          <w:rFonts w:ascii="Times New Roman" w:hAnsi="Times New Roman" w:cs="Times New Roman"/>
          <w:sz w:val="24"/>
          <w:szCs w:val="24"/>
        </w:rPr>
        <w:t xml:space="preserve">Refit also inserts a new paragraph into Article 9 (1.b), (paragraph 19 of </w:t>
      </w:r>
      <w:r>
        <w:rPr>
          <w:rFonts w:ascii="Times New Roman" w:hAnsi="Times New Roman" w:cs="Times New Roman"/>
          <w:sz w:val="24"/>
          <w:szCs w:val="24"/>
        </w:rPr>
        <w:t xml:space="preserve">EMIR </w:t>
      </w:r>
      <w:r w:rsidRPr="008A3ECF">
        <w:rPr>
          <w:rFonts w:ascii="Times New Roman" w:hAnsi="Times New Roman" w:cs="Times New Roman"/>
          <w:sz w:val="24"/>
          <w:szCs w:val="24"/>
        </w:rPr>
        <w:t xml:space="preserve">Refit in the OJ), where the fund manager is responsible </w:t>
      </w:r>
      <w:r w:rsidR="00AF689D">
        <w:rPr>
          <w:rFonts w:ascii="Times New Roman" w:hAnsi="Times New Roman" w:cs="Times New Roman"/>
          <w:sz w:val="24"/>
          <w:szCs w:val="24"/>
        </w:rPr>
        <w:t xml:space="preserve">and legally liable for reporting on behalf </w:t>
      </w:r>
      <w:r w:rsidR="00956D68">
        <w:rPr>
          <w:rFonts w:ascii="Times New Roman" w:hAnsi="Times New Roman" w:cs="Times New Roman"/>
          <w:sz w:val="24"/>
          <w:szCs w:val="24"/>
        </w:rPr>
        <w:t>of an AIF / UCITS</w:t>
      </w:r>
      <w:r w:rsidRPr="008A3ECF">
        <w:rPr>
          <w:rFonts w:ascii="Times New Roman" w:hAnsi="Times New Roman" w:cs="Times New Roman"/>
          <w:sz w:val="24"/>
          <w:szCs w:val="24"/>
        </w:rPr>
        <w:t>.</w:t>
      </w:r>
    </w:p>
    <w:p w14:paraId="19330149" w14:textId="77777777" w:rsidR="00D87EED" w:rsidRPr="008A3ECF" w:rsidRDefault="00D87EED" w:rsidP="00EC6879">
      <w:pPr>
        <w:spacing w:after="0"/>
        <w:jc w:val="both"/>
        <w:rPr>
          <w:rFonts w:ascii="Times New Roman" w:hAnsi="Times New Roman" w:cs="Times New Roman"/>
          <w:sz w:val="24"/>
          <w:szCs w:val="24"/>
        </w:rPr>
      </w:pPr>
    </w:p>
    <w:p w14:paraId="3C0B5F74" w14:textId="61321AD5" w:rsidR="002F28D4" w:rsidRPr="008A3ECF" w:rsidRDefault="002F28D4" w:rsidP="00EC6879">
      <w:pPr>
        <w:spacing w:after="0"/>
        <w:jc w:val="both"/>
        <w:rPr>
          <w:rFonts w:ascii="Times New Roman" w:hAnsi="Times New Roman" w:cs="Times New Roman"/>
          <w:sz w:val="24"/>
          <w:szCs w:val="24"/>
        </w:rPr>
      </w:pPr>
      <w:r>
        <w:rPr>
          <w:rFonts w:ascii="Times New Roman" w:hAnsi="Times New Roman" w:cs="Times New Roman"/>
          <w:sz w:val="24"/>
          <w:szCs w:val="24"/>
        </w:rPr>
        <w:t>ISDA members identified that these two items conflict with one another as to who has the responsibility to mandatorily report on behalf of an AIF / UCITS</w:t>
      </w:r>
      <w:r w:rsidR="00956D68">
        <w:rPr>
          <w:rFonts w:ascii="Times New Roman" w:hAnsi="Times New Roman" w:cs="Times New Roman"/>
          <w:sz w:val="24"/>
          <w:szCs w:val="24"/>
        </w:rPr>
        <w:t>,</w:t>
      </w:r>
      <w:r>
        <w:rPr>
          <w:rFonts w:ascii="Times New Roman" w:hAnsi="Times New Roman" w:cs="Times New Roman"/>
          <w:sz w:val="24"/>
          <w:szCs w:val="24"/>
        </w:rPr>
        <w:t xml:space="preserve"> </w:t>
      </w:r>
      <w:r w:rsidR="009D22F6">
        <w:rPr>
          <w:rFonts w:ascii="Times New Roman" w:hAnsi="Times New Roman" w:cs="Times New Roman"/>
          <w:sz w:val="24"/>
          <w:szCs w:val="24"/>
        </w:rPr>
        <w:t>when such entities</w:t>
      </w:r>
      <w:r w:rsidR="00956D68">
        <w:rPr>
          <w:rFonts w:ascii="Times New Roman" w:hAnsi="Times New Roman" w:cs="Times New Roman"/>
          <w:sz w:val="24"/>
          <w:szCs w:val="24"/>
        </w:rPr>
        <w:t xml:space="preserve"> </w:t>
      </w:r>
      <w:r w:rsidR="009D22F6">
        <w:rPr>
          <w:rFonts w:ascii="Times New Roman" w:hAnsi="Times New Roman" w:cs="Times New Roman"/>
          <w:sz w:val="24"/>
          <w:szCs w:val="24"/>
        </w:rPr>
        <w:t xml:space="preserve">are </w:t>
      </w:r>
      <w:r>
        <w:rPr>
          <w:rFonts w:ascii="Times New Roman" w:hAnsi="Times New Roman" w:cs="Times New Roman"/>
          <w:sz w:val="24"/>
          <w:szCs w:val="24"/>
        </w:rPr>
        <w:t>classified as an NFC-,</w:t>
      </w:r>
      <w:r w:rsidR="004945BB">
        <w:rPr>
          <w:rFonts w:ascii="Times New Roman" w:hAnsi="Times New Roman" w:cs="Times New Roman"/>
          <w:sz w:val="24"/>
          <w:szCs w:val="24"/>
        </w:rPr>
        <w:t xml:space="preserve"> i.e.</w:t>
      </w:r>
      <w:r>
        <w:rPr>
          <w:rFonts w:ascii="Times New Roman" w:hAnsi="Times New Roman" w:cs="Times New Roman"/>
          <w:sz w:val="24"/>
          <w:szCs w:val="24"/>
        </w:rPr>
        <w:t xml:space="preserve"> </w:t>
      </w:r>
      <w:r w:rsidR="004945BB">
        <w:rPr>
          <w:rFonts w:ascii="Times New Roman" w:hAnsi="Times New Roman" w:cs="Times New Roman"/>
          <w:sz w:val="24"/>
          <w:szCs w:val="24"/>
        </w:rPr>
        <w:t xml:space="preserve">it </w:t>
      </w:r>
      <w:r>
        <w:rPr>
          <w:rFonts w:ascii="Times New Roman" w:hAnsi="Times New Roman" w:cs="Times New Roman"/>
          <w:sz w:val="24"/>
          <w:szCs w:val="24"/>
        </w:rPr>
        <w:t xml:space="preserve">is </w:t>
      </w:r>
      <w:r w:rsidR="004945BB">
        <w:rPr>
          <w:rFonts w:ascii="Times New Roman" w:hAnsi="Times New Roman" w:cs="Times New Roman"/>
          <w:sz w:val="24"/>
          <w:szCs w:val="24"/>
        </w:rPr>
        <w:t xml:space="preserve">unclear whether </w:t>
      </w:r>
      <w:r>
        <w:rPr>
          <w:rFonts w:ascii="Times New Roman" w:hAnsi="Times New Roman" w:cs="Times New Roman"/>
          <w:sz w:val="24"/>
          <w:szCs w:val="24"/>
        </w:rPr>
        <w:t xml:space="preserve">the responsibility </w:t>
      </w:r>
      <w:r w:rsidR="009D22F6">
        <w:rPr>
          <w:rFonts w:ascii="Times New Roman" w:hAnsi="Times New Roman" w:cs="Times New Roman"/>
          <w:sz w:val="24"/>
          <w:szCs w:val="24"/>
        </w:rPr>
        <w:t>to report</w:t>
      </w:r>
      <w:r w:rsidR="00956D68">
        <w:rPr>
          <w:rFonts w:ascii="Times New Roman" w:hAnsi="Times New Roman" w:cs="Times New Roman"/>
          <w:sz w:val="24"/>
          <w:szCs w:val="24"/>
        </w:rPr>
        <w:t xml:space="preserve"> </w:t>
      </w:r>
      <w:r w:rsidR="004945BB">
        <w:rPr>
          <w:rFonts w:ascii="Times New Roman" w:hAnsi="Times New Roman" w:cs="Times New Roman"/>
          <w:sz w:val="24"/>
          <w:szCs w:val="24"/>
        </w:rPr>
        <w:t xml:space="preserve">is </w:t>
      </w:r>
      <w:r>
        <w:rPr>
          <w:rFonts w:ascii="Times New Roman" w:hAnsi="Times New Roman" w:cs="Times New Roman"/>
          <w:sz w:val="24"/>
          <w:szCs w:val="24"/>
        </w:rPr>
        <w:t xml:space="preserve">with the FC or with the </w:t>
      </w:r>
      <w:r w:rsidRPr="008A3ECF">
        <w:rPr>
          <w:rFonts w:ascii="Times New Roman" w:hAnsi="Times New Roman" w:cs="Times New Roman"/>
          <w:sz w:val="24"/>
          <w:szCs w:val="24"/>
        </w:rPr>
        <w:t>fund manager</w:t>
      </w:r>
      <w:r>
        <w:rPr>
          <w:rFonts w:ascii="Times New Roman" w:hAnsi="Times New Roman" w:cs="Times New Roman"/>
          <w:sz w:val="24"/>
          <w:szCs w:val="24"/>
        </w:rPr>
        <w:t xml:space="preserve"> (</w:t>
      </w:r>
      <w:r w:rsidR="004945BB">
        <w:rPr>
          <w:rFonts w:ascii="Times New Roman" w:hAnsi="Times New Roman" w:cs="Times New Roman"/>
          <w:sz w:val="24"/>
          <w:szCs w:val="24"/>
        </w:rPr>
        <w:t>which would either be</w:t>
      </w:r>
      <w:r>
        <w:rPr>
          <w:rFonts w:ascii="Times New Roman" w:hAnsi="Times New Roman" w:cs="Times New Roman"/>
          <w:sz w:val="24"/>
          <w:szCs w:val="24"/>
        </w:rPr>
        <w:t xml:space="preserve"> the </w:t>
      </w:r>
      <w:r w:rsidRPr="008A3ECF">
        <w:rPr>
          <w:rFonts w:ascii="Times New Roman" w:hAnsi="Times New Roman" w:cs="Times New Roman"/>
          <w:sz w:val="24"/>
          <w:szCs w:val="24"/>
        </w:rPr>
        <w:t>UCITS Management Company</w:t>
      </w:r>
      <w:r>
        <w:rPr>
          <w:rFonts w:ascii="Times New Roman" w:hAnsi="Times New Roman" w:cs="Times New Roman"/>
          <w:sz w:val="24"/>
          <w:szCs w:val="24"/>
        </w:rPr>
        <w:t xml:space="preserve"> –</w:t>
      </w:r>
      <w:r w:rsidRPr="008A3ECF">
        <w:rPr>
          <w:rFonts w:ascii="Times New Roman" w:hAnsi="Times New Roman" w:cs="Times New Roman"/>
          <w:sz w:val="24"/>
          <w:szCs w:val="24"/>
        </w:rPr>
        <w:t>an FC itself</w:t>
      </w:r>
      <w:r>
        <w:rPr>
          <w:rFonts w:ascii="Times New Roman" w:hAnsi="Times New Roman" w:cs="Times New Roman"/>
          <w:sz w:val="24"/>
          <w:szCs w:val="24"/>
        </w:rPr>
        <w:t xml:space="preserve"> –</w:t>
      </w:r>
      <w:r w:rsidRPr="008A3ECF">
        <w:rPr>
          <w:rFonts w:ascii="Times New Roman" w:hAnsi="Times New Roman" w:cs="Times New Roman"/>
          <w:sz w:val="24"/>
          <w:szCs w:val="24"/>
        </w:rPr>
        <w:t xml:space="preserve"> or the AIFM</w:t>
      </w:r>
      <w:r w:rsidR="004945BB">
        <w:rPr>
          <w:rFonts w:ascii="Times New Roman" w:hAnsi="Times New Roman" w:cs="Times New Roman"/>
          <w:sz w:val="24"/>
          <w:szCs w:val="24"/>
        </w:rPr>
        <w:t>).</w:t>
      </w:r>
    </w:p>
    <w:p w14:paraId="1B59A761" w14:textId="77777777" w:rsidR="002F28D4" w:rsidRPr="008A3ECF" w:rsidRDefault="002F28D4" w:rsidP="00EC6879">
      <w:pPr>
        <w:spacing w:after="0"/>
        <w:jc w:val="both"/>
        <w:rPr>
          <w:rFonts w:ascii="Times New Roman" w:hAnsi="Times New Roman" w:cs="Times New Roman"/>
          <w:sz w:val="24"/>
          <w:szCs w:val="24"/>
        </w:rPr>
      </w:pPr>
    </w:p>
    <w:p w14:paraId="5976FD98" w14:textId="132E7A09" w:rsidR="002F28D4" w:rsidRPr="008A3ECF" w:rsidRDefault="002F28D4" w:rsidP="00EC6879">
      <w:pPr>
        <w:spacing w:after="0"/>
        <w:jc w:val="both"/>
        <w:rPr>
          <w:rFonts w:ascii="Times New Roman" w:hAnsi="Times New Roman" w:cs="Times New Roman"/>
          <w:sz w:val="24"/>
          <w:szCs w:val="24"/>
        </w:rPr>
      </w:pPr>
      <w:r w:rsidRPr="00C17F50">
        <w:rPr>
          <w:rFonts w:ascii="Times New Roman" w:hAnsi="Times New Roman" w:cs="Times New Roman"/>
          <w:sz w:val="24"/>
          <w:szCs w:val="24"/>
        </w:rPr>
        <w:lastRenderedPageBreak/>
        <w:t xml:space="preserve">The view of the ISDA </w:t>
      </w:r>
      <w:r w:rsidR="00AD32B3">
        <w:rPr>
          <w:rFonts w:ascii="Times New Roman" w:hAnsi="Times New Roman" w:cs="Times New Roman"/>
          <w:sz w:val="24"/>
          <w:szCs w:val="24"/>
        </w:rPr>
        <w:t>Data and Reporting EMEA W</w:t>
      </w:r>
      <w:r w:rsidR="00AD32B3" w:rsidRPr="00C17F50">
        <w:rPr>
          <w:rFonts w:ascii="Times New Roman" w:hAnsi="Times New Roman" w:cs="Times New Roman"/>
          <w:sz w:val="24"/>
          <w:szCs w:val="24"/>
        </w:rPr>
        <w:t xml:space="preserve">orking </w:t>
      </w:r>
      <w:r w:rsidR="00AD32B3">
        <w:rPr>
          <w:rFonts w:ascii="Times New Roman" w:hAnsi="Times New Roman" w:cs="Times New Roman"/>
          <w:sz w:val="24"/>
          <w:szCs w:val="24"/>
        </w:rPr>
        <w:t>G</w:t>
      </w:r>
      <w:r w:rsidR="00AD32B3" w:rsidRPr="00C17F50">
        <w:rPr>
          <w:rFonts w:ascii="Times New Roman" w:hAnsi="Times New Roman" w:cs="Times New Roman"/>
          <w:sz w:val="24"/>
          <w:szCs w:val="24"/>
        </w:rPr>
        <w:t xml:space="preserve">roup </w:t>
      </w:r>
      <w:r w:rsidRPr="00C17F50">
        <w:rPr>
          <w:rFonts w:ascii="Times New Roman" w:hAnsi="Times New Roman" w:cs="Times New Roman"/>
          <w:sz w:val="24"/>
          <w:szCs w:val="24"/>
        </w:rPr>
        <w:t xml:space="preserve">is that the fund manager would be responsible for the reporting </w:t>
      </w:r>
      <w:r w:rsidR="00AF689D">
        <w:rPr>
          <w:rFonts w:ascii="Times New Roman" w:hAnsi="Times New Roman" w:cs="Times New Roman"/>
          <w:sz w:val="24"/>
          <w:szCs w:val="24"/>
        </w:rPr>
        <w:t xml:space="preserve">on behalf of the AIF/UCITS </w:t>
      </w:r>
      <w:r w:rsidRPr="00C17F50">
        <w:rPr>
          <w:rFonts w:ascii="Times New Roman" w:hAnsi="Times New Roman" w:cs="Times New Roman"/>
          <w:sz w:val="24"/>
          <w:szCs w:val="24"/>
        </w:rPr>
        <w:t>when the AIF</w:t>
      </w:r>
      <w:r w:rsidR="00956D68">
        <w:rPr>
          <w:rFonts w:ascii="Times New Roman" w:hAnsi="Times New Roman" w:cs="Times New Roman"/>
          <w:sz w:val="24"/>
          <w:szCs w:val="24"/>
        </w:rPr>
        <w:t xml:space="preserve"> </w:t>
      </w:r>
      <w:r w:rsidRPr="00C17F50">
        <w:rPr>
          <w:rFonts w:ascii="Times New Roman" w:hAnsi="Times New Roman" w:cs="Times New Roman"/>
          <w:sz w:val="24"/>
          <w:szCs w:val="24"/>
        </w:rPr>
        <w:t>/</w:t>
      </w:r>
      <w:r w:rsidR="00956D68">
        <w:rPr>
          <w:rFonts w:ascii="Times New Roman" w:hAnsi="Times New Roman" w:cs="Times New Roman"/>
          <w:sz w:val="24"/>
          <w:szCs w:val="24"/>
        </w:rPr>
        <w:t xml:space="preserve"> </w:t>
      </w:r>
      <w:r w:rsidRPr="00C17F50">
        <w:rPr>
          <w:rFonts w:ascii="Times New Roman" w:hAnsi="Times New Roman" w:cs="Times New Roman"/>
          <w:sz w:val="24"/>
          <w:szCs w:val="24"/>
        </w:rPr>
        <w:t>UCITS is an NFC-</w:t>
      </w:r>
      <w:r w:rsidR="007C296F">
        <w:rPr>
          <w:rFonts w:ascii="Times New Roman" w:hAnsi="Times New Roman" w:cs="Times New Roman"/>
          <w:sz w:val="24"/>
          <w:szCs w:val="24"/>
        </w:rPr>
        <w:t>. However</w:t>
      </w:r>
      <w:r w:rsidRPr="00C17F50">
        <w:rPr>
          <w:rFonts w:ascii="Times New Roman" w:hAnsi="Times New Roman" w:cs="Times New Roman"/>
          <w:sz w:val="24"/>
          <w:szCs w:val="24"/>
        </w:rPr>
        <w:t>,</w:t>
      </w:r>
      <w:r w:rsidR="007C296F">
        <w:rPr>
          <w:rFonts w:ascii="Times New Roman" w:hAnsi="Times New Roman" w:cs="Times New Roman"/>
          <w:sz w:val="24"/>
          <w:szCs w:val="24"/>
        </w:rPr>
        <w:t xml:space="preserve"> as this is not clear within EMIR Refit, ESMA have been approached to provide clarification as to which party is liable for the reporting </w:t>
      </w:r>
      <w:r>
        <w:rPr>
          <w:rFonts w:ascii="Times New Roman" w:hAnsi="Times New Roman" w:cs="Times New Roman"/>
          <w:sz w:val="24"/>
          <w:szCs w:val="24"/>
        </w:rPr>
        <w:t xml:space="preserve">in order to </w:t>
      </w:r>
      <w:r w:rsidR="00980F54">
        <w:rPr>
          <w:rFonts w:ascii="Times New Roman" w:hAnsi="Times New Roman" w:cs="Times New Roman"/>
          <w:sz w:val="24"/>
          <w:szCs w:val="24"/>
        </w:rPr>
        <w:t xml:space="preserve">resolve </w:t>
      </w:r>
      <w:r>
        <w:rPr>
          <w:rFonts w:ascii="Times New Roman" w:hAnsi="Times New Roman" w:cs="Times New Roman"/>
          <w:sz w:val="24"/>
          <w:szCs w:val="24"/>
        </w:rPr>
        <w:t xml:space="preserve">this conflict. In </w:t>
      </w:r>
      <w:r w:rsidR="00AD32B3">
        <w:rPr>
          <w:rFonts w:ascii="Times New Roman" w:hAnsi="Times New Roman" w:cs="Times New Roman"/>
          <w:sz w:val="24"/>
          <w:szCs w:val="24"/>
        </w:rPr>
        <w:t xml:space="preserve">the absence </w:t>
      </w:r>
      <w:r>
        <w:rPr>
          <w:rFonts w:ascii="Times New Roman" w:hAnsi="Times New Roman" w:cs="Times New Roman"/>
          <w:sz w:val="24"/>
          <w:szCs w:val="24"/>
        </w:rPr>
        <w:t xml:space="preserve">of any such regulatory clarification, it may be necessary for FCs and fund managers to </w:t>
      </w:r>
      <w:r w:rsidR="00956D68">
        <w:rPr>
          <w:rFonts w:ascii="Times New Roman" w:hAnsi="Times New Roman" w:cs="Times New Roman"/>
          <w:sz w:val="24"/>
          <w:szCs w:val="24"/>
        </w:rPr>
        <w:t>identify whether they have any positions with</w:t>
      </w:r>
      <w:r>
        <w:rPr>
          <w:rFonts w:ascii="Times New Roman" w:hAnsi="Times New Roman" w:cs="Times New Roman"/>
          <w:sz w:val="24"/>
          <w:szCs w:val="24"/>
        </w:rPr>
        <w:t xml:space="preserve"> AIFs / UCITS </w:t>
      </w:r>
      <w:r w:rsidR="00980F54">
        <w:rPr>
          <w:rFonts w:ascii="Times New Roman" w:hAnsi="Times New Roman" w:cs="Times New Roman"/>
          <w:sz w:val="24"/>
          <w:szCs w:val="24"/>
        </w:rPr>
        <w:t xml:space="preserve">that </w:t>
      </w:r>
      <w:r w:rsidR="00956D68">
        <w:rPr>
          <w:rFonts w:ascii="Times New Roman" w:hAnsi="Times New Roman" w:cs="Times New Roman"/>
          <w:sz w:val="24"/>
          <w:szCs w:val="24"/>
        </w:rPr>
        <w:t xml:space="preserve">are </w:t>
      </w:r>
      <w:r>
        <w:rPr>
          <w:rFonts w:ascii="Times New Roman" w:hAnsi="Times New Roman" w:cs="Times New Roman"/>
          <w:sz w:val="24"/>
          <w:szCs w:val="24"/>
        </w:rPr>
        <w:t>classified as an NFC-</w:t>
      </w:r>
      <w:r w:rsidR="00956D68">
        <w:rPr>
          <w:rFonts w:ascii="Times New Roman" w:hAnsi="Times New Roman" w:cs="Times New Roman"/>
          <w:sz w:val="24"/>
          <w:szCs w:val="24"/>
        </w:rPr>
        <w:t>,</w:t>
      </w:r>
      <w:r>
        <w:rPr>
          <w:rFonts w:ascii="Times New Roman" w:hAnsi="Times New Roman" w:cs="Times New Roman"/>
          <w:sz w:val="24"/>
          <w:szCs w:val="24"/>
        </w:rPr>
        <w:t xml:space="preserve"> and bilaterally agree who will report</w:t>
      </w:r>
      <w:r w:rsidR="00956D68">
        <w:rPr>
          <w:rFonts w:ascii="Times New Roman" w:hAnsi="Times New Roman" w:cs="Times New Roman"/>
          <w:sz w:val="24"/>
          <w:szCs w:val="24"/>
        </w:rPr>
        <w:t xml:space="preserve"> those trades</w:t>
      </w:r>
      <w:r>
        <w:rPr>
          <w:rFonts w:ascii="Times New Roman" w:hAnsi="Times New Roman" w:cs="Times New Roman"/>
          <w:sz w:val="24"/>
          <w:szCs w:val="24"/>
        </w:rPr>
        <w:t>.</w:t>
      </w:r>
    </w:p>
    <w:p w14:paraId="574F546B" w14:textId="77777777" w:rsidR="002F28D4" w:rsidRDefault="002F28D4" w:rsidP="0084768D">
      <w:pPr>
        <w:pStyle w:val="NormalWeb"/>
        <w:spacing w:before="0" w:beforeAutospacing="0" w:after="0" w:afterAutospacing="0"/>
      </w:pPr>
    </w:p>
    <w:p w14:paraId="089D49B1" w14:textId="21257F0D" w:rsidR="00674D5C" w:rsidRPr="00674D5C" w:rsidRDefault="00674D5C" w:rsidP="00E03151">
      <w:pPr>
        <w:pStyle w:val="ListParagraph"/>
        <w:keepNext/>
        <w:keepLines/>
        <w:numPr>
          <w:ilvl w:val="0"/>
          <w:numId w:val="13"/>
        </w:numPr>
        <w:shd w:val="clear" w:color="auto" w:fill="FFFFFF" w:themeFill="background1"/>
        <w:ind w:left="0" w:hanging="567"/>
        <w:jc w:val="both"/>
        <w:rPr>
          <w:rFonts w:ascii="Times New Roman" w:hAnsi="Times New Roman" w:cs="Times New Roman"/>
          <w:b/>
          <w:sz w:val="28"/>
          <w:lang w:val="en-GB"/>
        </w:rPr>
      </w:pPr>
      <w:r w:rsidRPr="00674D5C">
        <w:rPr>
          <w:rFonts w:ascii="Times New Roman" w:hAnsi="Times New Roman" w:cs="Times New Roman"/>
          <w:b/>
          <w:sz w:val="28"/>
          <w:lang w:val="en-GB"/>
        </w:rPr>
        <w:t xml:space="preserve">Opting out of </w:t>
      </w:r>
      <w:r w:rsidR="00AF689D">
        <w:rPr>
          <w:rFonts w:ascii="Times New Roman" w:hAnsi="Times New Roman" w:cs="Times New Roman"/>
          <w:b/>
          <w:sz w:val="28"/>
          <w:lang w:val="en-GB"/>
        </w:rPr>
        <w:t xml:space="preserve">the EMIR Refit FC / NFC- </w:t>
      </w:r>
      <w:r w:rsidRPr="00674D5C">
        <w:rPr>
          <w:rFonts w:ascii="Times New Roman" w:hAnsi="Times New Roman" w:cs="Times New Roman"/>
          <w:b/>
          <w:sz w:val="28"/>
          <w:lang w:val="en-GB"/>
        </w:rPr>
        <w:t>reporting</w:t>
      </w:r>
      <w:r w:rsidR="00AF689D">
        <w:rPr>
          <w:rFonts w:ascii="Times New Roman" w:hAnsi="Times New Roman" w:cs="Times New Roman"/>
          <w:b/>
          <w:sz w:val="28"/>
          <w:lang w:val="en-GB"/>
        </w:rPr>
        <w:t xml:space="preserve"> </w:t>
      </w:r>
      <w:r w:rsidR="007945FE">
        <w:rPr>
          <w:rFonts w:ascii="Times New Roman" w:hAnsi="Times New Roman" w:cs="Times New Roman"/>
          <w:b/>
          <w:sz w:val="28"/>
          <w:lang w:val="en-GB"/>
        </w:rPr>
        <w:t>liability</w:t>
      </w:r>
    </w:p>
    <w:p w14:paraId="485DD808" w14:textId="77777777" w:rsidR="00674D5C" w:rsidRDefault="00674D5C" w:rsidP="00E03151">
      <w:pPr>
        <w:pStyle w:val="NormalWeb"/>
        <w:keepNext/>
        <w:keepLines/>
        <w:spacing w:before="0" w:beforeAutospacing="0" w:after="0" w:afterAutospacing="0"/>
      </w:pPr>
    </w:p>
    <w:p w14:paraId="43CF74B8" w14:textId="7BC53840" w:rsidR="00F5027F" w:rsidRDefault="00674D5C" w:rsidP="00EC6879">
      <w:pPr>
        <w:pStyle w:val="NormalWeb"/>
        <w:keepNext/>
        <w:keepLines/>
        <w:spacing w:before="0" w:beforeAutospacing="0" w:after="0" w:afterAutospacing="0"/>
        <w:jc w:val="both"/>
      </w:pPr>
      <w:r>
        <w:t xml:space="preserve">Some NFC- parties may choose to </w:t>
      </w:r>
      <w:r w:rsidR="00AF689D">
        <w:t xml:space="preserve">report and be legally liable for </w:t>
      </w:r>
      <w:r w:rsidR="003B58E6">
        <w:t xml:space="preserve">the reporting of </w:t>
      </w:r>
      <w:r w:rsidR="00AF689D">
        <w:t xml:space="preserve">their </w:t>
      </w:r>
      <w:r w:rsidR="003B58E6">
        <w:t xml:space="preserve">own </w:t>
      </w:r>
      <w:r w:rsidR="00AF689D">
        <w:t xml:space="preserve">OTC derivative contacts, thereby opting out of this piece of EMIR Refit legislation. In such cases, the </w:t>
      </w:r>
      <w:r w:rsidR="00F5027F">
        <w:t xml:space="preserve">terms </w:t>
      </w:r>
      <w:r w:rsidR="003B58E6">
        <w:t xml:space="preserve">for </w:t>
      </w:r>
      <w:r w:rsidR="00F5027F">
        <w:t xml:space="preserve">opting out </w:t>
      </w:r>
      <w:r w:rsidR="003B58E6">
        <w:t xml:space="preserve">should </w:t>
      </w:r>
      <w:r w:rsidR="00F5027F">
        <w:t xml:space="preserve">be agreed bilaterally between the FC and NFC-. </w:t>
      </w:r>
    </w:p>
    <w:p w14:paraId="6B50B898" w14:textId="51E16DE2" w:rsidR="00F5027F" w:rsidRDefault="00F5027F" w:rsidP="00EC6879">
      <w:pPr>
        <w:pStyle w:val="NormalWeb"/>
        <w:keepNext/>
        <w:keepLines/>
        <w:spacing w:before="0" w:beforeAutospacing="0" w:after="0" w:afterAutospacing="0"/>
        <w:jc w:val="both"/>
      </w:pPr>
    </w:p>
    <w:p w14:paraId="13452233" w14:textId="2EA3219D" w:rsidR="00F5027F" w:rsidRDefault="00F5027F" w:rsidP="00EC6879">
      <w:pPr>
        <w:pStyle w:val="NormalWeb"/>
        <w:spacing w:before="0" w:beforeAutospacing="0" w:after="0" w:afterAutospacing="0"/>
        <w:jc w:val="both"/>
      </w:pPr>
      <w:r>
        <w:t xml:space="preserve">It is generally accepted within the ISDA </w:t>
      </w:r>
      <w:r w:rsidR="008F5EAC">
        <w:t xml:space="preserve">Data and Reporting EMEA Working Group </w:t>
      </w:r>
      <w:r>
        <w:t>that it will not be possible to opt out at a product level or at a trade-by-trade level.</w:t>
      </w:r>
    </w:p>
    <w:p w14:paraId="7F5C677C" w14:textId="77777777" w:rsidR="00F5027F" w:rsidRDefault="00F5027F" w:rsidP="00EC6879">
      <w:pPr>
        <w:pStyle w:val="NormalWeb"/>
        <w:keepNext/>
        <w:keepLines/>
        <w:spacing w:before="0" w:beforeAutospacing="0" w:after="0" w:afterAutospacing="0"/>
        <w:jc w:val="both"/>
      </w:pPr>
    </w:p>
    <w:p w14:paraId="4860F15E" w14:textId="215BE13C" w:rsidR="00674D5C" w:rsidRDefault="00F5027F" w:rsidP="00EC6879">
      <w:pPr>
        <w:pStyle w:val="NormalWeb"/>
        <w:keepNext/>
        <w:keepLines/>
        <w:spacing w:before="0" w:beforeAutospacing="0" w:after="0" w:afterAutospacing="0"/>
        <w:jc w:val="both"/>
      </w:pPr>
      <w:r>
        <w:t xml:space="preserve">It </w:t>
      </w:r>
      <w:r w:rsidR="00817C81">
        <w:t xml:space="preserve">is the responsibility of the NFC- to provide the FC with </w:t>
      </w:r>
      <w:r>
        <w:t>any intention to opt out</w:t>
      </w:r>
      <w:r w:rsidR="00817C81">
        <w:t xml:space="preserve">. </w:t>
      </w:r>
    </w:p>
    <w:p w14:paraId="1B3B8DED" w14:textId="77777777" w:rsidR="00817C81" w:rsidRDefault="00817C81" w:rsidP="00674D5C">
      <w:pPr>
        <w:pStyle w:val="NormalWeb"/>
        <w:spacing w:before="0" w:beforeAutospacing="0" w:after="0" w:afterAutospacing="0"/>
      </w:pPr>
    </w:p>
    <w:p w14:paraId="2385AEE2" w14:textId="1EC722BF" w:rsidR="00D57F05" w:rsidRPr="00643E17" w:rsidRDefault="00643E17" w:rsidP="00643E17">
      <w:pPr>
        <w:pStyle w:val="ListParagraph"/>
        <w:keepNext/>
        <w:keepLines/>
        <w:numPr>
          <w:ilvl w:val="0"/>
          <w:numId w:val="13"/>
        </w:numPr>
        <w:shd w:val="clear" w:color="auto" w:fill="FFFFFF" w:themeFill="background1"/>
        <w:ind w:left="0" w:hanging="567"/>
        <w:jc w:val="both"/>
        <w:rPr>
          <w:rFonts w:ascii="Times New Roman" w:hAnsi="Times New Roman" w:cs="Times New Roman"/>
          <w:b/>
          <w:sz w:val="28"/>
          <w:lang w:val="en-GB"/>
        </w:rPr>
      </w:pPr>
      <w:r w:rsidRPr="00643E17">
        <w:rPr>
          <w:rFonts w:ascii="Times New Roman" w:hAnsi="Times New Roman" w:cs="Times New Roman"/>
          <w:b/>
          <w:sz w:val="28"/>
          <w:lang w:val="en-GB"/>
        </w:rPr>
        <w:t>Third Country FCs</w:t>
      </w:r>
    </w:p>
    <w:p w14:paraId="588CC417" w14:textId="343F72CF" w:rsidR="00643E17" w:rsidRDefault="00643E17" w:rsidP="00D57F05">
      <w:pPr>
        <w:pStyle w:val="NormalWeb"/>
        <w:keepNext/>
        <w:keepLines/>
        <w:spacing w:before="0" w:beforeAutospacing="0" w:after="0" w:afterAutospacing="0"/>
      </w:pPr>
    </w:p>
    <w:p w14:paraId="0124491E" w14:textId="13984AEA" w:rsidR="00643E17" w:rsidRDefault="00643E17" w:rsidP="00EC6879">
      <w:pPr>
        <w:pStyle w:val="NormalWeb"/>
        <w:keepNext/>
        <w:keepLines/>
        <w:spacing w:before="0" w:beforeAutospacing="0" w:after="0" w:afterAutospacing="0"/>
        <w:jc w:val="both"/>
      </w:pPr>
      <w:r>
        <w:t xml:space="preserve">For the avoidance of doubt, the </w:t>
      </w:r>
      <w:r w:rsidR="00AF689D">
        <w:t xml:space="preserve">EMIR Refit </w:t>
      </w:r>
      <w:r>
        <w:t xml:space="preserve">requirement </w:t>
      </w:r>
      <w:r w:rsidR="003B58E6">
        <w:t xml:space="preserve">for an FC </w:t>
      </w:r>
      <w:r w:rsidR="00AF689D">
        <w:t xml:space="preserve">to report on behalf of </w:t>
      </w:r>
      <w:r w:rsidR="008F5EAC">
        <w:t xml:space="preserve">itself </w:t>
      </w:r>
      <w:r w:rsidR="00AF689D">
        <w:t xml:space="preserve">and </w:t>
      </w:r>
      <w:r w:rsidR="008F5EAC">
        <w:t xml:space="preserve">its </w:t>
      </w:r>
      <w:r w:rsidR="00AF689D">
        <w:t xml:space="preserve">NFC- clients </w:t>
      </w:r>
      <w:r>
        <w:t xml:space="preserve">does </w:t>
      </w:r>
      <w:r w:rsidRPr="00643E17">
        <w:rPr>
          <w:u w:val="single"/>
        </w:rPr>
        <w:t>not</w:t>
      </w:r>
      <w:r>
        <w:t xml:space="preserve"> apply to third country FCs. Therefore, if an NFC- entity trades with an FC </w:t>
      </w:r>
      <w:r w:rsidR="003C1AC9">
        <w:t xml:space="preserve">established </w:t>
      </w:r>
      <w:r>
        <w:t xml:space="preserve">in a third country, the NFC- is responsible for reporting the </w:t>
      </w:r>
      <w:r w:rsidR="004238D0">
        <w:t xml:space="preserve">trade </w:t>
      </w:r>
      <w:r w:rsidR="008F5EAC">
        <w:t>itself</w:t>
      </w:r>
      <w:r>
        <w:t>.</w:t>
      </w:r>
      <w:r w:rsidR="004238D0">
        <w:t xml:space="preserve"> This does not preclude third country FCs and NFC- entities bilaterally agreeing to enter into a delegated reporting agreement. </w:t>
      </w:r>
      <w:r>
        <w:t xml:space="preserve"> </w:t>
      </w:r>
    </w:p>
    <w:p w14:paraId="69C4083C" w14:textId="77777777" w:rsidR="0020114A" w:rsidRDefault="0020114A" w:rsidP="00EC6879">
      <w:pPr>
        <w:pStyle w:val="NormalWeb"/>
        <w:keepNext/>
        <w:keepLines/>
        <w:spacing w:before="0" w:beforeAutospacing="0" w:after="0" w:afterAutospacing="0"/>
        <w:jc w:val="both"/>
      </w:pPr>
    </w:p>
    <w:p w14:paraId="2AF39163" w14:textId="6C2AFA3F" w:rsidR="004238D0" w:rsidRDefault="004238D0" w:rsidP="00EC6879">
      <w:pPr>
        <w:pStyle w:val="NormalWeb"/>
        <w:keepNext/>
        <w:keepLines/>
        <w:spacing w:before="0" w:beforeAutospacing="0" w:after="0" w:afterAutospacing="0"/>
        <w:jc w:val="both"/>
      </w:pPr>
      <w:r>
        <w:t>Should there be future decision</w:t>
      </w:r>
      <w:r w:rsidR="003C1AC9">
        <w:t>s</w:t>
      </w:r>
      <w:r>
        <w:t xml:space="preserve"> whereby the reporting regime in a third country is deemed to be “equivalent” to EMIR, then reporting by the third country FC under that regime would relieve the EU NFC- from </w:t>
      </w:r>
      <w:r w:rsidR="008F5EAC">
        <w:t xml:space="preserve">its </w:t>
      </w:r>
      <w:r>
        <w:t>obligation to report under EMIR.</w:t>
      </w:r>
    </w:p>
    <w:p w14:paraId="67B1ABF0" w14:textId="4D03EEF8" w:rsidR="00643E17" w:rsidRPr="00D57F05" w:rsidRDefault="00643E17" w:rsidP="004238D0">
      <w:pPr>
        <w:pStyle w:val="NormalWeb"/>
        <w:keepNext/>
        <w:keepLines/>
        <w:spacing w:before="0" w:beforeAutospacing="0" w:after="0" w:afterAutospacing="0"/>
      </w:pPr>
    </w:p>
    <w:sectPr w:rsidR="00643E17" w:rsidRPr="00D57F05" w:rsidSect="00E44D69">
      <w:headerReference w:type="default" r:id="rId13"/>
      <w:footerReference w:type="first" r:id="rId14"/>
      <w:pgSz w:w="12240" w:h="15840"/>
      <w:pgMar w:top="1440" w:right="1440" w:bottom="9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AA555" w14:textId="77777777" w:rsidR="00A02747" w:rsidRDefault="00A02747" w:rsidP="0000178B">
      <w:pPr>
        <w:spacing w:after="0" w:line="240" w:lineRule="auto"/>
      </w:pPr>
      <w:r>
        <w:separator/>
      </w:r>
    </w:p>
  </w:endnote>
  <w:endnote w:type="continuationSeparator" w:id="0">
    <w:p w14:paraId="5A0F324E" w14:textId="77777777" w:rsidR="00A02747" w:rsidRDefault="00A02747" w:rsidP="00001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AA8E0" w14:textId="4EE96FF4" w:rsidR="00EB7F32" w:rsidRDefault="00EB7F32">
    <w:pPr>
      <w:pStyle w:val="Footer"/>
    </w:pPr>
  </w:p>
  <w:p w14:paraId="04189BB9" w14:textId="77777777" w:rsidR="00EB7F32" w:rsidRDefault="00EB7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B4BB0" w14:textId="77777777" w:rsidR="00A02747" w:rsidRDefault="00A02747" w:rsidP="0000178B">
      <w:pPr>
        <w:spacing w:after="0" w:line="240" w:lineRule="auto"/>
      </w:pPr>
      <w:r>
        <w:separator/>
      </w:r>
    </w:p>
  </w:footnote>
  <w:footnote w:type="continuationSeparator" w:id="0">
    <w:p w14:paraId="5BDA6CA5" w14:textId="77777777" w:rsidR="00A02747" w:rsidRDefault="00A02747" w:rsidP="0000178B">
      <w:pPr>
        <w:spacing w:after="0" w:line="240" w:lineRule="auto"/>
      </w:pPr>
      <w:r>
        <w:continuationSeparator/>
      </w:r>
    </w:p>
  </w:footnote>
  <w:footnote w:id="1">
    <w:p w14:paraId="712E454E" w14:textId="70C0AC2F" w:rsidR="00EB7F32" w:rsidRPr="00EB7F32" w:rsidRDefault="00EB7F32">
      <w:pPr>
        <w:pStyle w:val="FootnoteText"/>
        <w:rPr>
          <w:lang w:val="en-GB"/>
        </w:rPr>
      </w:pPr>
      <w:r>
        <w:rPr>
          <w:rStyle w:val="FootnoteReference"/>
        </w:rPr>
        <w:footnoteRef/>
      </w:r>
      <w:r>
        <w:t xml:space="preserve"> </w:t>
      </w:r>
      <w:r>
        <w:rPr>
          <w:color w:val="1F497D"/>
        </w:rPr>
        <w:t>OTC derivatives are derivatives contracts which are not executed on an EU regulated market within the meaning of Article 4(1) (14) of MIFID II, or on a third-country market determined to be equivalent in accordance with Article 2 of EMIR (EU) No 648/2012.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85BA6" w14:textId="60CACFA4" w:rsidR="00A02747" w:rsidRDefault="00AD2A5E">
    <w:pPr>
      <w:pStyle w:val="Header"/>
      <w:jc w:val="center"/>
    </w:pPr>
    <w:sdt>
      <w:sdtPr>
        <w:id w:val="1088581882"/>
        <w:docPartObj>
          <w:docPartGallery w:val="Page Numbers (Top of Page)"/>
          <w:docPartUnique/>
        </w:docPartObj>
      </w:sdtPr>
      <w:sdtEndPr>
        <w:rPr>
          <w:noProof/>
        </w:rPr>
      </w:sdtEndPr>
      <w:sdtContent>
        <w:r w:rsidR="00A02747">
          <w:fldChar w:fldCharType="begin"/>
        </w:r>
        <w:r w:rsidR="00A02747">
          <w:instrText xml:space="preserve"> PAGE   \* MERGEFORMAT </w:instrText>
        </w:r>
        <w:r w:rsidR="00A02747">
          <w:fldChar w:fldCharType="separate"/>
        </w:r>
        <w:r>
          <w:rPr>
            <w:noProof/>
          </w:rPr>
          <w:t>4</w:t>
        </w:r>
        <w:r w:rsidR="00A02747">
          <w:rPr>
            <w:noProof/>
          </w:rPr>
          <w:fldChar w:fldCharType="end"/>
        </w:r>
      </w:sdtContent>
    </w:sdt>
  </w:p>
  <w:p w14:paraId="1FD0D5A9" w14:textId="77777777" w:rsidR="00A02747" w:rsidRDefault="00A027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953"/>
    <w:multiLevelType w:val="hybridMultilevel"/>
    <w:tmpl w:val="35F2D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B60E7"/>
    <w:multiLevelType w:val="hybridMultilevel"/>
    <w:tmpl w:val="91A02C82"/>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AD7DF0"/>
    <w:multiLevelType w:val="hybridMultilevel"/>
    <w:tmpl w:val="4DE6E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772EF"/>
    <w:multiLevelType w:val="multilevel"/>
    <w:tmpl w:val="4F829680"/>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o"/>
      <w:lvlJc w:val="left"/>
      <w:pPr>
        <w:tabs>
          <w:tab w:val="num" w:pos="1800"/>
        </w:tabs>
        <w:ind w:left="1800" w:hanging="360"/>
      </w:pPr>
      <w:rPr>
        <w:rFonts w:ascii="Courier New" w:hAnsi="Courier New" w:cs="Courier New"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 w15:restartNumberingAfterBreak="0">
    <w:nsid w:val="0BF55FDE"/>
    <w:multiLevelType w:val="hybridMultilevel"/>
    <w:tmpl w:val="872287F2"/>
    <w:lvl w:ilvl="0" w:tplc="155CC802">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154B3"/>
    <w:multiLevelType w:val="multilevel"/>
    <w:tmpl w:val="31AAB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9B1AEA"/>
    <w:multiLevelType w:val="hybridMultilevel"/>
    <w:tmpl w:val="4EF09E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365844"/>
    <w:multiLevelType w:val="hybridMultilevel"/>
    <w:tmpl w:val="19425E56"/>
    <w:lvl w:ilvl="0" w:tplc="2E04B50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6B1E91"/>
    <w:multiLevelType w:val="hybridMultilevel"/>
    <w:tmpl w:val="A8FC756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0" w15:restartNumberingAfterBreak="0">
    <w:nsid w:val="304346B3"/>
    <w:multiLevelType w:val="hybridMultilevel"/>
    <w:tmpl w:val="FD984AF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5D01C8"/>
    <w:multiLevelType w:val="hybridMultilevel"/>
    <w:tmpl w:val="6B143EA4"/>
    <w:lvl w:ilvl="0" w:tplc="D8560998">
      <w:start w:val="5"/>
      <w:numFmt w:val="bullet"/>
      <w:lvlText w:val=""/>
      <w:lvlJc w:val="left"/>
      <w:pPr>
        <w:ind w:left="2340" w:hanging="360"/>
      </w:pPr>
      <w:rPr>
        <w:rFonts w:ascii="Wingdings" w:eastAsiaTheme="minorHAnsi" w:hAnsi="Wingdings"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77782"/>
    <w:multiLevelType w:val="hybridMultilevel"/>
    <w:tmpl w:val="029EC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372B01"/>
    <w:multiLevelType w:val="hybridMultilevel"/>
    <w:tmpl w:val="FCAAAF50"/>
    <w:lvl w:ilvl="0" w:tplc="631A46F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7963E68"/>
    <w:multiLevelType w:val="hybridMultilevel"/>
    <w:tmpl w:val="A8D2F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6D2EF1"/>
    <w:multiLevelType w:val="hybridMultilevel"/>
    <w:tmpl w:val="123E5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077109"/>
    <w:multiLevelType w:val="hybridMultilevel"/>
    <w:tmpl w:val="7F64C294"/>
    <w:lvl w:ilvl="0" w:tplc="E67234D0">
      <w:start w:val="1"/>
      <w:numFmt w:val="lowerRoman"/>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7" w15:restartNumberingAfterBreak="0">
    <w:nsid w:val="415403C1"/>
    <w:multiLevelType w:val="hybridMultilevel"/>
    <w:tmpl w:val="8E780C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692297"/>
    <w:multiLevelType w:val="hybridMultilevel"/>
    <w:tmpl w:val="B9F20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39F7180"/>
    <w:multiLevelType w:val="hybridMultilevel"/>
    <w:tmpl w:val="34F87FA2"/>
    <w:lvl w:ilvl="0" w:tplc="08090001">
      <w:start w:val="1"/>
      <w:numFmt w:val="bullet"/>
      <w:lvlText w:val=""/>
      <w:lvlJc w:val="left"/>
      <w:pPr>
        <w:ind w:left="840" w:hanging="360"/>
      </w:pPr>
      <w:rPr>
        <w:rFonts w:ascii="Symbol" w:hAnsi="Symbol" w:hint="default"/>
      </w:rPr>
    </w:lvl>
    <w:lvl w:ilvl="1" w:tplc="08090003">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0" w15:restartNumberingAfterBreak="0">
    <w:nsid w:val="447D352C"/>
    <w:multiLevelType w:val="hybridMultilevel"/>
    <w:tmpl w:val="34B21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2E1C50"/>
    <w:multiLevelType w:val="hybridMultilevel"/>
    <w:tmpl w:val="4940951E"/>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5C25F9"/>
    <w:multiLevelType w:val="hybridMultilevel"/>
    <w:tmpl w:val="188AC406"/>
    <w:lvl w:ilvl="0" w:tplc="AE1A954C">
      <w:start w:val="1"/>
      <w:numFmt w:val="bullet"/>
      <w:lvlText w:val="•"/>
      <w:lvlJc w:val="left"/>
      <w:pPr>
        <w:tabs>
          <w:tab w:val="num" w:pos="720"/>
        </w:tabs>
        <w:ind w:left="720" w:hanging="360"/>
      </w:pPr>
      <w:rPr>
        <w:rFonts w:ascii="Arial" w:hAnsi="Arial" w:cs="Times New Roman" w:hint="default"/>
      </w:rPr>
    </w:lvl>
    <w:lvl w:ilvl="1" w:tplc="E9947098">
      <w:start w:val="1"/>
      <w:numFmt w:val="bullet"/>
      <w:lvlText w:val="•"/>
      <w:lvlJc w:val="left"/>
      <w:pPr>
        <w:tabs>
          <w:tab w:val="num" w:pos="1440"/>
        </w:tabs>
        <w:ind w:left="1440" w:hanging="360"/>
      </w:pPr>
      <w:rPr>
        <w:rFonts w:ascii="Arial" w:hAnsi="Arial" w:cs="Times New Roman" w:hint="default"/>
      </w:rPr>
    </w:lvl>
    <w:lvl w:ilvl="2" w:tplc="E96C84C4">
      <w:start w:val="1"/>
      <w:numFmt w:val="bullet"/>
      <w:lvlText w:val="•"/>
      <w:lvlJc w:val="left"/>
      <w:pPr>
        <w:tabs>
          <w:tab w:val="num" w:pos="2160"/>
        </w:tabs>
        <w:ind w:left="2160" w:hanging="360"/>
      </w:pPr>
      <w:rPr>
        <w:rFonts w:ascii="Arial" w:hAnsi="Arial" w:cs="Times New Roman" w:hint="default"/>
      </w:rPr>
    </w:lvl>
    <w:lvl w:ilvl="3" w:tplc="EB3E4FD4">
      <w:start w:val="1"/>
      <w:numFmt w:val="bullet"/>
      <w:lvlText w:val="•"/>
      <w:lvlJc w:val="left"/>
      <w:pPr>
        <w:tabs>
          <w:tab w:val="num" w:pos="2880"/>
        </w:tabs>
        <w:ind w:left="2880" w:hanging="360"/>
      </w:pPr>
      <w:rPr>
        <w:rFonts w:ascii="Arial" w:hAnsi="Arial" w:cs="Times New Roman" w:hint="default"/>
      </w:rPr>
    </w:lvl>
    <w:lvl w:ilvl="4" w:tplc="FBB4E49C">
      <w:start w:val="1"/>
      <w:numFmt w:val="bullet"/>
      <w:lvlText w:val="•"/>
      <w:lvlJc w:val="left"/>
      <w:pPr>
        <w:tabs>
          <w:tab w:val="num" w:pos="3600"/>
        </w:tabs>
        <w:ind w:left="3600" w:hanging="360"/>
      </w:pPr>
      <w:rPr>
        <w:rFonts w:ascii="Arial" w:hAnsi="Arial" w:cs="Times New Roman" w:hint="default"/>
      </w:rPr>
    </w:lvl>
    <w:lvl w:ilvl="5" w:tplc="C99C0A82">
      <w:start w:val="1"/>
      <w:numFmt w:val="bullet"/>
      <w:lvlText w:val="•"/>
      <w:lvlJc w:val="left"/>
      <w:pPr>
        <w:tabs>
          <w:tab w:val="num" w:pos="4320"/>
        </w:tabs>
        <w:ind w:left="4320" w:hanging="360"/>
      </w:pPr>
      <w:rPr>
        <w:rFonts w:ascii="Arial" w:hAnsi="Arial" w:cs="Times New Roman" w:hint="default"/>
      </w:rPr>
    </w:lvl>
    <w:lvl w:ilvl="6" w:tplc="67A6ECA8">
      <w:start w:val="1"/>
      <w:numFmt w:val="bullet"/>
      <w:lvlText w:val="•"/>
      <w:lvlJc w:val="left"/>
      <w:pPr>
        <w:tabs>
          <w:tab w:val="num" w:pos="5040"/>
        </w:tabs>
        <w:ind w:left="5040" w:hanging="360"/>
      </w:pPr>
      <w:rPr>
        <w:rFonts w:ascii="Arial" w:hAnsi="Arial" w:cs="Times New Roman" w:hint="default"/>
      </w:rPr>
    </w:lvl>
    <w:lvl w:ilvl="7" w:tplc="6CB8371A">
      <w:start w:val="1"/>
      <w:numFmt w:val="bullet"/>
      <w:lvlText w:val="•"/>
      <w:lvlJc w:val="left"/>
      <w:pPr>
        <w:tabs>
          <w:tab w:val="num" w:pos="5760"/>
        </w:tabs>
        <w:ind w:left="5760" w:hanging="360"/>
      </w:pPr>
      <w:rPr>
        <w:rFonts w:ascii="Arial" w:hAnsi="Arial" w:cs="Times New Roman" w:hint="default"/>
      </w:rPr>
    </w:lvl>
    <w:lvl w:ilvl="8" w:tplc="3CE8085C">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57580C87"/>
    <w:multiLevelType w:val="hybridMultilevel"/>
    <w:tmpl w:val="AC7C9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7F06969"/>
    <w:multiLevelType w:val="hybridMultilevel"/>
    <w:tmpl w:val="B4C8D994"/>
    <w:lvl w:ilvl="0" w:tplc="2416B03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BE1F7F"/>
    <w:multiLevelType w:val="hybridMultilevel"/>
    <w:tmpl w:val="B34C1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2500B4"/>
    <w:multiLevelType w:val="hybridMultilevel"/>
    <w:tmpl w:val="A76A209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4025BD"/>
    <w:multiLevelType w:val="hybridMultilevel"/>
    <w:tmpl w:val="80409F96"/>
    <w:lvl w:ilvl="0" w:tplc="AD08AB20">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E406A78"/>
    <w:multiLevelType w:val="hybridMultilevel"/>
    <w:tmpl w:val="19A8A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F132EF"/>
    <w:multiLevelType w:val="multilevel"/>
    <w:tmpl w:val="51DE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52C7420"/>
    <w:multiLevelType w:val="hybridMultilevel"/>
    <w:tmpl w:val="7B96D0A4"/>
    <w:lvl w:ilvl="0" w:tplc="DC902B70">
      <w:start w:val="1"/>
      <w:numFmt w:val="bullet"/>
      <w:lvlText w:val=""/>
      <w:lvlJc w:val="left"/>
      <w:pPr>
        <w:ind w:left="720" w:hanging="360"/>
      </w:pPr>
      <w:rPr>
        <w:rFonts w:ascii="Symbol" w:hAnsi="Symbol" w:hint="default"/>
        <w:color w:val="000000" w:themeColor="text1"/>
      </w:rPr>
    </w:lvl>
    <w:lvl w:ilvl="1" w:tplc="0809001B">
      <w:start w:val="1"/>
      <w:numFmt w:val="lowerRoman"/>
      <w:lvlText w:val="%2."/>
      <w:lvlJc w:val="righ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811E46"/>
    <w:multiLevelType w:val="hybridMultilevel"/>
    <w:tmpl w:val="313E802A"/>
    <w:lvl w:ilvl="0" w:tplc="4FD291C0">
      <w:start w:val="1"/>
      <w:numFmt w:val="decimal"/>
      <w:lvlText w:val="%1."/>
      <w:lvlJc w:val="left"/>
      <w:pPr>
        <w:ind w:left="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805355"/>
    <w:multiLevelType w:val="hybridMultilevel"/>
    <w:tmpl w:val="A8FC756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79405A"/>
    <w:multiLevelType w:val="hybridMultilevel"/>
    <w:tmpl w:val="106A354A"/>
    <w:lvl w:ilvl="0" w:tplc="08090001">
      <w:start w:val="1"/>
      <w:numFmt w:val="bullet"/>
      <w:lvlText w:val=""/>
      <w:lvlJc w:val="left"/>
      <w:pPr>
        <w:ind w:left="747" w:hanging="360"/>
      </w:pPr>
      <w:rPr>
        <w:rFonts w:ascii="Symbol" w:hAnsi="Symbol" w:hint="default"/>
      </w:rPr>
    </w:lvl>
    <w:lvl w:ilvl="1" w:tplc="08090003">
      <w:start w:val="1"/>
      <w:numFmt w:val="bullet"/>
      <w:lvlText w:val="o"/>
      <w:lvlJc w:val="left"/>
      <w:pPr>
        <w:ind w:left="1467" w:hanging="360"/>
      </w:pPr>
      <w:rPr>
        <w:rFonts w:ascii="Courier New" w:hAnsi="Courier New" w:cs="Courier New" w:hint="default"/>
      </w:rPr>
    </w:lvl>
    <w:lvl w:ilvl="2" w:tplc="08090005" w:tentative="1">
      <w:start w:val="1"/>
      <w:numFmt w:val="bullet"/>
      <w:lvlText w:val=""/>
      <w:lvlJc w:val="left"/>
      <w:pPr>
        <w:ind w:left="2187" w:hanging="360"/>
      </w:pPr>
      <w:rPr>
        <w:rFonts w:ascii="Wingdings" w:hAnsi="Wingdings" w:hint="default"/>
      </w:rPr>
    </w:lvl>
    <w:lvl w:ilvl="3" w:tplc="08090001" w:tentative="1">
      <w:start w:val="1"/>
      <w:numFmt w:val="bullet"/>
      <w:lvlText w:val=""/>
      <w:lvlJc w:val="left"/>
      <w:pPr>
        <w:ind w:left="2907" w:hanging="360"/>
      </w:pPr>
      <w:rPr>
        <w:rFonts w:ascii="Symbol" w:hAnsi="Symbol" w:hint="default"/>
      </w:rPr>
    </w:lvl>
    <w:lvl w:ilvl="4" w:tplc="08090003" w:tentative="1">
      <w:start w:val="1"/>
      <w:numFmt w:val="bullet"/>
      <w:lvlText w:val="o"/>
      <w:lvlJc w:val="left"/>
      <w:pPr>
        <w:ind w:left="3627" w:hanging="360"/>
      </w:pPr>
      <w:rPr>
        <w:rFonts w:ascii="Courier New" w:hAnsi="Courier New" w:cs="Courier New" w:hint="default"/>
      </w:rPr>
    </w:lvl>
    <w:lvl w:ilvl="5" w:tplc="08090005" w:tentative="1">
      <w:start w:val="1"/>
      <w:numFmt w:val="bullet"/>
      <w:lvlText w:val=""/>
      <w:lvlJc w:val="left"/>
      <w:pPr>
        <w:ind w:left="4347" w:hanging="360"/>
      </w:pPr>
      <w:rPr>
        <w:rFonts w:ascii="Wingdings" w:hAnsi="Wingdings" w:hint="default"/>
      </w:rPr>
    </w:lvl>
    <w:lvl w:ilvl="6" w:tplc="08090001" w:tentative="1">
      <w:start w:val="1"/>
      <w:numFmt w:val="bullet"/>
      <w:lvlText w:val=""/>
      <w:lvlJc w:val="left"/>
      <w:pPr>
        <w:ind w:left="5067" w:hanging="360"/>
      </w:pPr>
      <w:rPr>
        <w:rFonts w:ascii="Symbol" w:hAnsi="Symbol" w:hint="default"/>
      </w:rPr>
    </w:lvl>
    <w:lvl w:ilvl="7" w:tplc="08090003" w:tentative="1">
      <w:start w:val="1"/>
      <w:numFmt w:val="bullet"/>
      <w:lvlText w:val="o"/>
      <w:lvlJc w:val="left"/>
      <w:pPr>
        <w:ind w:left="5787" w:hanging="360"/>
      </w:pPr>
      <w:rPr>
        <w:rFonts w:ascii="Courier New" w:hAnsi="Courier New" w:cs="Courier New" w:hint="default"/>
      </w:rPr>
    </w:lvl>
    <w:lvl w:ilvl="8" w:tplc="08090005" w:tentative="1">
      <w:start w:val="1"/>
      <w:numFmt w:val="bullet"/>
      <w:lvlText w:val=""/>
      <w:lvlJc w:val="left"/>
      <w:pPr>
        <w:ind w:left="6507" w:hanging="360"/>
      </w:pPr>
      <w:rPr>
        <w:rFonts w:ascii="Wingdings" w:hAnsi="Wingdings" w:hint="default"/>
      </w:rPr>
    </w:lvl>
  </w:abstractNum>
  <w:abstractNum w:abstractNumId="34" w15:restartNumberingAfterBreak="0">
    <w:nsid w:val="7DB84042"/>
    <w:multiLevelType w:val="hybridMultilevel"/>
    <w:tmpl w:val="0B727B4E"/>
    <w:lvl w:ilvl="0" w:tplc="77C42306">
      <w:start w:val="57"/>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E85EF6"/>
    <w:multiLevelType w:val="multilevel"/>
    <w:tmpl w:val="90406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22"/>
  </w:num>
  <w:num w:numId="3">
    <w:abstractNumId w:val="23"/>
  </w:num>
  <w:num w:numId="4">
    <w:abstractNumId w:val="28"/>
  </w:num>
  <w:num w:numId="5">
    <w:abstractNumId w:val="4"/>
  </w:num>
  <w:num w:numId="6">
    <w:abstractNumId w:val="11"/>
  </w:num>
  <w:num w:numId="7">
    <w:abstractNumId w:val="5"/>
  </w:num>
  <w:num w:numId="8">
    <w:abstractNumId w:val="29"/>
  </w:num>
  <w:num w:numId="9">
    <w:abstractNumId w:val="35"/>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4"/>
  </w:num>
  <w:num w:numId="13">
    <w:abstractNumId w:val="25"/>
  </w:num>
  <w:num w:numId="14">
    <w:abstractNumId w:val="17"/>
  </w:num>
  <w:num w:numId="15">
    <w:abstractNumId w:val="27"/>
  </w:num>
  <w:num w:numId="16">
    <w:abstractNumId w:val="34"/>
  </w:num>
  <w:num w:numId="17">
    <w:abstractNumId w:val="6"/>
  </w:num>
  <w:num w:numId="18">
    <w:abstractNumId w:val="12"/>
  </w:num>
  <w:num w:numId="19">
    <w:abstractNumId w:val="33"/>
  </w:num>
  <w:num w:numId="20">
    <w:abstractNumId w:val="9"/>
  </w:num>
  <w:num w:numId="21">
    <w:abstractNumId w:val="0"/>
  </w:num>
  <w:num w:numId="22">
    <w:abstractNumId w:val="2"/>
  </w:num>
  <w:num w:numId="23">
    <w:abstractNumId w:val="26"/>
  </w:num>
  <w:num w:numId="24">
    <w:abstractNumId w:val="21"/>
  </w:num>
  <w:num w:numId="25">
    <w:abstractNumId w:val="31"/>
  </w:num>
  <w:num w:numId="26">
    <w:abstractNumId w:val="15"/>
  </w:num>
  <w:num w:numId="27">
    <w:abstractNumId w:val="7"/>
  </w:num>
  <w:num w:numId="28">
    <w:abstractNumId w:val="18"/>
  </w:num>
  <w:num w:numId="29">
    <w:abstractNumId w:val="30"/>
  </w:num>
  <w:num w:numId="30">
    <w:abstractNumId w:val="1"/>
  </w:num>
  <w:num w:numId="31">
    <w:abstractNumId w:val="3"/>
  </w:num>
  <w:num w:numId="32">
    <w:abstractNumId w:val="10"/>
  </w:num>
  <w:num w:numId="33">
    <w:abstractNumId w:val="8"/>
  </w:num>
  <w:num w:numId="34">
    <w:abstractNumId w:val="13"/>
  </w:num>
  <w:num w:numId="35">
    <w:abstractNumId w:val="19"/>
  </w:num>
  <w:num w:numId="36">
    <w:abstractNumId w:val="32"/>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BCA"/>
    <w:rsid w:val="00001197"/>
    <w:rsid w:val="0000178B"/>
    <w:rsid w:val="000020C4"/>
    <w:rsid w:val="0000300C"/>
    <w:rsid w:val="00020575"/>
    <w:rsid w:val="00037E5C"/>
    <w:rsid w:val="000561A6"/>
    <w:rsid w:val="00061C17"/>
    <w:rsid w:val="000627B0"/>
    <w:rsid w:val="00063154"/>
    <w:rsid w:val="0007112E"/>
    <w:rsid w:val="00073A0A"/>
    <w:rsid w:val="00091713"/>
    <w:rsid w:val="000A5403"/>
    <w:rsid w:val="000B73A4"/>
    <w:rsid w:val="000C16D6"/>
    <w:rsid w:val="000C2BCA"/>
    <w:rsid w:val="000C376D"/>
    <w:rsid w:val="000E4282"/>
    <w:rsid w:val="000E4DBA"/>
    <w:rsid w:val="000E60FD"/>
    <w:rsid w:val="000F7F85"/>
    <w:rsid w:val="00111F91"/>
    <w:rsid w:val="0011408B"/>
    <w:rsid w:val="0011608E"/>
    <w:rsid w:val="00126120"/>
    <w:rsid w:val="00140329"/>
    <w:rsid w:val="00150ED5"/>
    <w:rsid w:val="00162FA3"/>
    <w:rsid w:val="001712F4"/>
    <w:rsid w:val="001743D0"/>
    <w:rsid w:val="00175ECE"/>
    <w:rsid w:val="00177BDA"/>
    <w:rsid w:val="00186FBC"/>
    <w:rsid w:val="001A023D"/>
    <w:rsid w:val="001B11EC"/>
    <w:rsid w:val="001B485C"/>
    <w:rsid w:val="001B49F7"/>
    <w:rsid w:val="001B4B87"/>
    <w:rsid w:val="001B73E7"/>
    <w:rsid w:val="001B7547"/>
    <w:rsid w:val="001C1075"/>
    <w:rsid w:val="001C6135"/>
    <w:rsid w:val="001D19BF"/>
    <w:rsid w:val="001E3F16"/>
    <w:rsid w:val="001F34CE"/>
    <w:rsid w:val="001F613C"/>
    <w:rsid w:val="0020114A"/>
    <w:rsid w:val="00203A40"/>
    <w:rsid w:val="00207D07"/>
    <w:rsid w:val="002106D1"/>
    <w:rsid w:val="002225F5"/>
    <w:rsid w:val="002443BB"/>
    <w:rsid w:val="00253A75"/>
    <w:rsid w:val="002565AC"/>
    <w:rsid w:val="00257565"/>
    <w:rsid w:val="00265103"/>
    <w:rsid w:val="002665B4"/>
    <w:rsid w:val="00266C19"/>
    <w:rsid w:val="002916FB"/>
    <w:rsid w:val="002B1361"/>
    <w:rsid w:val="002B3FFF"/>
    <w:rsid w:val="002C1F8D"/>
    <w:rsid w:val="002D00F3"/>
    <w:rsid w:val="002D0DCA"/>
    <w:rsid w:val="002E696D"/>
    <w:rsid w:val="002F1465"/>
    <w:rsid w:val="002F28D4"/>
    <w:rsid w:val="002F7CF9"/>
    <w:rsid w:val="00313850"/>
    <w:rsid w:val="00320AF0"/>
    <w:rsid w:val="00330007"/>
    <w:rsid w:val="003343CC"/>
    <w:rsid w:val="00335404"/>
    <w:rsid w:val="003374B4"/>
    <w:rsid w:val="003415E5"/>
    <w:rsid w:val="003607CD"/>
    <w:rsid w:val="00370412"/>
    <w:rsid w:val="00386762"/>
    <w:rsid w:val="00395610"/>
    <w:rsid w:val="003A559E"/>
    <w:rsid w:val="003B58E6"/>
    <w:rsid w:val="003C1AC9"/>
    <w:rsid w:val="003D21E7"/>
    <w:rsid w:val="003E3AC5"/>
    <w:rsid w:val="003E79EC"/>
    <w:rsid w:val="003F7AC6"/>
    <w:rsid w:val="00402BE3"/>
    <w:rsid w:val="00402FB9"/>
    <w:rsid w:val="00410AE7"/>
    <w:rsid w:val="00416431"/>
    <w:rsid w:val="00416DDA"/>
    <w:rsid w:val="00417265"/>
    <w:rsid w:val="00421AD5"/>
    <w:rsid w:val="004238D0"/>
    <w:rsid w:val="00431562"/>
    <w:rsid w:val="004379B8"/>
    <w:rsid w:val="00440858"/>
    <w:rsid w:val="00442181"/>
    <w:rsid w:val="00454BFD"/>
    <w:rsid w:val="004657BE"/>
    <w:rsid w:val="004945BB"/>
    <w:rsid w:val="00497203"/>
    <w:rsid w:val="004A5178"/>
    <w:rsid w:val="004A7AB2"/>
    <w:rsid w:val="004B03F8"/>
    <w:rsid w:val="004B3393"/>
    <w:rsid w:val="004B4E57"/>
    <w:rsid w:val="004C5B36"/>
    <w:rsid w:val="004D2ECC"/>
    <w:rsid w:val="004D5EF5"/>
    <w:rsid w:val="004F00A8"/>
    <w:rsid w:val="00503D67"/>
    <w:rsid w:val="00507FBE"/>
    <w:rsid w:val="005130D9"/>
    <w:rsid w:val="0053086C"/>
    <w:rsid w:val="00544471"/>
    <w:rsid w:val="00566499"/>
    <w:rsid w:val="00571E29"/>
    <w:rsid w:val="0059173A"/>
    <w:rsid w:val="00597148"/>
    <w:rsid w:val="0059778A"/>
    <w:rsid w:val="005A3B7F"/>
    <w:rsid w:val="005B1629"/>
    <w:rsid w:val="005C3CAF"/>
    <w:rsid w:val="005C4CC8"/>
    <w:rsid w:val="005D0B9E"/>
    <w:rsid w:val="005D2421"/>
    <w:rsid w:val="005E71F8"/>
    <w:rsid w:val="005F2461"/>
    <w:rsid w:val="00600E4B"/>
    <w:rsid w:val="0060646B"/>
    <w:rsid w:val="0062081B"/>
    <w:rsid w:val="00622289"/>
    <w:rsid w:val="00624915"/>
    <w:rsid w:val="006313D6"/>
    <w:rsid w:val="00643E17"/>
    <w:rsid w:val="00645B35"/>
    <w:rsid w:val="00650969"/>
    <w:rsid w:val="00654E56"/>
    <w:rsid w:val="00660EB8"/>
    <w:rsid w:val="0066354E"/>
    <w:rsid w:val="00665791"/>
    <w:rsid w:val="00674D5C"/>
    <w:rsid w:val="006846BB"/>
    <w:rsid w:val="006A54F4"/>
    <w:rsid w:val="006D2480"/>
    <w:rsid w:val="006F1A21"/>
    <w:rsid w:val="00702085"/>
    <w:rsid w:val="00703475"/>
    <w:rsid w:val="00703612"/>
    <w:rsid w:val="00706967"/>
    <w:rsid w:val="00711BEE"/>
    <w:rsid w:val="00724B54"/>
    <w:rsid w:val="00727C3B"/>
    <w:rsid w:val="00731DFF"/>
    <w:rsid w:val="007342DA"/>
    <w:rsid w:val="0074154F"/>
    <w:rsid w:val="00772F98"/>
    <w:rsid w:val="00780964"/>
    <w:rsid w:val="00793B88"/>
    <w:rsid w:val="007945FE"/>
    <w:rsid w:val="007C296F"/>
    <w:rsid w:val="007C43B3"/>
    <w:rsid w:val="007D1322"/>
    <w:rsid w:val="007D1C74"/>
    <w:rsid w:val="007E1316"/>
    <w:rsid w:val="007E60E9"/>
    <w:rsid w:val="00801E8E"/>
    <w:rsid w:val="008020CE"/>
    <w:rsid w:val="008062BB"/>
    <w:rsid w:val="00817C81"/>
    <w:rsid w:val="008202A6"/>
    <w:rsid w:val="00820BD2"/>
    <w:rsid w:val="00822EE9"/>
    <w:rsid w:val="008357D8"/>
    <w:rsid w:val="0084768D"/>
    <w:rsid w:val="00852705"/>
    <w:rsid w:val="00862237"/>
    <w:rsid w:val="00870124"/>
    <w:rsid w:val="008870C1"/>
    <w:rsid w:val="00887FA6"/>
    <w:rsid w:val="008913B5"/>
    <w:rsid w:val="0089546A"/>
    <w:rsid w:val="008963A8"/>
    <w:rsid w:val="008A3ECF"/>
    <w:rsid w:val="008A5807"/>
    <w:rsid w:val="008A7BC2"/>
    <w:rsid w:val="008C291F"/>
    <w:rsid w:val="008D422A"/>
    <w:rsid w:val="008E0695"/>
    <w:rsid w:val="008E081D"/>
    <w:rsid w:val="008E2655"/>
    <w:rsid w:val="008F5EAC"/>
    <w:rsid w:val="009003CD"/>
    <w:rsid w:val="0090166B"/>
    <w:rsid w:val="0090505E"/>
    <w:rsid w:val="00905B0B"/>
    <w:rsid w:val="00907A9D"/>
    <w:rsid w:val="009114D2"/>
    <w:rsid w:val="0091331D"/>
    <w:rsid w:val="00914158"/>
    <w:rsid w:val="009151D3"/>
    <w:rsid w:val="009241F3"/>
    <w:rsid w:val="00952770"/>
    <w:rsid w:val="0095675B"/>
    <w:rsid w:val="00956D68"/>
    <w:rsid w:val="009570D8"/>
    <w:rsid w:val="009661AC"/>
    <w:rsid w:val="00967241"/>
    <w:rsid w:val="00967C33"/>
    <w:rsid w:val="009742BA"/>
    <w:rsid w:val="0097665F"/>
    <w:rsid w:val="00980F54"/>
    <w:rsid w:val="00982AC9"/>
    <w:rsid w:val="00986696"/>
    <w:rsid w:val="009876D0"/>
    <w:rsid w:val="00996F1A"/>
    <w:rsid w:val="00997905"/>
    <w:rsid w:val="00997CE3"/>
    <w:rsid w:val="009A0B97"/>
    <w:rsid w:val="009A2CE6"/>
    <w:rsid w:val="009A4025"/>
    <w:rsid w:val="009B07EE"/>
    <w:rsid w:val="009B5DD0"/>
    <w:rsid w:val="009B655E"/>
    <w:rsid w:val="009C2798"/>
    <w:rsid w:val="009C2F59"/>
    <w:rsid w:val="009C5619"/>
    <w:rsid w:val="009D1D80"/>
    <w:rsid w:val="009D22F6"/>
    <w:rsid w:val="009D6EBD"/>
    <w:rsid w:val="009D76FA"/>
    <w:rsid w:val="009E43AB"/>
    <w:rsid w:val="00A02747"/>
    <w:rsid w:val="00A11542"/>
    <w:rsid w:val="00A1490E"/>
    <w:rsid w:val="00A22E59"/>
    <w:rsid w:val="00A27174"/>
    <w:rsid w:val="00A31BDE"/>
    <w:rsid w:val="00A334A5"/>
    <w:rsid w:val="00A34029"/>
    <w:rsid w:val="00A5064D"/>
    <w:rsid w:val="00A5139C"/>
    <w:rsid w:val="00A53AD6"/>
    <w:rsid w:val="00A6550B"/>
    <w:rsid w:val="00A667FC"/>
    <w:rsid w:val="00A710DA"/>
    <w:rsid w:val="00A76729"/>
    <w:rsid w:val="00A856F0"/>
    <w:rsid w:val="00A90A2D"/>
    <w:rsid w:val="00AA1A41"/>
    <w:rsid w:val="00AA5F55"/>
    <w:rsid w:val="00AB0FAC"/>
    <w:rsid w:val="00AB185F"/>
    <w:rsid w:val="00AB583A"/>
    <w:rsid w:val="00AC5326"/>
    <w:rsid w:val="00AC7EF0"/>
    <w:rsid w:val="00AD2A5E"/>
    <w:rsid w:val="00AD32B3"/>
    <w:rsid w:val="00AE3628"/>
    <w:rsid w:val="00AE364C"/>
    <w:rsid w:val="00AE3B75"/>
    <w:rsid w:val="00AF689D"/>
    <w:rsid w:val="00B10C54"/>
    <w:rsid w:val="00B16EC0"/>
    <w:rsid w:val="00B304DF"/>
    <w:rsid w:val="00B3538E"/>
    <w:rsid w:val="00B46879"/>
    <w:rsid w:val="00B50DC6"/>
    <w:rsid w:val="00B555A5"/>
    <w:rsid w:val="00B65462"/>
    <w:rsid w:val="00B70603"/>
    <w:rsid w:val="00B73F6C"/>
    <w:rsid w:val="00B7796C"/>
    <w:rsid w:val="00B80553"/>
    <w:rsid w:val="00B854F6"/>
    <w:rsid w:val="00B96161"/>
    <w:rsid w:val="00B96577"/>
    <w:rsid w:val="00BA3B5F"/>
    <w:rsid w:val="00BA4F99"/>
    <w:rsid w:val="00BA53FA"/>
    <w:rsid w:val="00BB3729"/>
    <w:rsid w:val="00BC3B1C"/>
    <w:rsid w:val="00BE51FD"/>
    <w:rsid w:val="00BF4CF7"/>
    <w:rsid w:val="00C02E90"/>
    <w:rsid w:val="00C03312"/>
    <w:rsid w:val="00C12760"/>
    <w:rsid w:val="00C14901"/>
    <w:rsid w:val="00C16998"/>
    <w:rsid w:val="00C16A11"/>
    <w:rsid w:val="00C17F50"/>
    <w:rsid w:val="00C326D1"/>
    <w:rsid w:val="00C465A0"/>
    <w:rsid w:val="00C53A11"/>
    <w:rsid w:val="00C57DB5"/>
    <w:rsid w:val="00C95C22"/>
    <w:rsid w:val="00CB2CC0"/>
    <w:rsid w:val="00CC3876"/>
    <w:rsid w:val="00CC78FF"/>
    <w:rsid w:val="00CD079D"/>
    <w:rsid w:val="00CD3921"/>
    <w:rsid w:val="00CD4C84"/>
    <w:rsid w:val="00D07BFF"/>
    <w:rsid w:val="00D14C32"/>
    <w:rsid w:val="00D21F08"/>
    <w:rsid w:val="00D25F9C"/>
    <w:rsid w:val="00D27FBA"/>
    <w:rsid w:val="00D361BC"/>
    <w:rsid w:val="00D4153E"/>
    <w:rsid w:val="00D45471"/>
    <w:rsid w:val="00D5574D"/>
    <w:rsid w:val="00D57444"/>
    <w:rsid w:val="00D57F05"/>
    <w:rsid w:val="00D74F35"/>
    <w:rsid w:val="00D82FD3"/>
    <w:rsid w:val="00D87EED"/>
    <w:rsid w:val="00D903A8"/>
    <w:rsid w:val="00D94A68"/>
    <w:rsid w:val="00DB5580"/>
    <w:rsid w:val="00DB6341"/>
    <w:rsid w:val="00DB7A9A"/>
    <w:rsid w:val="00DC3563"/>
    <w:rsid w:val="00DC3F40"/>
    <w:rsid w:val="00DC74BF"/>
    <w:rsid w:val="00DD1F7D"/>
    <w:rsid w:val="00DE3E68"/>
    <w:rsid w:val="00DF1C24"/>
    <w:rsid w:val="00DF497F"/>
    <w:rsid w:val="00E03151"/>
    <w:rsid w:val="00E07B0B"/>
    <w:rsid w:val="00E100C2"/>
    <w:rsid w:val="00E11F9C"/>
    <w:rsid w:val="00E13F5F"/>
    <w:rsid w:val="00E22184"/>
    <w:rsid w:val="00E40132"/>
    <w:rsid w:val="00E44D69"/>
    <w:rsid w:val="00E4568D"/>
    <w:rsid w:val="00E45771"/>
    <w:rsid w:val="00E5051C"/>
    <w:rsid w:val="00E55623"/>
    <w:rsid w:val="00E61B75"/>
    <w:rsid w:val="00E71356"/>
    <w:rsid w:val="00E76CC3"/>
    <w:rsid w:val="00E81421"/>
    <w:rsid w:val="00E840C7"/>
    <w:rsid w:val="00E94583"/>
    <w:rsid w:val="00EB3207"/>
    <w:rsid w:val="00EB7F32"/>
    <w:rsid w:val="00EC5DAD"/>
    <w:rsid w:val="00EC6879"/>
    <w:rsid w:val="00EE03CE"/>
    <w:rsid w:val="00EF7F99"/>
    <w:rsid w:val="00F040E5"/>
    <w:rsid w:val="00F10F92"/>
    <w:rsid w:val="00F13609"/>
    <w:rsid w:val="00F46B3C"/>
    <w:rsid w:val="00F5027F"/>
    <w:rsid w:val="00F52290"/>
    <w:rsid w:val="00F73D56"/>
    <w:rsid w:val="00F75650"/>
    <w:rsid w:val="00F82C32"/>
    <w:rsid w:val="00F95116"/>
    <w:rsid w:val="00FB212D"/>
    <w:rsid w:val="00FB55A3"/>
    <w:rsid w:val="00FC4191"/>
    <w:rsid w:val="00FC63D0"/>
    <w:rsid w:val="00FC656C"/>
    <w:rsid w:val="00FD1CD3"/>
    <w:rsid w:val="00FD7FF2"/>
    <w:rsid w:val="00FF1167"/>
    <w:rsid w:val="00FF6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B1338A"/>
  <w15:chartTrackingRefBased/>
  <w15:docId w15:val="{D7EC4ED9-30E4-451C-800F-5E01E0F8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903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5D0B9E"/>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Char3, Char3,Fußnotentextf,Fußnotentextr,stile 1,Footnote1,Footnote2,Footnote3,Footnote4,Footnote5,Footnote6,Footnote7,Footnote8,Footnote9,Footnote10,Footnote11,Footnote21,Footnote31,Footnote41,Footnote51,Footnote61,Footnote71,FT,ft"/>
    <w:basedOn w:val="Normal"/>
    <w:link w:val="FootnoteTextChar"/>
    <w:uiPriority w:val="99"/>
    <w:unhideWhenUsed/>
    <w:qFormat/>
    <w:rsid w:val="0000178B"/>
    <w:pPr>
      <w:spacing w:after="0" w:line="240" w:lineRule="auto"/>
    </w:pPr>
    <w:rPr>
      <w:sz w:val="20"/>
      <w:szCs w:val="20"/>
    </w:rPr>
  </w:style>
  <w:style w:type="character" w:customStyle="1" w:styleId="FootnoteTextChar">
    <w:name w:val="Footnote Text Char"/>
    <w:aliases w:val="Car Char,Char3 Char, Char3 Char,Fußnotentextf Char,Fußnotentextr Char,stile 1 Char,Footnote1 Char,Footnote2 Char,Footnote3 Char,Footnote4 Char,Footnote5 Char,Footnote6 Char,Footnote7 Char,Footnote8 Char,Footnote9 Char,Footnote10 Char"/>
    <w:basedOn w:val="DefaultParagraphFont"/>
    <w:link w:val="FootnoteText"/>
    <w:uiPriority w:val="99"/>
    <w:rsid w:val="0000178B"/>
    <w:rPr>
      <w:sz w:val="20"/>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basedOn w:val="DefaultParagraphFont"/>
    <w:uiPriority w:val="99"/>
    <w:unhideWhenUsed/>
    <w:rsid w:val="0000178B"/>
    <w:rPr>
      <w:vertAlign w:val="superscript"/>
    </w:rPr>
  </w:style>
  <w:style w:type="character" w:styleId="Hyperlink">
    <w:name w:val="Hyperlink"/>
    <w:basedOn w:val="DefaultParagraphFont"/>
    <w:uiPriority w:val="99"/>
    <w:unhideWhenUsed/>
    <w:rsid w:val="0000178B"/>
    <w:rPr>
      <w:color w:val="0563C1" w:themeColor="hyperlink"/>
      <w:u w:val="single"/>
    </w:rPr>
  </w:style>
  <w:style w:type="character" w:styleId="Emphasis">
    <w:name w:val="Emphasis"/>
    <w:basedOn w:val="DefaultParagraphFont"/>
    <w:uiPriority w:val="20"/>
    <w:qFormat/>
    <w:rsid w:val="00B50DC6"/>
    <w:rPr>
      <w:i/>
      <w:iCs/>
    </w:rPr>
  </w:style>
  <w:style w:type="character" w:styleId="FollowedHyperlink">
    <w:name w:val="FollowedHyperlink"/>
    <w:basedOn w:val="DefaultParagraphFont"/>
    <w:uiPriority w:val="99"/>
    <w:semiHidden/>
    <w:unhideWhenUsed/>
    <w:rsid w:val="00063154"/>
    <w:rPr>
      <w:color w:val="954F72" w:themeColor="followedHyperlink"/>
      <w:u w:val="single"/>
    </w:rPr>
  </w:style>
  <w:style w:type="paragraph" w:styleId="NormalWeb">
    <w:name w:val="Normal (Web)"/>
    <w:basedOn w:val="Normal"/>
    <w:uiPriority w:val="99"/>
    <w:unhideWhenUsed/>
    <w:rsid w:val="00772F9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05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5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403"/>
  </w:style>
  <w:style w:type="paragraph" w:styleId="Footer">
    <w:name w:val="footer"/>
    <w:basedOn w:val="Normal"/>
    <w:link w:val="FooterChar"/>
    <w:uiPriority w:val="99"/>
    <w:unhideWhenUsed/>
    <w:rsid w:val="000A54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403"/>
  </w:style>
  <w:style w:type="paragraph" w:styleId="ListParagraph">
    <w:name w:val="List Paragraph"/>
    <w:aliases w:val="Catch All,Heading III,Bullet List,FooterText,List Paragraph1,numbered,Paragraphe de liste1,Bulletr List Paragraph,列出段落,列出段落1,Listeafsnit1,Parágrafo da Lista1,List Paragraph2,List Paragraph21,Párrafo de lista1,リスト段落1,Bullet list,Foot,リスト段落"/>
    <w:basedOn w:val="Normal"/>
    <w:link w:val="ListParagraphChar"/>
    <w:uiPriority w:val="34"/>
    <w:qFormat/>
    <w:rsid w:val="00E81421"/>
    <w:pPr>
      <w:spacing w:after="0" w:line="240" w:lineRule="auto"/>
      <w:ind w:left="720"/>
    </w:pPr>
    <w:rPr>
      <w:rFonts w:ascii="Calibri" w:hAnsi="Calibri" w:cs="Calibri"/>
    </w:rPr>
  </w:style>
  <w:style w:type="character" w:customStyle="1" w:styleId="caps">
    <w:name w:val="caps"/>
    <w:basedOn w:val="DefaultParagraphFont"/>
    <w:rsid w:val="00257565"/>
  </w:style>
  <w:style w:type="paragraph" w:styleId="BalloonText">
    <w:name w:val="Balloon Text"/>
    <w:basedOn w:val="Normal"/>
    <w:link w:val="BalloonTextChar"/>
    <w:uiPriority w:val="99"/>
    <w:semiHidden/>
    <w:unhideWhenUsed/>
    <w:rsid w:val="008020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0CE"/>
    <w:rPr>
      <w:rFonts w:ascii="Segoe UI" w:hAnsi="Segoe UI" w:cs="Segoe UI"/>
      <w:sz w:val="18"/>
      <w:szCs w:val="18"/>
    </w:rPr>
  </w:style>
  <w:style w:type="character" w:styleId="CommentReference">
    <w:name w:val="annotation reference"/>
    <w:basedOn w:val="DefaultParagraphFont"/>
    <w:uiPriority w:val="99"/>
    <w:semiHidden/>
    <w:unhideWhenUsed/>
    <w:rsid w:val="008020CE"/>
    <w:rPr>
      <w:sz w:val="16"/>
      <w:szCs w:val="16"/>
    </w:rPr>
  </w:style>
  <w:style w:type="paragraph" w:styleId="CommentText">
    <w:name w:val="annotation text"/>
    <w:basedOn w:val="Normal"/>
    <w:link w:val="CommentTextChar"/>
    <w:uiPriority w:val="99"/>
    <w:semiHidden/>
    <w:unhideWhenUsed/>
    <w:rsid w:val="008020CE"/>
    <w:pPr>
      <w:spacing w:line="240" w:lineRule="auto"/>
    </w:pPr>
    <w:rPr>
      <w:sz w:val="20"/>
      <w:szCs w:val="20"/>
    </w:rPr>
  </w:style>
  <w:style w:type="character" w:customStyle="1" w:styleId="CommentTextChar">
    <w:name w:val="Comment Text Char"/>
    <w:basedOn w:val="DefaultParagraphFont"/>
    <w:link w:val="CommentText"/>
    <w:uiPriority w:val="99"/>
    <w:semiHidden/>
    <w:rsid w:val="008020CE"/>
    <w:rPr>
      <w:sz w:val="20"/>
      <w:szCs w:val="20"/>
    </w:rPr>
  </w:style>
  <w:style w:type="paragraph" w:styleId="CommentSubject">
    <w:name w:val="annotation subject"/>
    <w:basedOn w:val="CommentText"/>
    <w:next w:val="CommentText"/>
    <w:link w:val="CommentSubjectChar"/>
    <w:uiPriority w:val="99"/>
    <w:semiHidden/>
    <w:unhideWhenUsed/>
    <w:rsid w:val="008020CE"/>
    <w:rPr>
      <w:b/>
      <w:bCs/>
    </w:rPr>
  </w:style>
  <w:style w:type="character" w:customStyle="1" w:styleId="CommentSubjectChar">
    <w:name w:val="Comment Subject Char"/>
    <w:basedOn w:val="CommentTextChar"/>
    <w:link w:val="CommentSubject"/>
    <w:uiPriority w:val="99"/>
    <w:semiHidden/>
    <w:rsid w:val="008020CE"/>
    <w:rPr>
      <w:b/>
      <w:bCs/>
      <w:sz w:val="20"/>
      <w:szCs w:val="20"/>
    </w:rPr>
  </w:style>
  <w:style w:type="character" w:customStyle="1" w:styleId="ListParagraphChar">
    <w:name w:val="List Paragraph Char"/>
    <w:aliases w:val="Catch All Char,Heading III Char,Bullet List Char,FooterText Char,List Paragraph1 Char,numbered Char,Paragraphe de liste1 Char,Bulletr List Paragraph Char,列出段落 Char,列出段落1 Char,Listeafsnit1 Char,Parágrafo da Lista1 Char,リスト段落1 Char"/>
    <w:basedOn w:val="DefaultParagraphFont"/>
    <w:link w:val="ListParagraph"/>
    <w:uiPriority w:val="34"/>
    <w:rsid w:val="00061C17"/>
    <w:rPr>
      <w:rFonts w:ascii="Calibri" w:hAnsi="Calibri" w:cs="Calibri"/>
    </w:rPr>
  </w:style>
  <w:style w:type="character" w:customStyle="1" w:styleId="Heading2Char">
    <w:name w:val="Heading 2 Char"/>
    <w:basedOn w:val="DefaultParagraphFont"/>
    <w:link w:val="Heading2"/>
    <w:uiPriority w:val="9"/>
    <w:rsid w:val="00D903A8"/>
    <w:rPr>
      <w:rFonts w:ascii="Times New Roman" w:eastAsia="Times New Roman" w:hAnsi="Times New Roman" w:cs="Times New Roman"/>
      <w:b/>
      <w:bCs/>
      <w:sz w:val="36"/>
      <w:szCs w:val="36"/>
    </w:rPr>
  </w:style>
  <w:style w:type="paragraph" w:styleId="ListBullet2">
    <w:name w:val="List Bullet 2"/>
    <w:basedOn w:val="Normal"/>
    <w:autoRedefine/>
    <w:uiPriority w:val="99"/>
    <w:unhideWhenUsed/>
    <w:rsid w:val="002F1465"/>
    <w:pPr>
      <w:shd w:val="clear" w:color="auto" w:fill="FFFFFF" w:themeFill="background1"/>
      <w:spacing w:after="120" w:line="240" w:lineRule="auto"/>
      <w:contextualSpacing/>
      <w:jc w:val="both"/>
    </w:pPr>
    <w:rPr>
      <w:rFonts w:eastAsia="Times New Roman" w:cstheme="minorHAnsi"/>
      <w:color w:val="000000" w:themeColor="text1"/>
      <w:lang w:val="en-GB" w:eastAsia="ja-JP"/>
    </w:rPr>
  </w:style>
  <w:style w:type="paragraph" w:styleId="NoSpacing">
    <w:name w:val="No Spacing"/>
    <w:uiPriority w:val="1"/>
    <w:qFormat/>
    <w:rsid w:val="00706967"/>
    <w:pPr>
      <w:spacing w:after="0" w:line="240" w:lineRule="auto"/>
    </w:pPr>
    <w:rPr>
      <w:lang w:val="en-GB"/>
    </w:rPr>
  </w:style>
  <w:style w:type="character" w:customStyle="1" w:styleId="Heading3Char">
    <w:name w:val="Heading 3 Char"/>
    <w:basedOn w:val="DefaultParagraphFont"/>
    <w:link w:val="Heading3"/>
    <w:uiPriority w:val="9"/>
    <w:rsid w:val="005D0B9E"/>
    <w:rPr>
      <w:rFonts w:asciiTheme="majorHAnsi" w:eastAsiaTheme="majorEastAsia" w:hAnsiTheme="majorHAnsi" w:cstheme="majorBidi"/>
      <w:color w:val="1F4D78" w:themeColor="accent1" w:themeShade="7F"/>
      <w:sz w:val="24"/>
      <w:szCs w:val="24"/>
      <w:lang w:val="en-GB" w:eastAsia="en-GB"/>
    </w:rPr>
  </w:style>
  <w:style w:type="paragraph" w:styleId="EndnoteText">
    <w:name w:val="endnote text"/>
    <w:basedOn w:val="Normal"/>
    <w:link w:val="EndnoteTextChar"/>
    <w:uiPriority w:val="99"/>
    <w:semiHidden/>
    <w:unhideWhenUsed/>
    <w:rsid w:val="00982A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2AC9"/>
    <w:rPr>
      <w:sz w:val="20"/>
      <w:szCs w:val="20"/>
    </w:rPr>
  </w:style>
  <w:style w:type="character" w:styleId="EndnoteReference">
    <w:name w:val="endnote reference"/>
    <w:basedOn w:val="DefaultParagraphFont"/>
    <w:uiPriority w:val="99"/>
    <w:semiHidden/>
    <w:unhideWhenUsed/>
    <w:rsid w:val="00982AC9"/>
    <w:rPr>
      <w:vertAlign w:val="superscript"/>
    </w:rPr>
  </w:style>
  <w:style w:type="paragraph" w:customStyle="1" w:styleId="CM1">
    <w:name w:val="CM1"/>
    <w:basedOn w:val="Normal"/>
    <w:next w:val="Normal"/>
    <w:uiPriority w:val="99"/>
    <w:rsid w:val="005A3B7F"/>
    <w:pPr>
      <w:autoSpaceDE w:val="0"/>
      <w:autoSpaceDN w:val="0"/>
      <w:adjustRightInd w:val="0"/>
      <w:spacing w:after="0" w:line="240" w:lineRule="auto"/>
    </w:pPr>
    <w:rPr>
      <w:rFonts w:ascii="EUAlbertina" w:hAnsi="EUAlbertina"/>
      <w:sz w:val="24"/>
      <w:szCs w:val="24"/>
      <w:lang w:val="en-GB"/>
    </w:rPr>
  </w:style>
  <w:style w:type="paragraph" w:customStyle="1" w:styleId="CM3">
    <w:name w:val="CM3"/>
    <w:basedOn w:val="Normal"/>
    <w:next w:val="Normal"/>
    <w:uiPriority w:val="99"/>
    <w:rsid w:val="005A3B7F"/>
    <w:pPr>
      <w:autoSpaceDE w:val="0"/>
      <w:autoSpaceDN w:val="0"/>
      <w:adjustRightInd w:val="0"/>
      <w:spacing w:after="0" w:line="240" w:lineRule="auto"/>
    </w:pPr>
    <w:rPr>
      <w:rFonts w:ascii="EUAlbertina" w:hAnsi="EUAlbertina"/>
      <w:sz w:val="24"/>
      <w:szCs w:val="24"/>
      <w:lang w:val="en-GB"/>
    </w:rPr>
  </w:style>
  <w:style w:type="paragraph" w:customStyle="1" w:styleId="Default">
    <w:name w:val="Default"/>
    <w:rsid w:val="00DD1F7D"/>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273563">
      <w:bodyDiv w:val="1"/>
      <w:marLeft w:val="0"/>
      <w:marRight w:val="0"/>
      <w:marTop w:val="0"/>
      <w:marBottom w:val="0"/>
      <w:divBdr>
        <w:top w:val="none" w:sz="0" w:space="0" w:color="auto"/>
        <w:left w:val="none" w:sz="0" w:space="0" w:color="auto"/>
        <w:bottom w:val="none" w:sz="0" w:space="0" w:color="auto"/>
        <w:right w:val="none" w:sz="0" w:space="0" w:color="auto"/>
      </w:divBdr>
    </w:div>
    <w:div w:id="739137360">
      <w:bodyDiv w:val="1"/>
      <w:marLeft w:val="0"/>
      <w:marRight w:val="0"/>
      <w:marTop w:val="0"/>
      <w:marBottom w:val="0"/>
      <w:divBdr>
        <w:top w:val="none" w:sz="0" w:space="0" w:color="auto"/>
        <w:left w:val="none" w:sz="0" w:space="0" w:color="auto"/>
        <w:bottom w:val="none" w:sz="0" w:space="0" w:color="auto"/>
        <w:right w:val="none" w:sz="0" w:space="0" w:color="auto"/>
      </w:divBdr>
    </w:div>
    <w:div w:id="787746844">
      <w:bodyDiv w:val="1"/>
      <w:marLeft w:val="0"/>
      <w:marRight w:val="0"/>
      <w:marTop w:val="0"/>
      <w:marBottom w:val="0"/>
      <w:divBdr>
        <w:top w:val="none" w:sz="0" w:space="0" w:color="auto"/>
        <w:left w:val="none" w:sz="0" w:space="0" w:color="auto"/>
        <w:bottom w:val="none" w:sz="0" w:space="0" w:color="auto"/>
        <w:right w:val="none" w:sz="0" w:space="0" w:color="auto"/>
      </w:divBdr>
    </w:div>
    <w:div w:id="1130630068">
      <w:bodyDiv w:val="1"/>
      <w:marLeft w:val="0"/>
      <w:marRight w:val="0"/>
      <w:marTop w:val="0"/>
      <w:marBottom w:val="0"/>
      <w:divBdr>
        <w:top w:val="none" w:sz="0" w:space="0" w:color="auto"/>
        <w:left w:val="none" w:sz="0" w:space="0" w:color="auto"/>
        <w:bottom w:val="none" w:sz="0" w:space="0" w:color="auto"/>
        <w:right w:val="none" w:sz="0" w:space="0" w:color="auto"/>
      </w:divBdr>
    </w:div>
    <w:div w:id="1448815691">
      <w:bodyDiv w:val="1"/>
      <w:marLeft w:val="0"/>
      <w:marRight w:val="0"/>
      <w:marTop w:val="0"/>
      <w:marBottom w:val="0"/>
      <w:divBdr>
        <w:top w:val="none" w:sz="0" w:space="0" w:color="auto"/>
        <w:left w:val="none" w:sz="0" w:space="0" w:color="auto"/>
        <w:bottom w:val="none" w:sz="0" w:space="0" w:color="auto"/>
        <w:right w:val="none" w:sz="0" w:space="0" w:color="auto"/>
      </w:divBdr>
    </w:div>
    <w:div w:id="1482163069">
      <w:bodyDiv w:val="1"/>
      <w:marLeft w:val="0"/>
      <w:marRight w:val="0"/>
      <w:marTop w:val="0"/>
      <w:marBottom w:val="0"/>
      <w:divBdr>
        <w:top w:val="none" w:sz="0" w:space="0" w:color="auto"/>
        <w:left w:val="none" w:sz="0" w:space="0" w:color="auto"/>
        <w:bottom w:val="none" w:sz="0" w:space="0" w:color="auto"/>
        <w:right w:val="none" w:sz="0" w:space="0" w:color="auto"/>
      </w:divBdr>
    </w:div>
    <w:div w:id="1586525163">
      <w:bodyDiv w:val="1"/>
      <w:marLeft w:val="0"/>
      <w:marRight w:val="0"/>
      <w:marTop w:val="0"/>
      <w:marBottom w:val="0"/>
      <w:divBdr>
        <w:top w:val="none" w:sz="0" w:space="0" w:color="auto"/>
        <w:left w:val="none" w:sz="0" w:space="0" w:color="auto"/>
        <w:bottom w:val="none" w:sz="0" w:space="0" w:color="auto"/>
        <w:right w:val="none" w:sz="0" w:space="0" w:color="auto"/>
      </w:divBdr>
    </w:div>
    <w:div w:id="1898930198">
      <w:bodyDiv w:val="1"/>
      <w:marLeft w:val="0"/>
      <w:marRight w:val="0"/>
      <w:marTop w:val="0"/>
      <w:marBottom w:val="0"/>
      <w:divBdr>
        <w:top w:val="none" w:sz="0" w:space="0" w:color="auto"/>
        <w:left w:val="none" w:sz="0" w:space="0" w:color="auto"/>
        <w:bottom w:val="none" w:sz="0" w:space="0" w:color="auto"/>
        <w:right w:val="none" w:sz="0" w:space="0" w:color="auto"/>
      </w:divBdr>
    </w:div>
    <w:div w:id="201687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ma.europa.eu/document/guidelines-transfer-data-between-trade-repositor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ma.europa.eu/press-news/consultations/technical-standards-reporting-data-quality-data-access-and-registr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transition" TargetMode="External"/><Relationship Id="rId4" Type="http://schemas.openxmlformats.org/officeDocument/2006/relationships/settings" Target="settings.xml"/><Relationship Id="rId9" Type="http://schemas.openxmlformats.org/officeDocument/2006/relationships/hyperlink" Target="https://eur-lex.europa.eu/legal-content/EN/TXT/?uri=uriserv:OJ.L_.2019.141.01.0042.01.ENG&amp;toc=OJ:L:2019:141:TO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4FD67-A67D-4FF6-AD91-162E3F834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2387</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Kennedy</dc:creator>
  <cp:keywords/>
  <dc:description/>
  <cp:lastModifiedBy>Andrew Bayley</cp:lastModifiedBy>
  <cp:revision>5</cp:revision>
  <cp:lastPrinted>2020-01-30T09:58:00Z</cp:lastPrinted>
  <dcterms:created xsi:type="dcterms:W3CDTF">2020-05-07T16:19:00Z</dcterms:created>
  <dcterms:modified xsi:type="dcterms:W3CDTF">2020-05-07T16:27:00Z</dcterms:modified>
</cp:coreProperties>
</file>