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343" w:rsidRPr="000A2A53" w:rsidRDefault="002A27EB" w:rsidP="00194343">
      <w:pPr>
        <w:keepNext/>
        <w:keepLines/>
        <w:spacing w:before="240" w:after="0" w:line="240" w:lineRule="auto"/>
        <w:jc w:val="center"/>
        <w:rPr>
          <w:rFonts w:eastAsia="Times New Roman"/>
          <w:sz w:val="48"/>
          <w:szCs w:val="48"/>
        </w:rPr>
      </w:pPr>
      <w:r>
        <w:rPr>
          <w:rFonts w:eastAsia="Times New Roman"/>
          <w:b/>
          <w:noProof/>
          <w:szCs w:val="20"/>
        </w:rPr>
        <w:drawing>
          <wp:inline distT="0" distB="0" distL="0" distR="0">
            <wp:extent cx="1449705" cy="3600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9705" cy="360045"/>
                    </a:xfrm>
                    <a:prstGeom prst="rect">
                      <a:avLst/>
                    </a:prstGeom>
                    <a:noFill/>
                    <a:ln>
                      <a:noFill/>
                    </a:ln>
                  </pic:spPr>
                </pic:pic>
              </a:graphicData>
            </a:graphic>
          </wp:inline>
        </w:drawing>
      </w:r>
    </w:p>
    <w:p w:rsidR="00194343" w:rsidRPr="000A2A53" w:rsidRDefault="00194343" w:rsidP="00194343">
      <w:pPr>
        <w:keepNext/>
        <w:keepLines/>
        <w:spacing w:before="240" w:after="0" w:line="240" w:lineRule="auto"/>
        <w:jc w:val="center"/>
        <w:rPr>
          <w:rFonts w:eastAsia="Times New Roman"/>
          <w:b/>
          <w:szCs w:val="24"/>
        </w:rPr>
      </w:pPr>
      <w:r w:rsidRPr="000A2A53">
        <w:rPr>
          <w:rFonts w:eastAsia="Times New Roman"/>
          <w:b/>
          <w:szCs w:val="20"/>
        </w:rPr>
        <w:t>International Swaps and Derivatives Association, Inc.</w:t>
      </w:r>
      <w:r w:rsidRPr="000A2A53">
        <w:rPr>
          <w:rFonts w:eastAsia="Times New Roman"/>
          <w:b/>
          <w:szCs w:val="24"/>
        </w:rPr>
        <w:br/>
      </w:r>
      <w:r w:rsidRPr="000A2A53">
        <w:rPr>
          <w:rFonts w:eastAsia="Times New Roman"/>
          <w:b/>
          <w:sz w:val="32"/>
          <w:szCs w:val="32"/>
        </w:rPr>
        <w:br/>
      </w:r>
      <w:r w:rsidR="000A56FA" w:rsidRPr="000A56FA">
        <w:rPr>
          <w:rFonts w:eastAsia="Times New Roman"/>
          <w:b/>
          <w:sz w:val="32"/>
          <w:szCs w:val="32"/>
        </w:rPr>
        <w:t xml:space="preserve">AUSTRALIAN SINGLE-SIDED REPORTING </w:t>
      </w:r>
      <w:r w:rsidR="002339CB">
        <w:rPr>
          <w:rFonts w:eastAsia="Times New Roman"/>
          <w:b/>
          <w:sz w:val="32"/>
          <w:szCs w:val="32"/>
        </w:rPr>
        <w:t>LETTER</w:t>
      </w:r>
    </w:p>
    <w:p w:rsidR="00194343" w:rsidRPr="000A2A53" w:rsidRDefault="00194343" w:rsidP="00194343">
      <w:pPr>
        <w:keepNext/>
        <w:keepLines/>
        <w:spacing w:before="240" w:after="0" w:line="240" w:lineRule="auto"/>
        <w:jc w:val="center"/>
        <w:rPr>
          <w:rFonts w:eastAsia="Times New Roman"/>
          <w:b/>
          <w:szCs w:val="24"/>
        </w:rPr>
      </w:pPr>
      <w:r w:rsidRPr="000A2A53">
        <w:rPr>
          <w:rFonts w:eastAsia="Times New Roman"/>
          <w:b/>
          <w:szCs w:val="20"/>
        </w:rPr>
        <w:t xml:space="preserve">published on </w:t>
      </w:r>
      <w:r w:rsidR="002D7B79">
        <w:rPr>
          <w:rFonts w:eastAsia="Times New Roman"/>
          <w:b/>
          <w:szCs w:val="20"/>
        </w:rPr>
        <w:t>September 24</w:t>
      </w:r>
      <w:r w:rsidR="000A56FA">
        <w:rPr>
          <w:rFonts w:eastAsia="Times New Roman"/>
          <w:b/>
          <w:szCs w:val="20"/>
        </w:rPr>
        <w:t>, 2015</w:t>
      </w:r>
      <w:r w:rsidRPr="000A2A53">
        <w:rPr>
          <w:rFonts w:eastAsia="Times New Roman"/>
          <w:b/>
          <w:szCs w:val="20"/>
        </w:rPr>
        <w:br/>
        <w:t>by the International Swaps and Derivatives Association, Inc.</w:t>
      </w:r>
    </w:p>
    <w:p w:rsidR="00194343" w:rsidRPr="000A2A53" w:rsidRDefault="00194343" w:rsidP="00194343">
      <w:pPr>
        <w:spacing w:after="0" w:line="240" w:lineRule="auto"/>
        <w:rPr>
          <w:rFonts w:eastAsia="Times New Roman"/>
          <w:b/>
          <w:szCs w:val="24"/>
        </w:rPr>
      </w:pPr>
      <w:r w:rsidRPr="000A2A53">
        <w:rPr>
          <w:rFonts w:eastAsia="Times New Roman"/>
          <w:b/>
          <w:sz w:val="40"/>
          <w:szCs w:val="40"/>
        </w:rPr>
        <w:t>______________________________________________</w:t>
      </w:r>
    </w:p>
    <w:p w:rsidR="00F27DEE" w:rsidRPr="002420A9" w:rsidRDefault="00194343" w:rsidP="00194343">
      <w:pPr>
        <w:spacing w:after="0" w:line="240" w:lineRule="auto"/>
        <w:ind w:right="180"/>
        <w:jc w:val="both"/>
        <w:rPr>
          <w:rFonts w:eastAsia="Times New Roman"/>
          <w:szCs w:val="24"/>
        </w:rPr>
      </w:pPr>
      <w:r w:rsidRPr="002420A9">
        <w:rPr>
          <w:rFonts w:eastAsia="Times New Roman"/>
          <w:b/>
          <w:szCs w:val="24"/>
          <w:u w:val="single"/>
        </w:rPr>
        <w:br/>
      </w:r>
      <w:r w:rsidRPr="002420A9">
        <w:t xml:space="preserve">On </w:t>
      </w:r>
      <w:r w:rsidR="00ED218D">
        <w:t>September 3</w:t>
      </w:r>
      <w:r w:rsidR="000A56FA">
        <w:t>, 2015</w:t>
      </w:r>
      <w:r w:rsidRPr="002420A9">
        <w:t>, the</w:t>
      </w:r>
      <w:r w:rsidR="002339CB">
        <w:t xml:space="preserve"> Australian</w:t>
      </w:r>
      <w:r w:rsidRPr="002420A9">
        <w:t xml:space="preserve"> </w:t>
      </w:r>
      <w:r w:rsidR="002339CB">
        <w:t>Treasury</w:t>
      </w:r>
      <w:r w:rsidRPr="002420A9">
        <w:t xml:space="preserve"> </w:t>
      </w:r>
      <w:r w:rsidR="002339CB">
        <w:t>promulgated the Corporations Amendment (Central Clearing and Single-Sided Reporting) Regulation 2015</w:t>
      </w:r>
      <w:r w:rsidR="008E1838">
        <w:t xml:space="preserve"> which (amongst other things) amends the Corporations Regulations 2001 to include a single-sided reporting exemption (the “</w:t>
      </w:r>
      <w:r w:rsidR="008E1838">
        <w:rPr>
          <w:b/>
          <w:i/>
        </w:rPr>
        <w:t>single-sided reporting exemption</w:t>
      </w:r>
      <w:r w:rsidR="008E1838" w:rsidRPr="00D971C9">
        <w:t>”)</w:t>
      </w:r>
      <w:r w:rsidR="0009166B" w:rsidRPr="008E1838">
        <w:t>.</w:t>
      </w:r>
      <w:r w:rsidR="0009166B">
        <w:t xml:space="preserve"> </w:t>
      </w:r>
      <w:r w:rsidRPr="002420A9">
        <w:rPr>
          <w:rFonts w:eastAsia="Times New Roman"/>
          <w:szCs w:val="24"/>
        </w:rPr>
        <w:t xml:space="preserve">This letter </w:t>
      </w:r>
      <w:r w:rsidR="00976DC0" w:rsidRPr="002420A9">
        <w:rPr>
          <w:rFonts w:eastAsia="Times New Roman"/>
          <w:szCs w:val="24"/>
        </w:rPr>
        <w:t>allow</w:t>
      </w:r>
      <w:r w:rsidR="00A70C63" w:rsidRPr="002420A9">
        <w:rPr>
          <w:rFonts w:eastAsia="Times New Roman"/>
          <w:szCs w:val="24"/>
        </w:rPr>
        <w:t>s</w:t>
      </w:r>
      <w:r w:rsidR="00976DC0" w:rsidRPr="002420A9">
        <w:rPr>
          <w:rFonts w:eastAsia="Times New Roman"/>
          <w:szCs w:val="24"/>
        </w:rPr>
        <w:t xml:space="preserve"> </w:t>
      </w:r>
      <w:r w:rsidR="00A70C63" w:rsidRPr="002420A9">
        <w:rPr>
          <w:rFonts w:eastAsia="Times New Roman"/>
          <w:szCs w:val="24"/>
        </w:rPr>
        <w:t xml:space="preserve">market participants </w:t>
      </w:r>
      <w:r w:rsidR="00976DC0" w:rsidRPr="002420A9">
        <w:rPr>
          <w:rFonts w:eastAsia="Times New Roman"/>
          <w:szCs w:val="24"/>
        </w:rPr>
        <w:t xml:space="preserve">to </w:t>
      </w:r>
      <w:r w:rsidRPr="002420A9">
        <w:rPr>
          <w:rFonts w:eastAsia="Times New Roman"/>
          <w:szCs w:val="24"/>
        </w:rPr>
        <w:t xml:space="preserve">provide </w:t>
      </w:r>
      <w:r w:rsidR="00976DC0" w:rsidRPr="002420A9">
        <w:rPr>
          <w:rFonts w:eastAsia="Times New Roman"/>
          <w:szCs w:val="24"/>
        </w:rPr>
        <w:t>counter</w:t>
      </w:r>
      <w:r w:rsidRPr="002420A9">
        <w:rPr>
          <w:rFonts w:eastAsia="Times New Roman"/>
          <w:szCs w:val="24"/>
        </w:rPr>
        <w:t xml:space="preserve">parties with </w:t>
      </w:r>
      <w:r w:rsidR="00A70C63" w:rsidRPr="002420A9">
        <w:rPr>
          <w:rFonts w:eastAsia="Times New Roman"/>
          <w:szCs w:val="24"/>
        </w:rPr>
        <w:t xml:space="preserve">status </w:t>
      </w:r>
      <w:r w:rsidRPr="002420A9">
        <w:rPr>
          <w:rFonts w:eastAsia="Times New Roman"/>
          <w:szCs w:val="24"/>
        </w:rPr>
        <w:t xml:space="preserve">representations </w:t>
      </w:r>
      <w:r w:rsidR="007F118C">
        <w:rPr>
          <w:rFonts w:eastAsia="Times New Roman"/>
          <w:szCs w:val="24"/>
        </w:rPr>
        <w:t xml:space="preserve">which may be used to help </w:t>
      </w:r>
      <w:r w:rsidR="00A70C63" w:rsidRPr="002420A9">
        <w:rPr>
          <w:rFonts w:eastAsia="Times New Roman"/>
          <w:szCs w:val="24"/>
        </w:rPr>
        <w:t>determine</w:t>
      </w:r>
      <w:r w:rsidRPr="002420A9">
        <w:rPr>
          <w:rFonts w:eastAsia="Times New Roman"/>
          <w:szCs w:val="24"/>
        </w:rPr>
        <w:t xml:space="preserve"> whether </w:t>
      </w:r>
      <w:r w:rsidR="008E1838">
        <w:rPr>
          <w:rFonts w:eastAsia="Times New Roman"/>
          <w:szCs w:val="24"/>
        </w:rPr>
        <w:t xml:space="preserve">the </w:t>
      </w:r>
      <w:r w:rsidR="002339CB">
        <w:rPr>
          <w:rFonts w:eastAsia="Times New Roman"/>
          <w:szCs w:val="24"/>
        </w:rPr>
        <w:t xml:space="preserve">single-sided reporting </w:t>
      </w:r>
      <w:r w:rsidR="008E1838">
        <w:rPr>
          <w:rFonts w:eastAsia="Times New Roman"/>
          <w:szCs w:val="24"/>
        </w:rPr>
        <w:t xml:space="preserve">exemption </w:t>
      </w:r>
      <w:r w:rsidR="002339CB">
        <w:rPr>
          <w:rFonts w:eastAsia="Times New Roman"/>
          <w:szCs w:val="24"/>
        </w:rPr>
        <w:t xml:space="preserve">is </w:t>
      </w:r>
      <w:r w:rsidR="002339CB" w:rsidRPr="0064773C">
        <w:rPr>
          <w:rFonts w:eastAsia="Times New Roman"/>
          <w:szCs w:val="24"/>
        </w:rPr>
        <w:t>applicable</w:t>
      </w:r>
      <w:r w:rsidRPr="0064773C">
        <w:rPr>
          <w:rFonts w:eastAsia="Times New Roman"/>
          <w:szCs w:val="24"/>
        </w:rPr>
        <w:t>.</w:t>
      </w:r>
      <w:r w:rsidR="000A4D11" w:rsidRPr="0064773C">
        <w:rPr>
          <w:rFonts w:eastAsia="Times New Roman"/>
          <w:szCs w:val="24"/>
        </w:rPr>
        <w:t xml:space="preserve"> Part I provides representations to be made by the party wishing to rely on the exemption from reporting (the “</w:t>
      </w:r>
      <w:r w:rsidR="000A4D11" w:rsidRPr="0064773C">
        <w:rPr>
          <w:rFonts w:eastAsia="Times New Roman"/>
          <w:b/>
          <w:i/>
          <w:szCs w:val="24"/>
        </w:rPr>
        <w:t>Exempt Phase 3 Reporting Entity</w:t>
      </w:r>
      <w:r w:rsidR="000A4D11" w:rsidRPr="0064773C">
        <w:rPr>
          <w:rFonts w:eastAsia="Times New Roman"/>
          <w:szCs w:val="24"/>
        </w:rPr>
        <w:t xml:space="preserve">”) and Part II provides representations to be made by the </w:t>
      </w:r>
      <w:r w:rsidR="00025EA0" w:rsidRPr="00716410">
        <w:rPr>
          <w:rFonts w:eastAsia="Times New Roman"/>
          <w:szCs w:val="24"/>
        </w:rPr>
        <w:t>counter</w:t>
      </w:r>
      <w:r w:rsidR="000A4D11" w:rsidRPr="0064773C">
        <w:rPr>
          <w:rFonts w:eastAsia="Times New Roman"/>
          <w:szCs w:val="24"/>
        </w:rPr>
        <w:t>party (the “</w:t>
      </w:r>
      <w:r w:rsidR="00E41AA1" w:rsidRPr="00716410">
        <w:rPr>
          <w:rFonts w:eastAsia="Times New Roman"/>
          <w:b/>
          <w:i/>
          <w:szCs w:val="24"/>
        </w:rPr>
        <w:t>Counterparty</w:t>
      </w:r>
      <w:r w:rsidR="000A4D11" w:rsidRPr="0064773C">
        <w:rPr>
          <w:rFonts w:eastAsia="Times New Roman"/>
          <w:szCs w:val="24"/>
        </w:rPr>
        <w:t>”).</w:t>
      </w:r>
      <w:r w:rsidR="0009166B" w:rsidRPr="0064773C">
        <w:rPr>
          <w:rFonts w:eastAsia="Times New Roman"/>
          <w:szCs w:val="24"/>
        </w:rPr>
        <w:t xml:space="preserve"> </w:t>
      </w:r>
      <w:r w:rsidR="00E92328" w:rsidRPr="0064773C">
        <w:rPr>
          <w:rFonts w:eastAsia="Times New Roman"/>
          <w:szCs w:val="24"/>
        </w:rPr>
        <w:t>The representations in this letter are solely for the purposes of making such determinations.</w:t>
      </w:r>
      <w:r w:rsidR="00976DC0" w:rsidRPr="002420A9">
        <w:rPr>
          <w:rFonts w:eastAsia="Times New Roman"/>
          <w:szCs w:val="24"/>
        </w:rPr>
        <w:t xml:space="preserve"> </w:t>
      </w:r>
      <w:r w:rsidR="00FF5A92">
        <w:rPr>
          <w:rFonts w:eastAsia="Times New Roman"/>
          <w:szCs w:val="24"/>
        </w:rPr>
        <w:t xml:space="preserve"> The headings used in this letter are for convenience of reference only and are not to affect the construction of or to be taken into consideration in interpreting any of the provisions in it.</w:t>
      </w:r>
    </w:p>
    <w:p w:rsidR="00F27DEE" w:rsidRDefault="00F27DEE" w:rsidP="00194343">
      <w:pPr>
        <w:spacing w:after="0" w:line="240" w:lineRule="auto"/>
        <w:ind w:right="180"/>
        <w:jc w:val="both"/>
        <w:rPr>
          <w:rFonts w:eastAsia="Times New Roman"/>
          <w:b/>
          <w:szCs w:val="24"/>
        </w:rPr>
      </w:pPr>
    </w:p>
    <w:p w:rsidR="00194343" w:rsidRPr="002420A9" w:rsidRDefault="00976DC0" w:rsidP="002420A9">
      <w:pPr>
        <w:spacing w:after="0" w:line="240" w:lineRule="auto"/>
        <w:ind w:right="180"/>
        <w:jc w:val="center"/>
        <w:rPr>
          <w:rFonts w:eastAsia="Times New Roman"/>
          <w:b/>
          <w:szCs w:val="24"/>
        </w:rPr>
      </w:pPr>
      <w:r w:rsidRPr="002420A9">
        <w:rPr>
          <w:rFonts w:eastAsia="Times New Roman"/>
          <w:b/>
          <w:szCs w:val="24"/>
        </w:rPr>
        <w:t>Capitalized terms used in this letter are defined in Appendix I.</w:t>
      </w:r>
    </w:p>
    <w:p w:rsidR="00194343" w:rsidRDefault="00194343" w:rsidP="00194343">
      <w:pPr>
        <w:rPr>
          <w:b/>
        </w:rPr>
      </w:pPr>
      <w:r w:rsidRPr="000A2A53">
        <w:rPr>
          <w:rFonts w:eastAsia="Times New Roman"/>
          <w:b/>
          <w:sz w:val="40"/>
          <w:szCs w:val="40"/>
        </w:rPr>
        <w:t>______________________________________________</w:t>
      </w:r>
    </w:p>
    <w:p w:rsidR="00C04915" w:rsidRDefault="003444E2">
      <w:r>
        <w:rPr>
          <w:b/>
        </w:rPr>
        <w:t>I.</w:t>
      </w:r>
      <w:r>
        <w:rPr>
          <w:b/>
        </w:rPr>
        <w:tab/>
      </w:r>
      <w:r w:rsidR="00F12EA4">
        <w:rPr>
          <w:b/>
        </w:rPr>
        <w:t>Exempt Phase 3 Reporting Entity</w:t>
      </w:r>
      <w:r w:rsidR="0046233A" w:rsidRPr="0046233A">
        <w:rPr>
          <w:b/>
        </w:rPr>
        <w:t xml:space="preserve"> Representations</w:t>
      </w:r>
      <w:r w:rsidR="00D40171" w:rsidRPr="007630F2">
        <w:rPr>
          <w:b/>
        </w:rPr>
        <w:t>.</w:t>
      </w:r>
    </w:p>
    <w:p w:rsidR="003444E2" w:rsidRDefault="003444E2" w:rsidP="00A843F0">
      <w:pPr>
        <w:jc w:val="both"/>
        <w:rPr>
          <w:b/>
        </w:rPr>
      </w:pPr>
      <w:r>
        <w:rPr>
          <w:b/>
          <w:u w:val="single"/>
        </w:rPr>
        <w:t>Instructions</w:t>
      </w:r>
      <w:r w:rsidRPr="007630F2">
        <w:rPr>
          <w:b/>
        </w:rPr>
        <w:t>:</w:t>
      </w:r>
      <w:r w:rsidR="0009166B">
        <w:rPr>
          <w:b/>
        </w:rPr>
        <w:t xml:space="preserve"> </w:t>
      </w:r>
      <w:r w:rsidR="000A4D11">
        <w:rPr>
          <w:b/>
        </w:rPr>
        <w:t>The Exempt Phase 3 Reporting Entity should make</w:t>
      </w:r>
      <w:r w:rsidR="00AD655F" w:rsidRPr="002420A9">
        <w:rPr>
          <w:b/>
        </w:rPr>
        <w:t xml:space="preserve"> one of the two representations provided below</w:t>
      </w:r>
      <w:r w:rsidR="00976DC0" w:rsidRPr="002420A9">
        <w:rPr>
          <w:b/>
        </w:rPr>
        <w:t xml:space="preserve"> by checking the relevant box</w:t>
      </w:r>
      <w:r w:rsidR="00C428E5">
        <w:rPr>
          <w:b/>
        </w:rPr>
        <w:t>.</w:t>
      </w:r>
    </w:p>
    <w:p w:rsidR="00C428E5" w:rsidRDefault="00C428E5" w:rsidP="00C428E5">
      <w:pPr>
        <w:pStyle w:val="HangingIndent"/>
        <w:tabs>
          <w:tab w:val="left" w:pos="0"/>
        </w:tabs>
        <w:ind w:left="0" w:firstLine="0"/>
      </w:pPr>
      <w:r w:rsidRPr="002A5BEE">
        <w:t xml:space="preserve">The Exempt Phase 3 Reporting Entity </w:t>
      </w:r>
      <w:r>
        <w:t xml:space="preserve">is </w:t>
      </w:r>
      <w:r w:rsidRPr="002A5BEE">
        <w:t>responsible a</w:t>
      </w:r>
      <w:r>
        <w:t xml:space="preserve">nd liable for its compliance with the </w:t>
      </w:r>
      <w:r w:rsidRPr="00C428E5">
        <w:t>Derivative Transaction Rules (Reporting)</w:t>
      </w:r>
      <w:r>
        <w:t xml:space="preserve"> and the determination specified in this Section I.  The Exempt Phase 3 Reporting Entity shall promptly notify the Counterparty if the below representat</w:t>
      </w:r>
      <w:r w:rsidR="00D471CD">
        <w:t>ion ceases to be accurate in any material respect</w:t>
      </w:r>
      <w:r>
        <w:t>.</w:t>
      </w:r>
    </w:p>
    <w:p w:rsidR="00D05D07" w:rsidRPr="0064773C" w:rsidRDefault="00D40171" w:rsidP="00F4128F">
      <w:r>
        <w:tab/>
      </w:r>
      <w:r w:rsidR="003B4BB7" w:rsidRPr="0064773C">
        <w:rPr>
          <w:i/>
          <w:u w:val="single"/>
        </w:rPr>
        <w:t>New phase 3 reporting entity</w:t>
      </w:r>
    </w:p>
    <w:p w:rsidR="00961463" w:rsidRDefault="009B6D6C" w:rsidP="00816753">
      <w:pPr>
        <w:pStyle w:val="HangingIndent"/>
      </w:pPr>
      <w:r w:rsidRPr="0064773C">
        <w:rPr>
          <w:sz w:val="20"/>
          <w:szCs w:val="20"/>
        </w:rPr>
        <w:fldChar w:fldCharType="begin">
          <w:ffData>
            <w:name w:val="Check1"/>
            <w:enabled/>
            <w:calcOnExit w:val="0"/>
            <w:checkBox>
              <w:sizeAuto/>
              <w:default w:val="0"/>
            </w:checkBox>
          </w:ffData>
        </w:fldChar>
      </w:r>
      <w:bookmarkStart w:id="0" w:name="Check1"/>
      <w:r w:rsidR="00816753" w:rsidRPr="0064773C">
        <w:rPr>
          <w:sz w:val="20"/>
          <w:szCs w:val="20"/>
        </w:rPr>
        <w:instrText xml:space="preserve"> FORMCHECKBOX </w:instrText>
      </w:r>
      <w:r w:rsidR="00E764AD">
        <w:rPr>
          <w:sz w:val="20"/>
          <w:szCs w:val="20"/>
        </w:rPr>
      </w:r>
      <w:r w:rsidR="00E764AD">
        <w:rPr>
          <w:sz w:val="20"/>
          <w:szCs w:val="20"/>
        </w:rPr>
        <w:fldChar w:fldCharType="separate"/>
      </w:r>
      <w:r w:rsidRPr="0064773C">
        <w:rPr>
          <w:sz w:val="20"/>
          <w:szCs w:val="20"/>
        </w:rPr>
        <w:fldChar w:fldCharType="end"/>
      </w:r>
      <w:bookmarkEnd w:id="0"/>
      <w:r w:rsidR="00816753" w:rsidRPr="0064773C">
        <w:tab/>
      </w:r>
      <w:r w:rsidR="0052751F" w:rsidRPr="0064773C">
        <w:t>The Exempt Phase 3 Reporting Entity</w:t>
      </w:r>
      <w:r w:rsidR="000022E2" w:rsidRPr="0064773C">
        <w:t xml:space="preserve"> hereby represent</w:t>
      </w:r>
      <w:r w:rsidR="0052751F" w:rsidRPr="0064773C">
        <w:t>s</w:t>
      </w:r>
      <w:r w:rsidR="000022E2" w:rsidRPr="0064773C">
        <w:t xml:space="preserve"> that</w:t>
      </w:r>
      <w:r w:rsidR="006D1790">
        <w:t xml:space="preserve"> </w:t>
      </w:r>
      <w:r w:rsidR="0052751F" w:rsidRPr="0064773C">
        <w:t>it</w:t>
      </w:r>
      <w:r w:rsidR="00414CDF" w:rsidRPr="0064773C">
        <w:t xml:space="preserve"> reasonably believe</w:t>
      </w:r>
      <w:r w:rsidR="0052751F" w:rsidRPr="0064773C">
        <w:t>s</w:t>
      </w:r>
      <w:r w:rsidR="004F1522">
        <w:t xml:space="preserve"> </w:t>
      </w:r>
      <w:r w:rsidR="00414CDF" w:rsidRPr="0064773C">
        <w:t xml:space="preserve">that </w:t>
      </w:r>
      <w:r w:rsidR="0052751F" w:rsidRPr="0064773C">
        <w:t>it</w:t>
      </w:r>
      <w:r w:rsidR="0052254C" w:rsidRPr="0064773C">
        <w:t xml:space="preserve"> </w:t>
      </w:r>
      <w:r w:rsidR="0052751F" w:rsidRPr="0064773C">
        <w:t>is</w:t>
      </w:r>
      <w:r w:rsidR="003B4BB7" w:rsidRPr="0064773C">
        <w:t xml:space="preserve"> a new phase 3 reporting entity and two (2) successive </w:t>
      </w:r>
      <w:r w:rsidR="003B4BB7" w:rsidRPr="00D16CC8">
        <w:t>dis</w:t>
      </w:r>
      <w:r w:rsidR="003B4BB7" w:rsidRPr="0064773C">
        <w:t>qualifying quarter</w:t>
      </w:r>
      <w:r w:rsidR="009F1C1F" w:rsidRPr="0064773C">
        <w:t xml:space="preserve"> day</w:t>
      </w:r>
      <w:r w:rsidR="003B4BB7" w:rsidRPr="0064773C">
        <w:t xml:space="preserve">s have not occurred with respect to </w:t>
      </w:r>
      <w:r w:rsidR="00A515C6" w:rsidRPr="0064773C">
        <w:t>it</w:t>
      </w:r>
      <w:r w:rsidR="000022E2" w:rsidRPr="0064773C">
        <w:t>.</w:t>
      </w:r>
      <w:r w:rsidR="0009166B" w:rsidRPr="0064773C">
        <w:t xml:space="preserve"> </w:t>
      </w:r>
    </w:p>
    <w:p w:rsidR="00346FDF" w:rsidRDefault="00346FDF" w:rsidP="00346FDF">
      <w:pPr>
        <w:pStyle w:val="HangingIndent"/>
        <w:ind w:firstLine="0"/>
      </w:pPr>
      <w:r w:rsidRPr="007452B9">
        <w:lastRenderedPageBreak/>
        <w:t>The first date from which the</w:t>
      </w:r>
      <w:r w:rsidR="008E1838" w:rsidRPr="008E1838">
        <w:rPr>
          <w:rFonts w:eastAsia="Times New Roman"/>
          <w:szCs w:val="24"/>
        </w:rPr>
        <w:t xml:space="preserve"> </w:t>
      </w:r>
      <w:r w:rsidR="008E1838">
        <w:rPr>
          <w:rFonts w:eastAsia="Times New Roman"/>
          <w:szCs w:val="24"/>
        </w:rPr>
        <w:t xml:space="preserve">single-sided reporting </w:t>
      </w:r>
      <w:r w:rsidRPr="007452B9">
        <w:t xml:space="preserve">exemption </w:t>
      </w:r>
      <w:r w:rsidR="00657174">
        <w:t>applies</w:t>
      </w:r>
      <w:r w:rsidRPr="007452B9">
        <w:t xml:space="preserve"> to the </w:t>
      </w:r>
      <w:r w:rsidR="007D3523" w:rsidRPr="007452B9">
        <w:t>Exempt Phase 3 Reporting Entity is</w:t>
      </w:r>
      <w:r w:rsidRPr="007452B9">
        <w:t>: [insert date]</w:t>
      </w:r>
      <w:r w:rsidR="00C428E5">
        <w:t xml:space="preserve">. </w:t>
      </w:r>
    </w:p>
    <w:p w:rsidR="00D05D07" w:rsidRPr="0064773C" w:rsidRDefault="003B4BB7" w:rsidP="00D05D07">
      <w:pPr>
        <w:rPr>
          <w:i/>
          <w:u w:val="single"/>
        </w:rPr>
      </w:pPr>
      <w:r w:rsidRPr="0064773C">
        <w:rPr>
          <w:i/>
          <w:u w:val="single"/>
        </w:rPr>
        <w:t>Continuing phase 3 reporting entity</w:t>
      </w:r>
      <w:r w:rsidR="00D05D07" w:rsidRPr="0064773C">
        <w:t xml:space="preserve">. </w:t>
      </w:r>
    </w:p>
    <w:p w:rsidR="003E7D2E" w:rsidRPr="00A74B42" w:rsidRDefault="009B6D6C" w:rsidP="00816753">
      <w:pPr>
        <w:pStyle w:val="HangingIndent"/>
      </w:pPr>
      <w:r w:rsidRPr="0064773C">
        <w:rPr>
          <w:sz w:val="20"/>
          <w:szCs w:val="20"/>
        </w:rPr>
        <w:fldChar w:fldCharType="begin">
          <w:ffData>
            <w:name w:val="Check1"/>
            <w:enabled/>
            <w:calcOnExit w:val="0"/>
            <w:checkBox>
              <w:sizeAuto/>
              <w:default w:val="0"/>
            </w:checkBox>
          </w:ffData>
        </w:fldChar>
      </w:r>
      <w:r w:rsidR="00816753" w:rsidRPr="0064773C">
        <w:rPr>
          <w:sz w:val="20"/>
          <w:szCs w:val="20"/>
        </w:rPr>
        <w:instrText xml:space="preserve"> FORMCHECKBOX </w:instrText>
      </w:r>
      <w:r w:rsidR="00E764AD">
        <w:rPr>
          <w:sz w:val="20"/>
          <w:szCs w:val="20"/>
        </w:rPr>
      </w:r>
      <w:r w:rsidR="00E764AD">
        <w:rPr>
          <w:sz w:val="20"/>
          <w:szCs w:val="20"/>
        </w:rPr>
        <w:fldChar w:fldCharType="separate"/>
      </w:r>
      <w:r w:rsidRPr="0064773C">
        <w:rPr>
          <w:sz w:val="20"/>
          <w:szCs w:val="20"/>
        </w:rPr>
        <w:fldChar w:fldCharType="end"/>
      </w:r>
      <w:r w:rsidR="00816753" w:rsidRPr="0064773C">
        <w:tab/>
      </w:r>
      <w:r w:rsidR="0052751F" w:rsidRPr="0064773C">
        <w:t>The Exempt Phase 3 Reporting Entity</w:t>
      </w:r>
      <w:r w:rsidR="003B4BB7" w:rsidRPr="0064773C">
        <w:t xml:space="preserve"> hereby represent</w:t>
      </w:r>
      <w:r w:rsidR="0052751F" w:rsidRPr="0064773C">
        <w:t>s</w:t>
      </w:r>
      <w:r w:rsidR="003B4BB7" w:rsidRPr="0064773C">
        <w:t xml:space="preserve"> that </w:t>
      </w:r>
      <w:r w:rsidR="0052751F" w:rsidRPr="0064773C">
        <w:t>it</w:t>
      </w:r>
      <w:r w:rsidR="003B4BB7" w:rsidRPr="0064773C">
        <w:t xml:space="preserve"> reasonably believe</w:t>
      </w:r>
      <w:r w:rsidR="0052751F" w:rsidRPr="0064773C">
        <w:t>s</w:t>
      </w:r>
      <w:r w:rsidR="003B4BB7" w:rsidRPr="0064773C">
        <w:t xml:space="preserve"> that </w:t>
      </w:r>
      <w:r w:rsidR="0052751F" w:rsidRPr="0064773C">
        <w:t>it is</w:t>
      </w:r>
      <w:r w:rsidR="003B4BB7" w:rsidRPr="0064773C">
        <w:t xml:space="preserve"> a continuing phase 3 reporting entity and</w:t>
      </w:r>
      <w:r w:rsidR="001328BC">
        <w:t xml:space="preserve"> that either: (i)</w:t>
      </w:r>
      <w:r w:rsidR="003B4BB7" w:rsidRPr="0064773C">
        <w:t xml:space="preserve"> </w:t>
      </w:r>
      <w:r w:rsidR="001328BC">
        <w:t xml:space="preserve">it was a phase 3 reporting entity on 30 September 2015 </w:t>
      </w:r>
      <w:r w:rsidR="006D70D1">
        <w:t xml:space="preserve">and </w:t>
      </w:r>
      <w:r w:rsidR="003B4BB7" w:rsidRPr="0064773C">
        <w:t xml:space="preserve">two (2) successive </w:t>
      </w:r>
      <w:r w:rsidR="00A9338C">
        <w:t xml:space="preserve">applicable </w:t>
      </w:r>
      <w:r w:rsidR="003B4BB7" w:rsidRPr="0064773C">
        <w:t>disqualifying quarter</w:t>
      </w:r>
      <w:r w:rsidR="009F1C1F" w:rsidRPr="0064773C">
        <w:t xml:space="preserve"> day</w:t>
      </w:r>
      <w:r w:rsidR="003B4BB7" w:rsidRPr="0064773C">
        <w:t xml:space="preserve">s have not occurred with respect to </w:t>
      </w:r>
      <w:r w:rsidR="0052751F" w:rsidRPr="0064773C">
        <w:t>it</w:t>
      </w:r>
      <w:r w:rsidR="006D70D1">
        <w:t xml:space="preserve">; or (ii) </w:t>
      </w:r>
      <w:r w:rsidR="00B74409">
        <w:t>with respect to it, there ha</w:t>
      </w:r>
      <w:r w:rsidR="00716410">
        <w:t>ve</w:t>
      </w:r>
      <w:r w:rsidR="00B74409">
        <w:t xml:space="preserve"> been </w:t>
      </w:r>
      <w:r w:rsidR="00B74409" w:rsidRPr="0064773C">
        <w:t xml:space="preserve">two (2) </w:t>
      </w:r>
      <w:r w:rsidR="006D70D1" w:rsidRPr="0064773C">
        <w:t xml:space="preserve">successive qualifying quarter </w:t>
      </w:r>
      <w:r w:rsidR="00833983">
        <w:t xml:space="preserve">days </w:t>
      </w:r>
      <w:r w:rsidR="00B74409">
        <w:t>which have not been followed (immediately or otherwise) by</w:t>
      </w:r>
      <w:r w:rsidR="006D70D1">
        <w:t xml:space="preserve"> </w:t>
      </w:r>
      <w:r w:rsidR="006D70D1" w:rsidRPr="0064773C">
        <w:t>two (2) successive disqualifying quarter days</w:t>
      </w:r>
      <w:r w:rsidR="006D70D1">
        <w:t>.</w:t>
      </w:r>
      <w:r w:rsidR="0009166B" w:rsidRPr="0064773C">
        <w:t xml:space="preserve"> </w:t>
      </w:r>
    </w:p>
    <w:p w:rsidR="007D3523" w:rsidRDefault="00C428E5" w:rsidP="007D3523">
      <w:pPr>
        <w:pStyle w:val="HangingIndent"/>
        <w:ind w:firstLine="0"/>
      </w:pPr>
      <w:r>
        <w:t xml:space="preserve">The </w:t>
      </w:r>
      <w:r w:rsidR="007D3523" w:rsidRPr="007452B9">
        <w:t>date from which the</w:t>
      </w:r>
      <w:r w:rsidR="008E1838" w:rsidRPr="008E1838">
        <w:rPr>
          <w:rFonts w:eastAsia="Times New Roman"/>
          <w:szCs w:val="24"/>
        </w:rPr>
        <w:t xml:space="preserve"> </w:t>
      </w:r>
      <w:r w:rsidR="008E1838">
        <w:rPr>
          <w:rFonts w:eastAsia="Times New Roman"/>
          <w:szCs w:val="24"/>
        </w:rPr>
        <w:t xml:space="preserve">single-sided reporting </w:t>
      </w:r>
      <w:r w:rsidR="007D3523" w:rsidRPr="007452B9">
        <w:t xml:space="preserve">exemption </w:t>
      </w:r>
      <w:r w:rsidR="00657174">
        <w:t>applies</w:t>
      </w:r>
      <w:r w:rsidR="007D3523" w:rsidRPr="007452B9">
        <w:t xml:space="preserve"> to the Exempt Phase 3 Reporting Entity is: [insert date]</w:t>
      </w:r>
      <w:r w:rsidR="00A92B3F">
        <w:t>.</w:t>
      </w:r>
      <w:r w:rsidR="009140B9">
        <w:t xml:space="preserve"> </w:t>
      </w:r>
    </w:p>
    <w:p w:rsidR="00D40171" w:rsidRPr="00A843F0" w:rsidRDefault="00A843F0" w:rsidP="00945313">
      <w:pPr>
        <w:keepNext/>
      </w:pPr>
      <w:r w:rsidRPr="0064773C">
        <w:rPr>
          <w:b/>
        </w:rPr>
        <w:t>II</w:t>
      </w:r>
      <w:r w:rsidR="00D40171" w:rsidRPr="0064773C">
        <w:rPr>
          <w:b/>
        </w:rPr>
        <w:t>.</w:t>
      </w:r>
      <w:r w:rsidR="00D40171" w:rsidRPr="0064773C">
        <w:rPr>
          <w:b/>
        </w:rPr>
        <w:tab/>
      </w:r>
      <w:r w:rsidR="00D80313" w:rsidRPr="00716410">
        <w:rPr>
          <w:b/>
        </w:rPr>
        <w:t xml:space="preserve">Counterparty </w:t>
      </w:r>
      <w:r w:rsidR="00483989">
        <w:rPr>
          <w:b/>
        </w:rPr>
        <w:t>Representations</w:t>
      </w:r>
      <w:r w:rsidR="00D40171" w:rsidRPr="007630F2">
        <w:rPr>
          <w:b/>
        </w:rPr>
        <w:t>.</w:t>
      </w:r>
    </w:p>
    <w:p w:rsidR="00D81258" w:rsidRDefault="00D40171" w:rsidP="00945313">
      <w:pPr>
        <w:keepNext/>
        <w:jc w:val="both"/>
        <w:rPr>
          <w:b/>
        </w:rPr>
      </w:pPr>
      <w:r>
        <w:rPr>
          <w:b/>
          <w:u w:val="single"/>
        </w:rPr>
        <w:t>Instructions</w:t>
      </w:r>
      <w:r w:rsidRPr="002420A9">
        <w:rPr>
          <w:b/>
        </w:rPr>
        <w:t>:</w:t>
      </w:r>
      <w:r w:rsidR="00976DC0" w:rsidRPr="002420A9">
        <w:rPr>
          <w:b/>
        </w:rPr>
        <w:t xml:space="preserve"> </w:t>
      </w:r>
      <w:r w:rsidRPr="002420A9">
        <w:rPr>
          <w:b/>
        </w:rPr>
        <w:t xml:space="preserve"> </w:t>
      </w:r>
      <w:r w:rsidR="000A4D11">
        <w:rPr>
          <w:b/>
        </w:rPr>
        <w:t xml:space="preserve">The </w:t>
      </w:r>
      <w:r w:rsidR="00D80313" w:rsidRPr="00716410">
        <w:rPr>
          <w:b/>
        </w:rPr>
        <w:t xml:space="preserve">Counterparty </w:t>
      </w:r>
      <w:r w:rsidR="000A4D11">
        <w:rPr>
          <w:b/>
        </w:rPr>
        <w:t xml:space="preserve">should </w:t>
      </w:r>
      <w:r w:rsidR="00EA5B70" w:rsidRPr="00EA5B70">
        <w:rPr>
          <w:b/>
        </w:rPr>
        <w:t xml:space="preserve">make one of the </w:t>
      </w:r>
      <w:r w:rsidR="00732CFA">
        <w:rPr>
          <w:b/>
        </w:rPr>
        <w:t>ten</w:t>
      </w:r>
      <w:r w:rsidR="00EA5B70" w:rsidRPr="00EA5B70">
        <w:rPr>
          <w:b/>
        </w:rPr>
        <w:t xml:space="preserve"> representations provided below by checking the relevant box.</w:t>
      </w:r>
    </w:p>
    <w:p w:rsidR="002C0B5A" w:rsidRDefault="002C0B5A" w:rsidP="00945313">
      <w:pPr>
        <w:keepNext/>
        <w:jc w:val="both"/>
        <w:rPr>
          <w:b/>
        </w:rPr>
      </w:pPr>
      <w:r>
        <w:t>The Counterparty shall promptly notify the Exempt Phase 3 Reporting Entity if the below representat</w:t>
      </w:r>
      <w:r w:rsidR="00D471CD">
        <w:t>ion ceases to be accurate in any material respect</w:t>
      </w:r>
      <w:r>
        <w:t>.</w:t>
      </w:r>
    </w:p>
    <w:p w:rsidR="00D05D07" w:rsidRPr="00D240CB" w:rsidRDefault="00D40171" w:rsidP="000A75A3">
      <w:pPr>
        <w:keepNext/>
      </w:pPr>
      <w:r w:rsidRPr="00DE778D">
        <w:rPr>
          <w:i/>
        </w:rPr>
        <w:tab/>
      </w:r>
      <w:r w:rsidR="00B91A08">
        <w:rPr>
          <w:i/>
          <w:u w:val="single"/>
        </w:rPr>
        <w:t>Counterparty required to report</w:t>
      </w:r>
      <w:r w:rsidR="00976DC0">
        <w:t>.</w:t>
      </w:r>
    </w:p>
    <w:p w:rsidR="00A04350" w:rsidRDefault="009B6D6C" w:rsidP="00945313">
      <w:pPr>
        <w:pStyle w:val="HangingIndent2"/>
        <w:keepNext/>
      </w:pPr>
      <w:r w:rsidRPr="00816753">
        <w:rPr>
          <w:sz w:val="20"/>
          <w:szCs w:val="20"/>
        </w:rPr>
        <w:fldChar w:fldCharType="begin">
          <w:ffData>
            <w:name w:val="Check1"/>
            <w:enabled/>
            <w:calcOnExit w:val="0"/>
            <w:checkBox>
              <w:sizeAuto/>
              <w:default w:val="0"/>
            </w:checkBox>
          </w:ffData>
        </w:fldChar>
      </w:r>
      <w:r w:rsidR="00816753" w:rsidRPr="00816753">
        <w:rPr>
          <w:sz w:val="20"/>
          <w:szCs w:val="20"/>
        </w:rPr>
        <w:instrText xml:space="preserve"> FORMCHECKBOX </w:instrText>
      </w:r>
      <w:r w:rsidR="00E764AD">
        <w:rPr>
          <w:sz w:val="20"/>
          <w:szCs w:val="20"/>
        </w:rPr>
      </w:r>
      <w:r w:rsidR="00E764AD">
        <w:rPr>
          <w:sz w:val="20"/>
          <w:szCs w:val="20"/>
        </w:rPr>
        <w:fldChar w:fldCharType="separate"/>
      </w:r>
      <w:r w:rsidRPr="00816753">
        <w:rPr>
          <w:sz w:val="20"/>
          <w:szCs w:val="20"/>
        </w:rPr>
        <w:fldChar w:fldCharType="end"/>
      </w:r>
      <w:r w:rsidR="00816753">
        <w:tab/>
      </w:r>
      <w:r w:rsidR="007613E5">
        <w:t xml:space="preserve">The </w:t>
      </w:r>
      <w:r w:rsidR="00CC7E38">
        <w:t xml:space="preserve">Counterparty </w:t>
      </w:r>
      <w:r w:rsidR="001E6DE3">
        <w:t>hereby represent</w:t>
      </w:r>
      <w:r w:rsidR="007613E5">
        <w:t>s</w:t>
      </w:r>
      <w:r w:rsidR="00E5190A">
        <w:t xml:space="preserve"> </w:t>
      </w:r>
      <w:r w:rsidR="00B54C19">
        <w:t>tha</w:t>
      </w:r>
      <w:r w:rsidR="00F27DEE">
        <w:t xml:space="preserve">t </w:t>
      </w:r>
      <w:r w:rsidR="007613E5">
        <w:t>it</w:t>
      </w:r>
      <w:r w:rsidR="001E6DE3">
        <w:t xml:space="preserve"> </w:t>
      </w:r>
      <w:r w:rsidR="001216E9">
        <w:t>is a reporting entity</w:t>
      </w:r>
      <w:r w:rsidR="00ED218D">
        <w:t xml:space="preserve"> other than a phase 3 reporting entity</w:t>
      </w:r>
      <w:r w:rsidR="001216E9">
        <w:t xml:space="preserve"> </w:t>
      </w:r>
      <w:r w:rsidR="008839EB">
        <w:t xml:space="preserve">that </w:t>
      </w:r>
      <w:r w:rsidR="002715A2">
        <w:t xml:space="preserve">is </w:t>
      </w:r>
      <w:r w:rsidR="007613E5">
        <w:t>required to report</w:t>
      </w:r>
      <w:r w:rsidR="00236B2A">
        <w:t xml:space="preserve"> Relevant Information </w:t>
      </w:r>
      <w:r w:rsidR="007613E5" w:rsidRPr="007452B9">
        <w:t>under the Derivative Transaction Rules (Reporting)</w:t>
      </w:r>
      <w:r w:rsidR="002C0B5A">
        <w:t>.</w:t>
      </w:r>
      <w:r w:rsidR="00A04350">
        <w:t xml:space="preserve"> </w:t>
      </w:r>
    </w:p>
    <w:p w:rsidR="00ED218D" w:rsidRDefault="009B6D6C" w:rsidP="00ED218D">
      <w:pPr>
        <w:pStyle w:val="HangingIndent2"/>
        <w:keepNext/>
      </w:pPr>
      <w:r w:rsidRPr="00816753">
        <w:rPr>
          <w:sz w:val="20"/>
          <w:szCs w:val="20"/>
        </w:rPr>
        <w:fldChar w:fldCharType="begin">
          <w:ffData>
            <w:name w:val="Check1"/>
            <w:enabled/>
            <w:calcOnExit w:val="0"/>
            <w:checkBox>
              <w:sizeAuto/>
              <w:default w:val="0"/>
            </w:checkBox>
          </w:ffData>
        </w:fldChar>
      </w:r>
      <w:r w:rsidR="00ED218D" w:rsidRPr="00816753">
        <w:rPr>
          <w:sz w:val="20"/>
          <w:szCs w:val="20"/>
        </w:rPr>
        <w:instrText xml:space="preserve"> FORMCHECKBOX </w:instrText>
      </w:r>
      <w:r w:rsidR="00E764AD">
        <w:rPr>
          <w:sz w:val="20"/>
          <w:szCs w:val="20"/>
        </w:rPr>
      </w:r>
      <w:r w:rsidR="00E764AD">
        <w:rPr>
          <w:sz w:val="20"/>
          <w:szCs w:val="20"/>
        </w:rPr>
        <w:fldChar w:fldCharType="separate"/>
      </w:r>
      <w:r w:rsidRPr="00816753">
        <w:rPr>
          <w:sz w:val="20"/>
          <w:szCs w:val="20"/>
        </w:rPr>
        <w:fldChar w:fldCharType="end"/>
      </w:r>
      <w:r w:rsidR="00ED218D">
        <w:tab/>
        <w:t xml:space="preserve">The Counterparty hereby represents that it is a phase 3 reporting entity </w:t>
      </w:r>
      <w:r w:rsidR="008839EB">
        <w:t xml:space="preserve">that </w:t>
      </w:r>
      <w:r w:rsidR="00ED218D">
        <w:t>is required to report</w:t>
      </w:r>
      <w:r w:rsidR="003266DD">
        <w:t xml:space="preserve"> </w:t>
      </w:r>
      <w:r w:rsidR="00236B2A">
        <w:t>Relevant Information</w:t>
      </w:r>
      <w:r w:rsidR="00A92B3F">
        <w:t xml:space="preserve"> </w:t>
      </w:r>
      <w:r w:rsidR="00ED218D" w:rsidRPr="007452B9">
        <w:t>under the Derivative Transaction Rules (Reporting)</w:t>
      </w:r>
      <w:r w:rsidR="00ED218D">
        <w:t xml:space="preserve"> and that regulation 7.5A.73 does not apply to the Counterparty in </w:t>
      </w:r>
      <w:r w:rsidR="00400093" w:rsidRPr="00AB6D0E">
        <w:t>relation to</w:t>
      </w:r>
      <w:r w:rsidR="00ED218D">
        <w:t xml:space="preserve"> these </w:t>
      </w:r>
      <w:r w:rsidR="003266DD">
        <w:t xml:space="preserve">OTC derivative positions or </w:t>
      </w:r>
      <w:r w:rsidR="00ED218D">
        <w:t xml:space="preserve">OTC derivative transactions. </w:t>
      </w:r>
    </w:p>
    <w:p w:rsidR="00B91A08" w:rsidRPr="0045352F" w:rsidRDefault="00B91A08" w:rsidP="00DE778D">
      <w:pPr>
        <w:pStyle w:val="HangingIndent2"/>
        <w:rPr>
          <w:i/>
          <w:u w:val="single"/>
        </w:rPr>
      </w:pPr>
      <w:r w:rsidRPr="0045352F">
        <w:rPr>
          <w:i/>
          <w:u w:val="single"/>
        </w:rPr>
        <w:t>Counterparty will report</w:t>
      </w:r>
    </w:p>
    <w:p w:rsidR="00FF5A92" w:rsidRDefault="009B6D6C" w:rsidP="00B91A08">
      <w:pPr>
        <w:pStyle w:val="HangingIndent2"/>
      </w:pPr>
      <w:r w:rsidRPr="00816753">
        <w:rPr>
          <w:sz w:val="20"/>
          <w:szCs w:val="20"/>
        </w:rPr>
        <w:fldChar w:fldCharType="begin">
          <w:ffData>
            <w:name w:val="Check1"/>
            <w:enabled/>
            <w:calcOnExit w:val="0"/>
            <w:checkBox>
              <w:sizeAuto/>
              <w:default w:val="0"/>
            </w:checkBox>
          </w:ffData>
        </w:fldChar>
      </w:r>
      <w:r w:rsidR="00A04350" w:rsidRPr="00816753">
        <w:rPr>
          <w:sz w:val="20"/>
          <w:szCs w:val="20"/>
        </w:rPr>
        <w:instrText xml:space="preserve"> FORMCHECKBOX </w:instrText>
      </w:r>
      <w:r w:rsidR="00E764AD">
        <w:rPr>
          <w:sz w:val="20"/>
          <w:szCs w:val="20"/>
        </w:rPr>
      </w:r>
      <w:r w:rsidR="00E764AD">
        <w:rPr>
          <w:sz w:val="20"/>
          <w:szCs w:val="20"/>
        </w:rPr>
        <w:fldChar w:fldCharType="separate"/>
      </w:r>
      <w:r w:rsidRPr="00816753">
        <w:rPr>
          <w:sz w:val="20"/>
          <w:szCs w:val="20"/>
        </w:rPr>
        <w:fldChar w:fldCharType="end"/>
      </w:r>
      <w:r w:rsidR="00A04350">
        <w:tab/>
        <w:t xml:space="preserve">The Counterparty hereby represents that it is a </w:t>
      </w:r>
      <w:r w:rsidR="00C84FA1">
        <w:t xml:space="preserve">reporting </w:t>
      </w:r>
      <w:r w:rsidR="00A04350">
        <w:t xml:space="preserve">entity and it </w:t>
      </w:r>
      <w:r w:rsidR="0004676A">
        <w:t>will report</w:t>
      </w:r>
      <w:r w:rsidR="00310235">
        <w:t xml:space="preserve"> </w:t>
      </w:r>
      <w:r w:rsidR="00236B2A">
        <w:t xml:space="preserve">Relevant </w:t>
      </w:r>
      <w:r w:rsidR="00C55289">
        <w:t>Information in</w:t>
      </w:r>
      <w:r w:rsidR="007613E5">
        <w:t xml:space="preserve"> accordance with the Derivative Transaction Rules (Reporting)</w:t>
      </w:r>
      <w:r w:rsidR="00B439C4">
        <w:t>.</w:t>
      </w:r>
    </w:p>
    <w:p w:rsidR="00C84FA1" w:rsidRPr="000A75A3" w:rsidRDefault="00B91A08" w:rsidP="000A75A3">
      <w:pPr>
        <w:pStyle w:val="HangingIndent2"/>
        <w:keepNext/>
        <w:rPr>
          <w:i/>
          <w:u w:val="single"/>
        </w:rPr>
      </w:pPr>
      <w:r>
        <w:rPr>
          <w:i/>
          <w:u w:val="single"/>
        </w:rPr>
        <w:t xml:space="preserve">Counterparty will report </w:t>
      </w:r>
      <w:r w:rsidR="00236B2A">
        <w:rPr>
          <w:i/>
          <w:u w:val="single"/>
        </w:rPr>
        <w:t>“booked” and “</w:t>
      </w:r>
      <w:r>
        <w:rPr>
          <w:i/>
          <w:u w:val="single"/>
        </w:rPr>
        <w:t>n</w:t>
      </w:r>
      <w:r w:rsidR="00C43FB4">
        <w:rPr>
          <w:i/>
          <w:u w:val="single"/>
        </w:rPr>
        <w:t>exus</w:t>
      </w:r>
      <w:r w:rsidR="00236B2A">
        <w:rPr>
          <w:i/>
          <w:u w:val="single"/>
        </w:rPr>
        <w:t>” transactions</w:t>
      </w:r>
    </w:p>
    <w:p w:rsidR="00C84FA1" w:rsidRDefault="009B6D6C" w:rsidP="00236B2A">
      <w:pPr>
        <w:pStyle w:val="HangingIndent2"/>
        <w:keepNext/>
      </w:pPr>
      <w:r w:rsidRPr="00816753">
        <w:rPr>
          <w:sz w:val="20"/>
          <w:szCs w:val="20"/>
        </w:rPr>
        <w:fldChar w:fldCharType="begin">
          <w:ffData>
            <w:name w:val="Check1"/>
            <w:enabled/>
            <w:calcOnExit w:val="0"/>
            <w:checkBox>
              <w:sizeAuto/>
              <w:default w:val="0"/>
            </w:checkBox>
          </w:ffData>
        </w:fldChar>
      </w:r>
      <w:r w:rsidR="00C84FA1" w:rsidRPr="00816753">
        <w:rPr>
          <w:sz w:val="20"/>
          <w:szCs w:val="20"/>
        </w:rPr>
        <w:instrText xml:space="preserve"> FORMCHECKBOX </w:instrText>
      </w:r>
      <w:r w:rsidR="00E764AD">
        <w:rPr>
          <w:sz w:val="20"/>
          <w:szCs w:val="20"/>
        </w:rPr>
      </w:r>
      <w:r w:rsidR="00E764AD">
        <w:rPr>
          <w:sz w:val="20"/>
          <w:szCs w:val="20"/>
        </w:rPr>
        <w:fldChar w:fldCharType="separate"/>
      </w:r>
      <w:r w:rsidRPr="00816753">
        <w:rPr>
          <w:sz w:val="20"/>
          <w:szCs w:val="20"/>
        </w:rPr>
        <w:fldChar w:fldCharType="end"/>
      </w:r>
      <w:r w:rsidR="00C84FA1">
        <w:tab/>
        <w:t xml:space="preserve">The Counterparty hereby represents that it is a reporting entity and it will report only such </w:t>
      </w:r>
      <w:r w:rsidR="00236B2A">
        <w:t>Relevant Information</w:t>
      </w:r>
      <w:r w:rsidR="00236B2A" w:rsidRPr="00AB6D0E">
        <w:t xml:space="preserve"> </w:t>
      </w:r>
      <w:r w:rsidR="00C84FA1">
        <w:t>that</w:t>
      </w:r>
      <w:r w:rsidR="0087303A">
        <w:t>, in each case,</w:t>
      </w:r>
      <w:r w:rsidR="001F216B">
        <w:t xml:space="preserve"> either (1)</w:t>
      </w:r>
      <w:r w:rsidR="00EB46B5">
        <w:t xml:space="preserve"> </w:t>
      </w:r>
      <w:r w:rsidR="0021565F">
        <w:t>is</w:t>
      </w:r>
      <w:r w:rsidR="001F216B">
        <w:t xml:space="preserve"> i</w:t>
      </w:r>
      <w:r w:rsidR="00AE33E7">
        <w:t>n respect of</w:t>
      </w:r>
      <w:r w:rsidR="001F216B">
        <w:t xml:space="preserve"> OTC derivative</w:t>
      </w:r>
      <w:r w:rsidR="00AE33E7">
        <w:t>s</w:t>
      </w:r>
      <w:r w:rsidR="001F216B">
        <w:t xml:space="preserve"> booked to the profit or loss account of a branch of the Counterparty </w:t>
      </w:r>
      <w:r w:rsidR="001F216B">
        <w:lastRenderedPageBreak/>
        <w:t>located in this jurisdiction, or (2)</w:t>
      </w:r>
      <w:r w:rsidR="0087303A">
        <w:t xml:space="preserve"> the Counterparty</w:t>
      </w:r>
      <w:r w:rsidR="00C84FA1">
        <w:t xml:space="preserve"> is required to </w:t>
      </w:r>
      <w:r w:rsidR="0021565F">
        <w:t xml:space="preserve">report </w:t>
      </w:r>
      <w:r w:rsidR="00C84FA1">
        <w:t>under ASIC Instrument [15-0067]</w:t>
      </w:r>
      <w:r w:rsidR="00EB46B5">
        <w:t>,</w:t>
      </w:r>
      <w:r w:rsidR="00C84FA1">
        <w:t xml:space="preserve"> </w:t>
      </w:r>
      <w:r w:rsidR="0021565F">
        <w:t xml:space="preserve">and </w:t>
      </w:r>
      <w:r w:rsidR="00C84FA1">
        <w:t xml:space="preserve">in </w:t>
      </w:r>
      <w:r w:rsidR="00EB46B5">
        <w:t xml:space="preserve">each case, in </w:t>
      </w:r>
      <w:r w:rsidR="00C84FA1">
        <w:t>accordance with the Derivative Transaction Rules (Reporting).</w:t>
      </w:r>
    </w:p>
    <w:p w:rsidR="00EA5B70" w:rsidRDefault="00B91A08" w:rsidP="000A75A3">
      <w:pPr>
        <w:pStyle w:val="HangingIndent2"/>
        <w:keepNext/>
      </w:pPr>
      <w:r>
        <w:rPr>
          <w:i/>
          <w:u w:val="single"/>
        </w:rPr>
        <w:t>Counterparty will report under a</w:t>
      </w:r>
      <w:r w:rsidR="00EA5B70">
        <w:rPr>
          <w:i/>
          <w:u w:val="single"/>
        </w:rPr>
        <w:t>lternative</w:t>
      </w:r>
      <w:r w:rsidR="00EA5B70" w:rsidRPr="00DE778D">
        <w:rPr>
          <w:i/>
          <w:u w:val="single"/>
        </w:rPr>
        <w:t xml:space="preserve"> </w:t>
      </w:r>
      <w:r w:rsidR="00EA5B70">
        <w:rPr>
          <w:i/>
          <w:u w:val="single"/>
        </w:rPr>
        <w:t>reporting</w:t>
      </w:r>
      <w:r w:rsidR="00EA5B70">
        <w:t>.</w:t>
      </w:r>
    </w:p>
    <w:p w:rsidR="00F4128F" w:rsidRPr="00C43FB4" w:rsidRDefault="009B6D6C" w:rsidP="0088653C">
      <w:pPr>
        <w:pStyle w:val="HangingIndent2"/>
      </w:pPr>
      <w:r w:rsidRPr="00816753">
        <w:rPr>
          <w:sz w:val="20"/>
          <w:szCs w:val="20"/>
        </w:rPr>
        <w:fldChar w:fldCharType="begin">
          <w:ffData>
            <w:name w:val="Check1"/>
            <w:enabled/>
            <w:calcOnExit w:val="0"/>
            <w:checkBox>
              <w:sizeAuto/>
              <w:default w:val="0"/>
            </w:checkBox>
          </w:ffData>
        </w:fldChar>
      </w:r>
      <w:r w:rsidR="00816753" w:rsidRPr="00816753">
        <w:rPr>
          <w:sz w:val="20"/>
          <w:szCs w:val="20"/>
        </w:rPr>
        <w:instrText xml:space="preserve"> FORMCHECKBOX </w:instrText>
      </w:r>
      <w:r w:rsidR="00E764AD">
        <w:rPr>
          <w:sz w:val="20"/>
          <w:szCs w:val="20"/>
        </w:rPr>
      </w:r>
      <w:r w:rsidR="00E764AD">
        <w:rPr>
          <w:sz w:val="20"/>
          <w:szCs w:val="20"/>
        </w:rPr>
        <w:fldChar w:fldCharType="separate"/>
      </w:r>
      <w:r w:rsidRPr="00816753">
        <w:rPr>
          <w:sz w:val="20"/>
          <w:szCs w:val="20"/>
        </w:rPr>
        <w:fldChar w:fldCharType="end"/>
      </w:r>
      <w:r w:rsidR="00816753">
        <w:tab/>
      </w:r>
      <w:r w:rsidR="007613E5" w:rsidRPr="007613E5">
        <w:t xml:space="preserve">The </w:t>
      </w:r>
      <w:r w:rsidR="000036F4">
        <w:t xml:space="preserve">Counterparty </w:t>
      </w:r>
      <w:r w:rsidR="00A94482">
        <w:t xml:space="preserve">is a foreign entity and </w:t>
      </w:r>
      <w:r w:rsidR="007613E5" w:rsidRPr="007613E5">
        <w:t xml:space="preserve">hereby represents that it: (i) is </w:t>
      </w:r>
      <w:r w:rsidR="00DE6296">
        <w:t xml:space="preserve">subject to reporting requirements in one or more foreign jurisdictions that are substantially equivalent to requirements under the Derivative Transaction Rules (Reporting); (ii) </w:t>
      </w:r>
      <w:r w:rsidR="00310235">
        <w:t xml:space="preserve">will report </w:t>
      </w:r>
      <w:r w:rsidR="00236B2A">
        <w:t>Relevant Information</w:t>
      </w:r>
      <w:r w:rsidR="00DE6296">
        <w:t xml:space="preserve"> in accordance with the requirements that apply in one or more of those foreign jurisdictions, to a facility prescribed by or under regulation 7.5A.30(2)</w:t>
      </w:r>
      <w:r w:rsidR="00310235">
        <w:t xml:space="preserve"> of the Corporations Regulations 2001</w:t>
      </w:r>
      <w:r w:rsidR="00B11CA4">
        <w:t xml:space="preserve"> including but not limited to</w:t>
      </w:r>
      <w:r w:rsidR="009230ED">
        <w:t xml:space="preserve"> </w:t>
      </w:r>
      <w:r w:rsidR="00EC11AD">
        <w:t xml:space="preserve">the facilities determined by ASIC under </w:t>
      </w:r>
      <w:r w:rsidR="009230ED">
        <w:t>ASIC Prescribed Trade Repositories Determination [15</w:t>
      </w:r>
      <w:r w:rsidR="005B095F">
        <w:t>/</w:t>
      </w:r>
      <w:r w:rsidR="009230ED">
        <w:t>0591]</w:t>
      </w:r>
      <w:r w:rsidR="00DE6296">
        <w:t xml:space="preserve">; and (iii) </w:t>
      </w:r>
      <w:r w:rsidR="00310235">
        <w:t>will designate</w:t>
      </w:r>
      <w:r w:rsidR="00A05E2B">
        <w:t xml:space="preserve"> </w:t>
      </w:r>
      <w:r w:rsidR="009761F5" w:rsidRPr="00AB6D0E">
        <w:t>such</w:t>
      </w:r>
      <w:r w:rsidR="00DE6296">
        <w:t xml:space="preserve"> information reported to that facility</w:t>
      </w:r>
      <w:r w:rsidR="005D0082">
        <w:t xml:space="preserve"> </w:t>
      </w:r>
      <w:r w:rsidR="005D0082" w:rsidRPr="00A05E2B">
        <w:t>that either (1) is in respect of OTC derivatives booked to the profit or loss account of a branch of the Counterparty located in Australia, or (2) the Counterparty is required to report under ASIC Instrument [15-0067]</w:t>
      </w:r>
      <w:r w:rsidR="005D0082">
        <w:t xml:space="preserve"> </w:t>
      </w:r>
      <w:r w:rsidR="00DE6296">
        <w:t xml:space="preserve">as information that has been reported </w:t>
      </w:r>
      <w:r w:rsidR="00ED218D">
        <w:t>in accordance with</w:t>
      </w:r>
      <w:r w:rsidR="00DE6296">
        <w:t xml:space="preserve"> the Derivative Transaction Rules (Reporting)</w:t>
      </w:r>
      <w:r w:rsidR="001C1300">
        <w:t>.</w:t>
      </w:r>
      <w:r w:rsidR="00EC11AD">
        <w:t xml:space="preserve"> </w:t>
      </w:r>
    </w:p>
    <w:p w:rsidR="00ED218D" w:rsidRDefault="009B6D6C" w:rsidP="00ED218D">
      <w:pPr>
        <w:pStyle w:val="HangingIndent2"/>
      </w:pPr>
      <w:r w:rsidRPr="00816753">
        <w:rPr>
          <w:sz w:val="20"/>
          <w:szCs w:val="20"/>
        </w:rPr>
        <w:fldChar w:fldCharType="begin">
          <w:ffData>
            <w:name w:val="Check1"/>
            <w:enabled/>
            <w:calcOnExit w:val="0"/>
            <w:checkBox>
              <w:sizeAuto/>
              <w:default w:val="0"/>
            </w:checkBox>
          </w:ffData>
        </w:fldChar>
      </w:r>
      <w:r w:rsidR="00ED218D" w:rsidRPr="00816753">
        <w:rPr>
          <w:sz w:val="20"/>
          <w:szCs w:val="20"/>
        </w:rPr>
        <w:instrText xml:space="preserve"> FORMCHECKBOX </w:instrText>
      </w:r>
      <w:r w:rsidR="00E764AD">
        <w:rPr>
          <w:sz w:val="20"/>
          <w:szCs w:val="20"/>
        </w:rPr>
      </w:r>
      <w:r w:rsidR="00E764AD">
        <w:rPr>
          <w:sz w:val="20"/>
          <w:szCs w:val="20"/>
        </w:rPr>
        <w:fldChar w:fldCharType="separate"/>
      </w:r>
      <w:r w:rsidRPr="00816753">
        <w:rPr>
          <w:sz w:val="20"/>
          <w:szCs w:val="20"/>
        </w:rPr>
        <w:fldChar w:fldCharType="end"/>
      </w:r>
      <w:r w:rsidR="00ED218D">
        <w:tab/>
      </w:r>
      <w:r w:rsidR="00ED218D" w:rsidRPr="007613E5">
        <w:t xml:space="preserve">The </w:t>
      </w:r>
      <w:r w:rsidR="00ED218D">
        <w:t xml:space="preserve">Counterparty </w:t>
      </w:r>
      <w:r w:rsidR="00771B71">
        <w:t xml:space="preserve">is a foreign entity and </w:t>
      </w:r>
      <w:r w:rsidR="00ED218D" w:rsidRPr="007613E5">
        <w:t xml:space="preserve">hereby represents that it: (i) </w:t>
      </w:r>
      <w:r w:rsidR="00ED218D">
        <w:t>will report</w:t>
      </w:r>
      <w:r w:rsidR="0078647C">
        <w:t xml:space="preserve"> </w:t>
      </w:r>
      <w:r w:rsidR="00236B2A">
        <w:t xml:space="preserve">Relevant Information </w:t>
      </w:r>
      <w:r w:rsidR="0021565F" w:rsidRPr="00A05E2B">
        <w:t>that either (1) is in respect of OTC derivatives booked to the profit or loss account of a branch of the Counterparty located in Australia, or (2) the Counterparty is required to report under ASIC Instrument [15-0067]</w:t>
      </w:r>
      <w:r w:rsidR="00CE3E11">
        <w:t>,</w:t>
      </w:r>
      <w:r w:rsidR="0021565F" w:rsidRPr="00A05E2B">
        <w:t xml:space="preserve"> </w:t>
      </w:r>
      <w:r w:rsidR="00ED218D">
        <w:t>to a licensed derivative trade repository in accordance with the Derivative Transaction Rules (Reporting); and (ii) will designate</w:t>
      </w:r>
      <w:r w:rsidR="00A05E2B">
        <w:t xml:space="preserve"> </w:t>
      </w:r>
      <w:r w:rsidR="009761F5" w:rsidRPr="00AB6D0E">
        <w:t>such</w:t>
      </w:r>
      <w:r w:rsidR="003540F7">
        <w:t xml:space="preserve"> </w:t>
      </w:r>
      <w:r w:rsidR="00ED218D">
        <w:t>information reported to that facility as information that has been reported in accordance with the Derivative Transaction Rules (Reporting)</w:t>
      </w:r>
      <w:r w:rsidR="00ED218D" w:rsidRPr="007613E5">
        <w:t>.</w:t>
      </w:r>
      <w:r w:rsidR="00ED218D">
        <w:t xml:space="preserve"> </w:t>
      </w:r>
    </w:p>
    <w:p w:rsidR="0021565F" w:rsidRPr="00C43FB4" w:rsidRDefault="0021565F" w:rsidP="0021565F">
      <w:pPr>
        <w:pStyle w:val="HangingIndent2"/>
      </w:pPr>
      <w:r w:rsidRPr="00816753">
        <w:rPr>
          <w:sz w:val="20"/>
          <w:szCs w:val="20"/>
        </w:rPr>
        <w:fldChar w:fldCharType="begin">
          <w:ffData>
            <w:name w:val="Check1"/>
            <w:enabled/>
            <w:calcOnExit w:val="0"/>
            <w:checkBox>
              <w:sizeAuto/>
              <w:default w:val="0"/>
            </w:checkBox>
          </w:ffData>
        </w:fldChar>
      </w:r>
      <w:r w:rsidRPr="00816753">
        <w:rPr>
          <w:sz w:val="20"/>
          <w:szCs w:val="20"/>
        </w:rPr>
        <w:instrText xml:space="preserve"> FORMCHECKBOX </w:instrText>
      </w:r>
      <w:r w:rsidR="00E764AD">
        <w:rPr>
          <w:sz w:val="20"/>
          <w:szCs w:val="20"/>
        </w:rPr>
      </w:r>
      <w:r w:rsidR="00E764AD">
        <w:rPr>
          <w:sz w:val="20"/>
          <w:szCs w:val="20"/>
        </w:rPr>
        <w:fldChar w:fldCharType="separate"/>
      </w:r>
      <w:r w:rsidRPr="00816753">
        <w:rPr>
          <w:sz w:val="20"/>
          <w:szCs w:val="20"/>
        </w:rPr>
        <w:fldChar w:fldCharType="end"/>
      </w:r>
      <w:r>
        <w:tab/>
      </w:r>
      <w:r w:rsidRPr="007613E5">
        <w:t xml:space="preserve">The </w:t>
      </w:r>
      <w:r>
        <w:t xml:space="preserve">Counterparty is a foreign entity and </w:t>
      </w:r>
      <w:r w:rsidRPr="007613E5">
        <w:t xml:space="preserve">hereby represents that it: (i) is </w:t>
      </w:r>
      <w:r>
        <w:t xml:space="preserve">subject to reporting requirements in one or more foreign jurisdictions that are substantially equivalent to requirements under the Derivative Transaction Rules (Reporting); (ii) will report Relevant Information in accordance with the requirements that apply in one or more of those foreign jurisdictions, to a facility prescribed by or under regulation 7.5A.30(2) of the Corporations Regulations 2001 including but not limited to the facilities determined by ASIC under ASIC Prescribed Trade Repositories Determination [15/0591]; and (iii) will designate </w:t>
      </w:r>
      <w:r w:rsidRPr="00AB6D0E">
        <w:t>such</w:t>
      </w:r>
      <w:r>
        <w:t xml:space="preserve"> information reported to that facility</w:t>
      </w:r>
      <w:r w:rsidRPr="00A05E2B">
        <w:t xml:space="preserve"> </w:t>
      </w:r>
      <w:r>
        <w:t xml:space="preserve">as information that has been reported in accordance with the Derivative Transaction Rules (Reporting). </w:t>
      </w:r>
    </w:p>
    <w:p w:rsidR="0021565F" w:rsidRDefault="0021565F" w:rsidP="0021565F">
      <w:pPr>
        <w:pStyle w:val="HangingIndent2"/>
      </w:pPr>
      <w:r w:rsidRPr="00816753">
        <w:rPr>
          <w:sz w:val="20"/>
          <w:szCs w:val="20"/>
        </w:rPr>
        <w:fldChar w:fldCharType="begin">
          <w:ffData>
            <w:name w:val="Check1"/>
            <w:enabled/>
            <w:calcOnExit w:val="0"/>
            <w:checkBox>
              <w:sizeAuto/>
              <w:default w:val="0"/>
            </w:checkBox>
          </w:ffData>
        </w:fldChar>
      </w:r>
      <w:r w:rsidRPr="00816753">
        <w:rPr>
          <w:sz w:val="20"/>
          <w:szCs w:val="20"/>
        </w:rPr>
        <w:instrText xml:space="preserve"> FORMCHECKBOX </w:instrText>
      </w:r>
      <w:r w:rsidR="00E764AD">
        <w:rPr>
          <w:sz w:val="20"/>
          <w:szCs w:val="20"/>
        </w:rPr>
      </w:r>
      <w:r w:rsidR="00E764AD">
        <w:rPr>
          <w:sz w:val="20"/>
          <w:szCs w:val="20"/>
        </w:rPr>
        <w:fldChar w:fldCharType="separate"/>
      </w:r>
      <w:r w:rsidRPr="00816753">
        <w:rPr>
          <w:sz w:val="20"/>
          <w:szCs w:val="20"/>
        </w:rPr>
        <w:fldChar w:fldCharType="end"/>
      </w:r>
      <w:r>
        <w:tab/>
      </w:r>
      <w:r w:rsidRPr="007613E5">
        <w:t xml:space="preserve">The </w:t>
      </w:r>
      <w:r>
        <w:t xml:space="preserve">Counterparty is a foreign entity and </w:t>
      </w:r>
      <w:r w:rsidRPr="007613E5">
        <w:t xml:space="preserve">hereby represents that it: (i) </w:t>
      </w:r>
      <w:r>
        <w:t xml:space="preserve">will report Relevant Information to a licensed derivative trade repository in accordance with </w:t>
      </w:r>
      <w:r>
        <w:lastRenderedPageBreak/>
        <w:t xml:space="preserve">the Derivative Transaction Rules (Reporting); and (ii) will designate </w:t>
      </w:r>
      <w:r w:rsidRPr="00AB6D0E">
        <w:t>such</w:t>
      </w:r>
      <w:r>
        <w:t xml:space="preserve"> information reported to that facility as information that has been reported in accordance with the Derivative Transaction Rules (Reporting)</w:t>
      </w:r>
      <w:r w:rsidRPr="007613E5">
        <w:t>.</w:t>
      </w:r>
      <w:r>
        <w:t xml:space="preserve"> </w:t>
      </w:r>
    </w:p>
    <w:p w:rsidR="00B91A08" w:rsidRPr="00B91A08" w:rsidRDefault="00B91A08" w:rsidP="00ED218D">
      <w:pPr>
        <w:pStyle w:val="HangingIndent2"/>
        <w:rPr>
          <w:i/>
        </w:rPr>
      </w:pPr>
      <w:r>
        <w:rPr>
          <w:i/>
        </w:rPr>
        <w:t>Counterparty will not report</w:t>
      </w:r>
    </w:p>
    <w:p w:rsidR="00F4128F" w:rsidRPr="00C43FB4" w:rsidRDefault="009B6D6C" w:rsidP="00B91A08">
      <w:pPr>
        <w:ind w:left="1440" w:hanging="720"/>
        <w:jc w:val="both"/>
      </w:pPr>
      <w:r w:rsidRPr="00816753">
        <w:rPr>
          <w:sz w:val="20"/>
          <w:szCs w:val="20"/>
        </w:rPr>
        <w:fldChar w:fldCharType="begin">
          <w:ffData>
            <w:name w:val="Check1"/>
            <w:enabled/>
            <w:calcOnExit w:val="0"/>
            <w:checkBox>
              <w:sizeAuto/>
              <w:default w:val="0"/>
            </w:checkBox>
          </w:ffData>
        </w:fldChar>
      </w:r>
      <w:r w:rsidR="00B91A08" w:rsidRPr="00816753">
        <w:rPr>
          <w:sz w:val="20"/>
          <w:szCs w:val="20"/>
        </w:rPr>
        <w:instrText xml:space="preserve"> FORMCHECKBOX </w:instrText>
      </w:r>
      <w:r w:rsidR="00E764AD">
        <w:rPr>
          <w:sz w:val="20"/>
          <w:szCs w:val="20"/>
        </w:rPr>
      </w:r>
      <w:r w:rsidR="00E764AD">
        <w:rPr>
          <w:sz w:val="20"/>
          <w:szCs w:val="20"/>
        </w:rPr>
        <w:fldChar w:fldCharType="separate"/>
      </w:r>
      <w:r w:rsidRPr="00816753">
        <w:rPr>
          <w:sz w:val="20"/>
          <w:szCs w:val="20"/>
        </w:rPr>
        <w:fldChar w:fldCharType="end"/>
      </w:r>
      <w:r w:rsidR="00B91A08">
        <w:rPr>
          <w:sz w:val="20"/>
          <w:szCs w:val="20"/>
        </w:rPr>
        <w:tab/>
      </w:r>
      <w:r w:rsidR="00B91A08" w:rsidRPr="00FF5A92">
        <w:t>The Counterparty hereby represents that it is a reporting entity and</w:t>
      </w:r>
      <w:r w:rsidR="00617CE4">
        <w:t xml:space="preserve"> where</w:t>
      </w:r>
      <w:r w:rsidR="00B91A08" w:rsidRPr="00FF5A92">
        <w:t xml:space="preserve"> it is not required to, </w:t>
      </w:r>
      <w:r w:rsidR="00617CE4">
        <w:t>it</w:t>
      </w:r>
      <w:r w:rsidR="00B91A08" w:rsidRPr="00FF5A92">
        <w:t xml:space="preserve"> will not, report </w:t>
      </w:r>
      <w:r w:rsidR="00236B2A">
        <w:t>Relevant Information</w:t>
      </w:r>
      <w:r w:rsidR="00B91A08" w:rsidRPr="00654CFD">
        <w:t xml:space="preserve"> under the Derivative Transaction Rules (Reporting).</w:t>
      </w:r>
    </w:p>
    <w:p w:rsidR="00C929FF" w:rsidRDefault="009B6D6C" w:rsidP="00A04350">
      <w:pPr>
        <w:ind w:left="1440" w:hanging="720"/>
        <w:jc w:val="both"/>
      </w:pPr>
      <w:r w:rsidRPr="00816753">
        <w:rPr>
          <w:sz w:val="20"/>
          <w:szCs w:val="20"/>
        </w:rPr>
        <w:fldChar w:fldCharType="begin">
          <w:ffData>
            <w:name w:val="Check1"/>
            <w:enabled/>
            <w:calcOnExit w:val="0"/>
            <w:checkBox>
              <w:sizeAuto/>
              <w:default w:val="0"/>
            </w:checkBox>
          </w:ffData>
        </w:fldChar>
      </w:r>
      <w:r w:rsidR="00C929FF" w:rsidRPr="00816753">
        <w:rPr>
          <w:sz w:val="20"/>
          <w:szCs w:val="20"/>
        </w:rPr>
        <w:instrText xml:space="preserve"> FORMCHECKBOX </w:instrText>
      </w:r>
      <w:r w:rsidR="00E764AD">
        <w:rPr>
          <w:sz w:val="20"/>
          <w:szCs w:val="20"/>
        </w:rPr>
      </w:r>
      <w:r w:rsidR="00E764AD">
        <w:rPr>
          <w:sz w:val="20"/>
          <w:szCs w:val="20"/>
        </w:rPr>
        <w:fldChar w:fldCharType="separate"/>
      </w:r>
      <w:r w:rsidRPr="00816753">
        <w:rPr>
          <w:sz w:val="20"/>
          <w:szCs w:val="20"/>
        </w:rPr>
        <w:fldChar w:fldCharType="end"/>
      </w:r>
      <w:r w:rsidR="00C929FF">
        <w:tab/>
      </w:r>
      <w:r w:rsidR="00C929FF" w:rsidRPr="007613E5">
        <w:t xml:space="preserve">The </w:t>
      </w:r>
      <w:r w:rsidR="00B7678A">
        <w:t xml:space="preserve">Counterparty </w:t>
      </w:r>
      <w:r w:rsidR="00C929FF" w:rsidRPr="007613E5">
        <w:t xml:space="preserve">hereby represents that it </w:t>
      </w:r>
      <w:r w:rsidR="003C36F5">
        <w:t>(i)</w:t>
      </w:r>
      <w:r w:rsidR="00C929FF">
        <w:t xml:space="preserve"> will not report</w:t>
      </w:r>
      <w:r w:rsidR="0078647C">
        <w:t xml:space="preserve"> </w:t>
      </w:r>
      <w:r w:rsidR="00236B2A">
        <w:t>Relevant Information</w:t>
      </w:r>
      <w:r w:rsidR="003C36F5">
        <w:t xml:space="preserve"> </w:t>
      </w:r>
      <w:r w:rsidR="00ED218D">
        <w:t xml:space="preserve">in accordance with </w:t>
      </w:r>
      <w:r w:rsidR="003C36F5">
        <w:t xml:space="preserve">either (A) </w:t>
      </w:r>
      <w:r w:rsidR="00ED218D">
        <w:t xml:space="preserve">the Derivative Transaction Rules (Reporting) or </w:t>
      </w:r>
      <w:r w:rsidR="003C36F5">
        <w:t xml:space="preserve">(B) </w:t>
      </w:r>
      <w:r w:rsidR="00ED218D">
        <w:t>the requirements that apply in a foreign jurisdiction where such requirements are substantially equivalent to requirements under the Derivative Transaction Rules (Reporting)</w:t>
      </w:r>
      <w:r w:rsidR="0045352F">
        <w:t xml:space="preserve">, </w:t>
      </w:r>
      <w:r w:rsidR="00771B71">
        <w:t xml:space="preserve">or </w:t>
      </w:r>
      <w:r w:rsidR="003C36F5">
        <w:t>(ii) will not designate</w:t>
      </w:r>
      <w:r w:rsidR="0078647C">
        <w:t xml:space="preserve"> </w:t>
      </w:r>
      <w:r w:rsidR="00236B2A">
        <w:t>Relevant Information</w:t>
      </w:r>
      <w:r w:rsidR="003540F7">
        <w:t xml:space="preserve"> </w:t>
      </w:r>
      <w:r w:rsidR="003C36F5">
        <w:t>to the relevant facility as information that has been reported in accordance with the Derivative Transaction Rules (Reporting)</w:t>
      </w:r>
      <w:r w:rsidR="00C929FF">
        <w:t>.</w:t>
      </w:r>
    </w:p>
    <w:p w:rsidR="00EA5B70" w:rsidRPr="00A843F0" w:rsidRDefault="00EA5B70" w:rsidP="00EA5B70">
      <w:pPr>
        <w:keepNext/>
      </w:pPr>
      <w:r w:rsidRPr="0064773C">
        <w:rPr>
          <w:b/>
        </w:rPr>
        <w:t>II</w:t>
      </w:r>
      <w:r w:rsidR="00D315A7">
        <w:rPr>
          <w:b/>
        </w:rPr>
        <w:t>I</w:t>
      </w:r>
      <w:r w:rsidRPr="0064773C">
        <w:rPr>
          <w:b/>
        </w:rPr>
        <w:t>.</w:t>
      </w:r>
      <w:r w:rsidRPr="0064773C">
        <w:rPr>
          <w:b/>
        </w:rPr>
        <w:tab/>
      </w:r>
      <w:r w:rsidR="00D315A7">
        <w:rPr>
          <w:b/>
        </w:rPr>
        <w:t>Additional Provisions</w:t>
      </w:r>
      <w:r w:rsidRPr="007630F2">
        <w:rPr>
          <w:b/>
        </w:rPr>
        <w:t>.</w:t>
      </w:r>
    </w:p>
    <w:p w:rsidR="005D32E6" w:rsidRDefault="005D32E6" w:rsidP="005D32E6">
      <w:pPr>
        <w:keepNext/>
        <w:rPr>
          <w:szCs w:val="24"/>
        </w:rPr>
      </w:pPr>
      <w:r>
        <w:rPr>
          <w:szCs w:val="24"/>
        </w:rPr>
        <w:t>(A)</w:t>
      </w:r>
      <w:r>
        <w:rPr>
          <w:szCs w:val="24"/>
        </w:rPr>
        <w:tab/>
      </w:r>
      <w:r w:rsidR="003E44BA">
        <w:rPr>
          <w:b/>
          <w:szCs w:val="24"/>
        </w:rPr>
        <w:t>Limitation of Liability</w:t>
      </w:r>
    </w:p>
    <w:p w:rsidR="00C43FB4" w:rsidRDefault="00C55289" w:rsidP="005D32E6">
      <w:pPr>
        <w:jc w:val="both"/>
      </w:pPr>
      <w:r>
        <w:t>N</w:t>
      </w:r>
      <w:r w:rsidR="00C43FB4">
        <w:t>othing in this letter causes the Counterparty to be acting as a fiduciary for, or an advisor to</w:t>
      </w:r>
      <w:r w:rsidR="00D471CD">
        <w:t>, or delegate of</w:t>
      </w:r>
      <w:r w:rsidR="00C43FB4">
        <w:t>, the Exempt Phase 3 Reporting Entity and</w:t>
      </w:r>
      <w:r>
        <w:t>, o</w:t>
      </w:r>
      <w:r w:rsidRPr="00C55289">
        <w:t>ther than as outlined herein</w:t>
      </w:r>
      <w:r>
        <w:t xml:space="preserve">, </w:t>
      </w:r>
      <w:r w:rsidR="00C43FB4">
        <w:t xml:space="preserve">the representations given by the Counterparty in this letter do not result in the Counterparty undertaking any </w:t>
      </w:r>
      <w:r w:rsidR="00B91A08">
        <w:t xml:space="preserve">additional </w:t>
      </w:r>
      <w:r w:rsidR="00C43FB4">
        <w:t>duty with respect to the Exempt Phase 3 Reporting Entity.</w:t>
      </w:r>
    </w:p>
    <w:p w:rsidR="00ED218D" w:rsidRDefault="003E44BA" w:rsidP="005D32E6">
      <w:pPr>
        <w:jc w:val="both"/>
      </w:pPr>
      <w:r w:rsidRPr="003E44BA">
        <w:t>The Coun</w:t>
      </w:r>
      <w:r w:rsidR="00A774A4">
        <w:t>terparty and each a</w:t>
      </w:r>
      <w:r w:rsidRPr="003E44BA">
        <w:t>ffiliate of the Counterparty and the directors, officers, employees, contractors and agent</w:t>
      </w:r>
      <w:r w:rsidR="00A774A4">
        <w:t>s of the Counterparty and each a</w:t>
      </w:r>
      <w:r w:rsidRPr="003E44BA">
        <w:t xml:space="preserve">ffiliate of the Counterparty </w:t>
      </w:r>
      <w:r w:rsidR="00732CFA">
        <w:t>disclaim</w:t>
      </w:r>
      <w:r>
        <w:t>, and the Exempt Phase 3 Reporting Entity agrees that</w:t>
      </w:r>
      <w:r w:rsidR="004462A3">
        <w:t xml:space="preserve"> </w:t>
      </w:r>
      <w:r w:rsidR="00D471CD" w:rsidRPr="00D471CD">
        <w:t>the Counterparty</w:t>
      </w:r>
      <w:r>
        <w:t xml:space="preserve"> shall not have,</w:t>
      </w:r>
      <w:r w:rsidRPr="003E44BA">
        <w:t xml:space="preserve"> any liability to the Exempt Phase 3 </w:t>
      </w:r>
      <w:r>
        <w:t xml:space="preserve">Reporting </w:t>
      </w:r>
      <w:r w:rsidRPr="003E44BA">
        <w:t>Entity (or any person claiming under o</w:t>
      </w:r>
      <w:r w:rsidR="00F4128F">
        <w:t>r</w:t>
      </w:r>
      <w:r w:rsidRPr="003E44BA">
        <w:t xml:space="preserve"> through it) </w:t>
      </w:r>
      <w:r>
        <w:t>for</w:t>
      </w:r>
      <w:r w:rsidRPr="003E44BA">
        <w:t xml:space="preserve"> </w:t>
      </w:r>
      <w:r w:rsidR="00FF5A92">
        <w:t xml:space="preserve">any </w:t>
      </w:r>
      <w:r w:rsidRPr="003E44BA">
        <w:t>breach of statutory</w:t>
      </w:r>
      <w:r w:rsidR="00F77878">
        <w:t>,</w:t>
      </w:r>
      <w:r w:rsidRPr="003E44BA">
        <w:t xml:space="preserve"> regulatory </w:t>
      </w:r>
      <w:r w:rsidR="00F77878">
        <w:t xml:space="preserve">or other </w:t>
      </w:r>
      <w:r w:rsidR="00B91A08">
        <w:t xml:space="preserve">additional </w:t>
      </w:r>
      <w:r w:rsidRPr="003E44BA">
        <w:t xml:space="preserve">duty </w:t>
      </w:r>
      <w:r w:rsidR="00F77878">
        <w:t>in connection with</w:t>
      </w:r>
      <w:r>
        <w:t xml:space="preserve"> its representations hereunder</w:t>
      </w:r>
      <w:r w:rsidR="00F77878">
        <w:t xml:space="preserve"> or any information it reports or does not report in connection with those representations</w:t>
      </w:r>
      <w:r>
        <w:t>.</w:t>
      </w:r>
    </w:p>
    <w:p w:rsidR="00A06337" w:rsidRDefault="00A06337" w:rsidP="005D32E6">
      <w:pPr>
        <w:jc w:val="both"/>
      </w:pPr>
      <w:r>
        <w:t>A failure by a party to take any actions required by, or otherwise comply with</w:t>
      </w:r>
      <w:r w:rsidR="00732CFA">
        <w:t>,</w:t>
      </w:r>
      <w:r>
        <w:t xml:space="preserve"> the representations given by it in this letter, or any inaccuracy of a representation given by it in this letter, will not constitute an event of default in respect of such party or other event which permits either party to terminate any transaction between them.</w:t>
      </w:r>
    </w:p>
    <w:p w:rsidR="005D32E6" w:rsidRDefault="005D32E6" w:rsidP="005D32E6">
      <w:pPr>
        <w:keepNext/>
        <w:rPr>
          <w:szCs w:val="24"/>
        </w:rPr>
      </w:pPr>
      <w:r>
        <w:rPr>
          <w:szCs w:val="24"/>
        </w:rPr>
        <w:t>(B)</w:t>
      </w:r>
      <w:r>
        <w:rPr>
          <w:szCs w:val="24"/>
        </w:rPr>
        <w:tab/>
      </w:r>
      <w:r>
        <w:rPr>
          <w:b/>
          <w:szCs w:val="24"/>
        </w:rPr>
        <w:t>Consent to Report</w:t>
      </w:r>
    </w:p>
    <w:p w:rsidR="005D32E6" w:rsidRDefault="005D32E6" w:rsidP="005D32E6">
      <w:pPr>
        <w:jc w:val="both"/>
      </w:pPr>
      <w:r>
        <w:t xml:space="preserve">Notwithstanding anything to the contrary in any non-disclosure, confidentiality or other agreement between </w:t>
      </w:r>
      <w:r w:rsidR="0045352F">
        <w:t>the Exempt Phase 3 Reporting Entity and the Counterparty</w:t>
      </w:r>
      <w:r>
        <w:t xml:space="preserve">, the Exempt Phase 3 Reporting Entity hereby consents to the disclosure by the Counterparty of information to </w:t>
      </w:r>
      <w:r>
        <w:lastRenderedPageBreak/>
        <w:t xml:space="preserve">the extent </w:t>
      </w:r>
      <w:r w:rsidR="004462A3">
        <w:t>contemplated by</w:t>
      </w:r>
      <w:r w:rsidR="008B01B0">
        <w:t xml:space="preserve"> a representation given by the Counterparty in this letter (whether or not that information is required to be reported under the Derivative Transaction Rules (Reporting)</w:t>
      </w:r>
      <w:r w:rsidR="00F0549A">
        <w:t>)</w:t>
      </w:r>
      <w:r>
        <w:t>.</w:t>
      </w:r>
    </w:p>
    <w:p w:rsidR="0087303A" w:rsidRPr="001078B1" w:rsidRDefault="0087303A" w:rsidP="0087303A">
      <w:pPr>
        <w:autoSpaceDE w:val="0"/>
        <w:autoSpaceDN w:val="0"/>
        <w:adjustRightInd w:val="0"/>
        <w:jc w:val="both"/>
        <w:rPr>
          <w:rFonts w:ascii="Barclays" w:hAnsi="Barclays" w:cs="ExpertSans-Regular"/>
        </w:rPr>
      </w:pPr>
      <w:r>
        <w:t>The Exempt Phase 3 Reporting Entity hereby acknowledges that:</w:t>
      </w:r>
    </w:p>
    <w:p w:rsidR="0087303A" w:rsidRPr="001366AB" w:rsidRDefault="0087303A" w:rsidP="0087303A">
      <w:pPr>
        <w:pStyle w:val="ListParagraph"/>
        <w:numPr>
          <w:ilvl w:val="0"/>
          <w:numId w:val="13"/>
        </w:numPr>
        <w:autoSpaceDE w:val="0"/>
        <w:autoSpaceDN w:val="0"/>
        <w:adjustRightInd w:val="0"/>
        <w:ind w:left="810" w:hanging="426"/>
        <w:contextualSpacing/>
        <w:jc w:val="both"/>
      </w:pPr>
      <w:r w:rsidRPr="001366AB">
        <w:t>the disclosure of information could result in certain anonymous swap transaction and pricing data becoming more widely available;</w:t>
      </w:r>
    </w:p>
    <w:p w:rsidR="0087303A" w:rsidRPr="001366AB" w:rsidRDefault="0087303A" w:rsidP="0087303A">
      <w:pPr>
        <w:pStyle w:val="ListParagraph"/>
        <w:numPr>
          <w:ilvl w:val="0"/>
          <w:numId w:val="13"/>
        </w:numPr>
        <w:autoSpaceDE w:val="0"/>
        <w:autoSpaceDN w:val="0"/>
        <w:adjustRightInd w:val="0"/>
        <w:ind w:left="810" w:hanging="426"/>
        <w:contextualSpacing/>
        <w:jc w:val="both"/>
      </w:pPr>
      <w:r w:rsidRPr="001366AB">
        <w:t xml:space="preserve">the disclosure of information may be made to parties located in a country other than </w:t>
      </w:r>
      <w:r>
        <w:t>the Counterparty’s or Exempt Phase 3 Reporting Entity’s</w:t>
      </w:r>
      <w:r w:rsidRPr="001366AB">
        <w:t xml:space="preserve"> respective home count</w:t>
      </w:r>
      <w:r>
        <w:t>y</w:t>
      </w:r>
      <w:r w:rsidRPr="001366AB">
        <w:t>; and</w:t>
      </w:r>
    </w:p>
    <w:p w:rsidR="0087303A" w:rsidRPr="001366AB" w:rsidRDefault="0087303A" w:rsidP="0087303A">
      <w:pPr>
        <w:pStyle w:val="ListParagraph"/>
        <w:numPr>
          <w:ilvl w:val="0"/>
          <w:numId w:val="13"/>
        </w:numPr>
        <w:autoSpaceDE w:val="0"/>
        <w:autoSpaceDN w:val="0"/>
        <w:adjustRightInd w:val="0"/>
        <w:ind w:left="810" w:hanging="426"/>
        <w:contextualSpacing/>
        <w:jc w:val="both"/>
      </w:pPr>
      <w:r>
        <w:t>The Counterparty</w:t>
      </w:r>
      <w:r w:rsidRPr="001366AB">
        <w:t xml:space="preserve"> may use a third party service provider to transfer trade information into a trade repository and that trade repository may engage the services of a global trade repository regulated by one or more governmental regulators. </w:t>
      </w:r>
    </w:p>
    <w:p w:rsidR="003E44BA" w:rsidRDefault="003E44BA" w:rsidP="005D32E6">
      <w:pPr>
        <w:jc w:val="both"/>
      </w:pPr>
      <w:r>
        <w:t>(C)</w:t>
      </w:r>
      <w:r>
        <w:tab/>
      </w:r>
      <w:r w:rsidR="00945313" w:rsidRPr="00945313">
        <w:rPr>
          <w:b/>
        </w:rPr>
        <w:t>Correction of Errors</w:t>
      </w:r>
    </w:p>
    <w:p w:rsidR="00945313" w:rsidRDefault="00945313" w:rsidP="00945313">
      <w:pPr>
        <w:jc w:val="both"/>
      </w:pPr>
      <w:r>
        <w:t xml:space="preserve">If </w:t>
      </w:r>
      <w:r w:rsidR="00693EE9">
        <w:t>the Exempt Phase 3 Reporting Entity</w:t>
      </w:r>
      <w:r>
        <w:t xml:space="preserve"> becomes aware of any material error in any relevant data reported to a trade repository or any omission in respect of transactions which the Counterparty has confirmed it has reported, it will notify the </w:t>
      </w:r>
      <w:r w:rsidR="00693EE9">
        <w:t xml:space="preserve">Counterparty </w:t>
      </w:r>
      <w:r>
        <w:t>as soon as reasonably practicable.</w:t>
      </w:r>
    </w:p>
    <w:p w:rsidR="00945313" w:rsidRPr="000A75A3" w:rsidRDefault="00945313" w:rsidP="00945313">
      <w:pPr>
        <w:keepNext/>
        <w:jc w:val="both"/>
        <w:rPr>
          <w:b/>
        </w:rPr>
      </w:pPr>
      <w:r>
        <w:t>(D)</w:t>
      </w:r>
      <w:r>
        <w:tab/>
      </w:r>
      <w:r w:rsidRPr="000A75A3">
        <w:rPr>
          <w:b/>
        </w:rPr>
        <w:t>Governing Law</w:t>
      </w:r>
    </w:p>
    <w:p w:rsidR="00945313" w:rsidRDefault="00945313" w:rsidP="00945313">
      <w:pPr>
        <w:keepNext/>
        <w:jc w:val="both"/>
      </w:pPr>
      <w:r>
        <w:t xml:space="preserve">This letter will be governed by </w:t>
      </w:r>
      <w:r w:rsidR="00FF5A92">
        <w:t xml:space="preserve">and construed in accordance with </w:t>
      </w:r>
      <w:r>
        <w:t>the laws of [</w:t>
      </w:r>
      <w:r w:rsidR="00FF5A92">
        <w:t>New South Wales</w:t>
      </w:r>
      <w:r>
        <w:t>]</w:t>
      </w:r>
      <w:r w:rsidR="00FF5A92">
        <w:t>[England]</w:t>
      </w:r>
      <w:r w:rsidR="00D471CD">
        <w:t>[New York]</w:t>
      </w:r>
      <w:r>
        <w:t>.</w:t>
      </w:r>
    </w:p>
    <w:p w:rsidR="00982803" w:rsidRDefault="00DF740F" w:rsidP="00D971C9">
      <w:pPr>
        <w:spacing w:after="0" w:line="240" w:lineRule="auto"/>
      </w:pPr>
      <w:r>
        <w:br w:type="page"/>
      </w:r>
      <w:r w:rsidR="00982803">
        <w:lastRenderedPageBreak/>
        <w:t>Executed and delivered with effect from the date first written above:</w:t>
      </w:r>
    </w:p>
    <w:p w:rsidR="004447CC" w:rsidRPr="002049FB" w:rsidRDefault="006B212D" w:rsidP="00982803">
      <w:pPr>
        <w:rPr>
          <w:b/>
        </w:rPr>
      </w:pPr>
      <w:r>
        <w:rPr>
          <w:b/>
        </w:rPr>
        <w:t>[</w:t>
      </w:r>
      <w:r w:rsidR="004447CC" w:rsidRPr="002049FB">
        <w:rPr>
          <w:b/>
        </w:rPr>
        <w:t>Exempt Phase 3 Reporting Entity</w:t>
      </w:r>
      <w:r>
        <w:rPr>
          <w:rStyle w:val="FootnoteReference"/>
          <w:b/>
        </w:rPr>
        <w:footnoteReference w:id="2"/>
      </w:r>
    </w:p>
    <w:p w:rsidR="003D3672" w:rsidRDefault="00982803" w:rsidP="00982803">
      <w:r>
        <w:t>[Name of entity completing letter]</w:t>
      </w:r>
      <w:r w:rsidR="00AA5C0B">
        <w:rPr>
          <w:rStyle w:val="FootnoteReference"/>
        </w:rPr>
        <w:footnoteReference w:id="3"/>
      </w:r>
      <w:r>
        <w:br/>
        <w:t>[LEI/CICI:                                    ]</w:t>
      </w:r>
      <w:r w:rsidR="003D3672">
        <w:br/>
        <w:t>[Alternative Identifier:                  ]</w:t>
      </w:r>
      <w:r w:rsidR="00801D46">
        <w:rPr>
          <w:rStyle w:val="FootnoteReference"/>
        </w:rPr>
        <w:footnoteReference w:id="4"/>
      </w:r>
    </w:p>
    <w:p w:rsidR="00976DC0" w:rsidRDefault="00A843F0" w:rsidP="00A843F0">
      <w:pPr>
        <w:tabs>
          <w:tab w:val="left" w:pos="360"/>
        </w:tabs>
        <w:jc w:val="both"/>
      </w:pPr>
      <w:r>
        <w:t>By:</w:t>
      </w:r>
      <w:r w:rsidR="00982803">
        <w:t>______________________________</w:t>
      </w:r>
      <w:r w:rsidR="00982803">
        <w:br/>
        <w:t>Name:____________________________</w:t>
      </w:r>
      <w:r w:rsidR="00982803">
        <w:br/>
        <w:t>Title: _____________________________</w:t>
      </w:r>
      <w:r w:rsidR="006B212D">
        <w:t>]</w:t>
      </w:r>
    </w:p>
    <w:p w:rsidR="00732CFA" w:rsidRDefault="00EE7D62" w:rsidP="002A3B87">
      <w:pPr>
        <w:spacing w:after="0"/>
        <w:rPr>
          <w:b/>
        </w:rPr>
      </w:pPr>
      <w:r w:rsidRPr="00732CFA">
        <w:rPr>
          <w:b/>
        </w:rPr>
        <w:t>Counterparty</w:t>
      </w:r>
      <w:r w:rsidRPr="002049FB" w:rsidDel="00EE7D62">
        <w:rPr>
          <w:b/>
        </w:rPr>
        <w:t xml:space="preserve"> </w:t>
      </w:r>
    </w:p>
    <w:p w:rsidR="00274B14" w:rsidRDefault="00274B14" w:rsidP="004447CC">
      <w:pPr>
        <w:rPr>
          <w:b/>
        </w:rPr>
      </w:pPr>
      <w:r>
        <w:rPr>
          <w:b/>
        </w:rPr>
        <w:t>Branch(es):</w:t>
      </w:r>
      <w:r w:rsidRPr="00274B14">
        <w:t xml:space="preserve"> </w:t>
      </w:r>
      <w:r>
        <w:t>_____________________________</w:t>
      </w:r>
    </w:p>
    <w:p w:rsidR="00DC0E91" w:rsidRDefault="00274B14" w:rsidP="00DC0E91">
      <w:pPr>
        <w:jc w:val="both"/>
        <w:rPr>
          <w:b/>
        </w:rPr>
      </w:pPr>
      <w:r>
        <w:rPr>
          <w:b/>
        </w:rPr>
        <w:t xml:space="preserve">A </w:t>
      </w:r>
      <w:r w:rsidRPr="00716410">
        <w:rPr>
          <w:b/>
        </w:rPr>
        <w:t>Counterparty</w:t>
      </w:r>
      <w:r>
        <w:rPr>
          <w:b/>
        </w:rPr>
        <w:t xml:space="preserve"> restricting its representations to a branch or branches</w:t>
      </w:r>
      <w:r w:rsidRPr="00716410">
        <w:rPr>
          <w:b/>
        </w:rPr>
        <w:t xml:space="preserve"> </w:t>
      </w:r>
      <w:r>
        <w:rPr>
          <w:b/>
        </w:rPr>
        <w:t xml:space="preserve">should </w:t>
      </w:r>
      <w:r w:rsidRPr="00EA5B70">
        <w:rPr>
          <w:b/>
        </w:rPr>
        <w:t xml:space="preserve">make </w:t>
      </w:r>
      <w:r>
        <w:rPr>
          <w:b/>
        </w:rPr>
        <w:t>the representation</w:t>
      </w:r>
      <w:r w:rsidRPr="00EA5B70">
        <w:rPr>
          <w:b/>
        </w:rPr>
        <w:t xml:space="preserve"> provided below by checking the box.</w:t>
      </w:r>
    </w:p>
    <w:p w:rsidR="00310B90" w:rsidRDefault="009B6D6C" w:rsidP="00DC0E91">
      <w:pPr>
        <w:jc w:val="both"/>
      </w:pPr>
      <w:r w:rsidRPr="00816753">
        <w:rPr>
          <w:sz w:val="20"/>
          <w:szCs w:val="20"/>
        </w:rPr>
        <w:fldChar w:fldCharType="begin">
          <w:ffData>
            <w:name w:val="Check1"/>
            <w:enabled/>
            <w:calcOnExit w:val="0"/>
            <w:checkBox>
              <w:sizeAuto/>
              <w:default w:val="0"/>
            </w:checkBox>
          </w:ffData>
        </w:fldChar>
      </w:r>
      <w:r w:rsidR="00274B14" w:rsidRPr="00816753">
        <w:rPr>
          <w:sz w:val="20"/>
          <w:szCs w:val="20"/>
        </w:rPr>
        <w:instrText xml:space="preserve"> FORMCHECKBOX </w:instrText>
      </w:r>
      <w:r w:rsidR="00E764AD">
        <w:rPr>
          <w:sz w:val="20"/>
          <w:szCs w:val="20"/>
        </w:rPr>
      </w:r>
      <w:r w:rsidR="00E764AD">
        <w:rPr>
          <w:sz w:val="20"/>
          <w:szCs w:val="20"/>
        </w:rPr>
        <w:fldChar w:fldCharType="separate"/>
      </w:r>
      <w:r w:rsidRPr="00816753">
        <w:rPr>
          <w:sz w:val="20"/>
          <w:szCs w:val="20"/>
        </w:rPr>
        <w:fldChar w:fldCharType="end"/>
      </w:r>
      <w:r w:rsidR="00274B14">
        <w:tab/>
        <w:t xml:space="preserve"> </w:t>
      </w:r>
      <w:r w:rsidR="00310B90">
        <w:t xml:space="preserve">This letter is being entered into </w:t>
      </w:r>
      <w:r w:rsidR="004462A3">
        <w:t>by</w:t>
      </w:r>
      <w:r w:rsidR="00310B90">
        <w:t xml:space="preserve"> a foreign bank. All representations provided herein apply solely with respect to the branch</w:t>
      </w:r>
      <w:r w:rsidR="0018546E">
        <w:t xml:space="preserve"> or branches</w:t>
      </w:r>
      <w:r w:rsidR="00310B90">
        <w:t xml:space="preserve"> specified above and not to any </w:t>
      </w:r>
      <w:r w:rsidR="004462A3">
        <w:t xml:space="preserve">other </w:t>
      </w:r>
      <w:r w:rsidR="00274B14">
        <w:t>branch or affiliate.</w:t>
      </w:r>
    </w:p>
    <w:p w:rsidR="00DC0E91" w:rsidRDefault="008B3699" w:rsidP="00DC0E91">
      <w:pPr>
        <w:jc w:val="both"/>
        <w:rPr>
          <w:b/>
        </w:rPr>
      </w:pPr>
      <w:r>
        <w:rPr>
          <w:b/>
        </w:rPr>
        <w:t xml:space="preserve">A </w:t>
      </w:r>
      <w:r w:rsidRPr="00716410">
        <w:rPr>
          <w:b/>
        </w:rPr>
        <w:t>Counterparty</w:t>
      </w:r>
      <w:r>
        <w:rPr>
          <w:b/>
        </w:rPr>
        <w:t xml:space="preserve"> restricting its representations to a </w:t>
      </w:r>
      <w:r w:rsidR="00B516AA">
        <w:rPr>
          <w:b/>
        </w:rPr>
        <w:t>p</w:t>
      </w:r>
      <w:r>
        <w:rPr>
          <w:b/>
        </w:rPr>
        <w:t xml:space="preserve">rescribed </w:t>
      </w:r>
      <w:r w:rsidR="00B516AA">
        <w:rPr>
          <w:b/>
        </w:rPr>
        <w:t>class or p</w:t>
      </w:r>
      <w:r>
        <w:rPr>
          <w:b/>
        </w:rPr>
        <w:t xml:space="preserve">rescribed </w:t>
      </w:r>
      <w:r w:rsidR="00B516AA">
        <w:rPr>
          <w:b/>
        </w:rPr>
        <w:t>c</w:t>
      </w:r>
      <w:r>
        <w:rPr>
          <w:b/>
        </w:rPr>
        <w:t xml:space="preserve">lasses (each a “Covered Class”) should </w:t>
      </w:r>
      <w:r w:rsidRPr="00EA5B70">
        <w:rPr>
          <w:b/>
        </w:rPr>
        <w:t xml:space="preserve">make </w:t>
      </w:r>
      <w:r>
        <w:rPr>
          <w:b/>
        </w:rPr>
        <w:t>the representation</w:t>
      </w:r>
      <w:r w:rsidRPr="00EA5B70">
        <w:rPr>
          <w:b/>
        </w:rPr>
        <w:t xml:space="preserve"> provided below by checking the box</w:t>
      </w:r>
      <w:bookmarkStart w:id="1" w:name="_GoBack"/>
      <w:bookmarkEnd w:id="1"/>
      <w:r w:rsidRPr="00EA5B70">
        <w:rPr>
          <w:b/>
        </w:rPr>
        <w:t>.</w:t>
      </w:r>
      <w:r>
        <w:rPr>
          <w:b/>
        </w:rPr>
        <w:t xml:space="preserve">  </w:t>
      </w:r>
      <w:r w:rsidR="00C5426A">
        <w:rPr>
          <w:b/>
        </w:rPr>
        <w:t>Where a</w:t>
      </w:r>
      <w:r>
        <w:rPr>
          <w:b/>
        </w:rPr>
        <w:t xml:space="preserve"> Counterparty does not check the box</w:t>
      </w:r>
      <w:r w:rsidR="00C5426A">
        <w:rPr>
          <w:b/>
        </w:rPr>
        <w:t xml:space="preserve">, all representations provided herein </w:t>
      </w:r>
      <w:r w:rsidR="00E764AD">
        <w:rPr>
          <w:b/>
        </w:rPr>
        <w:t>will</w:t>
      </w:r>
      <w:r w:rsidR="00B516AA">
        <w:rPr>
          <w:b/>
        </w:rPr>
        <w:t xml:space="preserve"> apply to all p</w:t>
      </w:r>
      <w:r w:rsidR="00C5426A">
        <w:rPr>
          <w:b/>
        </w:rPr>
        <w:t xml:space="preserve">rescribed </w:t>
      </w:r>
      <w:r w:rsidR="00B516AA">
        <w:rPr>
          <w:b/>
        </w:rPr>
        <w:t>c</w:t>
      </w:r>
      <w:r w:rsidR="00C5426A">
        <w:rPr>
          <w:b/>
        </w:rPr>
        <w:t>lasses.</w:t>
      </w:r>
      <w:r>
        <w:rPr>
          <w:b/>
        </w:rPr>
        <w:t xml:space="preserve"> </w:t>
      </w:r>
    </w:p>
    <w:p w:rsidR="008B3699" w:rsidRDefault="008B3699" w:rsidP="00DC0E91">
      <w:pPr>
        <w:jc w:val="both"/>
      </w:pPr>
      <w:r w:rsidRPr="00816753">
        <w:rPr>
          <w:sz w:val="20"/>
          <w:szCs w:val="20"/>
        </w:rPr>
        <w:fldChar w:fldCharType="begin">
          <w:ffData>
            <w:name w:val="Check1"/>
            <w:enabled/>
            <w:calcOnExit w:val="0"/>
            <w:checkBox>
              <w:sizeAuto/>
              <w:default w:val="0"/>
            </w:checkBox>
          </w:ffData>
        </w:fldChar>
      </w:r>
      <w:r w:rsidRPr="00816753">
        <w:rPr>
          <w:sz w:val="20"/>
          <w:szCs w:val="20"/>
        </w:rPr>
        <w:instrText xml:space="preserve"> FORMCHECKBOX </w:instrText>
      </w:r>
      <w:r w:rsidR="00E764AD">
        <w:rPr>
          <w:sz w:val="20"/>
          <w:szCs w:val="20"/>
        </w:rPr>
      </w:r>
      <w:r w:rsidR="00E764AD">
        <w:rPr>
          <w:sz w:val="20"/>
          <w:szCs w:val="20"/>
        </w:rPr>
        <w:fldChar w:fldCharType="separate"/>
      </w:r>
      <w:r w:rsidRPr="00816753">
        <w:rPr>
          <w:sz w:val="20"/>
          <w:szCs w:val="20"/>
        </w:rPr>
        <w:fldChar w:fldCharType="end"/>
      </w:r>
      <w:r>
        <w:tab/>
        <w:t xml:space="preserve"> All representations provided herein apply solely with respect to the </w:t>
      </w:r>
      <w:r w:rsidR="00DC0E91">
        <w:t>Covered Class or Covered Classes</w:t>
      </w:r>
      <w:r>
        <w:t xml:space="preserve"> specified below and not to any other </w:t>
      </w:r>
      <w:r w:rsidR="00B516AA">
        <w:t>p</w:t>
      </w:r>
      <w:r>
        <w:t xml:space="preserve">rescribed </w:t>
      </w:r>
      <w:r w:rsidR="00B516AA">
        <w:t>c</w:t>
      </w:r>
      <w:r>
        <w:t>lasses:</w:t>
      </w:r>
    </w:p>
    <w:p w:rsidR="008B3699" w:rsidRDefault="008B3699" w:rsidP="00DC0E91">
      <w:pPr>
        <w:jc w:val="both"/>
      </w:pPr>
      <w:r w:rsidRPr="00DC0E91">
        <w:rPr>
          <w:b/>
          <w:bCs/>
        </w:rPr>
        <w:t>Covered Class(es):</w:t>
      </w:r>
      <w:r>
        <w:t xml:space="preserve"> [commodity derivatives that are not electricity derivatives], [credit derivatives], [equity derivatives], </w:t>
      </w:r>
      <w:r w:rsidR="006833B7">
        <w:t>[</w:t>
      </w:r>
      <w:r>
        <w:t>foreign exchange derivatives], [interest rate derivatives]</w:t>
      </w:r>
    </w:p>
    <w:p w:rsidR="008B3699" w:rsidRDefault="002A3B87" w:rsidP="002A3B87">
      <w:pPr>
        <w:spacing w:after="0"/>
      </w:pPr>
      <w:r>
        <w:lastRenderedPageBreak/>
        <w:t>[Name of entity completing letter]</w:t>
      </w:r>
      <w:r>
        <w:rPr>
          <w:rStyle w:val="FootnoteReference"/>
        </w:rPr>
        <w:footnoteReference w:id="5"/>
      </w:r>
    </w:p>
    <w:p w:rsidR="004447CC" w:rsidRDefault="004447CC" w:rsidP="004447CC">
      <w:r>
        <w:t>[LEI/CICI:                                    ]</w:t>
      </w:r>
      <w:r>
        <w:br/>
        <w:t>[Alternative Identifier:                  ]</w:t>
      </w:r>
      <w:r>
        <w:rPr>
          <w:rStyle w:val="FootnoteReference"/>
        </w:rPr>
        <w:footnoteReference w:id="6"/>
      </w:r>
    </w:p>
    <w:p w:rsidR="004447CC" w:rsidRDefault="004447CC" w:rsidP="004447CC">
      <w:pPr>
        <w:tabs>
          <w:tab w:val="left" w:pos="360"/>
        </w:tabs>
        <w:jc w:val="both"/>
      </w:pPr>
      <w:r>
        <w:t>By:______________________________</w:t>
      </w:r>
      <w:r>
        <w:br/>
        <w:t>Name:____________________________</w:t>
      </w:r>
      <w:r>
        <w:br/>
        <w:t>Title: _____________________________</w:t>
      </w:r>
    </w:p>
    <w:p w:rsidR="00CC5279" w:rsidRDefault="00AA5C0B" w:rsidP="00A843F0">
      <w:pPr>
        <w:jc w:val="center"/>
        <w:rPr>
          <w:b/>
          <w:u w:val="single"/>
        </w:rPr>
      </w:pPr>
      <w:r>
        <w:rPr>
          <w:b/>
          <w:u w:val="single"/>
        </w:rPr>
        <w:br w:type="page"/>
      </w:r>
      <w:r w:rsidR="00976DC0">
        <w:rPr>
          <w:b/>
          <w:u w:val="single"/>
        </w:rPr>
        <w:lastRenderedPageBreak/>
        <w:t>Appendix I: Definitions</w:t>
      </w:r>
    </w:p>
    <w:p w:rsidR="0009166B" w:rsidRPr="00483989" w:rsidRDefault="0009166B" w:rsidP="0009166B">
      <w:pPr>
        <w:pStyle w:val="Definition"/>
        <w:spacing w:before="0" w:after="240"/>
        <w:ind w:left="0"/>
        <w:jc w:val="both"/>
        <w:rPr>
          <w:sz w:val="24"/>
          <w:szCs w:val="24"/>
        </w:rPr>
      </w:pPr>
      <w:r w:rsidRPr="008A0DA9">
        <w:rPr>
          <w:sz w:val="24"/>
          <w:szCs w:val="24"/>
        </w:rPr>
        <w:t>“</w:t>
      </w:r>
      <w:r w:rsidRPr="00483989">
        <w:rPr>
          <w:b/>
          <w:i/>
          <w:sz w:val="24"/>
          <w:szCs w:val="24"/>
        </w:rPr>
        <w:t>ASIC exemption instrument</w:t>
      </w:r>
      <w:r w:rsidRPr="008A0DA9">
        <w:rPr>
          <w:sz w:val="24"/>
          <w:szCs w:val="24"/>
        </w:rPr>
        <w:t>”</w:t>
      </w:r>
      <w:r w:rsidRPr="00483989">
        <w:rPr>
          <w:b/>
          <w:sz w:val="24"/>
          <w:szCs w:val="24"/>
        </w:rPr>
        <w:t xml:space="preserve"> </w:t>
      </w:r>
      <w:r w:rsidRPr="00483989">
        <w:rPr>
          <w:sz w:val="24"/>
          <w:szCs w:val="24"/>
        </w:rPr>
        <w:t>means</w:t>
      </w:r>
      <w:r w:rsidRPr="00483989">
        <w:rPr>
          <w:b/>
          <w:sz w:val="24"/>
          <w:szCs w:val="24"/>
        </w:rPr>
        <w:t xml:space="preserve"> </w:t>
      </w:r>
      <w:r w:rsidRPr="00483989">
        <w:rPr>
          <w:i/>
          <w:sz w:val="24"/>
          <w:szCs w:val="24"/>
        </w:rPr>
        <w:t>ASIC Instrument [14/0633]</w:t>
      </w:r>
      <w:r w:rsidRPr="00483989">
        <w:rPr>
          <w:sz w:val="24"/>
          <w:szCs w:val="24"/>
        </w:rPr>
        <w:t>.</w:t>
      </w:r>
    </w:p>
    <w:p w:rsidR="00976DC0" w:rsidRPr="00483989" w:rsidRDefault="00976DC0" w:rsidP="0009166B">
      <w:pPr>
        <w:spacing w:after="240"/>
        <w:jc w:val="both"/>
        <w:rPr>
          <w:rFonts w:eastAsia="Times New Roman"/>
          <w:szCs w:val="24"/>
        </w:rPr>
      </w:pPr>
      <w:r w:rsidRPr="00483989">
        <w:rPr>
          <w:szCs w:val="24"/>
        </w:rPr>
        <w:t>“</w:t>
      </w:r>
      <w:r w:rsidR="003461C9" w:rsidRPr="00483989">
        <w:rPr>
          <w:b/>
          <w:i/>
          <w:szCs w:val="24"/>
        </w:rPr>
        <w:t>continuing phase 3 reporting entity</w:t>
      </w:r>
      <w:r w:rsidRPr="00483989">
        <w:rPr>
          <w:szCs w:val="24"/>
        </w:rPr>
        <w:t>” means</w:t>
      </w:r>
      <w:r w:rsidRPr="00483989">
        <w:rPr>
          <w:rFonts w:eastAsia="Times New Roman"/>
          <w:szCs w:val="24"/>
        </w:rPr>
        <w:t>:</w:t>
      </w:r>
    </w:p>
    <w:p w:rsidR="003461C9" w:rsidRPr="00483989" w:rsidRDefault="003461C9" w:rsidP="007D3523">
      <w:pPr>
        <w:numPr>
          <w:ilvl w:val="0"/>
          <w:numId w:val="10"/>
        </w:numPr>
        <w:spacing w:after="240"/>
        <w:jc w:val="both"/>
        <w:rPr>
          <w:rFonts w:eastAsia="Times New Roman"/>
          <w:szCs w:val="24"/>
        </w:rPr>
      </w:pPr>
      <w:r w:rsidRPr="00483989">
        <w:rPr>
          <w:rFonts w:eastAsia="Times New Roman"/>
          <w:szCs w:val="24"/>
        </w:rPr>
        <w:t>An entity that was a phase 3 reporting entity on 30 September 2015; or</w:t>
      </w:r>
      <w:r w:rsidR="007D3523">
        <w:rPr>
          <w:rFonts w:eastAsia="Times New Roman"/>
          <w:szCs w:val="24"/>
        </w:rPr>
        <w:t xml:space="preserve"> </w:t>
      </w:r>
    </w:p>
    <w:p w:rsidR="003461C9" w:rsidRPr="00AB6D0E" w:rsidRDefault="003461C9" w:rsidP="0009166B">
      <w:pPr>
        <w:numPr>
          <w:ilvl w:val="0"/>
          <w:numId w:val="10"/>
        </w:numPr>
        <w:spacing w:after="240"/>
        <w:jc w:val="both"/>
        <w:rPr>
          <w:rFonts w:eastAsia="Times New Roman"/>
          <w:szCs w:val="24"/>
        </w:rPr>
      </w:pPr>
      <w:r w:rsidRPr="00AB6D0E">
        <w:rPr>
          <w:rFonts w:eastAsia="Times New Roman"/>
          <w:szCs w:val="24"/>
        </w:rPr>
        <w:t>A new phase 3 reporting entity</w:t>
      </w:r>
      <w:r w:rsidR="008A0D36" w:rsidRPr="00AB6D0E">
        <w:rPr>
          <w:rFonts w:eastAsia="Times New Roman"/>
          <w:szCs w:val="24"/>
        </w:rPr>
        <w:t xml:space="preserve"> </w:t>
      </w:r>
      <w:r w:rsidR="00CA19ED" w:rsidRPr="00AB6D0E">
        <w:rPr>
          <w:rFonts w:eastAsia="Times New Roman"/>
          <w:szCs w:val="24"/>
        </w:rPr>
        <w:t>in respect of which two (2) successive disqualifying quarter days have occurred.</w:t>
      </w:r>
    </w:p>
    <w:p w:rsidR="00310235" w:rsidRDefault="00310235" w:rsidP="0009166B">
      <w:pPr>
        <w:pStyle w:val="Definition"/>
        <w:spacing w:before="0" w:after="240"/>
        <w:ind w:left="0"/>
        <w:jc w:val="both"/>
        <w:rPr>
          <w:sz w:val="24"/>
          <w:szCs w:val="24"/>
        </w:rPr>
      </w:pPr>
      <w:r w:rsidRPr="00310235">
        <w:rPr>
          <w:b/>
          <w:i/>
          <w:sz w:val="24"/>
          <w:szCs w:val="24"/>
        </w:rPr>
        <w:t>Derivative Transaction Rules (Reporting)</w:t>
      </w:r>
      <w:r>
        <w:rPr>
          <w:sz w:val="24"/>
          <w:szCs w:val="24"/>
        </w:rPr>
        <w:t xml:space="preserve"> means the ASIC Derivative Transaction Rules (Reporting) 2013, as amended from time to time.</w:t>
      </w:r>
    </w:p>
    <w:p w:rsidR="0009166B" w:rsidRDefault="0009166B" w:rsidP="0009166B">
      <w:pPr>
        <w:pStyle w:val="Definition"/>
        <w:spacing w:before="0" w:after="240"/>
        <w:ind w:left="0"/>
        <w:jc w:val="both"/>
        <w:rPr>
          <w:sz w:val="24"/>
          <w:szCs w:val="24"/>
        </w:rPr>
      </w:pPr>
      <w:r w:rsidRPr="008A0DA9">
        <w:rPr>
          <w:sz w:val="24"/>
          <w:szCs w:val="24"/>
        </w:rPr>
        <w:t>“</w:t>
      </w:r>
      <w:r w:rsidRPr="00483989">
        <w:rPr>
          <w:b/>
          <w:i/>
          <w:sz w:val="24"/>
          <w:szCs w:val="24"/>
        </w:rPr>
        <w:t>disqualifying quarter day</w:t>
      </w:r>
      <w:r w:rsidRPr="008A0DA9">
        <w:rPr>
          <w:sz w:val="24"/>
          <w:szCs w:val="24"/>
        </w:rPr>
        <w:t>”</w:t>
      </w:r>
      <w:r w:rsidRPr="00483989">
        <w:rPr>
          <w:sz w:val="24"/>
          <w:szCs w:val="24"/>
        </w:rPr>
        <w:t>, for an entity, means a quarter day at the end of which the total gross notional outstanding positions held by the entity in the relevant capacity is 5 billion Australian dollars or more.</w:t>
      </w:r>
    </w:p>
    <w:p w:rsidR="008A0DA9" w:rsidRDefault="008A0DA9" w:rsidP="0009166B">
      <w:pPr>
        <w:pStyle w:val="Definition"/>
        <w:spacing w:before="0" w:after="240"/>
        <w:ind w:left="0"/>
        <w:jc w:val="both"/>
        <w:rPr>
          <w:sz w:val="24"/>
          <w:szCs w:val="24"/>
        </w:rPr>
      </w:pPr>
      <w:r w:rsidRPr="0064773C">
        <w:rPr>
          <w:sz w:val="24"/>
          <w:szCs w:val="24"/>
        </w:rPr>
        <w:t>“</w:t>
      </w:r>
      <w:r w:rsidRPr="0064773C">
        <w:rPr>
          <w:b/>
          <w:i/>
          <w:sz w:val="24"/>
          <w:szCs w:val="24"/>
        </w:rPr>
        <w:t>foreign entity</w:t>
      </w:r>
      <w:r w:rsidRPr="0064773C">
        <w:rPr>
          <w:sz w:val="24"/>
          <w:szCs w:val="24"/>
        </w:rPr>
        <w:t xml:space="preserve">” means </w:t>
      </w:r>
      <w:r w:rsidR="00A56DDA" w:rsidRPr="008C5D97">
        <w:rPr>
          <w:sz w:val="24"/>
          <w:szCs w:val="24"/>
        </w:rPr>
        <w:t>an entity incorporated or formed outside of Australia</w:t>
      </w:r>
      <w:r w:rsidRPr="0064773C">
        <w:rPr>
          <w:sz w:val="24"/>
          <w:szCs w:val="24"/>
        </w:rPr>
        <w:t>.</w:t>
      </w:r>
    </w:p>
    <w:p w:rsidR="004F018C" w:rsidRPr="004F018C" w:rsidRDefault="004F018C" w:rsidP="0009166B">
      <w:pPr>
        <w:pStyle w:val="Definition"/>
        <w:spacing w:before="0" w:after="240"/>
        <w:ind w:left="0"/>
        <w:jc w:val="both"/>
        <w:rPr>
          <w:sz w:val="24"/>
          <w:szCs w:val="24"/>
        </w:rPr>
      </w:pPr>
      <w:r>
        <w:rPr>
          <w:i/>
          <w:sz w:val="24"/>
          <w:szCs w:val="24"/>
        </w:rPr>
        <w:t>“</w:t>
      </w:r>
      <w:r>
        <w:rPr>
          <w:b/>
          <w:i/>
          <w:sz w:val="24"/>
          <w:szCs w:val="24"/>
        </w:rPr>
        <w:t>in this jurisdiction</w:t>
      </w:r>
      <w:r>
        <w:rPr>
          <w:i/>
          <w:sz w:val="24"/>
          <w:szCs w:val="24"/>
        </w:rPr>
        <w:t xml:space="preserve">” </w:t>
      </w:r>
      <w:r>
        <w:rPr>
          <w:sz w:val="24"/>
          <w:szCs w:val="24"/>
        </w:rPr>
        <w:t xml:space="preserve">means “in this jurisdiction” within the meaning of the </w:t>
      </w:r>
      <w:r w:rsidR="00AF2A41" w:rsidRPr="00274B14">
        <w:rPr>
          <w:i/>
          <w:sz w:val="24"/>
          <w:szCs w:val="24"/>
        </w:rPr>
        <w:t xml:space="preserve">Corporations </w:t>
      </w:r>
      <w:r w:rsidRPr="00274B14">
        <w:rPr>
          <w:i/>
          <w:sz w:val="24"/>
          <w:szCs w:val="24"/>
        </w:rPr>
        <w:t>Act</w:t>
      </w:r>
      <w:r w:rsidR="00AF2A41" w:rsidRPr="00274B14">
        <w:rPr>
          <w:i/>
          <w:sz w:val="24"/>
          <w:szCs w:val="24"/>
        </w:rPr>
        <w:t xml:space="preserve"> 2001</w:t>
      </w:r>
      <w:r>
        <w:rPr>
          <w:sz w:val="24"/>
          <w:szCs w:val="24"/>
        </w:rPr>
        <w:t>.</w:t>
      </w:r>
    </w:p>
    <w:p w:rsidR="00EC11AD" w:rsidRPr="00483989" w:rsidRDefault="00EC11AD" w:rsidP="0009166B">
      <w:pPr>
        <w:pStyle w:val="Definition"/>
        <w:spacing w:before="0" w:after="240"/>
        <w:ind w:left="0"/>
        <w:jc w:val="both"/>
        <w:rPr>
          <w:sz w:val="24"/>
          <w:szCs w:val="24"/>
        </w:rPr>
      </w:pPr>
      <w:r>
        <w:rPr>
          <w:sz w:val="24"/>
          <w:szCs w:val="24"/>
        </w:rPr>
        <w:t>“</w:t>
      </w:r>
      <w:r w:rsidRPr="00D971C9">
        <w:rPr>
          <w:b/>
          <w:i/>
          <w:sz w:val="24"/>
          <w:szCs w:val="24"/>
        </w:rPr>
        <w:t>licensed</w:t>
      </w:r>
      <w:r>
        <w:rPr>
          <w:b/>
          <w:i/>
          <w:sz w:val="24"/>
          <w:szCs w:val="24"/>
        </w:rPr>
        <w:t xml:space="preserve"> derivative</w:t>
      </w:r>
      <w:r w:rsidRPr="00D971C9">
        <w:rPr>
          <w:b/>
          <w:i/>
          <w:sz w:val="24"/>
          <w:szCs w:val="24"/>
        </w:rPr>
        <w:t xml:space="preserve"> trade repository</w:t>
      </w:r>
      <w:r>
        <w:rPr>
          <w:sz w:val="24"/>
          <w:szCs w:val="24"/>
        </w:rPr>
        <w:t xml:space="preserve">” means a  Licensed Repository </w:t>
      </w:r>
      <w:r w:rsidRPr="00BA4F82">
        <w:rPr>
          <w:sz w:val="24"/>
          <w:szCs w:val="24"/>
        </w:rPr>
        <w:t>within the meaning of the Derivative Transaction Rules (Reporting).</w:t>
      </w:r>
    </w:p>
    <w:p w:rsidR="0009166B" w:rsidRPr="00483989" w:rsidRDefault="0009166B" w:rsidP="0009166B">
      <w:pPr>
        <w:pStyle w:val="Definition"/>
        <w:spacing w:before="0" w:after="240"/>
        <w:ind w:left="0"/>
        <w:jc w:val="both"/>
        <w:rPr>
          <w:sz w:val="24"/>
          <w:szCs w:val="24"/>
        </w:rPr>
      </w:pPr>
      <w:r w:rsidRPr="008A0DA9">
        <w:rPr>
          <w:sz w:val="24"/>
          <w:szCs w:val="24"/>
        </w:rPr>
        <w:t>“</w:t>
      </w:r>
      <w:r w:rsidRPr="00483989">
        <w:rPr>
          <w:b/>
          <w:i/>
          <w:sz w:val="24"/>
          <w:szCs w:val="24"/>
        </w:rPr>
        <w:t>new phase 3 reporting entity</w:t>
      </w:r>
      <w:r w:rsidRPr="008A0DA9">
        <w:rPr>
          <w:sz w:val="24"/>
          <w:szCs w:val="24"/>
        </w:rPr>
        <w:t>”</w:t>
      </w:r>
      <w:r w:rsidRPr="00483989">
        <w:rPr>
          <w:sz w:val="24"/>
          <w:szCs w:val="24"/>
        </w:rPr>
        <w:t xml:space="preserve"> means an entity that becomes a phase 3 reporting entity on or after 1 October 2015.</w:t>
      </w:r>
    </w:p>
    <w:p w:rsidR="00225C12" w:rsidRDefault="00225C12" w:rsidP="0009166B">
      <w:pPr>
        <w:pStyle w:val="Definition"/>
        <w:spacing w:before="0" w:after="240"/>
        <w:ind w:left="0"/>
        <w:jc w:val="both"/>
        <w:rPr>
          <w:sz w:val="24"/>
          <w:szCs w:val="24"/>
        </w:rPr>
      </w:pPr>
      <w:r w:rsidRPr="00BA4F82">
        <w:rPr>
          <w:sz w:val="24"/>
          <w:szCs w:val="24"/>
        </w:rPr>
        <w:t>“</w:t>
      </w:r>
      <w:r w:rsidRPr="00BA4F82">
        <w:rPr>
          <w:b/>
          <w:i/>
          <w:sz w:val="24"/>
          <w:szCs w:val="24"/>
        </w:rPr>
        <w:t>OTC derivative</w:t>
      </w:r>
      <w:r w:rsidRPr="00BA4F82">
        <w:rPr>
          <w:sz w:val="24"/>
          <w:szCs w:val="24"/>
        </w:rPr>
        <w:t xml:space="preserve">” means </w:t>
      </w:r>
      <w:r w:rsidR="00E73556" w:rsidRPr="00BA4F82">
        <w:rPr>
          <w:sz w:val="24"/>
          <w:szCs w:val="24"/>
        </w:rPr>
        <w:t>an OTC Derivative within the meaning of the Derivative Transaction Rules (Reporting)</w:t>
      </w:r>
      <w:r w:rsidRPr="00BA4F82">
        <w:rPr>
          <w:sz w:val="24"/>
          <w:szCs w:val="24"/>
        </w:rPr>
        <w:t>.</w:t>
      </w:r>
    </w:p>
    <w:p w:rsidR="00693EE9" w:rsidRDefault="00693EE9" w:rsidP="00693EE9">
      <w:pPr>
        <w:pStyle w:val="Definition"/>
        <w:spacing w:before="0" w:after="240"/>
        <w:ind w:left="0"/>
        <w:jc w:val="both"/>
        <w:rPr>
          <w:sz w:val="24"/>
          <w:szCs w:val="24"/>
        </w:rPr>
      </w:pPr>
      <w:r w:rsidRPr="00BA4F82">
        <w:rPr>
          <w:sz w:val="24"/>
          <w:szCs w:val="24"/>
        </w:rPr>
        <w:t>“</w:t>
      </w:r>
      <w:r w:rsidRPr="00BA4F82">
        <w:rPr>
          <w:b/>
          <w:i/>
          <w:sz w:val="24"/>
          <w:szCs w:val="24"/>
        </w:rPr>
        <w:t>OTC derivative</w:t>
      </w:r>
      <w:r>
        <w:rPr>
          <w:b/>
          <w:i/>
          <w:sz w:val="24"/>
          <w:szCs w:val="24"/>
        </w:rPr>
        <w:t xml:space="preserve"> transaction</w:t>
      </w:r>
      <w:r w:rsidRPr="00BA4F82">
        <w:rPr>
          <w:sz w:val="24"/>
          <w:szCs w:val="24"/>
        </w:rPr>
        <w:t>” means a</w:t>
      </w:r>
      <w:r>
        <w:rPr>
          <w:sz w:val="24"/>
          <w:szCs w:val="24"/>
        </w:rPr>
        <w:t xml:space="preserve"> derivative transaction (within the meaning of Chapter 7 of the </w:t>
      </w:r>
      <w:r w:rsidR="00AF2A41" w:rsidRPr="00274B14">
        <w:rPr>
          <w:i/>
          <w:sz w:val="24"/>
          <w:szCs w:val="24"/>
        </w:rPr>
        <w:t xml:space="preserve">Corporations </w:t>
      </w:r>
      <w:r w:rsidRPr="00274B14">
        <w:rPr>
          <w:i/>
          <w:sz w:val="24"/>
          <w:szCs w:val="24"/>
        </w:rPr>
        <w:t>Act</w:t>
      </w:r>
      <w:r w:rsidR="00AF2A41" w:rsidRPr="00274B14">
        <w:rPr>
          <w:i/>
          <w:sz w:val="24"/>
          <w:szCs w:val="24"/>
        </w:rPr>
        <w:t xml:space="preserve"> 2001</w:t>
      </w:r>
      <w:r>
        <w:rPr>
          <w:sz w:val="24"/>
          <w:szCs w:val="24"/>
        </w:rPr>
        <w:t xml:space="preserve">) relating to an </w:t>
      </w:r>
      <w:r w:rsidRPr="00BA4F82">
        <w:rPr>
          <w:sz w:val="24"/>
          <w:szCs w:val="24"/>
        </w:rPr>
        <w:t xml:space="preserve">OTC </w:t>
      </w:r>
      <w:r>
        <w:rPr>
          <w:sz w:val="24"/>
          <w:szCs w:val="24"/>
        </w:rPr>
        <w:t>d</w:t>
      </w:r>
      <w:r w:rsidRPr="00BA4F82">
        <w:rPr>
          <w:sz w:val="24"/>
          <w:szCs w:val="24"/>
        </w:rPr>
        <w:t>erivative.</w:t>
      </w:r>
    </w:p>
    <w:p w:rsidR="008A0D36" w:rsidRPr="00AB6D0E" w:rsidRDefault="008A0D36" w:rsidP="0009166B">
      <w:pPr>
        <w:pStyle w:val="Definition"/>
        <w:spacing w:before="0" w:after="240"/>
        <w:ind w:left="0"/>
        <w:jc w:val="both"/>
        <w:rPr>
          <w:sz w:val="24"/>
          <w:szCs w:val="24"/>
        </w:rPr>
      </w:pPr>
      <w:r w:rsidRPr="00AB6D0E">
        <w:rPr>
          <w:sz w:val="24"/>
          <w:szCs w:val="24"/>
        </w:rPr>
        <w:t>“</w:t>
      </w:r>
      <w:r w:rsidRPr="00AB6D0E">
        <w:rPr>
          <w:b/>
          <w:i/>
          <w:sz w:val="24"/>
          <w:szCs w:val="24"/>
        </w:rPr>
        <w:t>OTC derivative position</w:t>
      </w:r>
      <w:r w:rsidRPr="00AB6D0E">
        <w:rPr>
          <w:sz w:val="24"/>
          <w:szCs w:val="24"/>
        </w:rPr>
        <w:t>” means a position relating to an OTC derivative transaction.</w:t>
      </w:r>
    </w:p>
    <w:p w:rsidR="006E2278" w:rsidRPr="006E2278" w:rsidRDefault="006E2278" w:rsidP="0009166B">
      <w:pPr>
        <w:pStyle w:val="Definition"/>
        <w:spacing w:before="0" w:after="240"/>
        <w:ind w:left="0"/>
        <w:jc w:val="both"/>
        <w:rPr>
          <w:sz w:val="24"/>
          <w:szCs w:val="24"/>
        </w:rPr>
      </w:pPr>
      <w:r w:rsidRPr="00AB6D0E">
        <w:rPr>
          <w:sz w:val="24"/>
          <w:szCs w:val="24"/>
        </w:rPr>
        <w:t>“</w:t>
      </w:r>
      <w:r w:rsidRPr="00AB6D0E">
        <w:rPr>
          <w:b/>
          <w:i/>
          <w:sz w:val="24"/>
          <w:szCs w:val="24"/>
        </w:rPr>
        <w:t>OTC derivative position information</w:t>
      </w:r>
      <w:r w:rsidRPr="00AB6D0E">
        <w:rPr>
          <w:sz w:val="24"/>
          <w:szCs w:val="24"/>
        </w:rPr>
        <w:t>” means Derivative Position</w:t>
      </w:r>
      <w:r w:rsidR="00AB6D0E">
        <w:rPr>
          <w:sz w:val="24"/>
          <w:szCs w:val="24"/>
        </w:rPr>
        <w:t xml:space="preserve"> Information</w:t>
      </w:r>
      <w:r w:rsidRPr="00AB6D0E">
        <w:rPr>
          <w:sz w:val="24"/>
          <w:szCs w:val="24"/>
        </w:rPr>
        <w:t xml:space="preserve"> within the meaning of the Derivative Transaction Rules (Reporting), as in force on 1 October 2015, about OTC derivative positions.</w:t>
      </w:r>
    </w:p>
    <w:p w:rsidR="00225C12" w:rsidRPr="00483989" w:rsidRDefault="00225C12" w:rsidP="0009166B">
      <w:pPr>
        <w:pStyle w:val="Definition"/>
        <w:spacing w:before="0" w:after="240"/>
        <w:ind w:left="0"/>
        <w:jc w:val="both"/>
        <w:rPr>
          <w:sz w:val="24"/>
          <w:szCs w:val="24"/>
        </w:rPr>
      </w:pPr>
      <w:r w:rsidRPr="008A0DA9">
        <w:rPr>
          <w:sz w:val="24"/>
          <w:szCs w:val="24"/>
        </w:rPr>
        <w:t>“</w:t>
      </w:r>
      <w:r w:rsidRPr="00483989">
        <w:rPr>
          <w:b/>
          <w:i/>
          <w:sz w:val="24"/>
          <w:szCs w:val="24"/>
        </w:rPr>
        <w:t>phase 3 reporting entity</w:t>
      </w:r>
      <w:r w:rsidR="00E73556" w:rsidRPr="008A0DA9">
        <w:rPr>
          <w:sz w:val="24"/>
          <w:szCs w:val="24"/>
        </w:rPr>
        <w:t>”</w:t>
      </w:r>
      <w:r w:rsidRPr="00483989">
        <w:rPr>
          <w:sz w:val="24"/>
          <w:szCs w:val="24"/>
        </w:rPr>
        <w:t xml:space="preserve"> means a Phase 3 Reporting Entity within the meaning of the ASIC exemption instrument</w:t>
      </w:r>
      <w:r w:rsidR="00681B23">
        <w:rPr>
          <w:sz w:val="24"/>
          <w:szCs w:val="24"/>
        </w:rPr>
        <w:t xml:space="preserve"> </w:t>
      </w:r>
      <w:r w:rsidRPr="00483989">
        <w:rPr>
          <w:sz w:val="24"/>
          <w:szCs w:val="24"/>
        </w:rPr>
        <w:t>as in force on 1 October 2015.</w:t>
      </w:r>
      <w:r w:rsidR="007D1E2B">
        <w:rPr>
          <w:rStyle w:val="FootnoteReference"/>
          <w:sz w:val="24"/>
          <w:szCs w:val="24"/>
        </w:rPr>
        <w:footnoteReference w:id="7"/>
      </w:r>
    </w:p>
    <w:p w:rsidR="00C5426A" w:rsidRPr="002D7B79" w:rsidRDefault="00C5426A" w:rsidP="0009166B">
      <w:pPr>
        <w:pStyle w:val="Definition"/>
        <w:spacing w:before="0" w:after="240"/>
        <w:ind w:left="0"/>
        <w:jc w:val="both"/>
        <w:rPr>
          <w:sz w:val="24"/>
          <w:szCs w:val="24"/>
        </w:rPr>
      </w:pPr>
      <w:r>
        <w:rPr>
          <w:sz w:val="24"/>
          <w:szCs w:val="24"/>
        </w:rPr>
        <w:lastRenderedPageBreak/>
        <w:t>“</w:t>
      </w:r>
      <w:r w:rsidR="00B516AA">
        <w:rPr>
          <w:b/>
          <w:bCs/>
          <w:i/>
          <w:iCs/>
          <w:sz w:val="24"/>
          <w:szCs w:val="24"/>
        </w:rPr>
        <w:t>prescribed c</w:t>
      </w:r>
      <w:r>
        <w:rPr>
          <w:b/>
          <w:bCs/>
          <w:i/>
          <w:iCs/>
          <w:sz w:val="24"/>
          <w:szCs w:val="24"/>
        </w:rPr>
        <w:t xml:space="preserve">lass” </w:t>
      </w:r>
      <w:r w:rsidR="00B516AA">
        <w:rPr>
          <w:sz w:val="24"/>
          <w:szCs w:val="24"/>
        </w:rPr>
        <w:t>means a Prescribed Class within the meaning of the Derivative Transaction Rules (Reporting).</w:t>
      </w:r>
    </w:p>
    <w:p w:rsidR="00225C12" w:rsidRDefault="00E73556" w:rsidP="0009166B">
      <w:pPr>
        <w:pStyle w:val="Definition"/>
        <w:spacing w:before="0" w:after="240"/>
        <w:ind w:left="0"/>
        <w:jc w:val="both"/>
        <w:rPr>
          <w:sz w:val="24"/>
          <w:szCs w:val="24"/>
        </w:rPr>
      </w:pPr>
      <w:r w:rsidRPr="008A0DA9">
        <w:rPr>
          <w:sz w:val="24"/>
          <w:szCs w:val="24"/>
        </w:rPr>
        <w:t>“</w:t>
      </w:r>
      <w:r w:rsidR="00225C12" w:rsidRPr="00483989">
        <w:rPr>
          <w:b/>
          <w:i/>
          <w:sz w:val="24"/>
          <w:szCs w:val="24"/>
        </w:rPr>
        <w:t>qualifying quarter day</w:t>
      </w:r>
      <w:r w:rsidRPr="008A0DA9">
        <w:rPr>
          <w:sz w:val="24"/>
          <w:szCs w:val="24"/>
        </w:rPr>
        <w:t>”</w:t>
      </w:r>
      <w:r w:rsidR="00225C12" w:rsidRPr="00483989">
        <w:rPr>
          <w:sz w:val="24"/>
          <w:szCs w:val="24"/>
        </w:rPr>
        <w:t>, for an entity, means a quarter day at the end of which the total gross notional outstanding positions held by the entity in the relevant capacity is less than 5 billion Australian dollars.</w:t>
      </w:r>
    </w:p>
    <w:p w:rsidR="002D5C48" w:rsidRPr="00483989" w:rsidRDefault="002D5C48" w:rsidP="0009166B">
      <w:pPr>
        <w:pStyle w:val="Definition"/>
        <w:spacing w:before="0" w:after="240"/>
        <w:ind w:left="0"/>
        <w:jc w:val="both"/>
        <w:rPr>
          <w:sz w:val="24"/>
          <w:szCs w:val="24"/>
        </w:rPr>
      </w:pPr>
      <w:r w:rsidRPr="00D971C9">
        <w:rPr>
          <w:i/>
          <w:sz w:val="24"/>
          <w:szCs w:val="24"/>
        </w:rPr>
        <w:t>“</w:t>
      </w:r>
      <w:r>
        <w:rPr>
          <w:b/>
          <w:i/>
          <w:sz w:val="24"/>
          <w:szCs w:val="24"/>
        </w:rPr>
        <w:t>quarter day</w:t>
      </w:r>
      <w:r w:rsidRPr="008A0DA9">
        <w:rPr>
          <w:sz w:val="24"/>
          <w:szCs w:val="24"/>
        </w:rPr>
        <w:t>”</w:t>
      </w:r>
      <w:r>
        <w:rPr>
          <w:sz w:val="24"/>
          <w:szCs w:val="24"/>
        </w:rPr>
        <w:t xml:space="preserve">, </w:t>
      </w:r>
      <w:r w:rsidR="00802E11">
        <w:rPr>
          <w:sz w:val="24"/>
          <w:szCs w:val="24"/>
        </w:rPr>
        <w:t>means 31 March, 30 June, 30 September and 31 December.</w:t>
      </w:r>
    </w:p>
    <w:p w:rsidR="00F12EA4" w:rsidRPr="00483989" w:rsidRDefault="00483989" w:rsidP="0009166B">
      <w:pPr>
        <w:pStyle w:val="Definition"/>
        <w:spacing w:before="0" w:after="240"/>
        <w:ind w:left="0"/>
        <w:jc w:val="both"/>
        <w:rPr>
          <w:sz w:val="24"/>
          <w:szCs w:val="24"/>
        </w:rPr>
      </w:pPr>
      <w:r w:rsidRPr="008A0DA9">
        <w:rPr>
          <w:sz w:val="24"/>
          <w:szCs w:val="24"/>
        </w:rPr>
        <w:t>“</w:t>
      </w:r>
      <w:r w:rsidR="00F12EA4" w:rsidRPr="00483989">
        <w:rPr>
          <w:b/>
          <w:i/>
          <w:sz w:val="24"/>
          <w:szCs w:val="24"/>
        </w:rPr>
        <w:t>relevant capacity</w:t>
      </w:r>
      <w:r w:rsidRPr="008A0DA9">
        <w:rPr>
          <w:sz w:val="24"/>
          <w:szCs w:val="24"/>
        </w:rPr>
        <w:t>”</w:t>
      </w:r>
      <w:r w:rsidR="00337770">
        <w:rPr>
          <w:sz w:val="24"/>
          <w:szCs w:val="24"/>
        </w:rPr>
        <w:t>:</w:t>
      </w:r>
      <w:r w:rsidR="00F12EA4" w:rsidRPr="00483989">
        <w:rPr>
          <w:sz w:val="24"/>
          <w:szCs w:val="24"/>
        </w:rPr>
        <w:t xml:space="preserve"> a position is held by the entity in the </w:t>
      </w:r>
      <w:r w:rsidR="00F12EA4" w:rsidRPr="00D971C9">
        <w:rPr>
          <w:b/>
          <w:i/>
          <w:sz w:val="24"/>
          <w:szCs w:val="24"/>
        </w:rPr>
        <w:t>relevant capacity</w:t>
      </w:r>
      <w:r w:rsidR="00F12EA4" w:rsidRPr="00483989">
        <w:rPr>
          <w:sz w:val="24"/>
          <w:szCs w:val="24"/>
        </w:rPr>
        <w:t xml:space="preserve">, for the purpose of the definition of </w:t>
      </w:r>
      <w:r w:rsidR="00F12EA4" w:rsidRPr="00D971C9">
        <w:rPr>
          <w:b/>
          <w:i/>
          <w:sz w:val="24"/>
          <w:szCs w:val="24"/>
        </w:rPr>
        <w:t>qualifying quarter day</w:t>
      </w:r>
      <w:r w:rsidR="00F12EA4" w:rsidRPr="00483989">
        <w:rPr>
          <w:sz w:val="24"/>
          <w:szCs w:val="24"/>
        </w:rPr>
        <w:t xml:space="preserve"> or </w:t>
      </w:r>
      <w:r w:rsidR="00F12EA4" w:rsidRPr="00D971C9">
        <w:rPr>
          <w:b/>
          <w:i/>
          <w:sz w:val="24"/>
          <w:szCs w:val="24"/>
        </w:rPr>
        <w:t>disqualifying quarter day</w:t>
      </w:r>
      <w:r w:rsidR="00F12EA4" w:rsidRPr="00483989">
        <w:rPr>
          <w:sz w:val="24"/>
          <w:szCs w:val="24"/>
        </w:rPr>
        <w:t>, if:</w:t>
      </w:r>
    </w:p>
    <w:p w:rsidR="00F12EA4" w:rsidRPr="00483989" w:rsidRDefault="00F12EA4" w:rsidP="0009166B">
      <w:pPr>
        <w:pStyle w:val="Definition"/>
        <w:numPr>
          <w:ilvl w:val="0"/>
          <w:numId w:val="11"/>
        </w:numPr>
        <w:spacing w:before="0" w:after="240"/>
        <w:jc w:val="both"/>
        <w:rPr>
          <w:sz w:val="24"/>
          <w:szCs w:val="24"/>
        </w:rPr>
      </w:pPr>
      <w:r w:rsidRPr="00483989">
        <w:rPr>
          <w:sz w:val="24"/>
          <w:szCs w:val="24"/>
        </w:rPr>
        <w:t>the position is held by the entity otherwise than in a representative capacity, in the following circumstances:</w:t>
      </w:r>
    </w:p>
    <w:p w:rsidR="00F12EA4" w:rsidRPr="00483989" w:rsidRDefault="00F12EA4" w:rsidP="0009166B">
      <w:pPr>
        <w:pStyle w:val="Definition"/>
        <w:numPr>
          <w:ilvl w:val="1"/>
          <w:numId w:val="11"/>
        </w:numPr>
        <w:spacing w:before="0" w:after="240"/>
        <w:jc w:val="both"/>
        <w:rPr>
          <w:sz w:val="24"/>
          <w:szCs w:val="24"/>
        </w:rPr>
      </w:pPr>
      <w:r w:rsidRPr="00483989">
        <w:rPr>
          <w:sz w:val="24"/>
          <w:szCs w:val="24"/>
        </w:rPr>
        <w:t>in a case in which the relevant definition is applied in relation to an OTC derivative transaction to which the entity is a party otherwise than in a representative capacity;</w:t>
      </w:r>
    </w:p>
    <w:p w:rsidR="00F12EA4" w:rsidRPr="00483989" w:rsidRDefault="00F12EA4" w:rsidP="0009166B">
      <w:pPr>
        <w:pStyle w:val="Definition"/>
        <w:numPr>
          <w:ilvl w:val="1"/>
          <w:numId w:val="11"/>
        </w:numPr>
        <w:spacing w:before="0" w:after="240"/>
        <w:jc w:val="both"/>
        <w:rPr>
          <w:sz w:val="24"/>
          <w:szCs w:val="24"/>
        </w:rPr>
      </w:pPr>
      <w:r w:rsidRPr="00483989">
        <w:rPr>
          <w:sz w:val="24"/>
          <w:szCs w:val="24"/>
        </w:rPr>
        <w:t>in a case in which the relevant definition is applied in relation to an OTC derivative held by the entity otherwise than in a representative capacity; or</w:t>
      </w:r>
    </w:p>
    <w:p w:rsidR="00F12EA4" w:rsidRPr="00483989" w:rsidRDefault="00F12EA4" w:rsidP="0009166B">
      <w:pPr>
        <w:pStyle w:val="Definition"/>
        <w:numPr>
          <w:ilvl w:val="0"/>
          <w:numId w:val="11"/>
        </w:numPr>
        <w:spacing w:before="0" w:after="240"/>
        <w:jc w:val="both"/>
        <w:rPr>
          <w:sz w:val="24"/>
          <w:szCs w:val="24"/>
        </w:rPr>
      </w:pPr>
      <w:r w:rsidRPr="00483989">
        <w:rPr>
          <w:sz w:val="24"/>
          <w:szCs w:val="24"/>
        </w:rPr>
        <w:t>the position is held by the entity in a representative capacity in relation to a particular registered scheme or trust, in the following circumstances:</w:t>
      </w:r>
    </w:p>
    <w:p w:rsidR="008A0DA9" w:rsidRPr="00EB60D4" w:rsidRDefault="00F12EA4" w:rsidP="00EB60D4">
      <w:pPr>
        <w:pStyle w:val="Definition"/>
        <w:numPr>
          <w:ilvl w:val="1"/>
          <w:numId w:val="11"/>
        </w:numPr>
        <w:spacing w:before="0" w:after="240"/>
        <w:jc w:val="both"/>
        <w:rPr>
          <w:sz w:val="24"/>
          <w:szCs w:val="24"/>
        </w:rPr>
      </w:pPr>
      <w:r w:rsidRPr="00483989">
        <w:rPr>
          <w:sz w:val="24"/>
          <w:szCs w:val="24"/>
        </w:rPr>
        <w:t>in a case in which the relevant definition is applied in relation to an OTC derivative transaction to which the entity is a party in that capacity;</w:t>
      </w:r>
    </w:p>
    <w:p w:rsidR="00F12EA4" w:rsidRDefault="00F12EA4" w:rsidP="0009166B">
      <w:pPr>
        <w:pStyle w:val="Definition"/>
        <w:numPr>
          <w:ilvl w:val="1"/>
          <w:numId w:val="11"/>
        </w:numPr>
        <w:spacing w:before="0" w:after="240"/>
        <w:jc w:val="both"/>
        <w:rPr>
          <w:sz w:val="24"/>
          <w:szCs w:val="24"/>
        </w:rPr>
      </w:pPr>
      <w:r w:rsidRPr="00483989">
        <w:rPr>
          <w:sz w:val="24"/>
          <w:szCs w:val="24"/>
        </w:rPr>
        <w:t>in a case in which the relevant definition is applied in relation to an OTC derivative held by the entity in that capacity.</w:t>
      </w:r>
    </w:p>
    <w:p w:rsidR="00236B2A" w:rsidRDefault="00236B2A" w:rsidP="008A0DA9">
      <w:pPr>
        <w:pStyle w:val="Definition"/>
        <w:ind w:left="0"/>
        <w:rPr>
          <w:sz w:val="24"/>
          <w:szCs w:val="24"/>
        </w:rPr>
      </w:pPr>
      <w:r>
        <w:rPr>
          <w:b/>
          <w:i/>
          <w:sz w:val="24"/>
          <w:szCs w:val="24"/>
        </w:rPr>
        <w:t xml:space="preserve">“Relevant Information” </w:t>
      </w:r>
      <w:r w:rsidRPr="00274B14">
        <w:rPr>
          <w:sz w:val="24"/>
          <w:szCs w:val="24"/>
        </w:rPr>
        <w:t>means</w:t>
      </w:r>
      <w:r>
        <w:rPr>
          <w:i/>
          <w:sz w:val="24"/>
          <w:szCs w:val="24"/>
        </w:rPr>
        <w:t xml:space="preserve"> </w:t>
      </w:r>
      <w:r>
        <w:rPr>
          <w:sz w:val="24"/>
          <w:szCs w:val="24"/>
        </w:rPr>
        <w:t xml:space="preserve">OTC derivative position information in relation to a Counterparty’s OTC derivative positions to which the Exempt Phase 3 Reporting Entity is a party and information about the Counterparty’s OTC derivative transactions to which the Exempt Phase 3 Reporting Entity is a party. </w:t>
      </w:r>
    </w:p>
    <w:p w:rsidR="008A0DA9" w:rsidRPr="008A0DA9" w:rsidRDefault="008A0DA9" w:rsidP="008A0DA9">
      <w:pPr>
        <w:pStyle w:val="Definition"/>
        <w:ind w:left="0"/>
        <w:rPr>
          <w:sz w:val="24"/>
          <w:szCs w:val="24"/>
        </w:rPr>
      </w:pPr>
      <w:r w:rsidRPr="008A0DA9">
        <w:rPr>
          <w:b/>
          <w:i/>
          <w:sz w:val="24"/>
          <w:szCs w:val="24"/>
        </w:rPr>
        <w:t>“reporting entity”</w:t>
      </w:r>
      <w:r w:rsidRPr="008A0DA9">
        <w:rPr>
          <w:sz w:val="24"/>
          <w:szCs w:val="24"/>
        </w:rPr>
        <w:t xml:space="preserve"> means a Reporting Entity within the meaning of the Derivative Transaction Rules (Reporting), as in force on 1 October 2015.</w:t>
      </w:r>
    </w:p>
    <w:p w:rsidR="008A0DA9" w:rsidRPr="00483989" w:rsidRDefault="008A0DA9" w:rsidP="008A0DA9">
      <w:pPr>
        <w:pStyle w:val="Definition"/>
        <w:spacing w:before="0" w:after="240"/>
        <w:ind w:left="0"/>
        <w:jc w:val="both"/>
        <w:rPr>
          <w:sz w:val="24"/>
          <w:szCs w:val="24"/>
        </w:rPr>
      </w:pPr>
    </w:p>
    <w:sectPr w:rsidR="008A0DA9" w:rsidRPr="00483989" w:rsidSect="002420A9">
      <w:headerReference w:type="default" r:id="rId10"/>
      <w:footerReference w:type="defaul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7C5" w:rsidRDefault="00D567C5" w:rsidP="00AF1915">
      <w:pPr>
        <w:spacing w:after="0" w:line="240" w:lineRule="auto"/>
      </w:pPr>
      <w:r>
        <w:separator/>
      </w:r>
    </w:p>
  </w:endnote>
  <w:endnote w:type="continuationSeparator" w:id="0">
    <w:p w:rsidR="00D567C5" w:rsidRDefault="00D567C5" w:rsidP="00AF1915">
      <w:pPr>
        <w:spacing w:after="0" w:line="240" w:lineRule="auto"/>
      </w:pPr>
      <w:r>
        <w:continuationSeparator/>
      </w:r>
    </w:p>
  </w:endnote>
  <w:endnote w:type="continuationNotice" w:id="1">
    <w:p w:rsidR="00D567C5" w:rsidRDefault="00D567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rclays">
    <w:altName w:val="Cambria Math"/>
    <w:charset w:val="00"/>
    <w:family w:val="auto"/>
    <w:pitch w:val="variable"/>
    <w:sig w:usb0="00000003" w:usb1="00000000" w:usb2="00000000" w:usb3="00000000" w:csb0="00000001" w:csb1="00000000"/>
  </w:font>
  <w:font w:name="ExpertSans-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A92" w:rsidRDefault="00FF5A92">
    <w:pPr>
      <w:pStyle w:val="Footer"/>
      <w:jc w:val="center"/>
    </w:pPr>
    <w:r>
      <w:t>-</w:t>
    </w:r>
    <w:r w:rsidR="009B6D6C">
      <w:fldChar w:fldCharType="begin"/>
    </w:r>
    <w:r>
      <w:instrText xml:space="preserve"> PAGE   \* MERGEFORMAT </w:instrText>
    </w:r>
    <w:r w:rsidR="009B6D6C">
      <w:fldChar w:fldCharType="separate"/>
    </w:r>
    <w:r w:rsidR="00E764AD">
      <w:rPr>
        <w:noProof/>
      </w:rPr>
      <w:t>6</w:t>
    </w:r>
    <w:r w:rsidR="009B6D6C">
      <w:rPr>
        <w:noProof/>
      </w:rPr>
      <w:fldChar w:fldCharType="end"/>
    </w:r>
    <w:r>
      <w:rPr>
        <w:noProof/>
      </w:rPr>
      <w:t>-</w:t>
    </w:r>
  </w:p>
  <w:p w:rsidR="00FF5A92" w:rsidRDefault="00FF5A92" w:rsidP="00B6091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A92" w:rsidRDefault="00FF5A92" w:rsidP="00B60912">
    <w:pPr>
      <w:pStyle w:val="Footer"/>
      <w:jc w:val="center"/>
    </w:pPr>
    <w:r>
      <w:rPr>
        <w:sz w:val="18"/>
        <w:szCs w:val="18"/>
      </w:rPr>
      <w:t>Copyright © 2015 by International Swaps and Derivatives Association,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7C5" w:rsidRDefault="00D567C5" w:rsidP="00AF1915">
      <w:pPr>
        <w:spacing w:after="0" w:line="240" w:lineRule="auto"/>
      </w:pPr>
      <w:r>
        <w:separator/>
      </w:r>
    </w:p>
  </w:footnote>
  <w:footnote w:type="continuationSeparator" w:id="0">
    <w:p w:rsidR="00D567C5" w:rsidRDefault="00D567C5" w:rsidP="00AF1915">
      <w:pPr>
        <w:spacing w:after="0" w:line="240" w:lineRule="auto"/>
      </w:pPr>
      <w:r>
        <w:continuationSeparator/>
      </w:r>
    </w:p>
  </w:footnote>
  <w:footnote w:type="continuationNotice" w:id="1">
    <w:p w:rsidR="00D567C5" w:rsidRDefault="00D567C5">
      <w:pPr>
        <w:spacing w:after="0" w:line="240" w:lineRule="auto"/>
      </w:pPr>
    </w:p>
  </w:footnote>
  <w:footnote w:id="2">
    <w:p w:rsidR="006B212D" w:rsidRDefault="006B212D" w:rsidP="006B212D">
      <w:pPr>
        <w:pStyle w:val="FootnoteText"/>
        <w:ind w:left="360" w:hanging="360"/>
        <w:jc w:val="both"/>
      </w:pPr>
      <w:r>
        <w:rPr>
          <w:rStyle w:val="FootnoteReference"/>
        </w:rPr>
        <w:footnoteRef/>
      </w:r>
      <w:r>
        <w:t xml:space="preserve"> </w:t>
      </w:r>
      <w:r>
        <w:tab/>
        <w:t>If this letter is being delivered solely by Counterparty to the Exempt Phase 3 Reporting Entity, and Counterparty does not require the Exempt Phase 3 Reporting Entity to make any representations herein, the Exempt Phase 3 Reporting Entity signature block may be removed.</w:t>
      </w:r>
    </w:p>
  </w:footnote>
  <w:footnote w:id="3">
    <w:p w:rsidR="00FF5A92" w:rsidRDefault="00FF5A92" w:rsidP="00F80243">
      <w:pPr>
        <w:pStyle w:val="FootnoteText"/>
        <w:ind w:left="360" w:hanging="360"/>
        <w:jc w:val="both"/>
      </w:pPr>
      <w:r>
        <w:rPr>
          <w:rStyle w:val="FootnoteReference"/>
        </w:rPr>
        <w:footnoteRef/>
      </w:r>
      <w:r>
        <w:t xml:space="preserve"> </w:t>
      </w:r>
      <w:r>
        <w:tab/>
      </w:r>
      <w:r w:rsidRPr="00AA5C0B">
        <w:t>If this letter is being delivered by an agent on behalf of one or more principals, the agent should insert “as agent for [name of principal][the principals named on the attached sheet].”</w:t>
      </w:r>
      <w:r>
        <w:t xml:space="preserve"> </w:t>
      </w:r>
      <w:r w:rsidRPr="00AA5C0B">
        <w:t xml:space="preserve"> If the agent is acting on behalf of more than one principal, (i) it may list the names of such principals on a separate sheet and (ii) this letter should be treated as if it were a separate letter with respect to each principal listed on such sheet.</w:t>
      </w:r>
      <w:r>
        <w:t xml:space="preserve">  Similarly, if this letter is being delivered by a trustee on behalf of one or more trusts or trust funds, the trustee should insert “as trustee for [name of trust or trust fund][the [trusts][trust funds] named on the attached sheet].”</w:t>
      </w:r>
    </w:p>
  </w:footnote>
  <w:footnote w:id="4">
    <w:p w:rsidR="00FF5A92" w:rsidRDefault="00FF5A92" w:rsidP="00F13045">
      <w:pPr>
        <w:pStyle w:val="FootnoteText"/>
        <w:ind w:left="360" w:hanging="360"/>
        <w:jc w:val="both"/>
      </w:pPr>
      <w:r>
        <w:rPr>
          <w:rStyle w:val="FootnoteReference"/>
        </w:rPr>
        <w:footnoteRef/>
      </w:r>
      <w:r>
        <w:t xml:space="preserve"> </w:t>
      </w:r>
      <w:r>
        <w:tab/>
        <w:t>If you would like to include an alternative identifier, please describe the type of identifier provided.</w:t>
      </w:r>
    </w:p>
  </w:footnote>
  <w:footnote w:id="5">
    <w:p w:rsidR="002A3B87" w:rsidRDefault="002A3B87" w:rsidP="002A3B87">
      <w:pPr>
        <w:pStyle w:val="FootnoteText"/>
        <w:ind w:left="360" w:hanging="360"/>
        <w:jc w:val="both"/>
      </w:pPr>
      <w:r>
        <w:rPr>
          <w:rStyle w:val="FootnoteReference"/>
        </w:rPr>
        <w:footnoteRef/>
      </w:r>
      <w:r>
        <w:t xml:space="preserve"> </w:t>
      </w:r>
      <w:r>
        <w:tab/>
      </w:r>
      <w:r w:rsidRPr="00AA5C0B">
        <w:t>If this letter is being delivered by an agent on behalf of one or more principals, the agent should insert “as agent for [name of principal][the principals named on the attached sheet].”</w:t>
      </w:r>
      <w:r>
        <w:t xml:space="preserve"> </w:t>
      </w:r>
      <w:r w:rsidRPr="00AA5C0B">
        <w:t xml:space="preserve"> If the agent is acting on behalf of more than one principal, (i) it may list the names of such principals on a separate sheet and (ii) this letter should be treated as if it were a separate letter with respect to each principal listed on such sheet.</w:t>
      </w:r>
      <w:r>
        <w:t xml:space="preserve">  Similarly, if this letter is being delivered by a trustee on behalf of one or more trusts or trust funds, the trustee should insert “as trustee for [name of trust or trust fund][the [trusts][trust funds] named on the attached sheet].”</w:t>
      </w:r>
    </w:p>
  </w:footnote>
  <w:footnote w:id="6">
    <w:p w:rsidR="00FF5A92" w:rsidRDefault="00FF5A92" w:rsidP="004447CC">
      <w:pPr>
        <w:pStyle w:val="FootnoteText"/>
        <w:ind w:left="360" w:hanging="360"/>
        <w:jc w:val="both"/>
      </w:pPr>
      <w:r>
        <w:rPr>
          <w:rStyle w:val="FootnoteReference"/>
        </w:rPr>
        <w:footnoteRef/>
      </w:r>
      <w:r>
        <w:t xml:space="preserve"> </w:t>
      </w:r>
      <w:r>
        <w:tab/>
        <w:t>If you would like to include an alternative identifier, please describe the type of identifier provided.</w:t>
      </w:r>
    </w:p>
  </w:footnote>
  <w:footnote w:id="7">
    <w:p w:rsidR="00FF5A92" w:rsidRPr="007D1E2B" w:rsidRDefault="00FF5A92" w:rsidP="007D1E2B">
      <w:pPr>
        <w:pStyle w:val="FootnoteText"/>
        <w:rPr>
          <w:lang w:val="en-AU"/>
        </w:rPr>
      </w:pPr>
      <w:r>
        <w:rPr>
          <w:rStyle w:val="FootnoteReference"/>
        </w:rPr>
        <w:footnoteRef/>
      </w:r>
      <w:r>
        <w:t xml:space="preserve"> </w:t>
      </w:r>
      <w:r>
        <w:rPr>
          <w:lang w:val="en-AU"/>
        </w:rPr>
        <w:t xml:space="preserve">As at </w:t>
      </w:r>
      <w:r w:rsidR="00732CFA">
        <w:rPr>
          <w:lang w:val="en-AU"/>
        </w:rPr>
        <w:t xml:space="preserve">September 24, 2015, </w:t>
      </w:r>
      <w:r>
        <w:rPr>
          <w:lang w:val="en-AU"/>
        </w:rPr>
        <w:t>a Phase 3 Reporting Entity is defined in the ASIC exemption instrument as “</w:t>
      </w:r>
      <w:r w:rsidRPr="007D1E2B">
        <w:rPr>
          <w:lang w:val="en-AU"/>
        </w:rPr>
        <w:t>a Reporting Entity that:</w:t>
      </w:r>
      <w:r>
        <w:rPr>
          <w:lang w:val="en-AU"/>
        </w:rPr>
        <w:t xml:space="preserve"> </w:t>
      </w:r>
      <w:r w:rsidRPr="007D1E2B">
        <w:rPr>
          <w:lang w:val="en-AU"/>
        </w:rPr>
        <w:t>(a) is an Australian ADI, an AFS Licensee, a CS Facility Licensee, an Exempt</w:t>
      </w:r>
      <w:r>
        <w:rPr>
          <w:lang w:val="en-AU"/>
        </w:rPr>
        <w:t xml:space="preserve"> </w:t>
      </w:r>
      <w:r w:rsidRPr="007D1E2B">
        <w:rPr>
          <w:lang w:val="en-AU"/>
        </w:rPr>
        <w:t>Foreign Licensee or a Foreign ADI;</w:t>
      </w:r>
      <w:r>
        <w:rPr>
          <w:lang w:val="en-AU"/>
        </w:rPr>
        <w:t xml:space="preserve"> </w:t>
      </w:r>
      <w:r w:rsidRPr="007D1E2B">
        <w:rPr>
          <w:lang w:val="en-AU"/>
        </w:rPr>
        <w:t>(b) was not required to report under Phase 1 or Phase 2; and</w:t>
      </w:r>
      <w:r>
        <w:rPr>
          <w:lang w:val="en-AU"/>
        </w:rPr>
        <w:t xml:space="preserve"> </w:t>
      </w:r>
      <w:r w:rsidRPr="007D1E2B">
        <w:rPr>
          <w:lang w:val="en-AU"/>
        </w:rPr>
        <w:t>(c) did not opt-in to reporting during Phase 1 or Phase 2 by lodging an Opt-In Notice</w:t>
      </w:r>
      <w:r>
        <w:rPr>
          <w:lang w:val="en-AU"/>
        </w:rPr>
        <w:t xml:space="preserve"> </w:t>
      </w:r>
      <w:r w:rsidRPr="007D1E2B">
        <w:rPr>
          <w:lang w:val="en-AU"/>
        </w:rPr>
        <w:t>with ASIC under Rule 2.4.1 of the Rules.</w:t>
      </w:r>
      <w:r>
        <w:rPr>
          <w:lang w:val="en-A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A92" w:rsidRDefault="00FF5A92" w:rsidP="008B60E3">
    <w:pPr>
      <w:pStyle w:val="Header"/>
    </w:pPr>
  </w:p>
  <w:p w:rsidR="00FF5A92" w:rsidRDefault="00FF5A92" w:rsidP="003444E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315A9796"/>
    <w:name w:val="Heading"/>
    <w:lvl w:ilvl="0">
      <w:start w:val="1"/>
      <w:numFmt w:val="decimal"/>
      <w:pStyle w:val="Heading1"/>
      <w:suff w:val="nothing"/>
      <w:lvlText w:val="Schedule %1"/>
      <w:lvlJc w:val="left"/>
      <w:rPr>
        <w:rFonts w:cs="Times New Roman" w:hint="eastAsia"/>
      </w:rPr>
    </w:lvl>
    <w:lvl w:ilvl="1">
      <w:start w:val="1"/>
      <w:numFmt w:val="upperRoman"/>
      <w:pStyle w:val="Heading2"/>
      <w:lvlText w:val="Part %2."/>
      <w:lvlJc w:val="right"/>
      <w:pPr>
        <w:tabs>
          <w:tab w:val="num" w:pos="720"/>
        </w:tabs>
        <w:ind w:left="720" w:hanging="720"/>
      </w:pPr>
      <w:rPr>
        <w:rFonts w:cs="Times New Roman" w:hint="eastAsia"/>
        <w:u w:val="none"/>
      </w:rPr>
    </w:lvl>
    <w:lvl w:ilvl="2">
      <w:start w:val="1"/>
      <w:numFmt w:val="decimal"/>
      <w:lvlRestart w:val="0"/>
      <w:pStyle w:val="Heading3"/>
      <w:lvlText w:val="%1.%3."/>
      <w:lvlJc w:val="left"/>
      <w:pPr>
        <w:tabs>
          <w:tab w:val="num" w:pos="1440"/>
        </w:tabs>
        <w:ind w:left="1440" w:hanging="720"/>
      </w:pPr>
      <w:rPr>
        <w:rFonts w:cs="Times New Roman" w:hint="eastAsia"/>
      </w:rPr>
    </w:lvl>
    <w:lvl w:ilvl="3">
      <w:start w:val="1"/>
      <w:numFmt w:val="lowerLetter"/>
      <w:pStyle w:val="Heading4"/>
      <w:lvlText w:val="%4."/>
      <w:lvlJc w:val="left"/>
      <w:pPr>
        <w:tabs>
          <w:tab w:val="num" w:pos="2160"/>
        </w:tabs>
        <w:ind w:left="2160" w:hanging="720"/>
      </w:pPr>
      <w:rPr>
        <w:rFonts w:cs="Times New Roman" w:hint="eastAsia"/>
      </w:rPr>
    </w:lvl>
    <w:lvl w:ilvl="4">
      <w:start w:val="1"/>
      <w:numFmt w:val="decimal"/>
      <w:pStyle w:val="Heading5"/>
      <w:lvlText w:val="%5."/>
      <w:lvlJc w:val="left"/>
      <w:pPr>
        <w:tabs>
          <w:tab w:val="num" w:pos="2970"/>
        </w:tabs>
        <w:ind w:left="2970" w:hanging="720"/>
      </w:pPr>
      <w:rPr>
        <w:rFonts w:ascii="Times New Roman" w:hAnsi="Times New Roman" w:cs="Times New Roman" w:hint="default"/>
        <w:b w:val="0"/>
        <w:sz w:val="24"/>
        <w:szCs w:val="24"/>
        <w:vertAlign w:val="baseline"/>
      </w:rPr>
    </w:lvl>
    <w:lvl w:ilvl="5">
      <w:start w:val="1"/>
      <w:numFmt w:val="decimal"/>
      <w:pStyle w:val="Heading6"/>
      <w:lvlText w:val="%6."/>
      <w:lvlJc w:val="left"/>
      <w:pPr>
        <w:ind w:left="2880" w:hanging="720"/>
      </w:pPr>
      <w:rPr>
        <w:rFonts w:cs="Times New Roman" w:hint="eastAsia"/>
      </w:rPr>
    </w:lvl>
    <w:lvl w:ilvl="6">
      <w:start w:val="1"/>
      <w:numFmt w:val="lowerLetter"/>
      <w:pStyle w:val="Heading7"/>
      <w:lvlText w:val="%7."/>
      <w:lvlJc w:val="left"/>
      <w:pPr>
        <w:tabs>
          <w:tab w:val="num" w:pos="4320"/>
        </w:tabs>
        <w:ind w:left="2880" w:firstLine="720"/>
      </w:pPr>
      <w:rPr>
        <w:rFonts w:cs="Times New Roman" w:hint="eastAsia"/>
      </w:rPr>
    </w:lvl>
    <w:lvl w:ilvl="7">
      <w:start w:val="1"/>
      <w:numFmt w:val="lowerRoman"/>
      <w:pStyle w:val="Heading8"/>
      <w:lvlText w:val="%8."/>
      <w:lvlJc w:val="right"/>
      <w:pPr>
        <w:tabs>
          <w:tab w:val="num" w:pos="5040"/>
        </w:tabs>
        <w:ind w:left="3600" w:firstLine="979"/>
      </w:pPr>
      <w:rPr>
        <w:rFonts w:cs="Times New Roman" w:hint="eastAsia"/>
      </w:rPr>
    </w:lvl>
    <w:lvl w:ilvl="8">
      <w:start w:val="1"/>
      <w:numFmt w:val="upperLetter"/>
      <w:pStyle w:val="Heading9"/>
      <w:lvlText w:val="%9."/>
      <w:lvlJc w:val="left"/>
      <w:pPr>
        <w:tabs>
          <w:tab w:val="num" w:pos="5760"/>
        </w:tabs>
        <w:ind w:left="4320" w:firstLine="720"/>
      </w:pPr>
      <w:rPr>
        <w:rFonts w:cs="Times New Roman" w:hint="eastAsia"/>
      </w:rPr>
    </w:lvl>
  </w:abstractNum>
  <w:abstractNum w:abstractNumId="1">
    <w:nsid w:val="29F00BD2"/>
    <w:multiLevelType w:val="hybridMultilevel"/>
    <w:tmpl w:val="3DBE06C2"/>
    <w:lvl w:ilvl="0" w:tplc="0B52CD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CF46F2"/>
    <w:multiLevelType w:val="hybridMultilevel"/>
    <w:tmpl w:val="8ED4FC60"/>
    <w:lvl w:ilvl="0" w:tplc="7B365662">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E64699"/>
    <w:multiLevelType w:val="hybridMultilevel"/>
    <w:tmpl w:val="5AB2CFCE"/>
    <w:lvl w:ilvl="0" w:tplc="0B52CD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AE33D4"/>
    <w:multiLevelType w:val="hybridMultilevel"/>
    <w:tmpl w:val="E38CFA68"/>
    <w:lvl w:ilvl="0" w:tplc="573046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BE30FC"/>
    <w:multiLevelType w:val="hybridMultilevel"/>
    <w:tmpl w:val="E2465C22"/>
    <w:lvl w:ilvl="0" w:tplc="0B52CD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F57ECF"/>
    <w:multiLevelType w:val="hybridMultilevel"/>
    <w:tmpl w:val="49C6AD24"/>
    <w:lvl w:ilvl="0" w:tplc="0B52CD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37542E"/>
    <w:multiLevelType w:val="hybridMultilevel"/>
    <w:tmpl w:val="9468F668"/>
    <w:lvl w:ilvl="0" w:tplc="7C9046B2">
      <w:numFmt w:val="bullet"/>
      <w:lvlText w:val="-"/>
      <w:lvlJc w:val="left"/>
      <w:pPr>
        <w:ind w:left="720" w:hanging="360"/>
      </w:pPr>
      <w:rPr>
        <w:rFonts w:ascii="Calibri" w:eastAsia="SimSun"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67840B17"/>
    <w:multiLevelType w:val="hybridMultilevel"/>
    <w:tmpl w:val="3384D37A"/>
    <w:lvl w:ilvl="0" w:tplc="0B52CD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1639C2"/>
    <w:multiLevelType w:val="hybridMultilevel"/>
    <w:tmpl w:val="C3620204"/>
    <w:lvl w:ilvl="0" w:tplc="0B52CD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226ECC"/>
    <w:multiLevelType w:val="hybridMultilevel"/>
    <w:tmpl w:val="A3F2238C"/>
    <w:lvl w:ilvl="0" w:tplc="0B52CD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ED0FD1"/>
    <w:multiLevelType w:val="hybridMultilevel"/>
    <w:tmpl w:val="04465798"/>
    <w:lvl w:ilvl="0" w:tplc="67548796">
      <w:start w:val="1"/>
      <w:numFmt w:val="bullet"/>
      <w:lvlRestart w:val="0"/>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7E223E90"/>
    <w:multiLevelType w:val="hybridMultilevel"/>
    <w:tmpl w:val="55EEE712"/>
    <w:lvl w:ilvl="0" w:tplc="63588C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9"/>
  </w:num>
  <w:num w:numId="4">
    <w:abstractNumId w:val="10"/>
  </w:num>
  <w:num w:numId="5">
    <w:abstractNumId w:val="5"/>
  </w:num>
  <w:num w:numId="6">
    <w:abstractNumId w:val="8"/>
  </w:num>
  <w:num w:numId="7">
    <w:abstractNumId w:val="3"/>
  </w:num>
  <w:num w:numId="8">
    <w:abstractNumId w:val="11"/>
  </w:num>
  <w:num w:numId="9">
    <w:abstractNumId w:val="0"/>
  </w:num>
  <w:num w:numId="10">
    <w:abstractNumId w:val="4"/>
  </w:num>
  <w:num w:numId="11">
    <w:abstractNumId w:val="2"/>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proofState w:spelling="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ID" w:val="19795733_15"/>
  </w:docVars>
  <w:rsids>
    <w:rsidRoot w:val="0046233A"/>
    <w:rsid w:val="00000552"/>
    <w:rsid w:val="00001236"/>
    <w:rsid w:val="000022E2"/>
    <w:rsid w:val="000036F4"/>
    <w:rsid w:val="00003A7E"/>
    <w:rsid w:val="00004152"/>
    <w:rsid w:val="00007309"/>
    <w:rsid w:val="00010B20"/>
    <w:rsid w:val="000127F4"/>
    <w:rsid w:val="000140C5"/>
    <w:rsid w:val="0001625E"/>
    <w:rsid w:val="00022978"/>
    <w:rsid w:val="000235D0"/>
    <w:rsid w:val="00025EA0"/>
    <w:rsid w:val="00026F14"/>
    <w:rsid w:val="000275A7"/>
    <w:rsid w:val="00030032"/>
    <w:rsid w:val="0003281D"/>
    <w:rsid w:val="00033F9B"/>
    <w:rsid w:val="000343AC"/>
    <w:rsid w:val="0003622D"/>
    <w:rsid w:val="0003751A"/>
    <w:rsid w:val="000376A7"/>
    <w:rsid w:val="0004436D"/>
    <w:rsid w:val="00044731"/>
    <w:rsid w:val="0004676A"/>
    <w:rsid w:val="000522B4"/>
    <w:rsid w:val="00052C24"/>
    <w:rsid w:val="00054773"/>
    <w:rsid w:val="00054AF9"/>
    <w:rsid w:val="00064DE5"/>
    <w:rsid w:val="00066E9D"/>
    <w:rsid w:val="000732D5"/>
    <w:rsid w:val="00073429"/>
    <w:rsid w:val="00074E7C"/>
    <w:rsid w:val="00077D6A"/>
    <w:rsid w:val="00081CF1"/>
    <w:rsid w:val="00085F96"/>
    <w:rsid w:val="0009166B"/>
    <w:rsid w:val="00092700"/>
    <w:rsid w:val="00092A84"/>
    <w:rsid w:val="00092B66"/>
    <w:rsid w:val="00093C58"/>
    <w:rsid w:val="000959B5"/>
    <w:rsid w:val="000A2C8E"/>
    <w:rsid w:val="000A3542"/>
    <w:rsid w:val="000A3F13"/>
    <w:rsid w:val="000A4D11"/>
    <w:rsid w:val="000A540B"/>
    <w:rsid w:val="000A56FA"/>
    <w:rsid w:val="000A657D"/>
    <w:rsid w:val="000A75A3"/>
    <w:rsid w:val="000B27AB"/>
    <w:rsid w:val="000B5DD6"/>
    <w:rsid w:val="000B6A62"/>
    <w:rsid w:val="000C23BC"/>
    <w:rsid w:val="000C2819"/>
    <w:rsid w:val="000C5818"/>
    <w:rsid w:val="000C6D85"/>
    <w:rsid w:val="000C6FD6"/>
    <w:rsid w:val="000D2E0A"/>
    <w:rsid w:val="000D57EB"/>
    <w:rsid w:val="000D582A"/>
    <w:rsid w:val="000E0AF0"/>
    <w:rsid w:val="000E18A1"/>
    <w:rsid w:val="000E73D3"/>
    <w:rsid w:val="000F15CA"/>
    <w:rsid w:val="000F2737"/>
    <w:rsid w:val="000F395A"/>
    <w:rsid w:val="000F7096"/>
    <w:rsid w:val="000F7F93"/>
    <w:rsid w:val="00102DA1"/>
    <w:rsid w:val="001048E8"/>
    <w:rsid w:val="001055A9"/>
    <w:rsid w:val="00105CC5"/>
    <w:rsid w:val="0010625D"/>
    <w:rsid w:val="00111E90"/>
    <w:rsid w:val="00114711"/>
    <w:rsid w:val="0011522D"/>
    <w:rsid w:val="001168E9"/>
    <w:rsid w:val="0012090C"/>
    <w:rsid w:val="00120C0D"/>
    <w:rsid w:val="001216E9"/>
    <w:rsid w:val="00122DD9"/>
    <w:rsid w:val="0012756F"/>
    <w:rsid w:val="001328BC"/>
    <w:rsid w:val="001334AA"/>
    <w:rsid w:val="0013648E"/>
    <w:rsid w:val="00137FD3"/>
    <w:rsid w:val="0014034F"/>
    <w:rsid w:val="001428D1"/>
    <w:rsid w:val="00144514"/>
    <w:rsid w:val="00144E6C"/>
    <w:rsid w:val="00150142"/>
    <w:rsid w:val="001507D3"/>
    <w:rsid w:val="00151DE8"/>
    <w:rsid w:val="00152498"/>
    <w:rsid w:val="00155A0C"/>
    <w:rsid w:val="00157435"/>
    <w:rsid w:val="001615C9"/>
    <w:rsid w:val="00162B8B"/>
    <w:rsid w:val="00165944"/>
    <w:rsid w:val="00173598"/>
    <w:rsid w:val="001742BA"/>
    <w:rsid w:val="00177066"/>
    <w:rsid w:val="00182F6F"/>
    <w:rsid w:val="00184CA3"/>
    <w:rsid w:val="0018546E"/>
    <w:rsid w:val="00187069"/>
    <w:rsid w:val="00187C28"/>
    <w:rsid w:val="0019191A"/>
    <w:rsid w:val="0019359E"/>
    <w:rsid w:val="00194343"/>
    <w:rsid w:val="00195F12"/>
    <w:rsid w:val="001A431E"/>
    <w:rsid w:val="001A4EDD"/>
    <w:rsid w:val="001A4F19"/>
    <w:rsid w:val="001B1769"/>
    <w:rsid w:val="001C0E35"/>
    <w:rsid w:val="001C1300"/>
    <w:rsid w:val="001C1DD0"/>
    <w:rsid w:val="001C3085"/>
    <w:rsid w:val="001D0985"/>
    <w:rsid w:val="001D6D13"/>
    <w:rsid w:val="001D782E"/>
    <w:rsid w:val="001E6B75"/>
    <w:rsid w:val="001E6DE3"/>
    <w:rsid w:val="001F216B"/>
    <w:rsid w:val="001F63D5"/>
    <w:rsid w:val="002007EB"/>
    <w:rsid w:val="00200A38"/>
    <w:rsid w:val="00201611"/>
    <w:rsid w:val="0020237C"/>
    <w:rsid w:val="002049FB"/>
    <w:rsid w:val="00210D40"/>
    <w:rsid w:val="00211FDE"/>
    <w:rsid w:val="00212455"/>
    <w:rsid w:val="0021565F"/>
    <w:rsid w:val="00217BE8"/>
    <w:rsid w:val="002221A7"/>
    <w:rsid w:val="00223FEA"/>
    <w:rsid w:val="00225C12"/>
    <w:rsid w:val="00227666"/>
    <w:rsid w:val="00227747"/>
    <w:rsid w:val="00230D38"/>
    <w:rsid w:val="002332BB"/>
    <w:rsid w:val="002339CB"/>
    <w:rsid w:val="00233A80"/>
    <w:rsid w:val="00234C0E"/>
    <w:rsid w:val="0023539D"/>
    <w:rsid w:val="00236B2A"/>
    <w:rsid w:val="002420A9"/>
    <w:rsid w:val="00243757"/>
    <w:rsid w:val="00244262"/>
    <w:rsid w:val="00245608"/>
    <w:rsid w:val="0024730C"/>
    <w:rsid w:val="002511E7"/>
    <w:rsid w:val="00251D95"/>
    <w:rsid w:val="00253246"/>
    <w:rsid w:val="00253A5A"/>
    <w:rsid w:val="00257793"/>
    <w:rsid w:val="0026021C"/>
    <w:rsid w:val="002607E7"/>
    <w:rsid w:val="00271567"/>
    <w:rsid w:val="002715A2"/>
    <w:rsid w:val="002742A4"/>
    <w:rsid w:val="00274B14"/>
    <w:rsid w:val="00274E8A"/>
    <w:rsid w:val="00275122"/>
    <w:rsid w:val="00275562"/>
    <w:rsid w:val="00276D16"/>
    <w:rsid w:val="002802E4"/>
    <w:rsid w:val="002807C2"/>
    <w:rsid w:val="0028545A"/>
    <w:rsid w:val="00285A10"/>
    <w:rsid w:val="00286514"/>
    <w:rsid w:val="00286C88"/>
    <w:rsid w:val="002917ED"/>
    <w:rsid w:val="00292CF2"/>
    <w:rsid w:val="002A27EB"/>
    <w:rsid w:val="002A3B87"/>
    <w:rsid w:val="002A3BE3"/>
    <w:rsid w:val="002A5BEE"/>
    <w:rsid w:val="002B0DBD"/>
    <w:rsid w:val="002B178D"/>
    <w:rsid w:val="002B179E"/>
    <w:rsid w:val="002B1B07"/>
    <w:rsid w:val="002B22AA"/>
    <w:rsid w:val="002B2620"/>
    <w:rsid w:val="002B4024"/>
    <w:rsid w:val="002B4A8E"/>
    <w:rsid w:val="002B6128"/>
    <w:rsid w:val="002C0B5A"/>
    <w:rsid w:val="002C127E"/>
    <w:rsid w:val="002C22F2"/>
    <w:rsid w:val="002C323C"/>
    <w:rsid w:val="002C3857"/>
    <w:rsid w:val="002C7B36"/>
    <w:rsid w:val="002D0D12"/>
    <w:rsid w:val="002D11D9"/>
    <w:rsid w:val="002D28F4"/>
    <w:rsid w:val="002D2B75"/>
    <w:rsid w:val="002D4950"/>
    <w:rsid w:val="002D5C48"/>
    <w:rsid w:val="002D6624"/>
    <w:rsid w:val="002D7B79"/>
    <w:rsid w:val="002E1AB6"/>
    <w:rsid w:val="002E1EDA"/>
    <w:rsid w:val="002E26F4"/>
    <w:rsid w:val="002E37E2"/>
    <w:rsid w:val="002F66AD"/>
    <w:rsid w:val="002F7537"/>
    <w:rsid w:val="00300AD0"/>
    <w:rsid w:val="00301189"/>
    <w:rsid w:val="00301B32"/>
    <w:rsid w:val="00301F9B"/>
    <w:rsid w:val="0030229A"/>
    <w:rsid w:val="003029AA"/>
    <w:rsid w:val="00302B1A"/>
    <w:rsid w:val="00302F2A"/>
    <w:rsid w:val="003033AF"/>
    <w:rsid w:val="0030391A"/>
    <w:rsid w:val="00310235"/>
    <w:rsid w:val="00310B90"/>
    <w:rsid w:val="00314181"/>
    <w:rsid w:val="00316CA5"/>
    <w:rsid w:val="003179EC"/>
    <w:rsid w:val="003205EE"/>
    <w:rsid w:val="003211E9"/>
    <w:rsid w:val="003266DD"/>
    <w:rsid w:val="00331000"/>
    <w:rsid w:val="00331623"/>
    <w:rsid w:val="00332701"/>
    <w:rsid w:val="00336592"/>
    <w:rsid w:val="00336883"/>
    <w:rsid w:val="00337770"/>
    <w:rsid w:val="00343142"/>
    <w:rsid w:val="003444E2"/>
    <w:rsid w:val="00344609"/>
    <w:rsid w:val="003461C9"/>
    <w:rsid w:val="00346DC1"/>
    <w:rsid w:val="00346FDF"/>
    <w:rsid w:val="0034757F"/>
    <w:rsid w:val="0035046A"/>
    <w:rsid w:val="00351D39"/>
    <w:rsid w:val="00351FD8"/>
    <w:rsid w:val="003540F7"/>
    <w:rsid w:val="00361022"/>
    <w:rsid w:val="003612B9"/>
    <w:rsid w:val="0036131D"/>
    <w:rsid w:val="003615DA"/>
    <w:rsid w:val="00361645"/>
    <w:rsid w:val="00363876"/>
    <w:rsid w:val="00363E24"/>
    <w:rsid w:val="00365721"/>
    <w:rsid w:val="0037061D"/>
    <w:rsid w:val="00372356"/>
    <w:rsid w:val="00375118"/>
    <w:rsid w:val="003767A0"/>
    <w:rsid w:val="0038199D"/>
    <w:rsid w:val="0038615B"/>
    <w:rsid w:val="003870A4"/>
    <w:rsid w:val="00390527"/>
    <w:rsid w:val="0039530D"/>
    <w:rsid w:val="003A1871"/>
    <w:rsid w:val="003A4E77"/>
    <w:rsid w:val="003B4BB7"/>
    <w:rsid w:val="003C07A3"/>
    <w:rsid w:val="003C2771"/>
    <w:rsid w:val="003C36F5"/>
    <w:rsid w:val="003D160E"/>
    <w:rsid w:val="003D3672"/>
    <w:rsid w:val="003D3915"/>
    <w:rsid w:val="003D39D0"/>
    <w:rsid w:val="003E44BA"/>
    <w:rsid w:val="003E4D3F"/>
    <w:rsid w:val="003E7D2E"/>
    <w:rsid w:val="003E7FF5"/>
    <w:rsid w:val="003F01F6"/>
    <w:rsid w:val="003F3034"/>
    <w:rsid w:val="003F4F68"/>
    <w:rsid w:val="003F6530"/>
    <w:rsid w:val="003F6C14"/>
    <w:rsid w:val="00400093"/>
    <w:rsid w:val="004016A7"/>
    <w:rsid w:val="00402C6A"/>
    <w:rsid w:val="0040315C"/>
    <w:rsid w:val="0040378C"/>
    <w:rsid w:val="00407109"/>
    <w:rsid w:val="00407F26"/>
    <w:rsid w:val="00410F46"/>
    <w:rsid w:val="0041416B"/>
    <w:rsid w:val="00414CDF"/>
    <w:rsid w:val="004155F8"/>
    <w:rsid w:val="0041581F"/>
    <w:rsid w:val="00417685"/>
    <w:rsid w:val="00423072"/>
    <w:rsid w:val="0042312B"/>
    <w:rsid w:val="0042372E"/>
    <w:rsid w:val="004252E6"/>
    <w:rsid w:val="004340C9"/>
    <w:rsid w:val="0043435A"/>
    <w:rsid w:val="0044459C"/>
    <w:rsid w:val="004447CC"/>
    <w:rsid w:val="00444F11"/>
    <w:rsid w:val="004462A3"/>
    <w:rsid w:val="0045233C"/>
    <w:rsid w:val="0045352F"/>
    <w:rsid w:val="0045486F"/>
    <w:rsid w:val="0046233A"/>
    <w:rsid w:val="00462677"/>
    <w:rsid w:val="004678D6"/>
    <w:rsid w:val="00467CF5"/>
    <w:rsid w:val="00470592"/>
    <w:rsid w:val="00471173"/>
    <w:rsid w:val="0047328D"/>
    <w:rsid w:val="004740D3"/>
    <w:rsid w:val="00476BDA"/>
    <w:rsid w:val="0048062D"/>
    <w:rsid w:val="00482A0D"/>
    <w:rsid w:val="00483989"/>
    <w:rsid w:val="00484494"/>
    <w:rsid w:val="00484864"/>
    <w:rsid w:val="004875AB"/>
    <w:rsid w:val="0049146D"/>
    <w:rsid w:val="004961F2"/>
    <w:rsid w:val="0049719E"/>
    <w:rsid w:val="004A18A5"/>
    <w:rsid w:val="004A1916"/>
    <w:rsid w:val="004A28D2"/>
    <w:rsid w:val="004A5230"/>
    <w:rsid w:val="004B4502"/>
    <w:rsid w:val="004B77D0"/>
    <w:rsid w:val="004C0759"/>
    <w:rsid w:val="004C6531"/>
    <w:rsid w:val="004D30B0"/>
    <w:rsid w:val="004D6C10"/>
    <w:rsid w:val="004E07DE"/>
    <w:rsid w:val="004E3B8A"/>
    <w:rsid w:val="004E7204"/>
    <w:rsid w:val="004F018C"/>
    <w:rsid w:val="004F1522"/>
    <w:rsid w:val="004F35CF"/>
    <w:rsid w:val="004F4B9B"/>
    <w:rsid w:val="004F6108"/>
    <w:rsid w:val="005039F1"/>
    <w:rsid w:val="00503E22"/>
    <w:rsid w:val="00503E4D"/>
    <w:rsid w:val="0050502B"/>
    <w:rsid w:val="00507AFF"/>
    <w:rsid w:val="005105A5"/>
    <w:rsid w:val="005224C7"/>
    <w:rsid w:val="0052254C"/>
    <w:rsid w:val="00525CE4"/>
    <w:rsid w:val="00527485"/>
    <w:rsid w:val="0052751F"/>
    <w:rsid w:val="0053182C"/>
    <w:rsid w:val="00544CF0"/>
    <w:rsid w:val="00545288"/>
    <w:rsid w:val="005465BB"/>
    <w:rsid w:val="00550050"/>
    <w:rsid w:val="00554273"/>
    <w:rsid w:val="005570BA"/>
    <w:rsid w:val="00557247"/>
    <w:rsid w:val="00560B42"/>
    <w:rsid w:val="00561CB6"/>
    <w:rsid w:val="00570347"/>
    <w:rsid w:val="005774D2"/>
    <w:rsid w:val="00582013"/>
    <w:rsid w:val="00585DB6"/>
    <w:rsid w:val="0059003B"/>
    <w:rsid w:val="00590C49"/>
    <w:rsid w:val="0059173B"/>
    <w:rsid w:val="005927B7"/>
    <w:rsid w:val="005A10A5"/>
    <w:rsid w:val="005A1965"/>
    <w:rsid w:val="005A75AD"/>
    <w:rsid w:val="005B095F"/>
    <w:rsid w:val="005B1674"/>
    <w:rsid w:val="005B4F91"/>
    <w:rsid w:val="005B64A2"/>
    <w:rsid w:val="005C1404"/>
    <w:rsid w:val="005C35B0"/>
    <w:rsid w:val="005C3D73"/>
    <w:rsid w:val="005C6807"/>
    <w:rsid w:val="005D0082"/>
    <w:rsid w:val="005D32E6"/>
    <w:rsid w:val="005D3D9E"/>
    <w:rsid w:val="005E0D5A"/>
    <w:rsid w:val="005E1B8D"/>
    <w:rsid w:val="005E7B21"/>
    <w:rsid w:val="005F15A0"/>
    <w:rsid w:val="005F3CAE"/>
    <w:rsid w:val="005F6075"/>
    <w:rsid w:val="005F64D8"/>
    <w:rsid w:val="005F72CD"/>
    <w:rsid w:val="005F7C21"/>
    <w:rsid w:val="006022DD"/>
    <w:rsid w:val="006073E9"/>
    <w:rsid w:val="00607D04"/>
    <w:rsid w:val="00610FC3"/>
    <w:rsid w:val="00612123"/>
    <w:rsid w:val="00612FB7"/>
    <w:rsid w:val="00617CE4"/>
    <w:rsid w:val="00624A99"/>
    <w:rsid w:val="00625704"/>
    <w:rsid w:val="006306E6"/>
    <w:rsid w:val="00634237"/>
    <w:rsid w:val="00637AFB"/>
    <w:rsid w:val="00637F1B"/>
    <w:rsid w:val="00642767"/>
    <w:rsid w:val="00642F03"/>
    <w:rsid w:val="0064439C"/>
    <w:rsid w:val="0064773C"/>
    <w:rsid w:val="00650274"/>
    <w:rsid w:val="00656C4C"/>
    <w:rsid w:val="00657174"/>
    <w:rsid w:val="0065785F"/>
    <w:rsid w:val="006608F5"/>
    <w:rsid w:val="00661440"/>
    <w:rsid w:val="00664830"/>
    <w:rsid w:val="00665519"/>
    <w:rsid w:val="00667DBA"/>
    <w:rsid w:val="006724E1"/>
    <w:rsid w:val="00672AFC"/>
    <w:rsid w:val="00672E79"/>
    <w:rsid w:val="00681B23"/>
    <w:rsid w:val="00682F19"/>
    <w:rsid w:val="006833B7"/>
    <w:rsid w:val="00683FCE"/>
    <w:rsid w:val="00685355"/>
    <w:rsid w:val="006904D8"/>
    <w:rsid w:val="006933C5"/>
    <w:rsid w:val="00693E2F"/>
    <w:rsid w:val="00693EE9"/>
    <w:rsid w:val="00697E5B"/>
    <w:rsid w:val="006A0682"/>
    <w:rsid w:val="006A1852"/>
    <w:rsid w:val="006A44E4"/>
    <w:rsid w:val="006A5CBB"/>
    <w:rsid w:val="006A636B"/>
    <w:rsid w:val="006B1A79"/>
    <w:rsid w:val="006B212D"/>
    <w:rsid w:val="006B48F9"/>
    <w:rsid w:val="006B70C4"/>
    <w:rsid w:val="006B7DCE"/>
    <w:rsid w:val="006C0F85"/>
    <w:rsid w:val="006C2023"/>
    <w:rsid w:val="006C4245"/>
    <w:rsid w:val="006C70CB"/>
    <w:rsid w:val="006C7ADE"/>
    <w:rsid w:val="006D141E"/>
    <w:rsid w:val="006D1790"/>
    <w:rsid w:val="006D3A62"/>
    <w:rsid w:val="006D70D1"/>
    <w:rsid w:val="006E2278"/>
    <w:rsid w:val="006E243D"/>
    <w:rsid w:val="006E423F"/>
    <w:rsid w:val="006E69BC"/>
    <w:rsid w:val="006F2CBD"/>
    <w:rsid w:val="006F4B08"/>
    <w:rsid w:val="006F4D96"/>
    <w:rsid w:val="00700299"/>
    <w:rsid w:val="007109AC"/>
    <w:rsid w:val="00712299"/>
    <w:rsid w:val="00714113"/>
    <w:rsid w:val="0071570E"/>
    <w:rsid w:val="00716410"/>
    <w:rsid w:val="00720EF3"/>
    <w:rsid w:val="00721A92"/>
    <w:rsid w:val="00722CE6"/>
    <w:rsid w:val="007235A6"/>
    <w:rsid w:val="00724411"/>
    <w:rsid w:val="0072683F"/>
    <w:rsid w:val="00730D28"/>
    <w:rsid w:val="00732CFA"/>
    <w:rsid w:val="00733D1D"/>
    <w:rsid w:val="00736E34"/>
    <w:rsid w:val="00737B4A"/>
    <w:rsid w:val="00740F51"/>
    <w:rsid w:val="00742387"/>
    <w:rsid w:val="007452B9"/>
    <w:rsid w:val="00745DF1"/>
    <w:rsid w:val="00750E22"/>
    <w:rsid w:val="00751494"/>
    <w:rsid w:val="00754070"/>
    <w:rsid w:val="0075461A"/>
    <w:rsid w:val="00754B0A"/>
    <w:rsid w:val="007601F5"/>
    <w:rsid w:val="007613E5"/>
    <w:rsid w:val="007630F2"/>
    <w:rsid w:val="00765095"/>
    <w:rsid w:val="0076629B"/>
    <w:rsid w:val="007707F3"/>
    <w:rsid w:val="00770C4B"/>
    <w:rsid w:val="00771B71"/>
    <w:rsid w:val="0077269F"/>
    <w:rsid w:val="007763BE"/>
    <w:rsid w:val="00782A3F"/>
    <w:rsid w:val="00783C5F"/>
    <w:rsid w:val="0078647C"/>
    <w:rsid w:val="00786BEA"/>
    <w:rsid w:val="00790343"/>
    <w:rsid w:val="00792FFF"/>
    <w:rsid w:val="00793A4B"/>
    <w:rsid w:val="007940DE"/>
    <w:rsid w:val="00794B7A"/>
    <w:rsid w:val="007A19DD"/>
    <w:rsid w:val="007A2C6B"/>
    <w:rsid w:val="007B0529"/>
    <w:rsid w:val="007B0AFD"/>
    <w:rsid w:val="007B3946"/>
    <w:rsid w:val="007C2143"/>
    <w:rsid w:val="007C3CEC"/>
    <w:rsid w:val="007C67E6"/>
    <w:rsid w:val="007C6EBA"/>
    <w:rsid w:val="007D09DC"/>
    <w:rsid w:val="007D11BC"/>
    <w:rsid w:val="007D1E2B"/>
    <w:rsid w:val="007D3523"/>
    <w:rsid w:val="007D6284"/>
    <w:rsid w:val="007D659C"/>
    <w:rsid w:val="007E0B34"/>
    <w:rsid w:val="007E27D4"/>
    <w:rsid w:val="007E5CFD"/>
    <w:rsid w:val="007E73DC"/>
    <w:rsid w:val="007F118C"/>
    <w:rsid w:val="007F435D"/>
    <w:rsid w:val="007F599A"/>
    <w:rsid w:val="007F672C"/>
    <w:rsid w:val="007F7362"/>
    <w:rsid w:val="00801D46"/>
    <w:rsid w:val="00802E11"/>
    <w:rsid w:val="00803875"/>
    <w:rsid w:val="008041DD"/>
    <w:rsid w:val="00816753"/>
    <w:rsid w:val="00817A62"/>
    <w:rsid w:val="00820327"/>
    <w:rsid w:val="008224E5"/>
    <w:rsid w:val="008236A5"/>
    <w:rsid w:val="00830313"/>
    <w:rsid w:val="008306E2"/>
    <w:rsid w:val="008326A3"/>
    <w:rsid w:val="00833983"/>
    <w:rsid w:val="008356A2"/>
    <w:rsid w:val="00842B7A"/>
    <w:rsid w:val="00851A7A"/>
    <w:rsid w:val="00855265"/>
    <w:rsid w:val="008705BC"/>
    <w:rsid w:val="008706ED"/>
    <w:rsid w:val="00870E42"/>
    <w:rsid w:val="0087303A"/>
    <w:rsid w:val="008737DA"/>
    <w:rsid w:val="00875017"/>
    <w:rsid w:val="008754C8"/>
    <w:rsid w:val="008767EC"/>
    <w:rsid w:val="00877029"/>
    <w:rsid w:val="008772C2"/>
    <w:rsid w:val="008839EB"/>
    <w:rsid w:val="008852C0"/>
    <w:rsid w:val="0088653C"/>
    <w:rsid w:val="00886910"/>
    <w:rsid w:val="00891756"/>
    <w:rsid w:val="00893AA0"/>
    <w:rsid w:val="00895F3F"/>
    <w:rsid w:val="00896D99"/>
    <w:rsid w:val="008A0D36"/>
    <w:rsid w:val="008A0DA9"/>
    <w:rsid w:val="008A2436"/>
    <w:rsid w:val="008A517C"/>
    <w:rsid w:val="008A54CB"/>
    <w:rsid w:val="008B01B0"/>
    <w:rsid w:val="008B1C44"/>
    <w:rsid w:val="008B3699"/>
    <w:rsid w:val="008B60E3"/>
    <w:rsid w:val="008C067B"/>
    <w:rsid w:val="008C0B27"/>
    <w:rsid w:val="008C20E7"/>
    <w:rsid w:val="008C399D"/>
    <w:rsid w:val="008C467B"/>
    <w:rsid w:val="008C5C7A"/>
    <w:rsid w:val="008C5D97"/>
    <w:rsid w:val="008C73D3"/>
    <w:rsid w:val="008D7FFD"/>
    <w:rsid w:val="008E17FA"/>
    <w:rsid w:val="008E1838"/>
    <w:rsid w:val="008E555D"/>
    <w:rsid w:val="008E5599"/>
    <w:rsid w:val="008E6AE9"/>
    <w:rsid w:val="008E71BB"/>
    <w:rsid w:val="008F3CEF"/>
    <w:rsid w:val="008F4B24"/>
    <w:rsid w:val="008F5942"/>
    <w:rsid w:val="008F621E"/>
    <w:rsid w:val="0090001B"/>
    <w:rsid w:val="009009D0"/>
    <w:rsid w:val="009014DA"/>
    <w:rsid w:val="0090397D"/>
    <w:rsid w:val="00903EBB"/>
    <w:rsid w:val="00905EDB"/>
    <w:rsid w:val="00912849"/>
    <w:rsid w:val="009140B9"/>
    <w:rsid w:val="00916113"/>
    <w:rsid w:val="0092044F"/>
    <w:rsid w:val="00921C24"/>
    <w:rsid w:val="009230ED"/>
    <w:rsid w:val="00923A88"/>
    <w:rsid w:val="0092794F"/>
    <w:rsid w:val="009309F3"/>
    <w:rsid w:val="00930F27"/>
    <w:rsid w:val="0093593D"/>
    <w:rsid w:val="009377A1"/>
    <w:rsid w:val="0094204E"/>
    <w:rsid w:val="00942314"/>
    <w:rsid w:val="00945313"/>
    <w:rsid w:val="00946732"/>
    <w:rsid w:val="00954DAB"/>
    <w:rsid w:val="009570AB"/>
    <w:rsid w:val="00960142"/>
    <w:rsid w:val="00961463"/>
    <w:rsid w:val="0096512F"/>
    <w:rsid w:val="009674E9"/>
    <w:rsid w:val="00970F6A"/>
    <w:rsid w:val="0097278E"/>
    <w:rsid w:val="00975183"/>
    <w:rsid w:val="009761F5"/>
    <w:rsid w:val="00976DC0"/>
    <w:rsid w:val="00976F75"/>
    <w:rsid w:val="00980E65"/>
    <w:rsid w:val="00981F8F"/>
    <w:rsid w:val="00982803"/>
    <w:rsid w:val="00983F82"/>
    <w:rsid w:val="009908B5"/>
    <w:rsid w:val="00993AB1"/>
    <w:rsid w:val="00995358"/>
    <w:rsid w:val="009978FD"/>
    <w:rsid w:val="009A0D9A"/>
    <w:rsid w:val="009A4FED"/>
    <w:rsid w:val="009A51EF"/>
    <w:rsid w:val="009B14A5"/>
    <w:rsid w:val="009B14D5"/>
    <w:rsid w:val="009B6D6C"/>
    <w:rsid w:val="009C1361"/>
    <w:rsid w:val="009C1F16"/>
    <w:rsid w:val="009C25D5"/>
    <w:rsid w:val="009D2850"/>
    <w:rsid w:val="009D38FD"/>
    <w:rsid w:val="009D4E4F"/>
    <w:rsid w:val="009D5526"/>
    <w:rsid w:val="009D6A69"/>
    <w:rsid w:val="009D7002"/>
    <w:rsid w:val="009E2251"/>
    <w:rsid w:val="009E525D"/>
    <w:rsid w:val="009E6EAC"/>
    <w:rsid w:val="009E6F25"/>
    <w:rsid w:val="009E7FFB"/>
    <w:rsid w:val="009F1C1F"/>
    <w:rsid w:val="00A04350"/>
    <w:rsid w:val="00A05E2B"/>
    <w:rsid w:val="00A06337"/>
    <w:rsid w:val="00A13454"/>
    <w:rsid w:val="00A137A0"/>
    <w:rsid w:val="00A13CFB"/>
    <w:rsid w:val="00A14109"/>
    <w:rsid w:val="00A15C90"/>
    <w:rsid w:val="00A275C7"/>
    <w:rsid w:val="00A35E19"/>
    <w:rsid w:val="00A364E7"/>
    <w:rsid w:val="00A37B37"/>
    <w:rsid w:val="00A37F71"/>
    <w:rsid w:val="00A407E0"/>
    <w:rsid w:val="00A45B0D"/>
    <w:rsid w:val="00A4772A"/>
    <w:rsid w:val="00A515C6"/>
    <w:rsid w:val="00A519D8"/>
    <w:rsid w:val="00A55A83"/>
    <w:rsid w:val="00A56DDA"/>
    <w:rsid w:val="00A60A72"/>
    <w:rsid w:val="00A67ADB"/>
    <w:rsid w:val="00A70840"/>
    <w:rsid w:val="00A70C63"/>
    <w:rsid w:val="00A71016"/>
    <w:rsid w:val="00A74B42"/>
    <w:rsid w:val="00A774A4"/>
    <w:rsid w:val="00A843F0"/>
    <w:rsid w:val="00A87D33"/>
    <w:rsid w:val="00A90BCF"/>
    <w:rsid w:val="00A924A0"/>
    <w:rsid w:val="00A92B3F"/>
    <w:rsid w:val="00A93202"/>
    <w:rsid w:val="00A9338C"/>
    <w:rsid w:val="00A94482"/>
    <w:rsid w:val="00AA007E"/>
    <w:rsid w:val="00AA1E77"/>
    <w:rsid w:val="00AA3B83"/>
    <w:rsid w:val="00AA5C0B"/>
    <w:rsid w:val="00AB11C9"/>
    <w:rsid w:val="00AB1C6F"/>
    <w:rsid w:val="00AB2D20"/>
    <w:rsid w:val="00AB4172"/>
    <w:rsid w:val="00AB5116"/>
    <w:rsid w:val="00AB56C3"/>
    <w:rsid w:val="00AB6D0E"/>
    <w:rsid w:val="00AC1759"/>
    <w:rsid w:val="00AC2BB6"/>
    <w:rsid w:val="00AD1326"/>
    <w:rsid w:val="00AD46C6"/>
    <w:rsid w:val="00AD6069"/>
    <w:rsid w:val="00AD655F"/>
    <w:rsid w:val="00AE1B0D"/>
    <w:rsid w:val="00AE1DFC"/>
    <w:rsid w:val="00AE2824"/>
    <w:rsid w:val="00AE33E7"/>
    <w:rsid w:val="00AE3734"/>
    <w:rsid w:val="00AE5AE8"/>
    <w:rsid w:val="00AF0DED"/>
    <w:rsid w:val="00AF0F71"/>
    <w:rsid w:val="00AF1915"/>
    <w:rsid w:val="00AF2A41"/>
    <w:rsid w:val="00AF5007"/>
    <w:rsid w:val="00AF526E"/>
    <w:rsid w:val="00B027CF"/>
    <w:rsid w:val="00B039C3"/>
    <w:rsid w:val="00B04DDE"/>
    <w:rsid w:val="00B11103"/>
    <w:rsid w:val="00B115B9"/>
    <w:rsid w:val="00B11CA4"/>
    <w:rsid w:val="00B12880"/>
    <w:rsid w:val="00B14AF6"/>
    <w:rsid w:val="00B27D1D"/>
    <w:rsid w:val="00B31BB2"/>
    <w:rsid w:val="00B320B5"/>
    <w:rsid w:val="00B33666"/>
    <w:rsid w:val="00B34049"/>
    <w:rsid w:val="00B35AAB"/>
    <w:rsid w:val="00B36B90"/>
    <w:rsid w:val="00B418CD"/>
    <w:rsid w:val="00B435F7"/>
    <w:rsid w:val="00B439C4"/>
    <w:rsid w:val="00B4634A"/>
    <w:rsid w:val="00B470EA"/>
    <w:rsid w:val="00B516AA"/>
    <w:rsid w:val="00B54BE9"/>
    <w:rsid w:val="00B54C19"/>
    <w:rsid w:val="00B57E40"/>
    <w:rsid w:val="00B60912"/>
    <w:rsid w:val="00B62347"/>
    <w:rsid w:val="00B637A9"/>
    <w:rsid w:val="00B64CBB"/>
    <w:rsid w:val="00B66461"/>
    <w:rsid w:val="00B66870"/>
    <w:rsid w:val="00B72361"/>
    <w:rsid w:val="00B73A50"/>
    <w:rsid w:val="00B74409"/>
    <w:rsid w:val="00B7678A"/>
    <w:rsid w:val="00B76EE2"/>
    <w:rsid w:val="00B77B7F"/>
    <w:rsid w:val="00B8135B"/>
    <w:rsid w:val="00B82A26"/>
    <w:rsid w:val="00B84596"/>
    <w:rsid w:val="00B85F04"/>
    <w:rsid w:val="00B86F5B"/>
    <w:rsid w:val="00B91A08"/>
    <w:rsid w:val="00B922E8"/>
    <w:rsid w:val="00B943A4"/>
    <w:rsid w:val="00B95136"/>
    <w:rsid w:val="00B974D9"/>
    <w:rsid w:val="00BA0292"/>
    <w:rsid w:val="00BA1882"/>
    <w:rsid w:val="00BA4F82"/>
    <w:rsid w:val="00BA7D3D"/>
    <w:rsid w:val="00BB1409"/>
    <w:rsid w:val="00BB3DD7"/>
    <w:rsid w:val="00BB489F"/>
    <w:rsid w:val="00BB4A49"/>
    <w:rsid w:val="00BB5C4F"/>
    <w:rsid w:val="00BD000B"/>
    <w:rsid w:val="00BD1738"/>
    <w:rsid w:val="00BD3101"/>
    <w:rsid w:val="00BD462C"/>
    <w:rsid w:val="00BD7A71"/>
    <w:rsid w:val="00BE3316"/>
    <w:rsid w:val="00BF2204"/>
    <w:rsid w:val="00BF52BD"/>
    <w:rsid w:val="00BF76F9"/>
    <w:rsid w:val="00BF7871"/>
    <w:rsid w:val="00C00A48"/>
    <w:rsid w:val="00C01BDF"/>
    <w:rsid w:val="00C04186"/>
    <w:rsid w:val="00C04414"/>
    <w:rsid w:val="00C04915"/>
    <w:rsid w:val="00C0774E"/>
    <w:rsid w:val="00C1403B"/>
    <w:rsid w:val="00C222A2"/>
    <w:rsid w:val="00C24CBF"/>
    <w:rsid w:val="00C33284"/>
    <w:rsid w:val="00C368E2"/>
    <w:rsid w:val="00C3756E"/>
    <w:rsid w:val="00C422CE"/>
    <w:rsid w:val="00C428E5"/>
    <w:rsid w:val="00C433EB"/>
    <w:rsid w:val="00C43F9D"/>
    <w:rsid w:val="00C43FB4"/>
    <w:rsid w:val="00C4602E"/>
    <w:rsid w:val="00C51C9C"/>
    <w:rsid w:val="00C51F97"/>
    <w:rsid w:val="00C5426A"/>
    <w:rsid w:val="00C54A49"/>
    <w:rsid w:val="00C55289"/>
    <w:rsid w:val="00C55C73"/>
    <w:rsid w:val="00C57D0C"/>
    <w:rsid w:val="00C61AFB"/>
    <w:rsid w:val="00C6659A"/>
    <w:rsid w:val="00C7276E"/>
    <w:rsid w:val="00C813A9"/>
    <w:rsid w:val="00C82043"/>
    <w:rsid w:val="00C849FF"/>
    <w:rsid w:val="00C84FA1"/>
    <w:rsid w:val="00C868D4"/>
    <w:rsid w:val="00C918DD"/>
    <w:rsid w:val="00C929FF"/>
    <w:rsid w:val="00C93BCB"/>
    <w:rsid w:val="00C9489A"/>
    <w:rsid w:val="00CA1330"/>
    <w:rsid w:val="00CA19ED"/>
    <w:rsid w:val="00CA5EFC"/>
    <w:rsid w:val="00CA73D1"/>
    <w:rsid w:val="00CA7D70"/>
    <w:rsid w:val="00CB13B1"/>
    <w:rsid w:val="00CC2D02"/>
    <w:rsid w:val="00CC5279"/>
    <w:rsid w:val="00CC5734"/>
    <w:rsid w:val="00CC7B69"/>
    <w:rsid w:val="00CC7E38"/>
    <w:rsid w:val="00CD17DF"/>
    <w:rsid w:val="00CD64B0"/>
    <w:rsid w:val="00CE3E11"/>
    <w:rsid w:val="00CF189F"/>
    <w:rsid w:val="00CF2DDA"/>
    <w:rsid w:val="00CF4FF2"/>
    <w:rsid w:val="00CF5D65"/>
    <w:rsid w:val="00CF6D83"/>
    <w:rsid w:val="00D05D07"/>
    <w:rsid w:val="00D07745"/>
    <w:rsid w:val="00D11BDE"/>
    <w:rsid w:val="00D12FD8"/>
    <w:rsid w:val="00D151CC"/>
    <w:rsid w:val="00D16CC8"/>
    <w:rsid w:val="00D2291A"/>
    <w:rsid w:val="00D230DC"/>
    <w:rsid w:val="00D23253"/>
    <w:rsid w:val="00D240CB"/>
    <w:rsid w:val="00D25F91"/>
    <w:rsid w:val="00D279A9"/>
    <w:rsid w:val="00D315A7"/>
    <w:rsid w:val="00D317FC"/>
    <w:rsid w:val="00D31C58"/>
    <w:rsid w:val="00D321D5"/>
    <w:rsid w:val="00D333ED"/>
    <w:rsid w:val="00D377BB"/>
    <w:rsid w:val="00D40171"/>
    <w:rsid w:val="00D40210"/>
    <w:rsid w:val="00D404C9"/>
    <w:rsid w:val="00D4219F"/>
    <w:rsid w:val="00D45455"/>
    <w:rsid w:val="00D471CD"/>
    <w:rsid w:val="00D50217"/>
    <w:rsid w:val="00D50B9C"/>
    <w:rsid w:val="00D54967"/>
    <w:rsid w:val="00D5572F"/>
    <w:rsid w:val="00D567C5"/>
    <w:rsid w:val="00D606FA"/>
    <w:rsid w:val="00D6588B"/>
    <w:rsid w:val="00D65D76"/>
    <w:rsid w:val="00D71DF8"/>
    <w:rsid w:val="00D74A77"/>
    <w:rsid w:val="00D80313"/>
    <w:rsid w:val="00D81258"/>
    <w:rsid w:val="00D812FD"/>
    <w:rsid w:val="00D81CB2"/>
    <w:rsid w:val="00D8210C"/>
    <w:rsid w:val="00D86C22"/>
    <w:rsid w:val="00D956B0"/>
    <w:rsid w:val="00D971C9"/>
    <w:rsid w:val="00D97CD8"/>
    <w:rsid w:val="00DA15FB"/>
    <w:rsid w:val="00DA2578"/>
    <w:rsid w:val="00DA3AF0"/>
    <w:rsid w:val="00DA53BC"/>
    <w:rsid w:val="00DB1B85"/>
    <w:rsid w:val="00DB35AE"/>
    <w:rsid w:val="00DB6FBF"/>
    <w:rsid w:val="00DC0E91"/>
    <w:rsid w:val="00DC20AE"/>
    <w:rsid w:val="00DC258B"/>
    <w:rsid w:val="00DC7D53"/>
    <w:rsid w:val="00DD204D"/>
    <w:rsid w:val="00DD2582"/>
    <w:rsid w:val="00DD6D93"/>
    <w:rsid w:val="00DE04AE"/>
    <w:rsid w:val="00DE1231"/>
    <w:rsid w:val="00DE36EB"/>
    <w:rsid w:val="00DE38B0"/>
    <w:rsid w:val="00DE6296"/>
    <w:rsid w:val="00DE778D"/>
    <w:rsid w:val="00DF0E04"/>
    <w:rsid w:val="00DF2595"/>
    <w:rsid w:val="00DF4204"/>
    <w:rsid w:val="00DF4234"/>
    <w:rsid w:val="00DF59AA"/>
    <w:rsid w:val="00DF740F"/>
    <w:rsid w:val="00E04C30"/>
    <w:rsid w:val="00E06C44"/>
    <w:rsid w:val="00E12D17"/>
    <w:rsid w:val="00E13766"/>
    <w:rsid w:val="00E21698"/>
    <w:rsid w:val="00E22209"/>
    <w:rsid w:val="00E320B6"/>
    <w:rsid w:val="00E33220"/>
    <w:rsid w:val="00E36F22"/>
    <w:rsid w:val="00E37492"/>
    <w:rsid w:val="00E37F99"/>
    <w:rsid w:val="00E40468"/>
    <w:rsid w:val="00E41865"/>
    <w:rsid w:val="00E41AA1"/>
    <w:rsid w:val="00E43A7D"/>
    <w:rsid w:val="00E469F1"/>
    <w:rsid w:val="00E46EF1"/>
    <w:rsid w:val="00E50E24"/>
    <w:rsid w:val="00E5190A"/>
    <w:rsid w:val="00E53DD2"/>
    <w:rsid w:val="00E572CF"/>
    <w:rsid w:val="00E60D9F"/>
    <w:rsid w:val="00E61D8E"/>
    <w:rsid w:val="00E66BB2"/>
    <w:rsid w:val="00E66C76"/>
    <w:rsid w:val="00E679FB"/>
    <w:rsid w:val="00E73556"/>
    <w:rsid w:val="00E764AD"/>
    <w:rsid w:val="00E82420"/>
    <w:rsid w:val="00E83130"/>
    <w:rsid w:val="00E84235"/>
    <w:rsid w:val="00E87E76"/>
    <w:rsid w:val="00E92328"/>
    <w:rsid w:val="00E92EB0"/>
    <w:rsid w:val="00EA41C6"/>
    <w:rsid w:val="00EA4D85"/>
    <w:rsid w:val="00EA5963"/>
    <w:rsid w:val="00EA5B70"/>
    <w:rsid w:val="00EB1FAC"/>
    <w:rsid w:val="00EB432B"/>
    <w:rsid w:val="00EB46B5"/>
    <w:rsid w:val="00EB4E26"/>
    <w:rsid w:val="00EB5799"/>
    <w:rsid w:val="00EB60D4"/>
    <w:rsid w:val="00EB7D03"/>
    <w:rsid w:val="00EC06C3"/>
    <w:rsid w:val="00EC11AD"/>
    <w:rsid w:val="00EC189C"/>
    <w:rsid w:val="00EC3F1D"/>
    <w:rsid w:val="00EC4BDC"/>
    <w:rsid w:val="00EC6641"/>
    <w:rsid w:val="00ED1045"/>
    <w:rsid w:val="00ED218D"/>
    <w:rsid w:val="00ED59BC"/>
    <w:rsid w:val="00EE02AE"/>
    <w:rsid w:val="00EE08D1"/>
    <w:rsid w:val="00EE2E46"/>
    <w:rsid w:val="00EE36FC"/>
    <w:rsid w:val="00EE6C49"/>
    <w:rsid w:val="00EE7D62"/>
    <w:rsid w:val="00EF2F74"/>
    <w:rsid w:val="00EF36FB"/>
    <w:rsid w:val="00EF37E4"/>
    <w:rsid w:val="00EF6E5A"/>
    <w:rsid w:val="00EF75EB"/>
    <w:rsid w:val="00F00487"/>
    <w:rsid w:val="00F025D7"/>
    <w:rsid w:val="00F0302F"/>
    <w:rsid w:val="00F039AD"/>
    <w:rsid w:val="00F0549A"/>
    <w:rsid w:val="00F06BF7"/>
    <w:rsid w:val="00F12EA4"/>
    <w:rsid w:val="00F13045"/>
    <w:rsid w:val="00F13F07"/>
    <w:rsid w:val="00F14E28"/>
    <w:rsid w:val="00F17D2D"/>
    <w:rsid w:val="00F20150"/>
    <w:rsid w:val="00F236C4"/>
    <w:rsid w:val="00F2464F"/>
    <w:rsid w:val="00F25E01"/>
    <w:rsid w:val="00F263E2"/>
    <w:rsid w:val="00F27DEE"/>
    <w:rsid w:val="00F330DD"/>
    <w:rsid w:val="00F35774"/>
    <w:rsid w:val="00F4128F"/>
    <w:rsid w:val="00F41DD2"/>
    <w:rsid w:val="00F42AB5"/>
    <w:rsid w:val="00F4466D"/>
    <w:rsid w:val="00F4560C"/>
    <w:rsid w:val="00F456DA"/>
    <w:rsid w:val="00F45F9E"/>
    <w:rsid w:val="00F460E5"/>
    <w:rsid w:val="00F4709D"/>
    <w:rsid w:val="00F50D22"/>
    <w:rsid w:val="00F525CD"/>
    <w:rsid w:val="00F52FA6"/>
    <w:rsid w:val="00F532C0"/>
    <w:rsid w:val="00F6162C"/>
    <w:rsid w:val="00F64E3D"/>
    <w:rsid w:val="00F65B3B"/>
    <w:rsid w:val="00F65FC0"/>
    <w:rsid w:val="00F75E8C"/>
    <w:rsid w:val="00F768E2"/>
    <w:rsid w:val="00F77878"/>
    <w:rsid w:val="00F80243"/>
    <w:rsid w:val="00F802CE"/>
    <w:rsid w:val="00F8379E"/>
    <w:rsid w:val="00F950B0"/>
    <w:rsid w:val="00F97885"/>
    <w:rsid w:val="00FA0938"/>
    <w:rsid w:val="00FA2945"/>
    <w:rsid w:val="00FB1A5B"/>
    <w:rsid w:val="00FB4A0B"/>
    <w:rsid w:val="00FB4DFE"/>
    <w:rsid w:val="00FB68BE"/>
    <w:rsid w:val="00FC013D"/>
    <w:rsid w:val="00FC1F70"/>
    <w:rsid w:val="00FC3267"/>
    <w:rsid w:val="00FC68FE"/>
    <w:rsid w:val="00FD0B5D"/>
    <w:rsid w:val="00FD4593"/>
    <w:rsid w:val="00FD5C32"/>
    <w:rsid w:val="00FD5C9B"/>
    <w:rsid w:val="00FD6565"/>
    <w:rsid w:val="00FD78F4"/>
    <w:rsid w:val="00FE4689"/>
    <w:rsid w:val="00FE4978"/>
    <w:rsid w:val="00FE5BC8"/>
    <w:rsid w:val="00FE5FED"/>
    <w:rsid w:val="00FE67E6"/>
    <w:rsid w:val="00FE68CF"/>
    <w:rsid w:val="00FF1077"/>
    <w:rsid w:val="00FF1F59"/>
    <w:rsid w:val="00FF5A92"/>
    <w:rsid w:val="00FF6DA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3D5"/>
    <w:pPr>
      <w:spacing w:after="200" w:line="276" w:lineRule="auto"/>
    </w:pPr>
    <w:rPr>
      <w:sz w:val="24"/>
      <w:szCs w:val="22"/>
      <w:lang w:val="en-US" w:eastAsia="en-US"/>
    </w:rPr>
  </w:style>
  <w:style w:type="paragraph" w:styleId="Heading1">
    <w:name w:val="heading 1"/>
    <w:aliases w:val="H1"/>
    <w:basedOn w:val="Normal"/>
    <w:next w:val="Heading2"/>
    <w:link w:val="Heading1Char"/>
    <w:uiPriority w:val="99"/>
    <w:qFormat/>
    <w:rsid w:val="008B60E3"/>
    <w:pPr>
      <w:keepNext/>
      <w:numPr>
        <w:numId w:val="9"/>
      </w:numPr>
      <w:autoSpaceDE w:val="0"/>
      <w:autoSpaceDN w:val="0"/>
      <w:adjustRightInd w:val="0"/>
      <w:spacing w:after="0" w:line="240" w:lineRule="auto"/>
      <w:outlineLvl w:val="0"/>
    </w:pPr>
    <w:rPr>
      <w:rFonts w:eastAsia="Times New Roman"/>
      <w:i/>
      <w:sz w:val="18"/>
      <w:szCs w:val="24"/>
    </w:rPr>
  </w:style>
  <w:style w:type="paragraph" w:styleId="Heading2">
    <w:name w:val="heading 2"/>
    <w:aliases w:val="H2"/>
    <w:basedOn w:val="Normal"/>
    <w:next w:val="Normal"/>
    <w:link w:val="Heading2Char"/>
    <w:uiPriority w:val="99"/>
    <w:qFormat/>
    <w:rsid w:val="008B60E3"/>
    <w:pPr>
      <w:keepNext/>
      <w:keepLines/>
      <w:numPr>
        <w:ilvl w:val="1"/>
        <w:numId w:val="9"/>
      </w:numPr>
      <w:autoSpaceDE w:val="0"/>
      <w:autoSpaceDN w:val="0"/>
      <w:adjustRightInd w:val="0"/>
      <w:spacing w:before="240" w:after="0" w:line="240" w:lineRule="auto"/>
      <w:outlineLvl w:val="1"/>
    </w:pPr>
    <w:rPr>
      <w:rFonts w:eastAsia="Times New Roman"/>
      <w:b/>
      <w:szCs w:val="24"/>
    </w:rPr>
  </w:style>
  <w:style w:type="paragraph" w:styleId="Heading3">
    <w:name w:val="heading 3"/>
    <w:aliases w:val="H3"/>
    <w:basedOn w:val="Normal"/>
    <w:link w:val="Heading3Char"/>
    <w:uiPriority w:val="99"/>
    <w:qFormat/>
    <w:rsid w:val="008B60E3"/>
    <w:pPr>
      <w:numPr>
        <w:ilvl w:val="2"/>
        <w:numId w:val="9"/>
      </w:numPr>
      <w:autoSpaceDE w:val="0"/>
      <w:autoSpaceDN w:val="0"/>
      <w:adjustRightInd w:val="0"/>
      <w:spacing w:before="240" w:after="0" w:line="240" w:lineRule="auto"/>
      <w:jc w:val="both"/>
      <w:outlineLvl w:val="2"/>
    </w:pPr>
    <w:rPr>
      <w:rFonts w:eastAsia="Times New Roman"/>
      <w:szCs w:val="20"/>
    </w:rPr>
  </w:style>
  <w:style w:type="paragraph" w:styleId="Heading4">
    <w:name w:val="heading 4"/>
    <w:aliases w:val="H4"/>
    <w:basedOn w:val="Normal"/>
    <w:link w:val="Heading4Char"/>
    <w:uiPriority w:val="99"/>
    <w:qFormat/>
    <w:rsid w:val="008B60E3"/>
    <w:pPr>
      <w:numPr>
        <w:ilvl w:val="3"/>
        <w:numId w:val="9"/>
      </w:numPr>
      <w:autoSpaceDE w:val="0"/>
      <w:autoSpaceDN w:val="0"/>
      <w:adjustRightInd w:val="0"/>
      <w:spacing w:before="240" w:after="0" w:line="240" w:lineRule="auto"/>
      <w:jc w:val="both"/>
      <w:outlineLvl w:val="3"/>
    </w:pPr>
    <w:rPr>
      <w:rFonts w:eastAsia="Times New Roman"/>
      <w:szCs w:val="20"/>
    </w:rPr>
  </w:style>
  <w:style w:type="paragraph" w:styleId="Heading5">
    <w:name w:val="heading 5"/>
    <w:aliases w:val="H5"/>
    <w:basedOn w:val="Normal"/>
    <w:link w:val="Heading5Char"/>
    <w:uiPriority w:val="99"/>
    <w:qFormat/>
    <w:rsid w:val="008B60E3"/>
    <w:pPr>
      <w:numPr>
        <w:ilvl w:val="4"/>
        <w:numId w:val="9"/>
      </w:numPr>
      <w:autoSpaceDE w:val="0"/>
      <w:autoSpaceDN w:val="0"/>
      <w:adjustRightInd w:val="0"/>
      <w:spacing w:before="240" w:after="0" w:line="240" w:lineRule="auto"/>
      <w:jc w:val="both"/>
      <w:outlineLvl w:val="4"/>
    </w:pPr>
    <w:rPr>
      <w:rFonts w:eastAsia="Times New Roman"/>
      <w:szCs w:val="20"/>
    </w:rPr>
  </w:style>
  <w:style w:type="paragraph" w:styleId="Heading6">
    <w:name w:val="heading 6"/>
    <w:aliases w:val="H6"/>
    <w:basedOn w:val="Normal"/>
    <w:link w:val="Heading6Char"/>
    <w:uiPriority w:val="99"/>
    <w:qFormat/>
    <w:rsid w:val="008B60E3"/>
    <w:pPr>
      <w:numPr>
        <w:ilvl w:val="5"/>
        <w:numId w:val="9"/>
      </w:numPr>
      <w:autoSpaceDE w:val="0"/>
      <w:autoSpaceDN w:val="0"/>
      <w:adjustRightInd w:val="0"/>
      <w:spacing w:before="240" w:after="0" w:line="240" w:lineRule="auto"/>
      <w:jc w:val="both"/>
      <w:outlineLvl w:val="5"/>
    </w:pPr>
    <w:rPr>
      <w:rFonts w:eastAsia="Times New Roman"/>
      <w:szCs w:val="20"/>
    </w:rPr>
  </w:style>
  <w:style w:type="paragraph" w:styleId="Heading7">
    <w:name w:val="heading 7"/>
    <w:aliases w:val="H7"/>
    <w:basedOn w:val="Normal"/>
    <w:link w:val="Heading7Char"/>
    <w:uiPriority w:val="99"/>
    <w:qFormat/>
    <w:rsid w:val="008B60E3"/>
    <w:pPr>
      <w:numPr>
        <w:ilvl w:val="6"/>
        <w:numId w:val="9"/>
      </w:numPr>
      <w:autoSpaceDE w:val="0"/>
      <w:autoSpaceDN w:val="0"/>
      <w:adjustRightInd w:val="0"/>
      <w:spacing w:before="240" w:after="0" w:line="240" w:lineRule="auto"/>
      <w:jc w:val="both"/>
      <w:outlineLvl w:val="6"/>
    </w:pPr>
    <w:rPr>
      <w:rFonts w:eastAsia="Times New Roman"/>
      <w:szCs w:val="20"/>
    </w:rPr>
  </w:style>
  <w:style w:type="paragraph" w:styleId="Heading8">
    <w:name w:val="heading 8"/>
    <w:aliases w:val="H8"/>
    <w:basedOn w:val="Normal"/>
    <w:link w:val="Heading8Char"/>
    <w:uiPriority w:val="99"/>
    <w:qFormat/>
    <w:rsid w:val="008B60E3"/>
    <w:pPr>
      <w:numPr>
        <w:ilvl w:val="7"/>
        <w:numId w:val="9"/>
      </w:numPr>
      <w:autoSpaceDE w:val="0"/>
      <w:autoSpaceDN w:val="0"/>
      <w:adjustRightInd w:val="0"/>
      <w:spacing w:before="240" w:after="0" w:line="240" w:lineRule="auto"/>
      <w:jc w:val="both"/>
      <w:outlineLvl w:val="7"/>
    </w:pPr>
    <w:rPr>
      <w:rFonts w:eastAsia="Times New Roman"/>
      <w:szCs w:val="20"/>
    </w:rPr>
  </w:style>
  <w:style w:type="paragraph" w:styleId="Heading9">
    <w:name w:val="heading 9"/>
    <w:aliases w:val="H9"/>
    <w:basedOn w:val="Normal"/>
    <w:link w:val="Heading9Char"/>
    <w:uiPriority w:val="99"/>
    <w:qFormat/>
    <w:rsid w:val="008B60E3"/>
    <w:pPr>
      <w:numPr>
        <w:ilvl w:val="8"/>
        <w:numId w:val="9"/>
      </w:numPr>
      <w:autoSpaceDE w:val="0"/>
      <w:autoSpaceDN w:val="0"/>
      <w:adjustRightInd w:val="0"/>
      <w:spacing w:before="240" w:after="0" w:line="240" w:lineRule="auto"/>
      <w:jc w:val="both"/>
      <w:outlineLvl w:val="8"/>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915"/>
  </w:style>
  <w:style w:type="paragraph" w:styleId="Footer">
    <w:name w:val="footer"/>
    <w:basedOn w:val="Normal"/>
    <w:link w:val="FooterChar"/>
    <w:uiPriority w:val="99"/>
    <w:unhideWhenUsed/>
    <w:rsid w:val="00AF1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915"/>
  </w:style>
  <w:style w:type="character" w:customStyle="1" w:styleId="DocID">
    <w:name w:val="DocID"/>
    <w:rsid w:val="0059003B"/>
    <w:rPr>
      <w:rFonts w:ascii="Times New Roman" w:eastAsia="Times New Roman" w:hAnsi="Times New Roman" w:cs="Times New Roman"/>
      <w:b w:val="0"/>
      <w:i w:val="0"/>
      <w:color w:val="000000"/>
      <w:sz w:val="18"/>
      <w:szCs w:val="20"/>
      <w:u w:val="none"/>
    </w:rPr>
  </w:style>
  <w:style w:type="paragraph" w:styleId="FootnoteText">
    <w:name w:val="footnote text"/>
    <w:basedOn w:val="Normal"/>
    <w:link w:val="FootnoteTextChar"/>
    <w:uiPriority w:val="99"/>
    <w:unhideWhenUsed/>
    <w:rsid w:val="00A275C7"/>
    <w:rPr>
      <w:sz w:val="20"/>
      <w:szCs w:val="20"/>
    </w:rPr>
  </w:style>
  <w:style w:type="character" w:customStyle="1" w:styleId="FootnoteTextChar">
    <w:name w:val="Footnote Text Char"/>
    <w:basedOn w:val="DefaultParagraphFont"/>
    <w:link w:val="FootnoteText"/>
    <w:uiPriority w:val="99"/>
    <w:rsid w:val="00A275C7"/>
  </w:style>
  <w:style w:type="character" w:styleId="FootnoteReference">
    <w:name w:val="footnote reference"/>
    <w:semiHidden/>
    <w:rsid w:val="00A275C7"/>
    <w:rPr>
      <w:vertAlign w:val="superscript"/>
    </w:rPr>
  </w:style>
  <w:style w:type="character" w:styleId="Hyperlink">
    <w:name w:val="Hyperlink"/>
    <w:uiPriority w:val="99"/>
    <w:semiHidden/>
    <w:unhideWhenUsed/>
    <w:rsid w:val="00976DC0"/>
    <w:rPr>
      <w:color w:val="0000FF"/>
      <w:u w:val="single"/>
    </w:rPr>
  </w:style>
  <w:style w:type="character" w:customStyle="1" w:styleId="Heading1Char">
    <w:name w:val="Heading 1 Char"/>
    <w:aliases w:val="H1 Char"/>
    <w:link w:val="Heading1"/>
    <w:uiPriority w:val="99"/>
    <w:rsid w:val="008B60E3"/>
    <w:rPr>
      <w:rFonts w:eastAsia="Times New Roman"/>
      <w:i/>
      <w:sz w:val="18"/>
      <w:szCs w:val="24"/>
    </w:rPr>
  </w:style>
  <w:style w:type="character" w:customStyle="1" w:styleId="Heading2Char">
    <w:name w:val="Heading 2 Char"/>
    <w:aliases w:val="H2 Char"/>
    <w:link w:val="Heading2"/>
    <w:uiPriority w:val="99"/>
    <w:rsid w:val="008B60E3"/>
    <w:rPr>
      <w:rFonts w:eastAsia="Times New Roman"/>
      <w:b/>
      <w:sz w:val="24"/>
      <w:szCs w:val="24"/>
    </w:rPr>
  </w:style>
  <w:style w:type="character" w:customStyle="1" w:styleId="Heading3Char">
    <w:name w:val="Heading 3 Char"/>
    <w:aliases w:val="H3 Char"/>
    <w:link w:val="Heading3"/>
    <w:uiPriority w:val="99"/>
    <w:rsid w:val="008B60E3"/>
    <w:rPr>
      <w:rFonts w:eastAsia="Times New Roman"/>
      <w:sz w:val="24"/>
    </w:rPr>
  </w:style>
  <w:style w:type="character" w:customStyle="1" w:styleId="Heading4Char">
    <w:name w:val="Heading 4 Char"/>
    <w:aliases w:val="H4 Char"/>
    <w:link w:val="Heading4"/>
    <w:uiPriority w:val="99"/>
    <w:rsid w:val="008B60E3"/>
    <w:rPr>
      <w:rFonts w:eastAsia="Times New Roman"/>
      <w:sz w:val="24"/>
    </w:rPr>
  </w:style>
  <w:style w:type="character" w:customStyle="1" w:styleId="Heading5Char">
    <w:name w:val="Heading 5 Char"/>
    <w:aliases w:val="H5 Char"/>
    <w:link w:val="Heading5"/>
    <w:uiPriority w:val="99"/>
    <w:rsid w:val="008B60E3"/>
    <w:rPr>
      <w:rFonts w:eastAsia="Times New Roman"/>
      <w:sz w:val="24"/>
    </w:rPr>
  </w:style>
  <w:style w:type="character" w:customStyle="1" w:styleId="Heading6Char">
    <w:name w:val="Heading 6 Char"/>
    <w:aliases w:val="H6 Char"/>
    <w:link w:val="Heading6"/>
    <w:uiPriority w:val="99"/>
    <w:rsid w:val="008B60E3"/>
    <w:rPr>
      <w:rFonts w:eastAsia="Times New Roman"/>
      <w:sz w:val="24"/>
    </w:rPr>
  </w:style>
  <w:style w:type="character" w:customStyle="1" w:styleId="Heading7Char">
    <w:name w:val="Heading 7 Char"/>
    <w:aliases w:val="H7 Char"/>
    <w:link w:val="Heading7"/>
    <w:uiPriority w:val="99"/>
    <w:rsid w:val="008B60E3"/>
    <w:rPr>
      <w:rFonts w:eastAsia="Times New Roman"/>
      <w:sz w:val="24"/>
    </w:rPr>
  </w:style>
  <w:style w:type="character" w:customStyle="1" w:styleId="Heading8Char">
    <w:name w:val="Heading 8 Char"/>
    <w:aliases w:val="H8 Char"/>
    <w:link w:val="Heading8"/>
    <w:uiPriority w:val="99"/>
    <w:rsid w:val="008B60E3"/>
    <w:rPr>
      <w:rFonts w:eastAsia="Times New Roman"/>
      <w:sz w:val="24"/>
    </w:rPr>
  </w:style>
  <w:style w:type="character" w:customStyle="1" w:styleId="Heading9Char">
    <w:name w:val="Heading 9 Char"/>
    <w:aliases w:val="H9 Char"/>
    <w:link w:val="Heading9"/>
    <w:uiPriority w:val="99"/>
    <w:rsid w:val="008B60E3"/>
    <w:rPr>
      <w:rFonts w:eastAsia="Times New Roman"/>
      <w:sz w:val="24"/>
    </w:rPr>
  </w:style>
  <w:style w:type="character" w:customStyle="1" w:styleId="Docid0">
    <w:name w:val="Docid"/>
    <w:uiPriority w:val="99"/>
    <w:rsid w:val="008B60E3"/>
    <w:rPr>
      <w:rFonts w:ascii="Arial" w:hAnsi="Arial"/>
      <w:noProof/>
      <w:sz w:val="16"/>
    </w:rPr>
  </w:style>
  <w:style w:type="paragraph" w:styleId="BalloonText">
    <w:name w:val="Balloon Text"/>
    <w:basedOn w:val="Normal"/>
    <w:link w:val="BalloonTextChar"/>
    <w:uiPriority w:val="99"/>
    <w:semiHidden/>
    <w:unhideWhenUsed/>
    <w:rsid w:val="0081675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6753"/>
    <w:rPr>
      <w:rFonts w:ascii="Tahoma" w:hAnsi="Tahoma" w:cs="Tahoma"/>
      <w:sz w:val="16"/>
      <w:szCs w:val="16"/>
    </w:rPr>
  </w:style>
  <w:style w:type="paragraph" w:customStyle="1" w:styleId="HangingIndent">
    <w:name w:val="Hanging Indent"/>
    <w:aliases w:val="HG1"/>
    <w:basedOn w:val="Normal"/>
    <w:qFormat/>
    <w:rsid w:val="00816753"/>
    <w:pPr>
      <w:ind w:left="720" w:hanging="720"/>
      <w:jc w:val="both"/>
    </w:pPr>
  </w:style>
  <w:style w:type="paragraph" w:customStyle="1" w:styleId="HangingIndent2">
    <w:name w:val="Hanging Indent 2"/>
    <w:aliases w:val="HG2"/>
    <w:basedOn w:val="Normal"/>
    <w:qFormat/>
    <w:rsid w:val="00816753"/>
    <w:pPr>
      <w:ind w:left="1440" w:hanging="720"/>
      <w:jc w:val="both"/>
    </w:pPr>
  </w:style>
  <w:style w:type="character" w:styleId="FollowedHyperlink">
    <w:name w:val="FollowedHyperlink"/>
    <w:uiPriority w:val="99"/>
    <w:semiHidden/>
    <w:unhideWhenUsed/>
    <w:rsid w:val="00E37F99"/>
    <w:rPr>
      <w:color w:val="800080"/>
      <w:u w:val="single"/>
    </w:rPr>
  </w:style>
  <w:style w:type="paragraph" w:customStyle="1" w:styleId="Definition">
    <w:name w:val="Definition"/>
    <w:aliases w:val="dd"/>
    <w:basedOn w:val="Normal"/>
    <w:rsid w:val="00225C12"/>
    <w:pPr>
      <w:spacing w:before="180" w:after="0" w:line="240" w:lineRule="auto"/>
      <w:ind w:left="1134"/>
    </w:pPr>
    <w:rPr>
      <w:rFonts w:eastAsia="Times New Roman"/>
      <w:sz w:val="22"/>
      <w:szCs w:val="20"/>
      <w:lang w:val="en-AU" w:eastAsia="en-AU"/>
    </w:rPr>
  </w:style>
  <w:style w:type="paragraph" w:customStyle="1" w:styleId="paragraphsub">
    <w:name w:val="paragraph(sub)"/>
    <w:aliases w:val="aa"/>
    <w:basedOn w:val="Normal"/>
    <w:rsid w:val="00F12EA4"/>
    <w:pPr>
      <w:tabs>
        <w:tab w:val="right" w:pos="1985"/>
      </w:tabs>
      <w:spacing w:before="40" w:after="0" w:line="240" w:lineRule="auto"/>
      <w:ind w:left="2098" w:hanging="2098"/>
    </w:pPr>
    <w:rPr>
      <w:rFonts w:eastAsia="Times New Roman"/>
      <w:sz w:val="22"/>
      <w:szCs w:val="20"/>
      <w:lang w:val="en-AU" w:eastAsia="en-AU"/>
    </w:rPr>
  </w:style>
  <w:style w:type="paragraph" w:customStyle="1" w:styleId="paragraph">
    <w:name w:val="paragraph"/>
    <w:aliases w:val="a"/>
    <w:basedOn w:val="Normal"/>
    <w:link w:val="paragraphChar"/>
    <w:rsid w:val="00F12EA4"/>
    <w:pPr>
      <w:tabs>
        <w:tab w:val="right" w:pos="1531"/>
      </w:tabs>
      <w:spacing w:before="40" w:after="0" w:line="240" w:lineRule="auto"/>
      <w:ind w:left="1644" w:hanging="1644"/>
    </w:pPr>
    <w:rPr>
      <w:rFonts w:eastAsia="Times New Roman"/>
      <w:sz w:val="22"/>
      <w:szCs w:val="20"/>
      <w:lang w:val="en-AU" w:eastAsia="en-AU"/>
    </w:rPr>
  </w:style>
  <w:style w:type="character" w:customStyle="1" w:styleId="paragraphChar">
    <w:name w:val="paragraph Char"/>
    <w:aliases w:val="a Char"/>
    <w:link w:val="paragraph"/>
    <w:rsid w:val="00F12EA4"/>
    <w:rPr>
      <w:rFonts w:eastAsia="Times New Roman"/>
      <w:sz w:val="22"/>
      <w:lang w:val="en-AU" w:eastAsia="en-AU"/>
    </w:rPr>
  </w:style>
  <w:style w:type="paragraph" w:styleId="ListParagraph">
    <w:name w:val="List Paragraph"/>
    <w:basedOn w:val="Normal"/>
    <w:uiPriority w:val="34"/>
    <w:qFormat/>
    <w:rsid w:val="008A0DA9"/>
    <w:pPr>
      <w:ind w:left="720"/>
    </w:pPr>
  </w:style>
  <w:style w:type="character" w:styleId="CommentReference">
    <w:name w:val="annotation reference"/>
    <w:uiPriority w:val="99"/>
    <w:semiHidden/>
    <w:unhideWhenUsed/>
    <w:rsid w:val="009F1C1F"/>
    <w:rPr>
      <w:sz w:val="16"/>
      <w:szCs w:val="16"/>
    </w:rPr>
  </w:style>
  <w:style w:type="paragraph" w:styleId="CommentText">
    <w:name w:val="annotation text"/>
    <w:basedOn w:val="Normal"/>
    <w:link w:val="CommentTextChar"/>
    <w:uiPriority w:val="99"/>
    <w:semiHidden/>
    <w:unhideWhenUsed/>
    <w:rsid w:val="009F1C1F"/>
    <w:rPr>
      <w:sz w:val="20"/>
      <w:szCs w:val="20"/>
    </w:rPr>
  </w:style>
  <w:style w:type="character" w:customStyle="1" w:styleId="CommentTextChar">
    <w:name w:val="Comment Text Char"/>
    <w:link w:val="CommentText"/>
    <w:uiPriority w:val="99"/>
    <w:semiHidden/>
    <w:rsid w:val="009F1C1F"/>
    <w:rPr>
      <w:lang w:eastAsia="en-US"/>
    </w:rPr>
  </w:style>
  <w:style w:type="paragraph" w:styleId="CommentSubject">
    <w:name w:val="annotation subject"/>
    <w:basedOn w:val="CommentText"/>
    <w:next w:val="CommentText"/>
    <w:link w:val="CommentSubjectChar"/>
    <w:uiPriority w:val="99"/>
    <w:semiHidden/>
    <w:unhideWhenUsed/>
    <w:rsid w:val="009F1C1F"/>
    <w:rPr>
      <w:b/>
      <w:bCs/>
    </w:rPr>
  </w:style>
  <w:style w:type="character" w:customStyle="1" w:styleId="CommentSubjectChar">
    <w:name w:val="Comment Subject Char"/>
    <w:link w:val="CommentSubject"/>
    <w:uiPriority w:val="99"/>
    <w:semiHidden/>
    <w:rsid w:val="009F1C1F"/>
    <w:rPr>
      <w:b/>
      <w:bCs/>
      <w:lang w:eastAsia="en-US"/>
    </w:rPr>
  </w:style>
  <w:style w:type="paragraph" w:styleId="Revision">
    <w:name w:val="Revision"/>
    <w:hidden/>
    <w:uiPriority w:val="99"/>
    <w:semiHidden/>
    <w:rsid w:val="009F1C1F"/>
    <w:rPr>
      <w:sz w:val="24"/>
      <w:szCs w:val="22"/>
      <w:lang w:val="en-US" w:eastAsia="en-US"/>
    </w:rPr>
  </w:style>
  <w:style w:type="character" w:customStyle="1" w:styleId="DeltaViewInsertion">
    <w:name w:val="DeltaView Insertion"/>
    <w:uiPriority w:val="99"/>
    <w:rsid w:val="005D32E6"/>
    <w:rPr>
      <w:color w:val="0000FF"/>
      <w:u w:val="double"/>
    </w:rPr>
  </w:style>
  <w:style w:type="character" w:customStyle="1" w:styleId="DeltaViewDeletion">
    <w:name w:val="DeltaView Deletion"/>
    <w:uiPriority w:val="99"/>
    <w:rsid w:val="005D32E6"/>
    <w:rPr>
      <w:strike/>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3D5"/>
    <w:pPr>
      <w:spacing w:after="200" w:line="276" w:lineRule="auto"/>
    </w:pPr>
    <w:rPr>
      <w:sz w:val="24"/>
      <w:szCs w:val="22"/>
      <w:lang w:val="en-US" w:eastAsia="en-US"/>
    </w:rPr>
  </w:style>
  <w:style w:type="paragraph" w:styleId="Heading1">
    <w:name w:val="heading 1"/>
    <w:aliases w:val="H1"/>
    <w:basedOn w:val="Normal"/>
    <w:next w:val="Heading2"/>
    <w:link w:val="Heading1Char"/>
    <w:uiPriority w:val="99"/>
    <w:qFormat/>
    <w:rsid w:val="008B60E3"/>
    <w:pPr>
      <w:keepNext/>
      <w:numPr>
        <w:numId w:val="9"/>
      </w:numPr>
      <w:autoSpaceDE w:val="0"/>
      <w:autoSpaceDN w:val="0"/>
      <w:adjustRightInd w:val="0"/>
      <w:spacing w:after="0" w:line="240" w:lineRule="auto"/>
      <w:outlineLvl w:val="0"/>
    </w:pPr>
    <w:rPr>
      <w:rFonts w:eastAsia="Times New Roman"/>
      <w:i/>
      <w:sz w:val="18"/>
      <w:szCs w:val="24"/>
    </w:rPr>
  </w:style>
  <w:style w:type="paragraph" w:styleId="Heading2">
    <w:name w:val="heading 2"/>
    <w:aliases w:val="H2"/>
    <w:basedOn w:val="Normal"/>
    <w:next w:val="Normal"/>
    <w:link w:val="Heading2Char"/>
    <w:uiPriority w:val="99"/>
    <w:qFormat/>
    <w:rsid w:val="008B60E3"/>
    <w:pPr>
      <w:keepNext/>
      <w:keepLines/>
      <w:numPr>
        <w:ilvl w:val="1"/>
        <w:numId w:val="9"/>
      </w:numPr>
      <w:autoSpaceDE w:val="0"/>
      <w:autoSpaceDN w:val="0"/>
      <w:adjustRightInd w:val="0"/>
      <w:spacing w:before="240" w:after="0" w:line="240" w:lineRule="auto"/>
      <w:outlineLvl w:val="1"/>
    </w:pPr>
    <w:rPr>
      <w:rFonts w:eastAsia="Times New Roman"/>
      <w:b/>
      <w:szCs w:val="24"/>
    </w:rPr>
  </w:style>
  <w:style w:type="paragraph" w:styleId="Heading3">
    <w:name w:val="heading 3"/>
    <w:aliases w:val="H3"/>
    <w:basedOn w:val="Normal"/>
    <w:link w:val="Heading3Char"/>
    <w:uiPriority w:val="99"/>
    <w:qFormat/>
    <w:rsid w:val="008B60E3"/>
    <w:pPr>
      <w:numPr>
        <w:ilvl w:val="2"/>
        <w:numId w:val="9"/>
      </w:numPr>
      <w:autoSpaceDE w:val="0"/>
      <w:autoSpaceDN w:val="0"/>
      <w:adjustRightInd w:val="0"/>
      <w:spacing w:before="240" w:after="0" w:line="240" w:lineRule="auto"/>
      <w:jc w:val="both"/>
      <w:outlineLvl w:val="2"/>
    </w:pPr>
    <w:rPr>
      <w:rFonts w:eastAsia="Times New Roman"/>
      <w:szCs w:val="20"/>
    </w:rPr>
  </w:style>
  <w:style w:type="paragraph" w:styleId="Heading4">
    <w:name w:val="heading 4"/>
    <w:aliases w:val="H4"/>
    <w:basedOn w:val="Normal"/>
    <w:link w:val="Heading4Char"/>
    <w:uiPriority w:val="99"/>
    <w:qFormat/>
    <w:rsid w:val="008B60E3"/>
    <w:pPr>
      <w:numPr>
        <w:ilvl w:val="3"/>
        <w:numId w:val="9"/>
      </w:numPr>
      <w:autoSpaceDE w:val="0"/>
      <w:autoSpaceDN w:val="0"/>
      <w:adjustRightInd w:val="0"/>
      <w:spacing w:before="240" w:after="0" w:line="240" w:lineRule="auto"/>
      <w:jc w:val="both"/>
      <w:outlineLvl w:val="3"/>
    </w:pPr>
    <w:rPr>
      <w:rFonts w:eastAsia="Times New Roman"/>
      <w:szCs w:val="20"/>
    </w:rPr>
  </w:style>
  <w:style w:type="paragraph" w:styleId="Heading5">
    <w:name w:val="heading 5"/>
    <w:aliases w:val="H5"/>
    <w:basedOn w:val="Normal"/>
    <w:link w:val="Heading5Char"/>
    <w:uiPriority w:val="99"/>
    <w:qFormat/>
    <w:rsid w:val="008B60E3"/>
    <w:pPr>
      <w:numPr>
        <w:ilvl w:val="4"/>
        <w:numId w:val="9"/>
      </w:numPr>
      <w:autoSpaceDE w:val="0"/>
      <w:autoSpaceDN w:val="0"/>
      <w:adjustRightInd w:val="0"/>
      <w:spacing w:before="240" w:after="0" w:line="240" w:lineRule="auto"/>
      <w:jc w:val="both"/>
      <w:outlineLvl w:val="4"/>
    </w:pPr>
    <w:rPr>
      <w:rFonts w:eastAsia="Times New Roman"/>
      <w:szCs w:val="20"/>
    </w:rPr>
  </w:style>
  <w:style w:type="paragraph" w:styleId="Heading6">
    <w:name w:val="heading 6"/>
    <w:aliases w:val="H6"/>
    <w:basedOn w:val="Normal"/>
    <w:link w:val="Heading6Char"/>
    <w:uiPriority w:val="99"/>
    <w:qFormat/>
    <w:rsid w:val="008B60E3"/>
    <w:pPr>
      <w:numPr>
        <w:ilvl w:val="5"/>
        <w:numId w:val="9"/>
      </w:numPr>
      <w:autoSpaceDE w:val="0"/>
      <w:autoSpaceDN w:val="0"/>
      <w:adjustRightInd w:val="0"/>
      <w:spacing w:before="240" w:after="0" w:line="240" w:lineRule="auto"/>
      <w:jc w:val="both"/>
      <w:outlineLvl w:val="5"/>
    </w:pPr>
    <w:rPr>
      <w:rFonts w:eastAsia="Times New Roman"/>
      <w:szCs w:val="20"/>
    </w:rPr>
  </w:style>
  <w:style w:type="paragraph" w:styleId="Heading7">
    <w:name w:val="heading 7"/>
    <w:aliases w:val="H7"/>
    <w:basedOn w:val="Normal"/>
    <w:link w:val="Heading7Char"/>
    <w:uiPriority w:val="99"/>
    <w:qFormat/>
    <w:rsid w:val="008B60E3"/>
    <w:pPr>
      <w:numPr>
        <w:ilvl w:val="6"/>
        <w:numId w:val="9"/>
      </w:numPr>
      <w:autoSpaceDE w:val="0"/>
      <w:autoSpaceDN w:val="0"/>
      <w:adjustRightInd w:val="0"/>
      <w:spacing w:before="240" w:after="0" w:line="240" w:lineRule="auto"/>
      <w:jc w:val="both"/>
      <w:outlineLvl w:val="6"/>
    </w:pPr>
    <w:rPr>
      <w:rFonts w:eastAsia="Times New Roman"/>
      <w:szCs w:val="20"/>
    </w:rPr>
  </w:style>
  <w:style w:type="paragraph" w:styleId="Heading8">
    <w:name w:val="heading 8"/>
    <w:aliases w:val="H8"/>
    <w:basedOn w:val="Normal"/>
    <w:link w:val="Heading8Char"/>
    <w:uiPriority w:val="99"/>
    <w:qFormat/>
    <w:rsid w:val="008B60E3"/>
    <w:pPr>
      <w:numPr>
        <w:ilvl w:val="7"/>
        <w:numId w:val="9"/>
      </w:numPr>
      <w:autoSpaceDE w:val="0"/>
      <w:autoSpaceDN w:val="0"/>
      <w:adjustRightInd w:val="0"/>
      <w:spacing w:before="240" w:after="0" w:line="240" w:lineRule="auto"/>
      <w:jc w:val="both"/>
      <w:outlineLvl w:val="7"/>
    </w:pPr>
    <w:rPr>
      <w:rFonts w:eastAsia="Times New Roman"/>
      <w:szCs w:val="20"/>
    </w:rPr>
  </w:style>
  <w:style w:type="paragraph" w:styleId="Heading9">
    <w:name w:val="heading 9"/>
    <w:aliases w:val="H9"/>
    <w:basedOn w:val="Normal"/>
    <w:link w:val="Heading9Char"/>
    <w:uiPriority w:val="99"/>
    <w:qFormat/>
    <w:rsid w:val="008B60E3"/>
    <w:pPr>
      <w:numPr>
        <w:ilvl w:val="8"/>
        <w:numId w:val="9"/>
      </w:numPr>
      <w:autoSpaceDE w:val="0"/>
      <w:autoSpaceDN w:val="0"/>
      <w:adjustRightInd w:val="0"/>
      <w:spacing w:before="240" w:after="0" w:line="240" w:lineRule="auto"/>
      <w:jc w:val="both"/>
      <w:outlineLvl w:val="8"/>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915"/>
  </w:style>
  <w:style w:type="paragraph" w:styleId="Footer">
    <w:name w:val="footer"/>
    <w:basedOn w:val="Normal"/>
    <w:link w:val="FooterChar"/>
    <w:uiPriority w:val="99"/>
    <w:unhideWhenUsed/>
    <w:rsid w:val="00AF1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915"/>
  </w:style>
  <w:style w:type="character" w:customStyle="1" w:styleId="DocID">
    <w:name w:val="DocID"/>
    <w:rsid w:val="0059003B"/>
    <w:rPr>
      <w:rFonts w:ascii="Times New Roman" w:eastAsia="Times New Roman" w:hAnsi="Times New Roman" w:cs="Times New Roman"/>
      <w:b w:val="0"/>
      <w:i w:val="0"/>
      <w:color w:val="000000"/>
      <w:sz w:val="18"/>
      <w:szCs w:val="20"/>
      <w:u w:val="none"/>
    </w:rPr>
  </w:style>
  <w:style w:type="paragraph" w:styleId="FootnoteText">
    <w:name w:val="footnote text"/>
    <w:basedOn w:val="Normal"/>
    <w:link w:val="FootnoteTextChar"/>
    <w:uiPriority w:val="99"/>
    <w:unhideWhenUsed/>
    <w:rsid w:val="00A275C7"/>
    <w:rPr>
      <w:sz w:val="20"/>
      <w:szCs w:val="20"/>
    </w:rPr>
  </w:style>
  <w:style w:type="character" w:customStyle="1" w:styleId="FootnoteTextChar">
    <w:name w:val="Footnote Text Char"/>
    <w:basedOn w:val="DefaultParagraphFont"/>
    <w:link w:val="FootnoteText"/>
    <w:uiPriority w:val="99"/>
    <w:rsid w:val="00A275C7"/>
  </w:style>
  <w:style w:type="character" w:styleId="FootnoteReference">
    <w:name w:val="footnote reference"/>
    <w:semiHidden/>
    <w:rsid w:val="00A275C7"/>
    <w:rPr>
      <w:vertAlign w:val="superscript"/>
    </w:rPr>
  </w:style>
  <w:style w:type="character" w:styleId="Hyperlink">
    <w:name w:val="Hyperlink"/>
    <w:uiPriority w:val="99"/>
    <w:semiHidden/>
    <w:unhideWhenUsed/>
    <w:rsid w:val="00976DC0"/>
    <w:rPr>
      <w:color w:val="0000FF"/>
      <w:u w:val="single"/>
    </w:rPr>
  </w:style>
  <w:style w:type="character" w:customStyle="1" w:styleId="Heading1Char">
    <w:name w:val="Heading 1 Char"/>
    <w:aliases w:val="H1 Char"/>
    <w:link w:val="Heading1"/>
    <w:uiPriority w:val="99"/>
    <w:rsid w:val="008B60E3"/>
    <w:rPr>
      <w:rFonts w:eastAsia="Times New Roman"/>
      <w:i/>
      <w:sz w:val="18"/>
      <w:szCs w:val="24"/>
    </w:rPr>
  </w:style>
  <w:style w:type="character" w:customStyle="1" w:styleId="Heading2Char">
    <w:name w:val="Heading 2 Char"/>
    <w:aliases w:val="H2 Char"/>
    <w:link w:val="Heading2"/>
    <w:uiPriority w:val="99"/>
    <w:rsid w:val="008B60E3"/>
    <w:rPr>
      <w:rFonts w:eastAsia="Times New Roman"/>
      <w:b/>
      <w:sz w:val="24"/>
      <w:szCs w:val="24"/>
    </w:rPr>
  </w:style>
  <w:style w:type="character" w:customStyle="1" w:styleId="Heading3Char">
    <w:name w:val="Heading 3 Char"/>
    <w:aliases w:val="H3 Char"/>
    <w:link w:val="Heading3"/>
    <w:uiPriority w:val="99"/>
    <w:rsid w:val="008B60E3"/>
    <w:rPr>
      <w:rFonts w:eastAsia="Times New Roman"/>
      <w:sz w:val="24"/>
    </w:rPr>
  </w:style>
  <w:style w:type="character" w:customStyle="1" w:styleId="Heading4Char">
    <w:name w:val="Heading 4 Char"/>
    <w:aliases w:val="H4 Char"/>
    <w:link w:val="Heading4"/>
    <w:uiPriority w:val="99"/>
    <w:rsid w:val="008B60E3"/>
    <w:rPr>
      <w:rFonts w:eastAsia="Times New Roman"/>
      <w:sz w:val="24"/>
    </w:rPr>
  </w:style>
  <w:style w:type="character" w:customStyle="1" w:styleId="Heading5Char">
    <w:name w:val="Heading 5 Char"/>
    <w:aliases w:val="H5 Char"/>
    <w:link w:val="Heading5"/>
    <w:uiPriority w:val="99"/>
    <w:rsid w:val="008B60E3"/>
    <w:rPr>
      <w:rFonts w:eastAsia="Times New Roman"/>
      <w:sz w:val="24"/>
    </w:rPr>
  </w:style>
  <w:style w:type="character" w:customStyle="1" w:styleId="Heading6Char">
    <w:name w:val="Heading 6 Char"/>
    <w:aliases w:val="H6 Char"/>
    <w:link w:val="Heading6"/>
    <w:uiPriority w:val="99"/>
    <w:rsid w:val="008B60E3"/>
    <w:rPr>
      <w:rFonts w:eastAsia="Times New Roman"/>
      <w:sz w:val="24"/>
    </w:rPr>
  </w:style>
  <w:style w:type="character" w:customStyle="1" w:styleId="Heading7Char">
    <w:name w:val="Heading 7 Char"/>
    <w:aliases w:val="H7 Char"/>
    <w:link w:val="Heading7"/>
    <w:uiPriority w:val="99"/>
    <w:rsid w:val="008B60E3"/>
    <w:rPr>
      <w:rFonts w:eastAsia="Times New Roman"/>
      <w:sz w:val="24"/>
    </w:rPr>
  </w:style>
  <w:style w:type="character" w:customStyle="1" w:styleId="Heading8Char">
    <w:name w:val="Heading 8 Char"/>
    <w:aliases w:val="H8 Char"/>
    <w:link w:val="Heading8"/>
    <w:uiPriority w:val="99"/>
    <w:rsid w:val="008B60E3"/>
    <w:rPr>
      <w:rFonts w:eastAsia="Times New Roman"/>
      <w:sz w:val="24"/>
    </w:rPr>
  </w:style>
  <w:style w:type="character" w:customStyle="1" w:styleId="Heading9Char">
    <w:name w:val="Heading 9 Char"/>
    <w:aliases w:val="H9 Char"/>
    <w:link w:val="Heading9"/>
    <w:uiPriority w:val="99"/>
    <w:rsid w:val="008B60E3"/>
    <w:rPr>
      <w:rFonts w:eastAsia="Times New Roman"/>
      <w:sz w:val="24"/>
    </w:rPr>
  </w:style>
  <w:style w:type="character" w:customStyle="1" w:styleId="Docid0">
    <w:name w:val="Docid"/>
    <w:uiPriority w:val="99"/>
    <w:rsid w:val="008B60E3"/>
    <w:rPr>
      <w:rFonts w:ascii="Arial" w:hAnsi="Arial"/>
      <w:noProof/>
      <w:sz w:val="16"/>
    </w:rPr>
  </w:style>
  <w:style w:type="paragraph" w:styleId="BalloonText">
    <w:name w:val="Balloon Text"/>
    <w:basedOn w:val="Normal"/>
    <w:link w:val="BalloonTextChar"/>
    <w:uiPriority w:val="99"/>
    <w:semiHidden/>
    <w:unhideWhenUsed/>
    <w:rsid w:val="0081675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6753"/>
    <w:rPr>
      <w:rFonts w:ascii="Tahoma" w:hAnsi="Tahoma" w:cs="Tahoma"/>
      <w:sz w:val="16"/>
      <w:szCs w:val="16"/>
    </w:rPr>
  </w:style>
  <w:style w:type="paragraph" w:customStyle="1" w:styleId="HangingIndent">
    <w:name w:val="Hanging Indent"/>
    <w:aliases w:val="HG1"/>
    <w:basedOn w:val="Normal"/>
    <w:qFormat/>
    <w:rsid w:val="00816753"/>
    <w:pPr>
      <w:ind w:left="720" w:hanging="720"/>
      <w:jc w:val="both"/>
    </w:pPr>
  </w:style>
  <w:style w:type="paragraph" w:customStyle="1" w:styleId="HangingIndent2">
    <w:name w:val="Hanging Indent 2"/>
    <w:aliases w:val="HG2"/>
    <w:basedOn w:val="Normal"/>
    <w:qFormat/>
    <w:rsid w:val="00816753"/>
    <w:pPr>
      <w:ind w:left="1440" w:hanging="720"/>
      <w:jc w:val="both"/>
    </w:pPr>
  </w:style>
  <w:style w:type="character" w:styleId="FollowedHyperlink">
    <w:name w:val="FollowedHyperlink"/>
    <w:uiPriority w:val="99"/>
    <w:semiHidden/>
    <w:unhideWhenUsed/>
    <w:rsid w:val="00E37F99"/>
    <w:rPr>
      <w:color w:val="800080"/>
      <w:u w:val="single"/>
    </w:rPr>
  </w:style>
  <w:style w:type="paragraph" w:customStyle="1" w:styleId="Definition">
    <w:name w:val="Definition"/>
    <w:aliases w:val="dd"/>
    <w:basedOn w:val="Normal"/>
    <w:rsid w:val="00225C12"/>
    <w:pPr>
      <w:spacing w:before="180" w:after="0" w:line="240" w:lineRule="auto"/>
      <w:ind w:left="1134"/>
    </w:pPr>
    <w:rPr>
      <w:rFonts w:eastAsia="Times New Roman"/>
      <w:sz w:val="22"/>
      <w:szCs w:val="20"/>
      <w:lang w:val="en-AU" w:eastAsia="en-AU"/>
    </w:rPr>
  </w:style>
  <w:style w:type="paragraph" w:customStyle="1" w:styleId="paragraphsub">
    <w:name w:val="paragraph(sub)"/>
    <w:aliases w:val="aa"/>
    <w:basedOn w:val="Normal"/>
    <w:rsid w:val="00F12EA4"/>
    <w:pPr>
      <w:tabs>
        <w:tab w:val="right" w:pos="1985"/>
      </w:tabs>
      <w:spacing w:before="40" w:after="0" w:line="240" w:lineRule="auto"/>
      <w:ind w:left="2098" w:hanging="2098"/>
    </w:pPr>
    <w:rPr>
      <w:rFonts w:eastAsia="Times New Roman"/>
      <w:sz w:val="22"/>
      <w:szCs w:val="20"/>
      <w:lang w:val="en-AU" w:eastAsia="en-AU"/>
    </w:rPr>
  </w:style>
  <w:style w:type="paragraph" w:customStyle="1" w:styleId="paragraph">
    <w:name w:val="paragraph"/>
    <w:aliases w:val="a"/>
    <w:basedOn w:val="Normal"/>
    <w:link w:val="paragraphChar"/>
    <w:rsid w:val="00F12EA4"/>
    <w:pPr>
      <w:tabs>
        <w:tab w:val="right" w:pos="1531"/>
      </w:tabs>
      <w:spacing w:before="40" w:after="0" w:line="240" w:lineRule="auto"/>
      <w:ind w:left="1644" w:hanging="1644"/>
    </w:pPr>
    <w:rPr>
      <w:rFonts w:eastAsia="Times New Roman"/>
      <w:sz w:val="22"/>
      <w:szCs w:val="20"/>
      <w:lang w:val="en-AU" w:eastAsia="en-AU"/>
    </w:rPr>
  </w:style>
  <w:style w:type="character" w:customStyle="1" w:styleId="paragraphChar">
    <w:name w:val="paragraph Char"/>
    <w:aliases w:val="a Char"/>
    <w:link w:val="paragraph"/>
    <w:rsid w:val="00F12EA4"/>
    <w:rPr>
      <w:rFonts w:eastAsia="Times New Roman"/>
      <w:sz w:val="22"/>
      <w:lang w:val="en-AU" w:eastAsia="en-AU"/>
    </w:rPr>
  </w:style>
  <w:style w:type="paragraph" w:styleId="ListParagraph">
    <w:name w:val="List Paragraph"/>
    <w:basedOn w:val="Normal"/>
    <w:uiPriority w:val="34"/>
    <w:qFormat/>
    <w:rsid w:val="008A0DA9"/>
    <w:pPr>
      <w:ind w:left="720"/>
    </w:pPr>
  </w:style>
  <w:style w:type="character" w:styleId="CommentReference">
    <w:name w:val="annotation reference"/>
    <w:uiPriority w:val="99"/>
    <w:semiHidden/>
    <w:unhideWhenUsed/>
    <w:rsid w:val="009F1C1F"/>
    <w:rPr>
      <w:sz w:val="16"/>
      <w:szCs w:val="16"/>
    </w:rPr>
  </w:style>
  <w:style w:type="paragraph" w:styleId="CommentText">
    <w:name w:val="annotation text"/>
    <w:basedOn w:val="Normal"/>
    <w:link w:val="CommentTextChar"/>
    <w:uiPriority w:val="99"/>
    <w:semiHidden/>
    <w:unhideWhenUsed/>
    <w:rsid w:val="009F1C1F"/>
    <w:rPr>
      <w:sz w:val="20"/>
      <w:szCs w:val="20"/>
    </w:rPr>
  </w:style>
  <w:style w:type="character" w:customStyle="1" w:styleId="CommentTextChar">
    <w:name w:val="Comment Text Char"/>
    <w:link w:val="CommentText"/>
    <w:uiPriority w:val="99"/>
    <w:semiHidden/>
    <w:rsid w:val="009F1C1F"/>
    <w:rPr>
      <w:lang w:eastAsia="en-US"/>
    </w:rPr>
  </w:style>
  <w:style w:type="paragraph" w:styleId="CommentSubject">
    <w:name w:val="annotation subject"/>
    <w:basedOn w:val="CommentText"/>
    <w:next w:val="CommentText"/>
    <w:link w:val="CommentSubjectChar"/>
    <w:uiPriority w:val="99"/>
    <w:semiHidden/>
    <w:unhideWhenUsed/>
    <w:rsid w:val="009F1C1F"/>
    <w:rPr>
      <w:b/>
      <w:bCs/>
    </w:rPr>
  </w:style>
  <w:style w:type="character" w:customStyle="1" w:styleId="CommentSubjectChar">
    <w:name w:val="Comment Subject Char"/>
    <w:link w:val="CommentSubject"/>
    <w:uiPriority w:val="99"/>
    <w:semiHidden/>
    <w:rsid w:val="009F1C1F"/>
    <w:rPr>
      <w:b/>
      <w:bCs/>
      <w:lang w:eastAsia="en-US"/>
    </w:rPr>
  </w:style>
  <w:style w:type="paragraph" w:styleId="Revision">
    <w:name w:val="Revision"/>
    <w:hidden/>
    <w:uiPriority w:val="99"/>
    <w:semiHidden/>
    <w:rsid w:val="009F1C1F"/>
    <w:rPr>
      <w:sz w:val="24"/>
      <w:szCs w:val="22"/>
      <w:lang w:val="en-US" w:eastAsia="en-US"/>
    </w:rPr>
  </w:style>
  <w:style w:type="character" w:customStyle="1" w:styleId="DeltaViewInsertion">
    <w:name w:val="DeltaView Insertion"/>
    <w:uiPriority w:val="99"/>
    <w:rsid w:val="005D32E6"/>
    <w:rPr>
      <w:color w:val="0000FF"/>
      <w:u w:val="double"/>
    </w:rPr>
  </w:style>
  <w:style w:type="character" w:customStyle="1" w:styleId="DeltaViewDeletion">
    <w:name w:val="DeltaView Deletion"/>
    <w:uiPriority w:val="99"/>
    <w:rsid w:val="005D32E6"/>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627001">
      <w:bodyDiv w:val="1"/>
      <w:marLeft w:val="0"/>
      <w:marRight w:val="0"/>
      <w:marTop w:val="0"/>
      <w:marBottom w:val="0"/>
      <w:divBdr>
        <w:top w:val="none" w:sz="0" w:space="0" w:color="auto"/>
        <w:left w:val="none" w:sz="0" w:space="0" w:color="auto"/>
        <w:bottom w:val="none" w:sz="0" w:space="0" w:color="auto"/>
        <w:right w:val="none" w:sz="0" w:space="0" w:color="auto"/>
      </w:divBdr>
    </w:div>
    <w:div w:id="580793074">
      <w:bodyDiv w:val="1"/>
      <w:marLeft w:val="0"/>
      <w:marRight w:val="0"/>
      <w:marTop w:val="0"/>
      <w:marBottom w:val="0"/>
      <w:divBdr>
        <w:top w:val="none" w:sz="0" w:space="0" w:color="auto"/>
        <w:left w:val="none" w:sz="0" w:space="0" w:color="auto"/>
        <w:bottom w:val="none" w:sz="0" w:space="0" w:color="auto"/>
        <w:right w:val="none" w:sz="0" w:space="0" w:color="auto"/>
      </w:divBdr>
    </w:div>
    <w:div w:id="78075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70F17-6FEA-47AF-9C6E-CED37EEA0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2458</Words>
  <Characters>14012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ISDA Australian Single-Sided Reporting Letter</vt:lpstr>
    </vt:vector>
  </TitlesOfParts>
  <Manager/>
  <Company/>
  <LinksUpToDate>false</LinksUpToDate>
  <CharactersWithSpaces>16438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ISDA Australian Single-Sided Reporting Letter</dc:title>
  <dc:creator/>
  <cp:lastModifiedBy/>
  <cp:revision>1</cp:revision>
  <dcterms:created xsi:type="dcterms:W3CDTF">2015-09-24T04:02:00Z</dcterms:created>
  <dcterms:modified xsi:type="dcterms:W3CDTF">2015-09-24T14:05:00Z</dcterms:modified>
</cp:coreProperties>
</file>