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AB" w:rsidRPr="003C3CAB" w:rsidRDefault="003C3CAB" w:rsidP="003C3CAB">
      <w:pPr>
        <w:spacing w:line="240" w:lineRule="auto"/>
        <w:ind w:firstLine="0"/>
        <w:rPr>
          <w:rFonts w:eastAsia="Times New Roman" w:cs="Times New Roman"/>
          <w:color w:val="000000"/>
          <w:sz w:val="27"/>
          <w:szCs w:val="27"/>
        </w:rPr>
      </w:pPr>
      <w:r w:rsidRPr="003C3CAB">
        <w:rPr>
          <w:rFonts w:eastAsia="Times New Roman" w:cs="Times New Roman"/>
          <w:b/>
          <w:bCs/>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b/>
          <w:bCs/>
          <w:color w:val="000000"/>
          <w:sz w:val="96"/>
          <w:szCs w:val="96"/>
        </w:rPr>
        <w:t>ISDA</w:t>
      </w:r>
      <w:hyperlink r:id="rId4" w:anchor="copy" w:history="1">
        <w:r w:rsidRPr="003C3CAB">
          <w:rPr>
            <w:rFonts w:eastAsia="Times New Roman" w:cs="Times New Roman"/>
            <w:b/>
            <w:bCs/>
            <w:color w:val="000000"/>
            <w:sz w:val="20"/>
            <w:szCs w:val="20"/>
          </w:rPr>
          <w:t>®</w:t>
        </w:r>
      </w:hyperlink>
      <w:r w:rsidRPr="003C3CAB">
        <w:rPr>
          <w:rFonts w:eastAsia="Times New Roman" w:cs="Times New Roman"/>
          <w:color w:val="000000"/>
          <w:sz w:val="32"/>
          <w:szCs w:val="32"/>
          <w:vertAlign w:val="subscript"/>
        </w:rPr>
        <w:br/>
      </w:r>
      <w:r w:rsidRPr="003C3CAB">
        <w:rPr>
          <w:rFonts w:ascii="Arial" w:eastAsia="Times New Roman" w:hAnsi="Arial" w:cs="Arial"/>
          <w:color w:val="000000"/>
          <w:sz w:val="18"/>
          <w:szCs w:val="18"/>
        </w:rPr>
        <w:t>INTERNATIONAL SWAPS AND DERIVATIVES ASSOCIATION, INC.</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ascii="Arial" w:eastAsia="Times New Roman" w:hAnsi="Arial" w:cs="Arial"/>
          <w:b/>
          <w:bCs/>
          <w:color w:val="000000"/>
          <w:sz w:val="56"/>
          <w:szCs w:val="56"/>
        </w:rPr>
        <w:t>NEWS RELEASE</w:t>
      </w:r>
    </w:p>
    <w:p w:rsidR="003C3CAB" w:rsidRPr="003C3CAB" w:rsidRDefault="003C3CAB" w:rsidP="003C3CAB">
      <w:pPr>
        <w:spacing w:line="240" w:lineRule="auto"/>
        <w:ind w:firstLine="0"/>
        <w:rPr>
          <w:rFonts w:eastAsia="Times New Roman" w:cs="Times New Roman"/>
          <w:color w:val="000000"/>
          <w:sz w:val="27"/>
          <w:szCs w:val="27"/>
        </w:rPr>
      </w:pPr>
      <w:r w:rsidRPr="003C3CAB">
        <w:rPr>
          <w:rFonts w:eastAsia="Times New Roman" w:cs="Times New Roman"/>
          <w:b/>
          <w:bCs/>
          <w:color w:val="000000"/>
          <w:sz w:val="27"/>
          <w:szCs w:val="27"/>
          <w:u w:val="single"/>
        </w:rPr>
        <w:t>For Immediate Release, Thursday, March 12, 2009</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b/>
          <w:bCs/>
          <w:color w:val="000000"/>
          <w:sz w:val="27"/>
          <w:szCs w:val="27"/>
        </w:rPr>
        <w:t>For More Information, Please Contact:</w:t>
      </w:r>
    </w:p>
    <w:p w:rsidR="003C3CAB" w:rsidRPr="003C3CAB" w:rsidRDefault="003C3CAB" w:rsidP="003C3CAB">
      <w:pPr>
        <w:spacing w:line="240" w:lineRule="auto"/>
        <w:ind w:firstLine="0"/>
        <w:jc w:val="both"/>
        <w:rPr>
          <w:rFonts w:eastAsia="Times New Roman" w:cs="Times New Roman"/>
          <w:color w:val="000000"/>
          <w:sz w:val="27"/>
          <w:szCs w:val="27"/>
        </w:rPr>
      </w:pPr>
      <w:proofErr w:type="spellStart"/>
      <w:r w:rsidRPr="003C3CAB">
        <w:rPr>
          <w:rFonts w:eastAsia="Times New Roman" w:cs="Times New Roman"/>
          <w:b/>
          <w:bCs/>
          <w:color w:val="000000"/>
          <w:sz w:val="27"/>
          <w:szCs w:val="27"/>
        </w:rPr>
        <w:t>Cesaltine</w:t>
      </w:r>
      <w:proofErr w:type="spellEnd"/>
      <w:r w:rsidRPr="003C3CAB">
        <w:rPr>
          <w:rFonts w:eastAsia="Times New Roman" w:cs="Times New Roman"/>
          <w:b/>
          <w:bCs/>
          <w:color w:val="000000"/>
          <w:sz w:val="27"/>
          <w:szCs w:val="27"/>
        </w:rPr>
        <w:t xml:space="preserve"> Gregorio, ISDA New York, +1 212-901-6019, </w:t>
      </w:r>
      <w:hyperlink r:id="rId5" w:history="1">
        <w:r w:rsidRPr="003C3CAB">
          <w:rPr>
            <w:rFonts w:eastAsia="Times New Roman" w:cs="Times New Roman"/>
            <w:b/>
            <w:bCs/>
            <w:color w:val="800080"/>
            <w:sz w:val="27"/>
            <w:szCs w:val="27"/>
            <w:u w:val="single"/>
          </w:rPr>
          <w:t>cgregorio@isda.org</w:t>
        </w:r>
      </w:hyperlink>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b/>
          <w:bCs/>
          <w:color w:val="000000"/>
          <w:sz w:val="27"/>
          <w:szCs w:val="27"/>
        </w:rPr>
        <w:t>Louise Marshall, ISDA New York, +1 212-901-6014, </w:t>
      </w:r>
      <w:hyperlink r:id="rId6" w:history="1">
        <w:r w:rsidRPr="003C3CAB">
          <w:rPr>
            <w:rFonts w:eastAsia="Times New Roman" w:cs="Times New Roman"/>
            <w:b/>
            <w:bCs/>
            <w:color w:val="800080"/>
            <w:sz w:val="27"/>
            <w:szCs w:val="27"/>
            <w:u w:val="single"/>
          </w:rPr>
          <w:t>lmarshall@isda.org</w:t>
        </w:r>
      </w:hyperlink>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b/>
          <w:bCs/>
          <w:color w:val="000000"/>
          <w:sz w:val="27"/>
          <w:szCs w:val="27"/>
        </w:rPr>
        <w:t>Donna Chan, ISDA Hong Kong, +852 2200 5906, </w:t>
      </w:r>
      <w:hyperlink r:id="rId7" w:history="1">
        <w:r w:rsidRPr="003C3CAB">
          <w:rPr>
            <w:rFonts w:eastAsia="Times New Roman" w:cs="Times New Roman"/>
            <w:b/>
            <w:bCs/>
            <w:color w:val="800080"/>
            <w:sz w:val="27"/>
            <w:szCs w:val="27"/>
            <w:u w:val="single"/>
          </w:rPr>
          <w:t>dchan@isda.org</w:t>
        </w:r>
      </w:hyperlink>
      <w:r w:rsidRPr="003C3CAB">
        <w:rPr>
          <w:rFonts w:eastAsia="Times New Roman" w:cs="Times New Roman"/>
          <w:b/>
          <w:bCs/>
          <w:color w:val="000000"/>
          <w:sz w:val="27"/>
          <w:szCs w:val="27"/>
        </w:rPr>
        <w:t> </w:t>
      </w:r>
    </w:p>
    <w:p w:rsidR="003C3CAB" w:rsidRPr="003C3CAB" w:rsidRDefault="003C3CAB" w:rsidP="003C3CAB">
      <w:pPr>
        <w:spacing w:line="240" w:lineRule="auto"/>
        <w:ind w:firstLine="0"/>
        <w:rPr>
          <w:rFonts w:eastAsia="Times New Roman" w:cs="Times New Roman"/>
          <w:color w:val="000000"/>
          <w:sz w:val="27"/>
          <w:szCs w:val="27"/>
        </w:rPr>
      </w:pPr>
      <w:r w:rsidRPr="003C3CAB">
        <w:rPr>
          <w:rFonts w:eastAsia="Times New Roman" w:cs="Times New Roman"/>
          <w:b/>
          <w:bCs/>
          <w:color w:val="000000"/>
          <w:sz w:val="28"/>
          <w:szCs w:val="28"/>
        </w:rPr>
        <w:t> </w:t>
      </w:r>
    </w:p>
    <w:p w:rsidR="003C3CAB" w:rsidRPr="003C3CAB" w:rsidRDefault="003C3CAB" w:rsidP="003C3CAB">
      <w:pPr>
        <w:spacing w:line="240" w:lineRule="auto"/>
        <w:ind w:firstLine="0"/>
        <w:jc w:val="center"/>
        <w:rPr>
          <w:rFonts w:eastAsia="Times New Roman" w:cs="Times New Roman"/>
          <w:color w:val="000000"/>
          <w:sz w:val="27"/>
          <w:szCs w:val="27"/>
        </w:rPr>
      </w:pPr>
      <w:r w:rsidRPr="003C3CAB">
        <w:rPr>
          <w:rFonts w:eastAsia="Times New Roman" w:cs="Times New Roman"/>
          <w:b/>
          <w:bCs/>
          <w:color w:val="000000"/>
          <w:sz w:val="27"/>
          <w:szCs w:val="27"/>
        </w:rPr>
        <w:t>ISDA Launches Hardwiring Supplement and Protocol,</w:t>
      </w:r>
    </w:p>
    <w:p w:rsidR="003C3CAB" w:rsidRPr="003C3CAB" w:rsidRDefault="003C3CAB" w:rsidP="003C3CAB">
      <w:pPr>
        <w:spacing w:line="240" w:lineRule="auto"/>
        <w:ind w:firstLine="0"/>
        <w:jc w:val="center"/>
        <w:rPr>
          <w:rFonts w:eastAsia="Times New Roman" w:cs="Times New Roman"/>
          <w:color w:val="000000"/>
          <w:sz w:val="27"/>
          <w:szCs w:val="27"/>
        </w:rPr>
      </w:pPr>
      <w:r w:rsidRPr="003C3CAB">
        <w:rPr>
          <w:rFonts w:eastAsia="Times New Roman" w:cs="Times New Roman"/>
          <w:b/>
          <w:bCs/>
          <w:color w:val="000000"/>
          <w:sz w:val="27"/>
          <w:szCs w:val="27"/>
        </w:rPr>
        <w:t>Further Enhancing Consistency, Transparency and Liquidity in CDS</w:t>
      </w:r>
    </w:p>
    <w:p w:rsidR="003C3CAB" w:rsidRPr="003C3CAB" w:rsidRDefault="003C3CAB" w:rsidP="003C3CAB">
      <w:pPr>
        <w:spacing w:line="240" w:lineRule="auto"/>
        <w:ind w:firstLine="0"/>
        <w:rPr>
          <w:rFonts w:eastAsia="Times New Roman" w:cs="Times New Roman"/>
          <w:color w:val="000000"/>
          <w:sz w:val="27"/>
          <w:szCs w:val="27"/>
        </w:rPr>
      </w:pPr>
      <w:r w:rsidRPr="003C3CAB">
        <w:rPr>
          <w:rFonts w:eastAsia="Times New Roman" w:cs="Times New Roman"/>
          <w:b/>
          <w:bCs/>
          <w:color w:val="000000"/>
          <w:sz w:val="28"/>
          <w:szCs w:val="28"/>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b/>
          <w:bCs/>
          <w:color w:val="000000"/>
          <w:sz w:val="27"/>
          <w:szCs w:val="27"/>
        </w:rPr>
        <w:t>New York, Thursday, March 12, 2009 – </w:t>
      </w:r>
      <w:r w:rsidRPr="003C3CAB">
        <w:rPr>
          <w:rFonts w:eastAsia="Times New Roman" w:cs="Times New Roman"/>
          <w:color w:val="000000"/>
          <w:sz w:val="27"/>
          <w:szCs w:val="27"/>
        </w:rPr>
        <w:t>ISDA today launched its Auction Settlement Supplement and Protocol, the final stage of the process known as ‘hardwiring’, or the incorporation of auction settlement terms into standard CDS documentation.</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xml:space="preserve">"This is a major milestone in the ongoing refinement of practices and processes for the efficient, liquid and transparent conduct of the CDS business," said Robert </w:t>
      </w:r>
      <w:proofErr w:type="spellStart"/>
      <w:r w:rsidRPr="003C3CAB">
        <w:rPr>
          <w:rFonts w:eastAsia="Times New Roman" w:cs="Times New Roman"/>
          <w:color w:val="000000"/>
          <w:sz w:val="27"/>
          <w:szCs w:val="27"/>
        </w:rPr>
        <w:t>Pickel</w:t>
      </w:r>
      <w:proofErr w:type="spellEnd"/>
      <w:r w:rsidRPr="003C3CAB">
        <w:rPr>
          <w:rFonts w:eastAsia="Times New Roman" w:cs="Times New Roman"/>
          <w:color w:val="000000"/>
          <w:sz w:val="27"/>
          <w:szCs w:val="27"/>
        </w:rPr>
        <w:t>, Executive Director and Chief Executive Officer, ISDA. "Hardwiring is central to the many improvements ISDA and the industry are making to the CDS contract to further ensure that infrastructure and standards for transacting these important risk management instruments are straightforward, secure and widely implemented."</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xml:space="preserve">"The industry's commitment to hardwiring is critical to the success of the project," said David </w:t>
      </w:r>
      <w:proofErr w:type="spellStart"/>
      <w:r w:rsidRPr="003C3CAB">
        <w:rPr>
          <w:rFonts w:eastAsia="Times New Roman" w:cs="Times New Roman"/>
          <w:color w:val="000000"/>
          <w:sz w:val="27"/>
          <w:szCs w:val="27"/>
        </w:rPr>
        <w:t>Geen</w:t>
      </w:r>
      <w:proofErr w:type="spellEnd"/>
      <w:r w:rsidRPr="003C3CAB">
        <w:rPr>
          <w:rFonts w:eastAsia="Times New Roman" w:cs="Times New Roman"/>
          <w:color w:val="000000"/>
          <w:sz w:val="27"/>
          <w:szCs w:val="27"/>
        </w:rPr>
        <w:t>, General Counsel, </w:t>
      </w:r>
      <w:proofErr w:type="gramStart"/>
      <w:r w:rsidRPr="003C3CAB">
        <w:rPr>
          <w:rFonts w:eastAsia="Times New Roman" w:cs="Times New Roman"/>
          <w:color w:val="000000"/>
          <w:sz w:val="27"/>
          <w:szCs w:val="27"/>
        </w:rPr>
        <w:t>ISDA</w:t>
      </w:r>
      <w:proofErr w:type="gramEnd"/>
      <w:r w:rsidRPr="003C3CAB">
        <w:rPr>
          <w:rFonts w:eastAsia="Times New Roman" w:cs="Times New Roman"/>
          <w:color w:val="000000"/>
          <w:sz w:val="27"/>
          <w:szCs w:val="27"/>
        </w:rPr>
        <w:t>. "In recognizing the benefits hardwiring will bring, we must also recognize the insight, hard work and commitment that both buy-side and sell-side participants and the regulatory community have invested in this process."</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proofErr w:type="gramStart"/>
      <w:r w:rsidRPr="003C3CAB">
        <w:rPr>
          <w:rFonts w:eastAsia="Times New Roman" w:cs="Times New Roman"/>
          <w:color w:val="000000"/>
          <w:sz w:val="27"/>
          <w:szCs w:val="27"/>
        </w:rPr>
        <w:t>" ISDA</w:t>
      </w:r>
      <w:proofErr w:type="gramEnd"/>
      <w:r w:rsidRPr="003C3CAB">
        <w:rPr>
          <w:rFonts w:eastAsia="Times New Roman" w:cs="Times New Roman"/>
          <w:color w:val="000000"/>
          <w:sz w:val="27"/>
          <w:szCs w:val="27"/>
        </w:rPr>
        <w:t> welcomes the commendation of these developments by the Senior Supervisors Group in its report, </w:t>
      </w:r>
      <w:r w:rsidRPr="003C3CAB">
        <w:rPr>
          <w:rFonts w:eastAsia="Times New Roman" w:cs="Times New Roman"/>
          <w:i/>
          <w:iCs/>
          <w:color w:val="000000"/>
          <w:sz w:val="27"/>
          <w:szCs w:val="27"/>
        </w:rPr>
        <w:t>Observations on Management of Recent Credit Default Swap Credit Events</w:t>
      </w:r>
      <w:r w:rsidRPr="003C3CAB">
        <w:rPr>
          <w:rFonts w:eastAsia="Times New Roman" w:cs="Times New Roman"/>
          <w:color w:val="000000"/>
          <w:sz w:val="27"/>
          <w:szCs w:val="27"/>
        </w:rPr>
        <w:t>," added </w:t>
      </w:r>
      <w:proofErr w:type="spellStart"/>
      <w:r w:rsidRPr="003C3CAB">
        <w:rPr>
          <w:rFonts w:eastAsia="Times New Roman" w:cs="Times New Roman"/>
          <w:color w:val="000000"/>
          <w:sz w:val="27"/>
          <w:szCs w:val="27"/>
        </w:rPr>
        <w:t>Mr</w:t>
      </w:r>
      <w:proofErr w:type="spellEnd"/>
      <w:r w:rsidRPr="003C3CAB">
        <w:rPr>
          <w:rFonts w:eastAsia="Times New Roman" w:cs="Times New Roman"/>
          <w:color w:val="000000"/>
          <w:sz w:val="27"/>
          <w:szCs w:val="27"/>
        </w:rPr>
        <w:t> </w:t>
      </w:r>
      <w:proofErr w:type="spellStart"/>
      <w:r w:rsidRPr="003C3CAB">
        <w:rPr>
          <w:rFonts w:eastAsia="Times New Roman" w:cs="Times New Roman"/>
          <w:color w:val="000000"/>
          <w:sz w:val="27"/>
          <w:szCs w:val="27"/>
        </w:rPr>
        <w:t>Pickel</w:t>
      </w:r>
      <w:proofErr w:type="spellEnd"/>
      <w:r w:rsidRPr="003C3CAB">
        <w:rPr>
          <w:rFonts w:eastAsia="Times New Roman" w:cs="Times New Roman"/>
          <w:color w:val="000000"/>
          <w:sz w:val="27"/>
          <w:szCs w:val="27"/>
        </w:rPr>
        <w:t>. "Supervisory recognition that these efforts will reduce uncertainty and make credit event management more operationally efficient is extremely encouraging."</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Key parts of the process include incorporation into the standard documentation of:</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left="1440" w:hanging="360"/>
        <w:jc w:val="both"/>
        <w:rPr>
          <w:rFonts w:eastAsia="Times New Roman" w:cs="Times New Roman"/>
          <w:color w:val="000000"/>
          <w:sz w:val="27"/>
          <w:szCs w:val="27"/>
        </w:rPr>
      </w:pPr>
      <w:proofErr w:type="gramStart"/>
      <w:r w:rsidRPr="003C3CAB">
        <w:rPr>
          <w:rFonts w:ascii="Courier New" w:eastAsia="Times New Roman" w:hAnsi="Courier New" w:cs="Courier New"/>
          <w:color w:val="000000"/>
          <w:sz w:val="27"/>
          <w:szCs w:val="27"/>
        </w:rPr>
        <w:lastRenderedPageBreak/>
        <w:t>o</w:t>
      </w:r>
      <w:proofErr w:type="gramEnd"/>
      <w:r w:rsidRPr="003C3CAB">
        <w:rPr>
          <w:rFonts w:eastAsia="Times New Roman" w:cs="Times New Roman"/>
          <w:color w:val="000000"/>
          <w:sz w:val="14"/>
          <w:szCs w:val="14"/>
        </w:rPr>
        <w:t>   </w:t>
      </w:r>
      <w:r w:rsidRPr="003C3CAB">
        <w:rPr>
          <w:rFonts w:eastAsia="Times New Roman" w:cs="Times New Roman"/>
          <w:color w:val="000000"/>
          <w:sz w:val="27"/>
          <w:szCs w:val="27"/>
        </w:rPr>
        <w:t>Auction Settlement provisions that eliminate the need for credit event protocols;</w:t>
      </w:r>
    </w:p>
    <w:p w:rsidR="003C3CAB" w:rsidRPr="003C3CAB" w:rsidRDefault="003C3CAB" w:rsidP="003C3CAB">
      <w:pPr>
        <w:spacing w:line="240" w:lineRule="auto"/>
        <w:ind w:left="1440" w:hanging="360"/>
        <w:jc w:val="both"/>
        <w:rPr>
          <w:rFonts w:eastAsia="Times New Roman" w:cs="Times New Roman"/>
          <w:color w:val="000000"/>
          <w:sz w:val="27"/>
          <w:szCs w:val="27"/>
        </w:rPr>
      </w:pPr>
      <w:proofErr w:type="gramStart"/>
      <w:r w:rsidRPr="003C3CAB">
        <w:rPr>
          <w:rFonts w:ascii="Courier New" w:eastAsia="Times New Roman" w:hAnsi="Courier New" w:cs="Courier New"/>
          <w:color w:val="000000"/>
          <w:sz w:val="27"/>
          <w:szCs w:val="27"/>
        </w:rPr>
        <w:t>o</w:t>
      </w:r>
      <w:proofErr w:type="gramEnd"/>
      <w:r w:rsidRPr="003C3CAB">
        <w:rPr>
          <w:rFonts w:eastAsia="Times New Roman" w:cs="Times New Roman"/>
          <w:color w:val="000000"/>
          <w:sz w:val="14"/>
          <w:szCs w:val="14"/>
        </w:rPr>
        <w:t>   </w:t>
      </w:r>
      <w:r w:rsidRPr="003C3CAB">
        <w:rPr>
          <w:rFonts w:eastAsia="Times New Roman" w:cs="Times New Roman"/>
          <w:color w:val="000000"/>
          <w:sz w:val="27"/>
          <w:szCs w:val="27"/>
        </w:rPr>
        <w:t>Resolutions of the Determinations Committees, comprising dealer and buy-side representatives to determine, </w:t>
      </w:r>
      <w:proofErr w:type="spellStart"/>
      <w:r w:rsidRPr="003C3CAB">
        <w:rPr>
          <w:rFonts w:eastAsia="Times New Roman" w:cs="Times New Roman"/>
          <w:color w:val="000000"/>
          <w:sz w:val="27"/>
          <w:szCs w:val="27"/>
        </w:rPr>
        <w:t>eg</w:t>
      </w:r>
      <w:proofErr w:type="spellEnd"/>
      <w:r w:rsidRPr="003C3CAB">
        <w:rPr>
          <w:rFonts w:eastAsia="Times New Roman" w:cs="Times New Roman"/>
          <w:color w:val="000000"/>
          <w:sz w:val="27"/>
          <w:szCs w:val="27"/>
        </w:rPr>
        <w:t>: whether credit events have taken place;</w:t>
      </w:r>
    </w:p>
    <w:p w:rsidR="003C3CAB" w:rsidRPr="003C3CAB" w:rsidRDefault="003C3CAB" w:rsidP="003C3CAB">
      <w:pPr>
        <w:spacing w:line="240" w:lineRule="auto"/>
        <w:ind w:left="1440" w:hanging="360"/>
        <w:jc w:val="both"/>
        <w:rPr>
          <w:rFonts w:eastAsia="Times New Roman" w:cs="Times New Roman"/>
          <w:color w:val="000000"/>
          <w:sz w:val="27"/>
          <w:szCs w:val="27"/>
        </w:rPr>
      </w:pPr>
      <w:proofErr w:type="gramStart"/>
      <w:r w:rsidRPr="003C3CAB">
        <w:rPr>
          <w:rFonts w:ascii="Courier New" w:eastAsia="Times New Roman" w:hAnsi="Courier New" w:cs="Courier New"/>
          <w:color w:val="000000"/>
          <w:sz w:val="27"/>
          <w:szCs w:val="27"/>
        </w:rPr>
        <w:t>o</w:t>
      </w:r>
      <w:proofErr w:type="gramEnd"/>
      <w:r w:rsidRPr="003C3CAB">
        <w:rPr>
          <w:rFonts w:eastAsia="Times New Roman" w:cs="Times New Roman"/>
          <w:color w:val="000000"/>
          <w:sz w:val="14"/>
          <w:szCs w:val="14"/>
        </w:rPr>
        <w:t>   </w:t>
      </w:r>
      <w:r w:rsidRPr="003C3CAB">
        <w:rPr>
          <w:rFonts w:eastAsia="Times New Roman" w:cs="Times New Roman"/>
          <w:color w:val="000000"/>
          <w:sz w:val="27"/>
          <w:szCs w:val="27"/>
        </w:rPr>
        <w:t>Credit and Succession Event Backstop Dates that institute a common standard effective date for CDS trades.</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In combination with the changes in market practice that support standard coupons for CDS, these developments will introduce greater certainty to transactional, operational and risk considerations for treatment of CDS.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ISDA is engaged in ongoing educational efforts to ensure that all relevant industry participants are fully versed in the benefits and requirements of the process. To listen to a webcast presentation addressing these changes, please follow this link:</w:t>
      </w:r>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 </w:t>
      </w:r>
    </w:p>
    <w:p w:rsidR="003C3CAB" w:rsidRPr="003C3CAB" w:rsidRDefault="003C3CAB" w:rsidP="003C3CAB">
      <w:pPr>
        <w:spacing w:line="240" w:lineRule="auto"/>
        <w:ind w:firstLine="0"/>
        <w:jc w:val="both"/>
        <w:rPr>
          <w:rFonts w:eastAsia="Times New Roman" w:cs="Times New Roman"/>
          <w:color w:val="000000"/>
          <w:sz w:val="27"/>
          <w:szCs w:val="27"/>
        </w:rPr>
      </w:pPr>
      <w:hyperlink r:id="rId8" w:tgtFrame="_blank" w:history="1">
        <w:r w:rsidRPr="003C3CAB">
          <w:rPr>
            <w:rFonts w:eastAsia="Times New Roman" w:cs="Times New Roman"/>
            <w:color w:val="800080"/>
            <w:sz w:val="27"/>
            <w:szCs w:val="27"/>
            <w:u w:val="single"/>
          </w:rPr>
          <w:t>http://secure.webex.com/g2.asp?id=YWM03NZS</w:t>
        </w:r>
      </w:hyperlink>
    </w:p>
    <w:p w:rsidR="003C3CAB" w:rsidRPr="003C3CAB" w:rsidRDefault="003C3CAB" w:rsidP="003C3CAB">
      <w:pPr>
        <w:spacing w:before="100" w:beforeAutospacing="1" w:after="100" w:afterAutospacing="1" w:line="240" w:lineRule="auto"/>
        <w:ind w:firstLine="0"/>
        <w:rPr>
          <w:rFonts w:eastAsia="Times New Roman" w:cs="Times New Roman"/>
          <w:color w:val="000000"/>
          <w:sz w:val="27"/>
          <w:szCs w:val="27"/>
        </w:rPr>
      </w:pPr>
      <w:r w:rsidRPr="003C3CAB">
        <w:rPr>
          <w:rFonts w:eastAsia="Times New Roman" w:cs="Times New Roman"/>
          <w:b/>
          <w:bCs/>
          <w:color w:val="000000"/>
          <w:sz w:val="27"/>
          <w:szCs w:val="27"/>
        </w:rPr>
        <w:t>See also March 2 release announcing timing of hardwiring schedule:</w:t>
      </w:r>
    </w:p>
    <w:p w:rsidR="003C3CAB" w:rsidRPr="003C3CAB" w:rsidRDefault="003C3CAB" w:rsidP="003C3CAB">
      <w:pPr>
        <w:spacing w:before="100" w:beforeAutospacing="1" w:after="100" w:afterAutospacing="1" w:line="240" w:lineRule="auto"/>
        <w:ind w:firstLine="0"/>
        <w:rPr>
          <w:rFonts w:eastAsia="Times New Roman" w:cs="Times New Roman"/>
          <w:color w:val="000000"/>
          <w:sz w:val="27"/>
          <w:szCs w:val="27"/>
        </w:rPr>
      </w:pPr>
      <w:hyperlink r:id="rId9" w:history="1">
        <w:r w:rsidRPr="003C3CAB">
          <w:rPr>
            <w:rFonts w:eastAsia="Times New Roman" w:cs="Times New Roman"/>
            <w:color w:val="800080"/>
            <w:sz w:val="27"/>
            <w:szCs w:val="27"/>
            <w:u w:val="single"/>
          </w:rPr>
          <w:t>http://www.isda.org/press/press030209.html</w:t>
        </w:r>
      </w:hyperlink>
    </w:p>
    <w:p w:rsidR="003C3CAB" w:rsidRPr="003C3CAB" w:rsidRDefault="003C3CAB" w:rsidP="003C3CAB">
      <w:pPr>
        <w:spacing w:line="240" w:lineRule="auto"/>
        <w:ind w:firstLine="0"/>
        <w:jc w:val="both"/>
        <w:rPr>
          <w:rFonts w:eastAsia="Times New Roman" w:cs="Times New Roman"/>
          <w:color w:val="000000"/>
          <w:sz w:val="27"/>
          <w:szCs w:val="27"/>
        </w:rPr>
      </w:pPr>
      <w:r w:rsidRPr="003C3CAB">
        <w:rPr>
          <w:rFonts w:eastAsia="Times New Roman" w:cs="Times New Roman"/>
          <w:b/>
          <w:bCs/>
          <w:color w:val="000000"/>
          <w:sz w:val="27"/>
          <w:szCs w:val="27"/>
        </w:rPr>
        <w:t>About ISDA</w:t>
      </w:r>
    </w:p>
    <w:p w:rsidR="003C3CAB" w:rsidRPr="003C3CAB" w:rsidRDefault="003C3CAB" w:rsidP="003C3CAB">
      <w:pPr>
        <w:spacing w:after="200" w:line="240" w:lineRule="auto"/>
        <w:ind w:firstLine="0"/>
        <w:jc w:val="both"/>
        <w:rPr>
          <w:rFonts w:eastAsia="Times New Roman" w:cs="Times New Roman"/>
          <w:color w:val="000000"/>
          <w:sz w:val="27"/>
          <w:szCs w:val="27"/>
        </w:rPr>
      </w:pPr>
      <w:r w:rsidRPr="003C3CAB">
        <w:rPr>
          <w:rFonts w:eastAsia="Times New Roman" w:cs="Times New Roman"/>
          <w:color w:val="000000"/>
          <w:sz w:val="27"/>
          <w:szCs w:val="27"/>
        </w:rPr>
        <w:t>ISDA, which represents participants in the privately negotiated derivatives industry, is among the world’s largest global financial trade associations as measured by number of member firms. ISDA was chartered in 1985, and today has over 820 member institutions from 57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10" w:tgtFrame="_parent" w:history="1">
        <w:r w:rsidRPr="003C3CAB">
          <w:rPr>
            <w:rFonts w:eastAsia="Times New Roman" w:cs="Times New Roman"/>
            <w:color w:val="800080"/>
            <w:sz w:val="27"/>
            <w:szCs w:val="27"/>
            <w:u w:val="single"/>
          </w:rPr>
          <w:t>www.isda.org</w:t>
        </w:r>
      </w:hyperlink>
      <w:r w:rsidRPr="003C3CAB">
        <w:rPr>
          <w:rFonts w:eastAsia="Times New Roman" w:cs="Times New Roman"/>
          <w:color w:val="000000"/>
          <w:sz w:val="27"/>
          <w:szCs w:val="27"/>
        </w:rPr>
        <w:t>.</w:t>
      </w:r>
    </w:p>
    <w:p w:rsidR="003C3CAB" w:rsidRPr="003C3CAB" w:rsidRDefault="003C3CAB" w:rsidP="003C3CAB">
      <w:pPr>
        <w:spacing w:after="200" w:line="276" w:lineRule="atLeast"/>
        <w:ind w:firstLine="0"/>
        <w:rPr>
          <w:rFonts w:eastAsia="Times New Roman" w:cs="Times New Roman"/>
          <w:color w:val="000000"/>
          <w:sz w:val="27"/>
          <w:szCs w:val="27"/>
        </w:rPr>
      </w:pPr>
      <w:r w:rsidRPr="003C3CAB">
        <w:rPr>
          <w:rFonts w:eastAsia="Times New Roman" w:cs="Times New Roman"/>
          <w:color w:val="000000"/>
          <w:sz w:val="27"/>
          <w:szCs w:val="27"/>
        </w:rPr>
        <w:br w:type="textWrapping" w:clear="all"/>
      </w:r>
      <w:bookmarkStart w:id="0" w:name="copy"/>
      <w:bookmarkEnd w:id="0"/>
      <w:r w:rsidRPr="003C3CAB">
        <w:rPr>
          <w:rFonts w:eastAsia="Times New Roman" w:cs="Times New Roman"/>
          <w:color w:val="000000"/>
          <w:sz w:val="20"/>
          <w:szCs w:val="20"/>
          <w:vertAlign w:val="superscript"/>
        </w:rPr>
        <w:t>®</w:t>
      </w:r>
      <w:r w:rsidRPr="003C3CAB">
        <w:rPr>
          <w:rFonts w:eastAsia="Times New Roman" w:cs="Times New Roman"/>
          <w:color w:val="000000"/>
          <w:sz w:val="20"/>
          <w:szCs w:val="20"/>
        </w:rPr>
        <w:t>ISDA is a registered trademark of the International Swaps and Derivatives Association, Inc.</w:t>
      </w:r>
    </w:p>
    <w:p w:rsidR="003C3CAB" w:rsidRPr="003C3CAB" w:rsidRDefault="003C3CAB" w:rsidP="003C3CAB">
      <w:pPr>
        <w:spacing w:line="240" w:lineRule="auto"/>
        <w:ind w:firstLine="0"/>
        <w:rPr>
          <w:rFonts w:eastAsia="Times New Roman" w:cs="Times New Roman"/>
          <w:color w:val="000000"/>
          <w:sz w:val="27"/>
          <w:szCs w:val="27"/>
        </w:rPr>
      </w:pPr>
      <w:r w:rsidRPr="003C3CAB">
        <w:rPr>
          <w:rFonts w:eastAsia="Times New Roman" w:cs="Times New Roman"/>
          <w:color w:val="000000"/>
          <w:sz w:val="27"/>
          <w:szCs w:val="27"/>
        </w:rPr>
        <w:t> </w:t>
      </w:r>
    </w:p>
    <w:p w:rsidR="00054772" w:rsidRDefault="00054772">
      <w:bookmarkStart w:id="1" w:name="_GoBack"/>
      <w:bookmarkEnd w:id="1"/>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AB"/>
    <w:rsid w:val="00054772"/>
    <w:rsid w:val="001560F7"/>
    <w:rsid w:val="003C3CAB"/>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4A15A-EC88-429E-B8C9-DB70C616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3C3CAB"/>
  </w:style>
  <w:style w:type="character" w:styleId="Hyperlink">
    <w:name w:val="Hyperlink"/>
    <w:basedOn w:val="DefaultParagraphFont"/>
    <w:uiPriority w:val="99"/>
    <w:semiHidden/>
    <w:unhideWhenUsed/>
    <w:rsid w:val="003C3CAB"/>
    <w:rPr>
      <w:color w:val="0000FF"/>
      <w:u w:val="single"/>
    </w:rPr>
  </w:style>
  <w:style w:type="character" w:customStyle="1" w:styleId="spelle">
    <w:name w:val="spelle"/>
    <w:basedOn w:val="DefaultParagraphFont"/>
    <w:rsid w:val="003C3CAB"/>
  </w:style>
  <w:style w:type="paragraph" w:styleId="ListParagraph">
    <w:name w:val="List Paragraph"/>
    <w:basedOn w:val="Normal"/>
    <w:uiPriority w:val="34"/>
    <w:qFormat/>
    <w:rsid w:val="003C3CAB"/>
    <w:pPr>
      <w:spacing w:before="100" w:beforeAutospacing="1" w:after="100" w:afterAutospacing="1" w:line="240" w:lineRule="auto"/>
      <w:ind w:firstLine="0"/>
    </w:pPr>
    <w:rPr>
      <w:rFonts w:eastAsia="Times New Roman" w:cs="Times New Roman"/>
    </w:rPr>
  </w:style>
  <w:style w:type="paragraph" w:styleId="NormalWeb">
    <w:name w:val="Normal (Web)"/>
    <w:basedOn w:val="Normal"/>
    <w:uiPriority w:val="99"/>
    <w:semiHidden/>
    <w:unhideWhenUsed/>
    <w:rsid w:val="003C3CAB"/>
    <w:pPr>
      <w:spacing w:before="100" w:beforeAutospacing="1" w:after="100" w:afterAutospacing="1" w:line="240" w:lineRule="auto"/>
      <w:ind w:firstLine="0"/>
    </w:pPr>
    <w:rPr>
      <w:rFonts w:eastAsia="Times New Roman" w:cs="Times New Roman"/>
    </w:rPr>
  </w:style>
  <w:style w:type="character" w:styleId="Strong">
    <w:name w:val="Strong"/>
    <w:basedOn w:val="DefaultParagraphFont"/>
    <w:uiPriority w:val="22"/>
    <w:qFormat/>
    <w:rsid w:val="003C3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0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webex.com/g2.asp?id=YWM03NZS" TargetMode="External"/><Relationship Id="rId3" Type="http://schemas.openxmlformats.org/officeDocument/2006/relationships/webSettings" Target="webSettings.xml"/><Relationship Id="rId7" Type="http://schemas.openxmlformats.org/officeDocument/2006/relationships/hyperlink" Target="mailto:dchan@isd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rshall@isda.org" TargetMode="External"/><Relationship Id="rId11" Type="http://schemas.openxmlformats.org/officeDocument/2006/relationships/fontTable" Target="fontTable.xml"/><Relationship Id="rId5" Type="http://schemas.openxmlformats.org/officeDocument/2006/relationships/hyperlink" Target="mailto:cgregorio@isda.org" TargetMode="External"/><Relationship Id="rId10" Type="http://schemas.openxmlformats.org/officeDocument/2006/relationships/hyperlink" Target="http://www.isda.org/" TargetMode="External"/><Relationship Id="rId4" Type="http://schemas.openxmlformats.org/officeDocument/2006/relationships/hyperlink" Target="http://www.isda.org/press/press031209.html" TargetMode="External"/><Relationship Id="rId9" Type="http://schemas.openxmlformats.org/officeDocument/2006/relationships/hyperlink" Target="http://www.isda.org/press/press0302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2017-11-28T17:04:00Z</dcterms:created>
  <dcterms:modified xsi:type="dcterms:W3CDTF">2017-11-28T17:05:00Z</dcterms:modified>
</cp:coreProperties>
</file>