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F8" w:rsidRPr="003473F8" w:rsidRDefault="003473F8" w:rsidP="003473F8">
      <w:pPr>
        <w:spacing w:line="240" w:lineRule="auto"/>
        <w:ind w:firstLine="0"/>
        <w:outlineLvl w:val="0"/>
        <w:rPr>
          <w:rFonts w:eastAsia="Times New Roman" w:cs="Times New Roman"/>
          <w:b/>
          <w:bCs/>
          <w:color w:val="000000"/>
          <w:kern w:val="36"/>
          <w:sz w:val="96"/>
          <w:szCs w:val="96"/>
        </w:rPr>
      </w:pPr>
      <w:r w:rsidRPr="003473F8">
        <w:rPr>
          <w:rFonts w:eastAsia="Times New Roman" w:cs="Times New Roman"/>
          <w:b/>
          <w:bCs/>
          <w:color w:val="000000"/>
          <w:kern w:val="36"/>
          <w:sz w:val="96"/>
          <w:szCs w:val="96"/>
        </w:rPr>
        <w:t>ISDA</w:t>
      </w:r>
      <w:hyperlink r:id="rId4" w:anchor="_edn1" w:history="1">
        <w:r w:rsidRPr="003473F8">
          <w:rPr>
            <w:rFonts w:ascii="Times New Roman Bold" w:eastAsia="Times New Roman" w:hAnsi="Times New Roman Bold" w:cs="Times New Roman"/>
            <w:b/>
            <w:bCs/>
            <w:color w:val="800080"/>
            <w:kern w:val="36"/>
            <w:sz w:val="20"/>
            <w:szCs w:val="20"/>
            <w:u w:val="single"/>
          </w:rPr>
          <w:t>®</w:t>
        </w:r>
      </w:hyperlink>
      <w:r w:rsidRPr="003473F8">
        <w:rPr>
          <w:rFonts w:eastAsia="Times New Roman" w:cs="Times New Roman"/>
          <w:b/>
          <w:bCs/>
          <w:color w:val="000000"/>
          <w:kern w:val="36"/>
          <w:sz w:val="96"/>
          <w:szCs w:val="96"/>
        </w:rPr>
        <w:t>             </w:t>
      </w:r>
    </w:p>
    <w:p w:rsidR="003473F8" w:rsidRPr="003473F8" w:rsidRDefault="003473F8" w:rsidP="003473F8">
      <w:pPr>
        <w:spacing w:line="240" w:lineRule="auto"/>
        <w:ind w:firstLine="0"/>
        <w:outlineLvl w:val="1"/>
        <w:rPr>
          <w:rFonts w:ascii="Arial" w:eastAsia="Times New Roman" w:hAnsi="Arial" w:cs="Arial"/>
          <w:b/>
          <w:bCs/>
          <w:color w:val="000000"/>
          <w:sz w:val="20"/>
          <w:szCs w:val="20"/>
        </w:rPr>
      </w:pPr>
      <w:r w:rsidRPr="003473F8">
        <w:rPr>
          <w:rFonts w:ascii="Arial" w:eastAsia="Times New Roman" w:hAnsi="Arial" w:cs="Arial"/>
          <w:color w:val="000000"/>
          <w:sz w:val="18"/>
          <w:szCs w:val="18"/>
        </w:rPr>
        <w:t>INTERNATIONAL SWAPS AND DERIVATIVES ASSOCIATION</w:t>
      </w:r>
    </w:p>
    <w:p w:rsidR="003473F8" w:rsidRPr="003473F8" w:rsidRDefault="003473F8" w:rsidP="003473F8">
      <w:pPr>
        <w:spacing w:line="240" w:lineRule="auto"/>
        <w:ind w:firstLine="0"/>
        <w:jc w:val="both"/>
        <w:outlineLvl w:val="2"/>
        <w:rPr>
          <w:rFonts w:ascii="Arial" w:eastAsia="Times New Roman" w:hAnsi="Arial" w:cs="Arial"/>
          <w:b/>
          <w:bCs/>
          <w:color w:val="000000"/>
          <w:sz w:val="56"/>
          <w:szCs w:val="56"/>
        </w:rPr>
      </w:pPr>
      <w:r w:rsidRPr="003473F8">
        <w:rPr>
          <w:rFonts w:ascii="Arial" w:eastAsia="Times New Roman" w:hAnsi="Arial" w:cs="Arial"/>
          <w:b/>
          <w:bCs/>
          <w:color w:val="000000"/>
          <w:sz w:val="56"/>
          <w:szCs w:val="56"/>
        </w:rPr>
        <w:t>NEWS RELEASE</w:t>
      </w:r>
    </w:p>
    <w:p w:rsidR="003473F8" w:rsidRPr="003473F8" w:rsidRDefault="003473F8" w:rsidP="003473F8">
      <w:pPr>
        <w:spacing w:line="240" w:lineRule="auto"/>
        <w:ind w:firstLine="0"/>
        <w:rPr>
          <w:rFonts w:eastAsia="Times New Roman" w:cs="Times New Roman"/>
          <w:color w:val="000000"/>
          <w:sz w:val="27"/>
          <w:szCs w:val="27"/>
        </w:rPr>
      </w:pPr>
      <w:r w:rsidRPr="003473F8">
        <w:rPr>
          <w:rFonts w:eastAsia="Times New Roman" w:cs="Times New Roman"/>
          <w:b/>
          <w:bCs/>
          <w:color w:val="000000"/>
          <w:sz w:val="27"/>
          <w:szCs w:val="27"/>
          <w:u w:val="single"/>
        </w:rPr>
        <w:t>For Immediate Release Tuesday, September 13, 2005</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ascii="Times New Roman Bold" w:eastAsia="Times New Roman" w:hAnsi="Times New Roman Bold" w:cs="Times New Roman"/>
          <w:b/>
          <w:bCs/>
          <w:color w:val="000000"/>
          <w:sz w:val="27"/>
          <w:szCs w:val="27"/>
        </w:rPr>
        <w:t>For More Information, Please Contact:</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ascii="Times New Roman Bold" w:eastAsia="Times New Roman" w:hAnsi="Times New Roman Bold" w:cs="Times New Roman"/>
          <w:color w:val="000000"/>
          <w:sz w:val="27"/>
          <w:szCs w:val="27"/>
        </w:rPr>
        <w:t>Louise Marshall, ISDA New York, 212-901-6000, </w:t>
      </w:r>
      <w:hyperlink r:id="rId5" w:history="1">
        <w:r w:rsidRPr="003473F8">
          <w:rPr>
            <w:rFonts w:ascii="Times New Roman Bold" w:eastAsia="Times New Roman" w:hAnsi="Times New Roman Bold" w:cs="Times New Roman"/>
            <w:color w:val="0000FF"/>
            <w:sz w:val="27"/>
            <w:szCs w:val="27"/>
            <w:u w:val="single"/>
          </w:rPr>
          <w:t>lmarshall@isda.org</w:t>
        </w:r>
      </w:hyperlink>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ascii="Times New Roman Bold" w:eastAsia="Times New Roman" w:hAnsi="Times New Roman Bold" w:cs="Times New Roman"/>
          <w:color w:val="000000"/>
          <w:sz w:val="20"/>
          <w:szCs w:val="20"/>
        </w:rPr>
        <w:t> </w:t>
      </w:r>
    </w:p>
    <w:p w:rsidR="003473F8" w:rsidRPr="003473F8" w:rsidRDefault="003473F8" w:rsidP="003473F8">
      <w:pPr>
        <w:spacing w:line="240" w:lineRule="auto"/>
        <w:ind w:firstLine="0"/>
        <w:jc w:val="center"/>
        <w:rPr>
          <w:rFonts w:eastAsia="Times New Roman" w:cs="Times New Roman"/>
          <w:color w:val="000000"/>
          <w:sz w:val="27"/>
          <w:szCs w:val="27"/>
        </w:rPr>
      </w:pPr>
      <w:r w:rsidRPr="003473F8">
        <w:rPr>
          <w:rFonts w:eastAsia="Times New Roman" w:cs="Times New Roman"/>
          <w:b/>
          <w:bCs/>
          <w:color w:val="000000"/>
          <w:sz w:val="28"/>
          <w:szCs w:val="28"/>
        </w:rPr>
        <w:t>ISDA Launches Protocol to Ease Transfer of Derivatives Trades;</w:t>
      </w:r>
    </w:p>
    <w:p w:rsidR="003473F8" w:rsidRPr="003473F8" w:rsidRDefault="003473F8" w:rsidP="003473F8">
      <w:pPr>
        <w:spacing w:line="240" w:lineRule="auto"/>
        <w:ind w:firstLine="0"/>
        <w:jc w:val="center"/>
        <w:rPr>
          <w:rFonts w:eastAsia="Times New Roman" w:cs="Times New Roman"/>
          <w:color w:val="000000"/>
          <w:sz w:val="27"/>
          <w:szCs w:val="27"/>
        </w:rPr>
      </w:pPr>
      <w:r w:rsidRPr="003473F8">
        <w:rPr>
          <w:rFonts w:eastAsia="Times New Roman" w:cs="Times New Roman"/>
          <w:b/>
          <w:bCs/>
          <w:color w:val="000000"/>
          <w:sz w:val="28"/>
          <w:szCs w:val="28"/>
        </w:rPr>
        <w:t>Advances Association’s Efforts to Increase Operational Efficiency</w:t>
      </w:r>
    </w:p>
    <w:p w:rsidR="003473F8" w:rsidRPr="003473F8" w:rsidRDefault="003473F8" w:rsidP="003473F8">
      <w:pPr>
        <w:spacing w:line="240" w:lineRule="auto"/>
        <w:ind w:firstLine="0"/>
        <w:rPr>
          <w:rFonts w:eastAsia="Times New Roman" w:cs="Times New Roman"/>
          <w:color w:val="000000"/>
          <w:sz w:val="27"/>
          <w:szCs w:val="27"/>
        </w:rPr>
      </w:pPr>
      <w:r w:rsidRPr="003473F8">
        <w:rPr>
          <w:rFonts w:eastAsia="Times New Roman" w:cs="Times New Roman"/>
          <w:color w:val="000000"/>
          <w:sz w:val="27"/>
          <w:szCs w:val="27"/>
        </w:rPr>
        <w:t> </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7"/>
          <w:szCs w:val="27"/>
        </w:rPr>
        <w:t>NEW YORK, Tuesday, September 13, 2005 – The International Swaps and Derivatives Association, Inc. (ISDA) today announced that the world’s major derivatives dealers have signed up to its Novation Protocol, a solution which facilitates the transfer of an existing trade to a third party. The new protocol addresses directly the potential for backlogs and uncertainty associated with the transfer of a party’s position in a privately negotiated derivatives transaction. In line with the increasing adoption of technological solutions to expedite and enhance the confirmation process, the protocol streamlines the process of transferring trades to same-day execution.</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7"/>
          <w:szCs w:val="27"/>
        </w:rPr>
        <w:t> </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7"/>
          <w:szCs w:val="27"/>
        </w:rPr>
        <w:t xml:space="preserve">“ISDA’s new protocol is one of the many efforts by which the Association is evidencing its commitment to increasing operational efficiency and legal certainty,” said Robert </w:t>
      </w:r>
      <w:proofErr w:type="spellStart"/>
      <w:r w:rsidRPr="003473F8">
        <w:rPr>
          <w:rFonts w:eastAsia="Times New Roman" w:cs="Times New Roman"/>
          <w:color w:val="000000"/>
          <w:sz w:val="27"/>
          <w:szCs w:val="27"/>
        </w:rPr>
        <w:t>Pickel</w:t>
      </w:r>
      <w:proofErr w:type="spellEnd"/>
      <w:r w:rsidRPr="003473F8">
        <w:rPr>
          <w:rFonts w:eastAsia="Times New Roman" w:cs="Times New Roman"/>
          <w:color w:val="000000"/>
          <w:sz w:val="27"/>
          <w:szCs w:val="27"/>
        </w:rPr>
        <w:t>, Chief Executive Officer and Executive Director, ISDA. “By simplifying and streamlining the process of transferring trades, this protocol removes a significant roadblock to confirming trades among dealers and investors.”</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7"/>
          <w:szCs w:val="27"/>
        </w:rPr>
        <w:t> </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7"/>
          <w:szCs w:val="27"/>
        </w:rPr>
        <w:t>Under the existing terms of the ISDA Master Agreement, the prior written consent of the remaining party is required when its counterparty in a trade wishes to ‘novate’ or ‘assign’ (i.e.: transfer) its position in a trade to a third party. The protocol enables the parties to modify this requirement to a simpler and more streamlined exchange of electronic communications among the parties involved. In its first iteration, the protocol will apply to credit and interest rate derivatives, with a view to extending to other derivatives product areas in future iterations.</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7"/>
          <w:szCs w:val="27"/>
        </w:rPr>
        <w:t> </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7"/>
          <w:szCs w:val="27"/>
        </w:rPr>
        <w:t xml:space="preserve">"This protocol addresses directly an area on which regulators and policy makers have focused their attention," said Jonathan </w:t>
      </w:r>
      <w:proofErr w:type="spellStart"/>
      <w:r w:rsidRPr="003473F8">
        <w:rPr>
          <w:rFonts w:eastAsia="Times New Roman" w:cs="Times New Roman"/>
          <w:color w:val="000000"/>
          <w:sz w:val="27"/>
          <w:szCs w:val="27"/>
        </w:rPr>
        <w:t>Moulds</w:t>
      </w:r>
      <w:proofErr w:type="spellEnd"/>
      <w:r w:rsidRPr="003473F8">
        <w:rPr>
          <w:rFonts w:eastAsia="Times New Roman" w:cs="Times New Roman"/>
          <w:color w:val="000000"/>
          <w:sz w:val="27"/>
          <w:szCs w:val="27"/>
        </w:rPr>
        <w:t>, Chairman of ISDA and Head of International Markets at Bank of America. "It is a major step in achieving counterparty certainty."</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7"/>
          <w:szCs w:val="27"/>
        </w:rPr>
        <w:t> </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7"/>
          <w:szCs w:val="27"/>
        </w:rPr>
        <w:lastRenderedPageBreak/>
        <w:t xml:space="preserve">“The world’s leading dealer firms adhering to the protocol at the outset demonstrates how critical this solution is for the industry,” noted Michele </w:t>
      </w:r>
      <w:proofErr w:type="spellStart"/>
      <w:r w:rsidRPr="003473F8">
        <w:rPr>
          <w:rFonts w:eastAsia="Times New Roman" w:cs="Times New Roman"/>
          <w:color w:val="000000"/>
          <w:sz w:val="27"/>
          <w:szCs w:val="27"/>
        </w:rPr>
        <w:t>Faissola</w:t>
      </w:r>
      <w:proofErr w:type="spellEnd"/>
      <w:r w:rsidRPr="003473F8">
        <w:rPr>
          <w:rFonts w:eastAsia="Times New Roman" w:cs="Times New Roman"/>
          <w:color w:val="000000"/>
          <w:sz w:val="27"/>
          <w:szCs w:val="27"/>
        </w:rPr>
        <w:t>, Vice Chairman of ISDA and Global Head of Rates at Deutsche Bank’s Global Markets Division. “Furthermore, it underscores the commitment of the Association to resolving these issues.”</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7"/>
          <w:szCs w:val="27"/>
        </w:rPr>
        <w:t> </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7"/>
          <w:szCs w:val="27"/>
        </w:rPr>
        <w:t>“The benefits of a widely accepted and workable protocol will be significant in addressing legal and operational issues in interest rate and credit derivatives and in helping these important sectors continue to develop,” added Mark Davies, ISDA Board Member and Head of Global Credit Derivatives Trading at Bear Stearns.</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7"/>
          <w:szCs w:val="27"/>
        </w:rPr>
        <w:t> </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7"/>
          <w:szCs w:val="27"/>
        </w:rPr>
        <w:t>The move is the latest step taken by ISDA and its membership to help reduce the potential for confirmation backlogs in privately negotiated derivatives. The Association has published a series of documents outlining timetables for tighter end-to-end processing and increased automation of bilaterally negotiated derivatives processing. This year, a series of high level meetings, sponsored by ISDA, have brought together business, legal and operational staff from buy and sell-side institutions of all sizes to address these issues, focusing on the increasing range of automated solutions, many of which are based on Financial products Mark-up Language (</w:t>
      </w:r>
      <w:proofErr w:type="spellStart"/>
      <w:r w:rsidRPr="003473F8">
        <w:rPr>
          <w:rFonts w:eastAsia="Times New Roman" w:cs="Times New Roman"/>
          <w:color w:val="000000"/>
          <w:sz w:val="27"/>
          <w:szCs w:val="27"/>
        </w:rPr>
        <w:t>FpML</w:t>
      </w:r>
      <w:proofErr w:type="spellEnd"/>
      <w:r w:rsidRPr="003473F8">
        <w:rPr>
          <w:rFonts w:eastAsia="Times New Roman" w:cs="Times New Roman"/>
          <w:color w:val="000000"/>
          <w:sz w:val="27"/>
          <w:szCs w:val="27"/>
        </w:rPr>
        <w:t>), the industry data communications standard sponsored by ISDA.</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7"/>
          <w:szCs w:val="27"/>
        </w:rPr>
        <w:t> </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7"/>
          <w:szCs w:val="27"/>
        </w:rPr>
        <w:t>Launched on Monday, the protocol will be open for adherence until the end of October and will become effective on October 24. A list of adherents is available at www.isda.org.</w:t>
      </w:r>
    </w:p>
    <w:p w:rsidR="003473F8" w:rsidRPr="003473F8" w:rsidRDefault="003473F8" w:rsidP="003473F8">
      <w:pPr>
        <w:spacing w:line="240" w:lineRule="auto"/>
        <w:ind w:firstLine="0"/>
        <w:jc w:val="both"/>
        <w:outlineLvl w:val="0"/>
        <w:rPr>
          <w:rFonts w:eastAsia="Times New Roman" w:cs="Times New Roman"/>
          <w:b/>
          <w:bCs/>
          <w:color w:val="000000"/>
          <w:kern w:val="36"/>
          <w:sz w:val="96"/>
          <w:szCs w:val="96"/>
        </w:rPr>
      </w:pPr>
      <w:r w:rsidRPr="003473F8">
        <w:rPr>
          <w:rFonts w:eastAsia="Times New Roman" w:cs="Times New Roman"/>
          <w:b/>
          <w:bCs/>
          <w:color w:val="000000"/>
          <w:kern w:val="36"/>
        </w:rPr>
        <w:t> </w:t>
      </w:r>
    </w:p>
    <w:p w:rsidR="003473F8" w:rsidRPr="003473F8" w:rsidRDefault="003473F8" w:rsidP="003473F8">
      <w:pPr>
        <w:spacing w:line="240" w:lineRule="auto"/>
        <w:ind w:firstLine="0"/>
        <w:jc w:val="both"/>
        <w:outlineLvl w:val="0"/>
        <w:rPr>
          <w:rFonts w:eastAsia="Times New Roman" w:cs="Times New Roman"/>
          <w:b/>
          <w:bCs/>
          <w:color w:val="000000"/>
          <w:kern w:val="36"/>
          <w:sz w:val="96"/>
          <w:szCs w:val="96"/>
        </w:rPr>
      </w:pPr>
      <w:r w:rsidRPr="003473F8">
        <w:rPr>
          <w:rFonts w:eastAsia="Times New Roman" w:cs="Times New Roman"/>
          <w:b/>
          <w:bCs/>
          <w:color w:val="000000"/>
          <w:kern w:val="36"/>
        </w:rPr>
        <w:t>About ISDA</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7"/>
          <w:szCs w:val="27"/>
        </w:rPr>
        <w:t>ISDA is the global trade association representing leading participants in the privately negotiated derivatives industry. ISDA was chartered in 1985, and today has more than 650 member institutions from 47 countries on six continents. These members include most of the world's major institutions that deal in privately negotiated derivatives, as well as many of the businesses, governmental entities and other end users that rely on over-the-counter derivatives to manage efficiently the financial market risks inherent in their core economic activities. Information about ISDA and its activities is available on the Association's web site: </w:t>
      </w:r>
      <w:hyperlink r:id="rId6" w:tgtFrame="_parent" w:history="1">
        <w:r w:rsidRPr="003473F8">
          <w:rPr>
            <w:rFonts w:eastAsia="Times New Roman" w:cs="Times New Roman"/>
            <w:color w:val="0000FF"/>
            <w:sz w:val="27"/>
            <w:szCs w:val="27"/>
            <w:u w:val="single"/>
          </w:rPr>
          <w:t>www.isda.org</w:t>
        </w:r>
      </w:hyperlink>
      <w:r w:rsidRPr="003473F8">
        <w:rPr>
          <w:rFonts w:eastAsia="Times New Roman" w:cs="Times New Roman"/>
          <w:color w:val="000000"/>
          <w:sz w:val="27"/>
          <w:szCs w:val="27"/>
        </w:rPr>
        <w:t>.</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7"/>
          <w:szCs w:val="27"/>
        </w:rPr>
        <w:t> </w:t>
      </w:r>
    </w:p>
    <w:p w:rsidR="003473F8" w:rsidRPr="003473F8" w:rsidRDefault="003473F8" w:rsidP="003473F8">
      <w:pPr>
        <w:spacing w:line="240" w:lineRule="auto"/>
        <w:ind w:firstLine="0"/>
        <w:jc w:val="both"/>
        <w:rPr>
          <w:rFonts w:eastAsia="Times New Roman" w:cs="Times New Roman"/>
          <w:color w:val="000000"/>
          <w:sz w:val="22"/>
          <w:szCs w:val="22"/>
        </w:rPr>
      </w:pPr>
      <w:r w:rsidRPr="003473F8">
        <w:rPr>
          <w:rFonts w:eastAsia="Times New Roman" w:cs="Times New Roman"/>
          <w:b/>
          <w:bCs/>
          <w:color w:val="000000"/>
        </w:rPr>
        <w:t xml:space="preserve">About </w:t>
      </w:r>
      <w:proofErr w:type="spellStart"/>
      <w:r w:rsidRPr="003473F8">
        <w:rPr>
          <w:rFonts w:eastAsia="Times New Roman" w:cs="Times New Roman"/>
          <w:b/>
          <w:bCs/>
          <w:color w:val="000000"/>
        </w:rPr>
        <w:t>FpML</w:t>
      </w:r>
      <w:proofErr w:type="spellEnd"/>
    </w:p>
    <w:p w:rsidR="003473F8" w:rsidRPr="003473F8" w:rsidRDefault="003473F8" w:rsidP="003473F8">
      <w:pPr>
        <w:spacing w:line="240" w:lineRule="auto"/>
        <w:ind w:firstLine="0"/>
        <w:jc w:val="both"/>
        <w:rPr>
          <w:rFonts w:eastAsia="Times New Roman" w:cs="Times New Roman"/>
          <w:color w:val="000000"/>
          <w:sz w:val="22"/>
          <w:szCs w:val="22"/>
        </w:rPr>
      </w:pPr>
      <w:proofErr w:type="spellStart"/>
      <w:r w:rsidRPr="003473F8">
        <w:rPr>
          <w:rFonts w:eastAsia="Times New Roman" w:cs="Times New Roman"/>
          <w:color w:val="000000"/>
        </w:rPr>
        <w:t>FpML</w:t>
      </w:r>
      <w:proofErr w:type="spellEnd"/>
      <w:r w:rsidRPr="003473F8">
        <w:rPr>
          <w:rFonts w:eastAsia="Times New Roman" w:cs="Times New Roman"/>
          <w:color w:val="000000"/>
        </w:rPr>
        <w:t xml:space="preserve"> is the business information exchange standard for electronic dealing and processing of financial derivatives instruments. It establishes the industry protocol for sharing information on, and dealing in, financial swaps, derivatives and structured products over the Internet. It is based on XML (Extensible Markup Language), the standard meta-language for describing data shared between applications. </w:t>
      </w:r>
      <w:proofErr w:type="spellStart"/>
      <w:r w:rsidRPr="003473F8">
        <w:rPr>
          <w:rFonts w:eastAsia="Times New Roman" w:cs="Times New Roman"/>
          <w:color w:val="000000"/>
        </w:rPr>
        <w:t>FpML</w:t>
      </w:r>
      <w:proofErr w:type="spellEnd"/>
      <w:r w:rsidRPr="003473F8">
        <w:rPr>
          <w:rFonts w:eastAsia="Times New Roman" w:cs="Times New Roman"/>
          <w:color w:val="000000"/>
        </w:rPr>
        <w:t xml:space="preserve"> will eventually cover all categories of privately negotiated </w:t>
      </w:r>
      <w:r w:rsidRPr="003473F8">
        <w:rPr>
          <w:rFonts w:eastAsia="Times New Roman" w:cs="Times New Roman"/>
          <w:color w:val="000000"/>
        </w:rPr>
        <w:lastRenderedPageBreak/>
        <w:t xml:space="preserve">derivatives. Information about the </w:t>
      </w:r>
      <w:proofErr w:type="spellStart"/>
      <w:r w:rsidRPr="003473F8">
        <w:rPr>
          <w:rFonts w:eastAsia="Times New Roman" w:cs="Times New Roman"/>
          <w:color w:val="000000"/>
        </w:rPr>
        <w:t>FpML</w:t>
      </w:r>
      <w:proofErr w:type="spellEnd"/>
      <w:r w:rsidRPr="003473F8">
        <w:rPr>
          <w:rFonts w:eastAsia="Times New Roman" w:cs="Times New Roman"/>
          <w:color w:val="000000"/>
        </w:rPr>
        <w:t xml:space="preserve"> standard, the specifications and the different working groups can be found on the </w:t>
      </w:r>
      <w:proofErr w:type="spellStart"/>
      <w:r w:rsidRPr="003473F8">
        <w:rPr>
          <w:rFonts w:eastAsia="Times New Roman" w:cs="Times New Roman"/>
          <w:color w:val="000000"/>
        </w:rPr>
        <w:t>FpML</w:t>
      </w:r>
      <w:proofErr w:type="spellEnd"/>
      <w:r w:rsidRPr="003473F8">
        <w:rPr>
          <w:rFonts w:eastAsia="Times New Roman" w:cs="Times New Roman"/>
          <w:color w:val="000000"/>
        </w:rPr>
        <w:t xml:space="preserve"> web site: </w:t>
      </w:r>
      <w:hyperlink r:id="rId7" w:tgtFrame="_parent" w:history="1">
        <w:r w:rsidRPr="003473F8">
          <w:rPr>
            <w:rFonts w:eastAsia="Times New Roman" w:cs="Times New Roman"/>
            <w:color w:val="0000FF"/>
            <w:u w:val="single"/>
          </w:rPr>
          <w:t>www.fpml.org</w:t>
        </w:r>
      </w:hyperlink>
      <w:r w:rsidRPr="003473F8">
        <w:rPr>
          <w:rFonts w:eastAsia="Times New Roman" w:cs="Times New Roman"/>
          <w:color w:val="000000"/>
        </w:rPr>
        <w:t>.</w:t>
      </w:r>
    </w:p>
    <w:p w:rsidR="003473F8" w:rsidRPr="003473F8" w:rsidRDefault="003473F8" w:rsidP="003473F8">
      <w:pPr>
        <w:spacing w:line="240" w:lineRule="auto"/>
        <w:ind w:firstLine="0"/>
        <w:jc w:val="both"/>
        <w:rPr>
          <w:rFonts w:eastAsia="Times New Roman" w:cs="Times New Roman"/>
          <w:color w:val="000000"/>
          <w:sz w:val="27"/>
          <w:szCs w:val="27"/>
        </w:rPr>
      </w:pPr>
      <w:r w:rsidRPr="003473F8">
        <w:rPr>
          <w:rFonts w:eastAsia="Times New Roman" w:cs="Times New Roman"/>
          <w:color w:val="000000"/>
          <w:sz w:val="22"/>
          <w:szCs w:val="22"/>
        </w:rPr>
        <w:t> </w:t>
      </w:r>
    </w:p>
    <w:p w:rsidR="003473F8" w:rsidRPr="003473F8" w:rsidRDefault="003473F8" w:rsidP="003473F8">
      <w:pPr>
        <w:spacing w:line="240" w:lineRule="auto"/>
        <w:ind w:firstLine="0"/>
        <w:jc w:val="both"/>
        <w:rPr>
          <w:rFonts w:eastAsia="Times New Roman" w:cs="Times New Roman"/>
          <w:color w:val="000000"/>
          <w:sz w:val="27"/>
          <w:szCs w:val="27"/>
        </w:rPr>
      </w:pPr>
      <w:bookmarkStart w:id="0" w:name="_edn1"/>
      <w:bookmarkEnd w:id="0"/>
      <w:r w:rsidRPr="003473F8">
        <w:rPr>
          <w:rFonts w:ascii="Times New Roman Bold" w:eastAsia="Times New Roman" w:hAnsi="Times New Roman Bold" w:cs="Times New Roman"/>
          <w:color w:val="000000"/>
          <w:sz w:val="20"/>
          <w:szCs w:val="20"/>
          <w:vertAlign w:val="superscript"/>
        </w:rPr>
        <w:t>®</w:t>
      </w:r>
      <w:r w:rsidRPr="003473F8">
        <w:rPr>
          <w:rFonts w:eastAsia="Times New Roman" w:cs="Times New Roman"/>
          <w:color w:val="000000"/>
          <w:sz w:val="20"/>
          <w:szCs w:val="20"/>
        </w:rPr>
        <w:t>ISDA is a registered trademark of the International Swaps &amp; Derivatives Association, Inc.</w:t>
      </w:r>
    </w:p>
    <w:p w:rsidR="003473F8" w:rsidRPr="003473F8" w:rsidRDefault="003473F8" w:rsidP="003473F8">
      <w:pPr>
        <w:spacing w:line="240" w:lineRule="auto"/>
        <w:ind w:firstLine="0"/>
        <w:rPr>
          <w:rFonts w:eastAsia="Times New Roman" w:cs="Times New Roman"/>
          <w:color w:val="000000"/>
          <w:sz w:val="27"/>
          <w:szCs w:val="27"/>
        </w:rPr>
      </w:pPr>
      <w:r w:rsidRPr="003473F8">
        <w:rPr>
          <w:rFonts w:eastAsia="Times New Roman" w:cs="Times New Roman"/>
          <w:color w:val="000000"/>
          <w:sz w:val="27"/>
          <w:szCs w:val="27"/>
        </w:rPr>
        <w:t> </w:t>
      </w:r>
    </w:p>
    <w:p w:rsidR="00054772" w:rsidRDefault="00054772">
      <w:bookmarkStart w:id="1" w:name="_GoBack"/>
      <w:bookmarkEnd w:id="1"/>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F8"/>
    <w:rsid w:val="00054772"/>
    <w:rsid w:val="001560F7"/>
    <w:rsid w:val="003473F8"/>
    <w:rsid w:val="006176CB"/>
    <w:rsid w:val="008C78A4"/>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ACEEE-01A9-4FEF-9FB2-33CFA1AD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paragraph" w:styleId="Heading1">
    <w:name w:val="heading 1"/>
    <w:basedOn w:val="Normal"/>
    <w:link w:val="Heading1Char"/>
    <w:uiPriority w:val="9"/>
    <w:qFormat/>
    <w:rsid w:val="003473F8"/>
    <w:pPr>
      <w:spacing w:before="100" w:beforeAutospacing="1" w:after="100" w:afterAutospacing="1" w:line="240" w:lineRule="auto"/>
      <w:ind w:firstLine="0"/>
      <w:outlineLvl w:val="0"/>
    </w:pPr>
    <w:rPr>
      <w:rFonts w:eastAsia="Times New Roman" w:cs="Times New Roman"/>
      <w:b/>
      <w:bCs/>
      <w:kern w:val="36"/>
      <w:sz w:val="48"/>
      <w:szCs w:val="48"/>
    </w:rPr>
  </w:style>
  <w:style w:type="paragraph" w:styleId="Heading2">
    <w:name w:val="heading 2"/>
    <w:basedOn w:val="Normal"/>
    <w:link w:val="Heading2Char"/>
    <w:uiPriority w:val="9"/>
    <w:qFormat/>
    <w:rsid w:val="003473F8"/>
    <w:pPr>
      <w:spacing w:before="100" w:beforeAutospacing="1" w:after="100" w:afterAutospacing="1" w:line="240" w:lineRule="auto"/>
      <w:ind w:firstLine="0"/>
      <w:outlineLvl w:val="1"/>
    </w:pPr>
    <w:rPr>
      <w:rFonts w:eastAsia="Times New Roman" w:cs="Times New Roman"/>
      <w:b/>
      <w:bCs/>
      <w:sz w:val="36"/>
      <w:szCs w:val="36"/>
    </w:rPr>
  </w:style>
  <w:style w:type="paragraph" w:styleId="Heading3">
    <w:name w:val="heading 3"/>
    <w:basedOn w:val="Normal"/>
    <w:link w:val="Heading3Char"/>
    <w:uiPriority w:val="9"/>
    <w:qFormat/>
    <w:rsid w:val="003473F8"/>
    <w:pPr>
      <w:spacing w:before="100" w:beforeAutospacing="1" w:after="100" w:afterAutospacing="1" w:line="240" w:lineRule="auto"/>
      <w:ind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3F8"/>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3473F8"/>
    <w:rPr>
      <w:rFonts w:eastAsia="Times New Roman" w:cs="Times New Roman"/>
      <w:b/>
      <w:bCs/>
      <w:sz w:val="36"/>
      <w:szCs w:val="36"/>
    </w:rPr>
  </w:style>
  <w:style w:type="character" w:customStyle="1" w:styleId="Heading3Char">
    <w:name w:val="Heading 3 Char"/>
    <w:basedOn w:val="DefaultParagraphFont"/>
    <w:link w:val="Heading3"/>
    <w:uiPriority w:val="9"/>
    <w:rsid w:val="003473F8"/>
    <w:rPr>
      <w:rFonts w:eastAsia="Times New Roman" w:cs="Times New Roman"/>
      <w:b/>
      <w:bCs/>
      <w:sz w:val="27"/>
      <w:szCs w:val="27"/>
    </w:rPr>
  </w:style>
  <w:style w:type="character" w:styleId="Hyperlink">
    <w:name w:val="Hyperlink"/>
    <w:basedOn w:val="DefaultParagraphFont"/>
    <w:uiPriority w:val="99"/>
    <w:semiHidden/>
    <w:unhideWhenUsed/>
    <w:rsid w:val="003473F8"/>
    <w:rPr>
      <w:color w:val="0000FF"/>
      <w:u w:val="single"/>
    </w:rPr>
  </w:style>
  <w:style w:type="paragraph" w:styleId="BodyTextIndent">
    <w:name w:val="Body Text Indent"/>
    <w:basedOn w:val="Normal"/>
    <w:link w:val="BodyTextIndentChar"/>
    <w:uiPriority w:val="99"/>
    <w:semiHidden/>
    <w:unhideWhenUsed/>
    <w:rsid w:val="003473F8"/>
    <w:pPr>
      <w:spacing w:before="100" w:beforeAutospacing="1" w:after="100" w:afterAutospacing="1" w:line="240" w:lineRule="auto"/>
      <w:ind w:firstLine="0"/>
    </w:pPr>
    <w:rPr>
      <w:rFonts w:eastAsia="Times New Roman" w:cs="Times New Roman"/>
    </w:rPr>
  </w:style>
  <w:style w:type="character" w:customStyle="1" w:styleId="BodyTextIndentChar">
    <w:name w:val="Body Text Indent Char"/>
    <w:basedOn w:val="DefaultParagraphFont"/>
    <w:link w:val="BodyTextIndent"/>
    <w:uiPriority w:val="99"/>
    <w:semiHidden/>
    <w:rsid w:val="003473F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4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pm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da.org/" TargetMode="External"/><Relationship Id="rId5" Type="http://schemas.openxmlformats.org/officeDocument/2006/relationships/hyperlink" Target="mailto:lmarshall@isda.org" TargetMode="External"/><Relationship Id="rId4" Type="http://schemas.openxmlformats.org/officeDocument/2006/relationships/hyperlink" Target="http://www.isda.org/press/press091305.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2017-12-01T20:13:00Z</dcterms:created>
  <dcterms:modified xsi:type="dcterms:W3CDTF">2017-12-01T20:13:00Z</dcterms:modified>
</cp:coreProperties>
</file>