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3F23" w:rsidR="00267F28" w:rsidP="00267F28" w:rsidRDefault="00267F28" w14:paraId="7CEF37A3" w14:textId="77777777">
      <w:r w:rsidRPr="00E53F23">
        <w:rPr>
          <w:b/>
          <w:bCs/>
        </w:rPr>
        <w:t>Workstreams</w:t>
      </w:r>
    </w:p>
    <w:p w:rsidRPr="00E53F23" w:rsidR="00267F28" w:rsidP="594306C1" w:rsidRDefault="00267F28" w14:paraId="003670F7" w14:noSpellErr="1" w14:textId="20CCF2B3">
      <w:pPr>
        <w:pStyle w:val="Normal"/>
        <w:suppressLineNumbers w:val="0"/>
        <w:bidi w:val="0"/>
        <w:spacing w:before="0" w:beforeAutospacing="off" w:after="160" w:afterAutospacing="off" w:line="278" w:lineRule="auto"/>
        <w:ind w:left="0" w:right="0"/>
        <w:jc w:val="left"/>
      </w:pPr>
      <w:r w:rsidR="00267F28">
        <w:rPr/>
        <w:t>During 202</w:t>
      </w:r>
      <w:r w:rsidR="008B01E5">
        <w:rPr/>
        <w:t>5</w:t>
      </w:r>
      <w:r w:rsidR="00267F28">
        <w:rPr/>
        <w:t xml:space="preserve">, ISDA </w:t>
      </w:r>
      <w:r w:rsidR="0CADA88B">
        <w:rPr/>
        <w:t>addressed</w:t>
      </w:r>
      <w:r w:rsidR="00267F28">
        <w:rPr/>
        <w:t xml:space="preserve"> the following topics.</w:t>
      </w:r>
    </w:p>
    <w:p w:rsidRPr="00E53F23" w:rsidR="00267F28" w:rsidP="00267F28" w:rsidRDefault="00267F28" w14:paraId="439853E0" w14:textId="77777777">
      <w:pPr>
        <w:numPr>
          <w:ilvl w:val="0"/>
          <w:numId w:val="1"/>
        </w:numPr>
      </w:pPr>
      <w:r w:rsidRPr="00E53F23">
        <w:rPr>
          <w:b/>
          <w:bCs/>
        </w:rPr>
        <w:t>Main Book Compilation</w:t>
      </w:r>
      <w:r w:rsidRPr="00E53F23">
        <w:rPr>
          <w:b/>
          <w:bCs/>
        </w:rPr>
        <w:br/>
      </w:r>
      <w:r w:rsidRPr="00E53F23">
        <w:t>Completion of work to consolidate and rationalize existing components of the FX Definitions, such as the latest FX products Supplements, Additional Provisions and EMTA &amp; EMTA/SFEMC Template Terms. Other than as specifically contemplated, the provisions of the Main Book will remain substantively the same but will be re-drafted to support digitization and digital consumption, as well as to reconcile defined terms and concepts (e.g., Business Day, Business Day Convention, Spot Rate) for which the same or similar terms are defined differently in the existing FX Definitions and related documentation.</w:t>
      </w:r>
    </w:p>
    <w:p w:rsidRPr="00E53F23" w:rsidR="00267F28" w:rsidP="00267F28" w:rsidRDefault="00267F28" w14:paraId="45D68F4B" w14:textId="77777777">
      <w:pPr>
        <w:numPr>
          <w:ilvl w:val="0"/>
          <w:numId w:val="1"/>
        </w:numPr>
      </w:pPr>
      <w:r w:rsidRPr="00E53F23">
        <w:rPr>
          <w:b/>
          <w:bCs/>
        </w:rPr>
        <w:t>Deliverable Disruption Events/Fallbacks</w:t>
      </w:r>
    </w:p>
    <w:p w:rsidRPr="00E53F23" w:rsidR="00267F28" w:rsidP="00267F28" w:rsidRDefault="00267F28" w14:paraId="53440D15" w14:textId="77777777">
      <w:pPr>
        <w:numPr>
          <w:ilvl w:val="1"/>
          <w:numId w:val="1"/>
        </w:numPr>
      </w:pPr>
      <w:r w:rsidRPr="00E53F23">
        <w:t>Work may include amendments to existing Disruption Events/Disruption Fallbacks, addition of Disruption Events/Disruption Fallbacks and/or development of different consequences for different Disruption Events.</w:t>
      </w:r>
    </w:p>
    <w:p w:rsidRPr="00E53F23" w:rsidR="00267F28" w:rsidP="00267F28" w:rsidRDefault="00267F28" w14:paraId="74B6BA7D" w14:textId="0415C090">
      <w:pPr>
        <w:numPr>
          <w:ilvl w:val="1"/>
          <w:numId w:val="1"/>
        </w:numPr>
      </w:pPr>
      <w:r w:rsidRPr="00E53F23">
        <w:t>Finalization of the updated deliverable CNY provisions</w:t>
      </w:r>
      <w:r w:rsidR="009E1173">
        <w:t>.</w:t>
      </w:r>
    </w:p>
    <w:p w:rsidRPr="00E53F23" w:rsidR="00267F28" w:rsidP="00267F28" w:rsidRDefault="00267F28" w14:paraId="211D41C7" w14:textId="77777777">
      <w:pPr>
        <w:numPr>
          <w:ilvl w:val="0"/>
          <w:numId w:val="1"/>
        </w:numPr>
      </w:pPr>
      <w:r w:rsidRPr="00E53F23">
        <w:rPr>
          <w:b/>
          <w:bCs/>
        </w:rPr>
        <w:t>Non-Deliverable Disruption Events/Fallbacks</w:t>
      </w:r>
      <w:r w:rsidRPr="00E53F23">
        <w:rPr>
          <w:b/>
          <w:bCs/>
        </w:rPr>
        <w:br/>
      </w:r>
      <w:r w:rsidRPr="00E53F23">
        <w:t>Rationalization of the provisions substantially developed in 2024 for inclusion in the Main Book.</w:t>
      </w:r>
    </w:p>
    <w:p w:rsidRPr="00E53F23" w:rsidR="00267F28" w:rsidP="00267F28" w:rsidRDefault="00267F28" w14:paraId="7A712636" w14:textId="77777777">
      <w:pPr>
        <w:numPr>
          <w:ilvl w:val="0"/>
          <w:numId w:val="1"/>
        </w:numPr>
      </w:pPr>
      <w:r w:rsidRPr="00E53F23">
        <w:rPr>
          <w:b/>
          <w:bCs/>
        </w:rPr>
        <w:t>Streamline EMTA &amp; EMTA/SFEMC Template Terms</w:t>
      </w:r>
      <w:r w:rsidRPr="00E53F23">
        <w:rPr>
          <w:b/>
          <w:bCs/>
        </w:rPr>
        <w:br/>
      </w:r>
      <w:r w:rsidRPr="00E53F23">
        <w:t>Rationalization of terms into the Main Book as part of the Main Book compilation. Consolidation of terms to be achieved through the proposed Emerging Markets Matrix.</w:t>
      </w:r>
    </w:p>
    <w:p w:rsidRPr="00E53F23" w:rsidR="00267F28" w:rsidP="00267F28" w:rsidRDefault="00267F28" w14:paraId="61D3EB4A" w14:textId="77777777">
      <w:pPr>
        <w:numPr>
          <w:ilvl w:val="0"/>
          <w:numId w:val="1"/>
        </w:numPr>
      </w:pPr>
      <w:r w:rsidRPr="00E53F23">
        <w:rPr>
          <w:b/>
          <w:bCs/>
        </w:rPr>
        <w:t>Calculation Agent Role and Standard</w:t>
      </w:r>
    </w:p>
    <w:p w:rsidRPr="00E53F23" w:rsidR="00267F28" w:rsidP="00267F28" w:rsidRDefault="00267F28" w14:paraId="19F65186" w14:textId="77777777">
      <w:pPr>
        <w:numPr>
          <w:ilvl w:val="1"/>
          <w:numId w:val="1"/>
        </w:numPr>
      </w:pPr>
      <w:r w:rsidRPr="00E53F23">
        <w:t>Identifying Calculation Agent roles in the current FX documentation framework and addressing potential gaps where calculations/determinations are not expressly assigned to a party.</w:t>
      </w:r>
    </w:p>
    <w:p w:rsidRPr="00E53F23" w:rsidR="00267F28" w:rsidP="00267F28" w:rsidRDefault="00267F28" w14:paraId="19A23AC7" w14:textId="77777777">
      <w:pPr>
        <w:numPr>
          <w:ilvl w:val="1"/>
          <w:numId w:val="1"/>
        </w:numPr>
      </w:pPr>
      <w:r w:rsidRPr="00E53F23">
        <w:t>Rationalizing Calculation Agent standards from different FX publications, including from the EMTA &amp; EMTA/SFEMC Template Terms.</w:t>
      </w:r>
    </w:p>
    <w:p w:rsidRPr="00E53F23" w:rsidR="00267F28" w:rsidP="00267F28" w:rsidRDefault="00C76748" w14:paraId="7FB5A780" w14:textId="5188F761">
      <w:pPr>
        <w:numPr>
          <w:ilvl w:val="0"/>
          <w:numId w:val="1"/>
        </w:numPr>
      </w:pPr>
      <w:r>
        <w:rPr>
          <w:b/>
          <w:bCs/>
        </w:rPr>
        <w:t>Calendar Adjustment Event</w:t>
      </w:r>
      <w:r w:rsidRPr="00E53F23" w:rsidR="00267F28">
        <w:rPr>
          <w:b/>
          <w:bCs/>
        </w:rPr>
        <w:br/>
      </w:r>
      <w:r w:rsidRPr="00E53F23" w:rsidR="00267F28">
        <w:t xml:space="preserve">ISDA will discuss with members a proposal to address the economic discrepancies that arise when a holiday is scheduled after the trade date for an FX transaction (e.g., a day of mourning) but the forward price does not change to address the </w:t>
      </w:r>
      <w:r w:rsidRPr="00E53F23" w:rsidR="00267F28">
        <w:lastRenderedPageBreak/>
        <w:t xml:space="preserve">addition of an extra non-business day.  Resulting provisions (if any) </w:t>
      </w:r>
      <w:proofErr w:type="gramStart"/>
      <w:r w:rsidRPr="00E53F23" w:rsidR="00267F28">
        <w:t>to</w:t>
      </w:r>
      <w:proofErr w:type="gramEnd"/>
      <w:r w:rsidRPr="00E53F23" w:rsidR="00267F28">
        <w:t xml:space="preserve"> be prepared for inclusion in the FX Definitions.</w:t>
      </w:r>
    </w:p>
    <w:p w:rsidRPr="00E53F23" w:rsidR="00267F28" w:rsidP="00267F28" w:rsidRDefault="00267F28" w14:paraId="76E7D714" w14:textId="77777777">
      <w:pPr>
        <w:numPr>
          <w:ilvl w:val="0"/>
          <w:numId w:val="1"/>
        </w:numPr>
      </w:pPr>
      <w:r w:rsidRPr="00E53F23">
        <w:rPr>
          <w:b/>
          <w:bCs/>
        </w:rPr>
        <w:t xml:space="preserve">FX </w:t>
      </w:r>
      <w:proofErr w:type="spellStart"/>
      <w:r w:rsidRPr="00E53F23">
        <w:rPr>
          <w:b/>
          <w:bCs/>
        </w:rPr>
        <w:t>Novations</w:t>
      </w:r>
      <w:proofErr w:type="spellEnd"/>
      <w:r w:rsidRPr="00E53F23">
        <w:rPr>
          <w:b/>
          <w:bCs/>
        </w:rPr>
        <w:t xml:space="preserve"> Provisions</w:t>
      </w:r>
      <w:r w:rsidRPr="00E53F23">
        <w:rPr>
          <w:b/>
          <w:bCs/>
        </w:rPr>
        <w:br/>
      </w:r>
      <w:r w:rsidRPr="00E53F23">
        <w:t xml:space="preserve">Updated FX </w:t>
      </w:r>
      <w:proofErr w:type="spellStart"/>
      <w:r w:rsidRPr="00E53F23">
        <w:t>Novations</w:t>
      </w:r>
      <w:proofErr w:type="spellEnd"/>
      <w:r w:rsidRPr="00E53F23">
        <w:t xml:space="preserve"> provisions, that will be conceptually developed by the FX </w:t>
      </w:r>
      <w:proofErr w:type="spellStart"/>
      <w:r w:rsidRPr="00E53F23">
        <w:t>Novations</w:t>
      </w:r>
      <w:proofErr w:type="spellEnd"/>
      <w:r w:rsidRPr="00E53F23">
        <w:t xml:space="preserve"> Subgroup, to be produced and reviewed by the wider group for inclusion in the FX Definitions.</w:t>
      </w:r>
    </w:p>
    <w:p w:rsidRPr="00E53F23" w:rsidR="00267F28" w:rsidP="00267F28" w:rsidRDefault="00267F28" w14:paraId="37330497" w14:textId="77777777">
      <w:pPr>
        <w:numPr>
          <w:ilvl w:val="0"/>
          <w:numId w:val="1"/>
        </w:numPr>
      </w:pPr>
      <w:r w:rsidRPr="00E53F23">
        <w:rPr>
          <w:b/>
          <w:bCs/>
        </w:rPr>
        <w:t>Technical Revisions</w:t>
      </w:r>
    </w:p>
    <w:p w:rsidRPr="00E53F23" w:rsidR="00267F28" w:rsidP="00267F28" w:rsidRDefault="00267F28" w14:paraId="3B43E51B" w14:textId="77777777">
      <w:pPr>
        <w:numPr>
          <w:ilvl w:val="1"/>
          <w:numId w:val="1"/>
        </w:numPr>
      </w:pPr>
      <w:r w:rsidRPr="00E53F23">
        <w:t>Work to understand if and how Rounding provisions should be updated.</w:t>
      </w:r>
    </w:p>
    <w:p w:rsidRPr="00E53F23" w:rsidR="00267F28" w:rsidP="00267F28" w:rsidRDefault="00267F28" w14:paraId="36B904E4" w14:textId="77777777">
      <w:pPr>
        <w:numPr>
          <w:ilvl w:val="1"/>
          <w:numId w:val="1"/>
        </w:numPr>
      </w:pPr>
      <w:r w:rsidRPr="00E53F23">
        <w:t>Proposal to create an optional Automatic Exercise mechanism in addition to the one in the 1998 FX Definitions.</w:t>
      </w:r>
    </w:p>
    <w:p w:rsidRPr="00E53F23" w:rsidR="00267F28" w:rsidP="00267F28" w:rsidRDefault="00267F28" w14:paraId="72FD6EA0" w14:textId="77777777">
      <w:pPr>
        <w:numPr>
          <w:ilvl w:val="1"/>
          <w:numId w:val="1"/>
        </w:numPr>
      </w:pPr>
      <w:r w:rsidRPr="00E53F23">
        <w:t>Introduction of a new cash-settlement concept, to be distinguished from non-deliverable settlement due to their application of different Disruption Events and Fallbacks.</w:t>
      </w:r>
    </w:p>
    <w:p w:rsidR="00267F28" w:rsidP="00267F28" w:rsidRDefault="00267F28" w14:paraId="7F89DB1E" w14:textId="77777777">
      <w:pPr>
        <w:numPr>
          <w:ilvl w:val="0"/>
          <w:numId w:val="1"/>
        </w:numPr>
      </w:pPr>
      <w:r w:rsidRPr="00E53F23">
        <w:rPr>
          <w:b/>
          <w:bCs/>
        </w:rPr>
        <w:t>Production of updated confirmation templates, including those from the latest FX products Supplements, and index of terms.</w:t>
      </w:r>
    </w:p>
    <w:p w:rsidR="0010791D" w:rsidRDefault="0010791D" w14:paraId="2C313B05" w14:textId="77777777"/>
    <w:sectPr w:rsidR="0010791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00F77"/>
    <w:multiLevelType w:val="multilevel"/>
    <w:tmpl w:val="139C8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10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D4"/>
    <w:rsid w:val="0010791D"/>
    <w:rsid w:val="00267F28"/>
    <w:rsid w:val="004A04A0"/>
    <w:rsid w:val="00576AB5"/>
    <w:rsid w:val="006422D2"/>
    <w:rsid w:val="008B01E5"/>
    <w:rsid w:val="00940CD4"/>
    <w:rsid w:val="009E1173"/>
    <w:rsid w:val="00A53931"/>
    <w:rsid w:val="00C76748"/>
    <w:rsid w:val="00D15FC5"/>
    <w:rsid w:val="00F07DF5"/>
    <w:rsid w:val="0CADA88B"/>
    <w:rsid w:val="5943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2CD2"/>
  <w15:chartTrackingRefBased/>
  <w15:docId w15:val="{FB06BF06-2DED-40C1-A30B-9A957BDD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F28"/>
  </w:style>
  <w:style w:type="paragraph" w:styleId="Heading1">
    <w:name w:val="heading 1"/>
    <w:basedOn w:val="Normal"/>
    <w:next w:val="Normal"/>
    <w:link w:val="Heading1Char"/>
    <w:uiPriority w:val="9"/>
    <w:qFormat/>
    <w:rsid w:val="00940C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C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C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0C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0C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0C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0C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0C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0C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0C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0C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0CD4"/>
    <w:rPr>
      <w:rFonts w:eastAsiaTheme="majorEastAsia" w:cstheme="majorBidi"/>
      <w:color w:val="272727" w:themeColor="text1" w:themeTint="D8"/>
    </w:rPr>
  </w:style>
  <w:style w:type="paragraph" w:styleId="Title">
    <w:name w:val="Title"/>
    <w:basedOn w:val="Normal"/>
    <w:next w:val="Normal"/>
    <w:link w:val="TitleChar"/>
    <w:uiPriority w:val="10"/>
    <w:qFormat/>
    <w:rsid w:val="00940C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0C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0C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0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CD4"/>
    <w:pPr>
      <w:spacing w:before="160"/>
      <w:jc w:val="center"/>
    </w:pPr>
    <w:rPr>
      <w:i/>
      <w:iCs/>
      <w:color w:val="404040" w:themeColor="text1" w:themeTint="BF"/>
    </w:rPr>
  </w:style>
  <w:style w:type="character" w:styleId="QuoteChar" w:customStyle="1">
    <w:name w:val="Quote Char"/>
    <w:basedOn w:val="DefaultParagraphFont"/>
    <w:link w:val="Quote"/>
    <w:uiPriority w:val="29"/>
    <w:rsid w:val="00940CD4"/>
    <w:rPr>
      <w:i/>
      <w:iCs/>
      <w:color w:val="404040" w:themeColor="text1" w:themeTint="BF"/>
    </w:rPr>
  </w:style>
  <w:style w:type="paragraph" w:styleId="ListParagraph">
    <w:name w:val="List Paragraph"/>
    <w:basedOn w:val="Normal"/>
    <w:uiPriority w:val="34"/>
    <w:qFormat/>
    <w:rsid w:val="00940CD4"/>
    <w:pPr>
      <w:ind w:left="720"/>
      <w:contextualSpacing/>
    </w:pPr>
  </w:style>
  <w:style w:type="character" w:styleId="IntenseEmphasis">
    <w:name w:val="Intense Emphasis"/>
    <w:basedOn w:val="DefaultParagraphFont"/>
    <w:uiPriority w:val="21"/>
    <w:qFormat/>
    <w:rsid w:val="00940CD4"/>
    <w:rPr>
      <w:i/>
      <w:iCs/>
      <w:color w:val="0F4761" w:themeColor="accent1" w:themeShade="BF"/>
    </w:rPr>
  </w:style>
  <w:style w:type="paragraph" w:styleId="IntenseQuote">
    <w:name w:val="Intense Quote"/>
    <w:basedOn w:val="Normal"/>
    <w:next w:val="Normal"/>
    <w:link w:val="IntenseQuoteChar"/>
    <w:uiPriority w:val="30"/>
    <w:qFormat/>
    <w:rsid w:val="00940C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0CD4"/>
    <w:rPr>
      <w:i/>
      <w:iCs/>
      <w:color w:val="0F4761" w:themeColor="accent1" w:themeShade="BF"/>
    </w:rPr>
  </w:style>
  <w:style w:type="character" w:styleId="IntenseReference">
    <w:name w:val="Intense Reference"/>
    <w:basedOn w:val="DefaultParagraphFont"/>
    <w:uiPriority w:val="32"/>
    <w:qFormat/>
    <w:rsid w:val="00940CD4"/>
    <w:rPr>
      <w:b/>
      <w:bCs/>
      <w:smallCaps/>
      <w:color w:val="0F4761" w:themeColor="accent1" w:themeShade="BF"/>
      <w:spacing w:val="5"/>
    </w:rPr>
  </w:style>
  <w:style w:type="paragraph" w:styleId="Revision">
    <w:name w:val="Revision"/>
    <w:hidden/>
    <w:uiPriority w:val="99"/>
    <w:semiHidden/>
    <w:rsid w:val="00642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ef3382c-05ca-4bb6-b158-59052505e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1A40E616DCA4498BFED3819609218" ma:contentTypeVersion="11" ma:contentTypeDescription="Create a new document." ma:contentTypeScope="" ma:versionID="3f257463f5686c70033ee985a3df4a15">
  <xsd:schema xmlns:xsd="http://www.w3.org/2001/XMLSchema" xmlns:xs="http://www.w3.org/2001/XMLSchema" xmlns:p="http://schemas.microsoft.com/office/2006/metadata/properties" xmlns:ns2="cef3382c-05ca-4bb6-b158-59052505e0a0" xmlns:ns3="5b460b63-40fa-401a-9f21-7eb4701a4558" targetNamespace="http://schemas.microsoft.com/office/2006/metadata/properties" ma:root="true" ma:fieldsID="b556e330f47232015d45ec3d9bb77b5c" ns2:_="" ns3:_="">
    <xsd:import namespace="cef3382c-05ca-4bb6-b158-59052505e0a0"/>
    <xsd:import namespace="5b460b63-40fa-401a-9f21-7eb4701a45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3382c-05ca-4bb6-b158-59052505e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60b63-40fa-401a-9f21-7eb4701a45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D0DE-DC0D-48E7-B62C-2418FC966A4B}">
  <ds:schemaRefs>
    <ds:schemaRef ds:uri="http://schemas.microsoft.com/office/2006/metadata/properties"/>
    <ds:schemaRef ds:uri="http://schemas.microsoft.com/office/infopath/2007/PartnerControls"/>
    <ds:schemaRef ds:uri="cef3382c-05ca-4bb6-b158-59052505e0a0"/>
  </ds:schemaRefs>
</ds:datastoreItem>
</file>

<file path=customXml/itemProps2.xml><?xml version="1.0" encoding="utf-8"?>
<ds:datastoreItem xmlns:ds="http://schemas.openxmlformats.org/officeDocument/2006/customXml" ds:itemID="{E7F9B987-A473-4177-8C9B-8CAEBFF10FAC}">
  <ds:schemaRefs>
    <ds:schemaRef ds:uri="http://schemas.microsoft.com/sharepoint/v3/contenttype/forms"/>
  </ds:schemaRefs>
</ds:datastoreItem>
</file>

<file path=customXml/itemProps3.xml><?xml version="1.0" encoding="utf-8"?>
<ds:datastoreItem xmlns:ds="http://schemas.openxmlformats.org/officeDocument/2006/customXml" ds:itemID="{E8048714-5A66-466F-9122-FB7004200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3382c-05ca-4bb6-b158-59052505e0a0"/>
    <ds:schemaRef ds:uri="5b460b63-40fa-401a-9f21-7eb4701a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676213-c285-47a2-bc12-c9207c5e8ed8}" enabled="0" method="" siteId="{ab676213-c285-47a2-bc12-c9207c5e8ed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Kucharczk</dc:creator>
  <keywords/>
  <dc:description/>
  <lastModifiedBy>Lisa Kucharczk</lastModifiedBy>
  <revision>8</revision>
  <dcterms:created xsi:type="dcterms:W3CDTF">2026-03-05T16:17:00.0000000Z</dcterms:created>
  <dcterms:modified xsi:type="dcterms:W3CDTF">2026-03-10T21:34:44.9206592Z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0x010100F221A40E616DCA4498BFED3819609218</vt:lpwstr>
  </property>
  <property fmtid="{D5CDD505-2E9C-101B-9397-08002B2CF9AE}" pid="4" name="docLang">
    <vt:lpwstr>en</vt:lpwstr>
  </property>
</Properties>
</file>