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4AA83" w14:textId="38648289" w:rsidR="001D4C35" w:rsidRDefault="002D1425" w:rsidP="003A2851">
      <w:r>
        <w:rPr>
          <w:noProof/>
          <w:sz w:val="20"/>
        </w:rPr>
        <w:drawing>
          <wp:anchor distT="0" distB="0" distL="114300" distR="114300" simplePos="0" relativeHeight="251658240" behindDoc="1" locked="0" layoutInCell="1" allowOverlap="1" wp14:anchorId="314B2750" wp14:editId="3571A623">
            <wp:simplePos x="0" y="0"/>
            <wp:positionH relativeFrom="column">
              <wp:posOffset>4886960</wp:posOffset>
            </wp:positionH>
            <wp:positionV relativeFrom="paragraph">
              <wp:posOffset>-5080</wp:posOffset>
            </wp:positionV>
            <wp:extent cx="1721485" cy="602615"/>
            <wp:effectExtent l="0" t="0" r="0" b="0"/>
            <wp:wrapTight wrapText="bothSides">
              <wp:wrapPolygon edited="0">
                <wp:start x="0" y="0"/>
                <wp:lineTo x="0" y="21168"/>
                <wp:lineTo x="21273" y="21168"/>
                <wp:lineTo x="21273" y="0"/>
                <wp:lineTo x="0" y="0"/>
              </wp:wrapPolygon>
            </wp:wrapTight>
            <wp:docPr id="3" name="image2.jpeg"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A close-up of a logo&#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1485" cy="602615"/>
                    </a:xfrm>
                    <a:prstGeom prst="rect">
                      <a:avLst/>
                    </a:prstGeom>
                  </pic:spPr>
                </pic:pic>
              </a:graphicData>
            </a:graphic>
          </wp:anchor>
        </w:drawing>
      </w:r>
      <w:r w:rsidR="003A2851">
        <w:rPr>
          <w:noProof/>
          <w:position w:val="4"/>
          <w:sz w:val="20"/>
        </w:rPr>
        <w:drawing>
          <wp:inline distT="0" distB="0" distL="0" distR="0" wp14:anchorId="7A29C46E" wp14:editId="2C18BA75">
            <wp:extent cx="1439904" cy="563879"/>
            <wp:effectExtent l="0" t="0" r="0" b="0"/>
            <wp:docPr id="1" name="image1.jpeg"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Logo, company name&#10;&#10;Description automatically generated"/>
                    <pic:cNvPicPr/>
                  </pic:nvPicPr>
                  <pic:blipFill>
                    <a:blip r:embed="rId9" cstate="print"/>
                    <a:stretch>
                      <a:fillRect/>
                    </a:stretch>
                  </pic:blipFill>
                  <pic:spPr>
                    <a:xfrm>
                      <a:off x="0" y="0"/>
                      <a:ext cx="1439904" cy="563879"/>
                    </a:xfrm>
                    <a:prstGeom prst="rect">
                      <a:avLst/>
                    </a:prstGeom>
                  </pic:spPr>
                </pic:pic>
              </a:graphicData>
            </a:graphic>
          </wp:inline>
        </w:drawing>
      </w:r>
    </w:p>
    <w:p w14:paraId="5284F45F" w14:textId="77777777" w:rsidR="003A2851" w:rsidRDefault="003A2851" w:rsidP="003A2851"/>
    <w:p w14:paraId="4474ADF9" w14:textId="77777777" w:rsidR="001D4C35" w:rsidRDefault="00D84817">
      <w:pPr>
        <w:pStyle w:val="Heading1"/>
        <w:spacing w:before="0" w:line="341" w:lineRule="exact"/>
        <w:ind w:left="172"/>
      </w:pPr>
      <w:bookmarkStart w:id="0" w:name="(1)_Output_Floor"/>
      <w:bookmarkStart w:id="1" w:name="AFME_ISDA_Output_floor_position_paper_20"/>
      <w:bookmarkStart w:id="2" w:name="(2)_Credit_Risk"/>
      <w:bookmarkStart w:id="3" w:name="AFME_ISDA_Credit_risk_position_paper_202"/>
      <w:bookmarkStart w:id="4" w:name="(3)_Counterparty_credit_risk"/>
      <w:bookmarkStart w:id="5" w:name="ISDA_AFME_CCR_position_paper_2202015_FIN"/>
      <w:bookmarkStart w:id="6" w:name="(4)_OpRisk_(OR_position)"/>
      <w:bookmarkStart w:id="7" w:name="AFME_ISDA_OR_Position_paper_20220215_FIN"/>
      <w:bookmarkStart w:id="8" w:name="(5)_FRTB"/>
      <w:bookmarkStart w:id="9" w:name="ISDA_AFME_FRTB_position_paper_20220215_F"/>
      <w:bookmarkEnd w:id="0"/>
      <w:bookmarkEnd w:id="1"/>
      <w:bookmarkEnd w:id="2"/>
      <w:bookmarkEnd w:id="3"/>
      <w:bookmarkEnd w:id="4"/>
      <w:bookmarkEnd w:id="5"/>
      <w:bookmarkEnd w:id="6"/>
      <w:bookmarkEnd w:id="7"/>
      <w:bookmarkEnd w:id="8"/>
      <w:bookmarkEnd w:id="9"/>
      <w:r>
        <w:rPr>
          <w:color w:val="78A12E"/>
        </w:rPr>
        <w:t>CRR3 – Fundamental Review of the Trading Book (FRTB)</w:t>
      </w:r>
    </w:p>
    <w:p w14:paraId="4474ADFA" w14:textId="0DAD80CB" w:rsidR="001D4C35" w:rsidRDefault="006F73FF">
      <w:pPr>
        <w:pStyle w:val="Heading2"/>
        <w:spacing w:before="61"/>
        <w:ind w:left="172"/>
      </w:pPr>
      <w:r>
        <w:pict w14:anchorId="4474B08F">
          <v:shape id="_x0000_s2096" style="position:absolute;left:0;text-align:left;margin-left:41.85pt;margin-top:18.9pt;width:509.25pt;height:.1pt;z-index:-251595776;mso-wrap-distance-left:0;mso-wrap-distance-right:0;mso-position-horizontal-relative:page" coordorigin="837,378" coordsize="10185,0" path="m837,378r10185,e" filled="f" strokeweight=".72pt">
            <v:path arrowok="t"/>
            <w10:wrap type="topAndBottom" anchorx="page"/>
          </v:shape>
        </w:pict>
      </w:r>
      <w:r w:rsidR="00216F9D">
        <w:t>May</w:t>
      </w:r>
      <w:r w:rsidR="00D84817">
        <w:t xml:space="preserve"> 2022</w:t>
      </w:r>
    </w:p>
    <w:p w14:paraId="4474ADFB" w14:textId="77777777" w:rsidR="001D4C35" w:rsidRDefault="001D4C35">
      <w:pPr>
        <w:pStyle w:val="BodyText"/>
        <w:spacing w:before="7"/>
      </w:pPr>
    </w:p>
    <w:p w14:paraId="4474ADFC" w14:textId="77777777" w:rsidR="001D4C35" w:rsidRDefault="00D84817">
      <w:pPr>
        <w:pStyle w:val="Heading3"/>
        <w:ind w:left="172"/>
      </w:pPr>
      <w:r>
        <w:rPr>
          <w:u w:val="single"/>
        </w:rPr>
        <w:t>Introduction</w:t>
      </w:r>
    </w:p>
    <w:p w14:paraId="4474ADFD" w14:textId="77777777" w:rsidR="001D4C35" w:rsidRDefault="001D4C35">
      <w:pPr>
        <w:pStyle w:val="BodyText"/>
        <w:spacing w:before="11"/>
        <w:rPr>
          <w:b/>
          <w:sz w:val="19"/>
        </w:rPr>
      </w:pPr>
    </w:p>
    <w:p w14:paraId="4474ADFE" w14:textId="77777777" w:rsidR="001D4C35" w:rsidRDefault="00D84817">
      <w:pPr>
        <w:pStyle w:val="BodyText"/>
        <w:spacing w:before="100" w:line="276" w:lineRule="auto"/>
        <w:ind w:left="171" w:right="107"/>
        <w:jc w:val="both"/>
      </w:pPr>
      <w:r>
        <w:t>This paper sets out the industry’s positions related to the design and calibration of market risk framework in Europe</w:t>
      </w:r>
      <w:r>
        <w:rPr>
          <w:spacing w:val="-6"/>
        </w:rPr>
        <w:t xml:space="preserve"> </w:t>
      </w:r>
      <w:r>
        <w:t>as</w:t>
      </w:r>
      <w:r>
        <w:rPr>
          <w:spacing w:val="-5"/>
        </w:rPr>
        <w:t xml:space="preserve"> </w:t>
      </w:r>
      <w:r>
        <w:t>prescribed</w:t>
      </w:r>
      <w:r>
        <w:rPr>
          <w:spacing w:val="-4"/>
        </w:rPr>
        <w:t xml:space="preserve"> </w:t>
      </w:r>
      <w:r>
        <w:t>in</w:t>
      </w:r>
      <w:r>
        <w:rPr>
          <w:spacing w:val="-9"/>
        </w:rPr>
        <w:t xml:space="preserve"> </w:t>
      </w:r>
      <w:r>
        <w:t>the</w:t>
      </w:r>
      <w:r>
        <w:rPr>
          <w:spacing w:val="-6"/>
        </w:rPr>
        <w:t xml:space="preserve"> </w:t>
      </w:r>
      <w:r>
        <w:t>CRR</w:t>
      </w:r>
      <w:r>
        <w:rPr>
          <w:spacing w:val="-7"/>
        </w:rPr>
        <w:t xml:space="preserve"> </w:t>
      </w:r>
      <w:r>
        <w:t>3</w:t>
      </w:r>
      <w:r>
        <w:rPr>
          <w:spacing w:val="-8"/>
        </w:rPr>
        <w:t xml:space="preserve"> </w:t>
      </w:r>
      <w:r>
        <w:t>proposal.</w:t>
      </w:r>
      <w:hyperlink w:anchor="_bookmark39" w:history="1">
        <w:r>
          <w:rPr>
            <w:position w:val="5"/>
            <w:sz w:val="14"/>
          </w:rPr>
          <w:t>1</w:t>
        </w:r>
        <w:r>
          <w:rPr>
            <w:spacing w:val="10"/>
            <w:position w:val="5"/>
            <w:sz w:val="14"/>
          </w:rPr>
          <w:t xml:space="preserve"> </w:t>
        </w:r>
      </w:hyperlink>
      <w:r>
        <w:t>In</w:t>
      </w:r>
      <w:r>
        <w:rPr>
          <w:spacing w:val="-6"/>
        </w:rPr>
        <w:t xml:space="preserve"> </w:t>
      </w:r>
      <w:r>
        <w:t>the</w:t>
      </w:r>
      <w:r>
        <w:rPr>
          <w:spacing w:val="-5"/>
        </w:rPr>
        <w:t xml:space="preserve"> </w:t>
      </w:r>
      <w:r>
        <w:t>EU,</w:t>
      </w:r>
      <w:r>
        <w:rPr>
          <w:spacing w:val="-7"/>
        </w:rPr>
        <w:t xml:space="preserve"> </w:t>
      </w:r>
      <w:r>
        <w:t>the</w:t>
      </w:r>
      <w:r>
        <w:rPr>
          <w:spacing w:val="-5"/>
        </w:rPr>
        <w:t xml:space="preserve"> </w:t>
      </w:r>
      <w:r>
        <w:t>implementation</w:t>
      </w:r>
      <w:r>
        <w:rPr>
          <w:spacing w:val="-6"/>
        </w:rPr>
        <w:t xml:space="preserve"> </w:t>
      </w:r>
      <w:r>
        <w:t>of</w:t>
      </w:r>
      <w:r>
        <w:rPr>
          <w:spacing w:val="-5"/>
        </w:rPr>
        <w:t xml:space="preserve"> </w:t>
      </w:r>
      <w:r>
        <w:t>the</w:t>
      </w:r>
      <w:r>
        <w:rPr>
          <w:spacing w:val="-5"/>
        </w:rPr>
        <w:t xml:space="preserve"> </w:t>
      </w:r>
      <w:r>
        <w:t>Fundamental</w:t>
      </w:r>
      <w:r>
        <w:rPr>
          <w:spacing w:val="-6"/>
        </w:rPr>
        <w:t xml:space="preserve"> </w:t>
      </w:r>
      <w:r>
        <w:t>Review</w:t>
      </w:r>
      <w:r>
        <w:rPr>
          <w:spacing w:val="-5"/>
        </w:rPr>
        <w:t xml:space="preserve"> </w:t>
      </w:r>
      <w:r>
        <w:t>of</w:t>
      </w:r>
      <w:r>
        <w:rPr>
          <w:spacing w:val="-5"/>
        </w:rPr>
        <w:t xml:space="preserve"> </w:t>
      </w:r>
      <w:r>
        <w:t xml:space="preserve">the Trading Book (FRTB) has followed a two-step approach – with CRR </w:t>
      </w:r>
      <w:r>
        <w:rPr>
          <w:spacing w:val="5"/>
        </w:rPr>
        <w:t>2</w:t>
      </w:r>
      <w:hyperlink w:anchor="_bookmark40" w:history="1">
        <w:r>
          <w:rPr>
            <w:spacing w:val="5"/>
            <w:position w:val="5"/>
            <w:sz w:val="13"/>
          </w:rPr>
          <w:t>2</w:t>
        </w:r>
      </w:hyperlink>
      <w:r>
        <w:rPr>
          <w:spacing w:val="5"/>
          <w:position w:val="5"/>
          <w:sz w:val="13"/>
        </w:rPr>
        <w:t xml:space="preserve"> </w:t>
      </w:r>
      <w:r>
        <w:t>setting out reporting requirements for both the FRTB Standardized Approach (SA) and the Internal Model Approach (IMA) and certain elements of the</w:t>
      </w:r>
      <w:r>
        <w:rPr>
          <w:spacing w:val="-9"/>
        </w:rPr>
        <w:t xml:space="preserve"> </w:t>
      </w:r>
      <w:r>
        <w:t>trading</w:t>
      </w:r>
      <w:r>
        <w:rPr>
          <w:spacing w:val="-10"/>
        </w:rPr>
        <w:t xml:space="preserve"> </w:t>
      </w:r>
      <w:r>
        <w:t>and</w:t>
      </w:r>
      <w:r>
        <w:rPr>
          <w:spacing w:val="-8"/>
        </w:rPr>
        <w:t xml:space="preserve"> </w:t>
      </w:r>
      <w:r>
        <w:t>banking</w:t>
      </w:r>
      <w:r>
        <w:rPr>
          <w:spacing w:val="-10"/>
        </w:rPr>
        <w:t xml:space="preserve"> </w:t>
      </w:r>
      <w:r>
        <w:t>book</w:t>
      </w:r>
      <w:r>
        <w:rPr>
          <w:spacing w:val="-9"/>
        </w:rPr>
        <w:t xml:space="preserve"> </w:t>
      </w:r>
      <w:r>
        <w:t>boundary.</w:t>
      </w:r>
      <w:r>
        <w:rPr>
          <w:spacing w:val="-10"/>
        </w:rPr>
        <w:t xml:space="preserve"> </w:t>
      </w:r>
      <w:r>
        <w:t>The</w:t>
      </w:r>
      <w:r>
        <w:rPr>
          <w:spacing w:val="-9"/>
        </w:rPr>
        <w:t xml:space="preserve"> </w:t>
      </w:r>
      <w:r>
        <w:t>CRR</w:t>
      </w:r>
      <w:r>
        <w:rPr>
          <w:spacing w:val="-6"/>
        </w:rPr>
        <w:t xml:space="preserve"> </w:t>
      </w:r>
      <w:r>
        <w:t>3</w:t>
      </w:r>
      <w:r>
        <w:rPr>
          <w:spacing w:val="-12"/>
        </w:rPr>
        <w:t xml:space="preserve"> </w:t>
      </w:r>
      <w:r>
        <w:t>converts</w:t>
      </w:r>
      <w:r>
        <w:rPr>
          <w:spacing w:val="-8"/>
        </w:rPr>
        <w:t xml:space="preserve"> </w:t>
      </w:r>
      <w:r>
        <w:t>these</w:t>
      </w:r>
      <w:r>
        <w:rPr>
          <w:spacing w:val="-9"/>
        </w:rPr>
        <w:t xml:space="preserve"> </w:t>
      </w:r>
      <w:r>
        <w:t>reporting</w:t>
      </w:r>
      <w:r>
        <w:rPr>
          <w:spacing w:val="-10"/>
        </w:rPr>
        <w:t xml:space="preserve"> </w:t>
      </w:r>
      <w:r>
        <w:t>requirements</w:t>
      </w:r>
      <w:r>
        <w:rPr>
          <w:spacing w:val="-9"/>
        </w:rPr>
        <w:t xml:space="preserve"> </w:t>
      </w:r>
      <w:r>
        <w:t>into</w:t>
      </w:r>
      <w:r>
        <w:rPr>
          <w:spacing w:val="-10"/>
        </w:rPr>
        <w:t xml:space="preserve"> </w:t>
      </w:r>
      <w:r>
        <w:t>pillar</w:t>
      </w:r>
      <w:r>
        <w:rPr>
          <w:spacing w:val="-8"/>
        </w:rPr>
        <w:t xml:space="preserve"> </w:t>
      </w:r>
      <w:r>
        <w:t>1</w:t>
      </w:r>
      <w:r>
        <w:rPr>
          <w:spacing w:val="-12"/>
        </w:rPr>
        <w:t xml:space="preserve"> </w:t>
      </w:r>
      <w:r>
        <w:t>capital binding requirements and finalises the trading/ banking book</w:t>
      </w:r>
      <w:r>
        <w:rPr>
          <w:spacing w:val="-7"/>
        </w:rPr>
        <w:t xml:space="preserve"> </w:t>
      </w:r>
      <w:r>
        <w:t>boundary.</w:t>
      </w:r>
    </w:p>
    <w:p w14:paraId="4474ADFF" w14:textId="77777777" w:rsidR="001D4C35" w:rsidRDefault="00D84817">
      <w:pPr>
        <w:pStyle w:val="BodyText"/>
        <w:spacing w:before="120" w:line="276" w:lineRule="auto"/>
        <w:ind w:left="171" w:right="105"/>
        <w:jc w:val="both"/>
      </w:pPr>
      <w:r>
        <w:t xml:space="preserve">As a result, CRR 3 represents a key step in the implementation of FRTB in Europe, and it will be crucial to ensure its calibration and design remains fit and appropriate. It is furthermore important that the standards are implemented simultaneously and harmoniously across jurisdictions to avoid undue technological, operational and business burden for banks. Trading businesses </w:t>
      </w:r>
      <w:r>
        <w:rPr>
          <w:spacing w:val="-3"/>
        </w:rPr>
        <w:t xml:space="preserve">of </w:t>
      </w:r>
      <w:r>
        <w:t>banks are fundamentally global, and possible fragmentation of trading books because of inconsistent implementation of FRTB would result in reduced market making capacity and fragmentation in the</w:t>
      </w:r>
      <w:r>
        <w:rPr>
          <w:spacing w:val="-2"/>
        </w:rPr>
        <w:t xml:space="preserve"> </w:t>
      </w:r>
      <w:r>
        <w:t>markets.</w:t>
      </w:r>
    </w:p>
    <w:p w14:paraId="4474AE00" w14:textId="77777777" w:rsidR="001D4C35" w:rsidRDefault="00D84817">
      <w:pPr>
        <w:pStyle w:val="BodyText"/>
        <w:spacing w:before="120" w:line="276" w:lineRule="auto"/>
        <w:ind w:left="171" w:right="105" w:hanging="1"/>
        <w:jc w:val="both"/>
      </w:pPr>
      <w:r>
        <w:t>The two-step approach (CRR2 &amp; CRR3) to implementing the trading and banking book boundary may result in undesired cliff-edge impacts on existing positions that have durations beyond the implementation date of the CRR2 (28 June 2023) and CRR3 (expected January, 2025). While the FRTB rules are designed to provide supervisory control going forward, it was not intended to result in operational burden or to penalise existing positions</w:t>
      </w:r>
      <w:r>
        <w:rPr>
          <w:spacing w:val="-14"/>
        </w:rPr>
        <w:t xml:space="preserve"> </w:t>
      </w:r>
      <w:r>
        <w:t>that</w:t>
      </w:r>
      <w:r>
        <w:rPr>
          <w:spacing w:val="-13"/>
        </w:rPr>
        <w:t xml:space="preserve"> </w:t>
      </w:r>
      <w:r>
        <w:t>have</w:t>
      </w:r>
      <w:r>
        <w:rPr>
          <w:spacing w:val="-14"/>
        </w:rPr>
        <w:t xml:space="preserve"> </w:t>
      </w:r>
      <w:r>
        <w:t>been</w:t>
      </w:r>
      <w:r>
        <w:rPr>
          <w:spacing w:val="-14"/>
        </w:rPr>
        <w:t xml:space="preserve"> </w:t>
      </w:r>
      <w:r>
        <w:t>allocated</w:t>
      </w:r>
      <w:r>
        <w:rPr>
          <w:spacing w:val="-13"/>
        </w:rPr>
        <w:t xml:space="preserve"> </w:t>
      </w:r>
      <w:r>
        <w:t>across</w:t>
      </w:r>
      <w:r>
        <w:rPr>
          <w:spacing w:val="-13"/>
        </w:rPr>
        <w:t xml:space="preserve"> </w:t>
      </w:r>
      <w:r>
        <w:t>the</w:t>
      </w:r>
      <w:r>
        <w:rPr>
          <w:spacing w:val="-14"/>
        </w:rPr>
        <w:t xml:space="preserve"> </w:t>
      </w:r>
      <w:r>
        <w:t>books</w:t>
      </w:r>
      <w:r>
        <w:rPr>
          <w:spacing w:val="-13"/>
        </w:rPr>
        <w:t xml:space="preserve"> </w:t>
      </w:r>
      <w:r>
        <w:t>under</w:t>
      </w:r>
      <w:r>
        <w:rPr>
          <w:spacing w:val="-14"/>
        </w:rPr>
        <w:t xml:space="preserve"> </w:t>
      </w:r>
      <w:r>
        <w:t>the</w:t>
      </w:r>
      <w:r>
        <w:rPr>
          <w:spacing w:val="-14"/>
        </w:rPr>
        <w:t xml:space="preserve"> </w:t>
      </w:r>
      <w:r>
        <w:t>current</w:t>
      </w:r>
      <w:r>
        <w:rPr>
          <w:spacing w:val="-14"/>
        </w:rPr>
        <w:t xml:space="preserve"> </w:t>
      </w:r>
      <w:r>
        <w:t>rules.</w:t>
      </w:r>
      <w:r>
        <w:rPr>
          <w:spacing w:val="-16"/>
        </w:rPr>
        <w:t xml:space="preserve"> </w:t>
      </w:r>
      <w:r>
        <w:t>It</w:t>
      </w:r>
      <w:r>
        <w:rPr>
          <w:spacing w:val="-14"/>
        </w:rPr>
        <w:t xml:space="preserve"> </w:t>
      </w:r>
      <w:r>
        <w:t>is</w:t>
      </w:r>
      <w:r>
        <w:rPr>
          <w:spacing w:val="-13"/>
        </w:rPr>
        <w:t xml:space="preserve"> </w:t>
      </w:r>
      <w:r>
        <w:t>important</w:t>
      </w:r>
      <w:r>
        <w:rPr>
          <w:spacing w:val="-14"/>
        </w:rPr>
        <w:t xml:space="preserve"> </w:t>
      </w:r>
      <w:r>
        <w:t>to</w:t>
      </w:r>
      <w:r>
        <w:rPr>
          <w:spacing w:val="-14"/>
        </w:rPr>
        <w:t xml:space="preserve"> </w:t>
      </w:r>
      <w:r>
        <w:t>have</w:t>
      </w:r>
      <w:r>
        <w:rPr>
          <w:spacing w:val="-14"/>
        </w:rPr>
        <w:t xml:space="preserve"> </w:t>
      </w:r>
      <w:r>
        <w:t>appropriate grandfathering provisions in place, as well as supervisory flexibility for reallocation without undue penalty charges given the bifurcation of the requirements in CRR2 &amp; CRR3</w:t>
      </w:r>
      <w:r>
        <w:rPr>
          <w:spacing w:val="-8"/>
        </w:rPr>
        <w:t xml:space="preserve"> </w:t>
      </w:r>
      <w:r>
        <w:t>.</w:t>
      </w:r>
    </w:p>
    <w:p w14:paraId="4474AE01" w14:textId="77777777" w:rsidR="001D4C35" w:rsidRDefault="00D84817">
      <w:pPr>
        <w:pStyle w:val="BodyText"/>
        <w:spacing w:before="120" w:line="276" w:lineRule="auto"/>
        <w:ind w:left="171" w:right="105"/>
        <w:jc w:val="both"/>
      </w:pPr>
      <w:r>
        <w:t>In</w:t>
      </w:r>
      <w:r>
        <w:rPr>
          <w:spacing w:val="-11"/>
        </w:rPr>
        <w:t xml:space="preserve"> </w:t>
      </w:r>
      <w:r>
        <w:t>addition,</w:t>
      </w:r>
      <w:r>
        <w:rPr>
          <w:spacing w:val="-12"/>
        </w:rPr>
        <w:t xml:space="preserve"> </w:t>
      </w:r>
      <w:r>
        <w:t>the</w:t>
      </w:r>
      <w:r>
        <w:rPr>
          <w:spacing w:val="-10"/>
        </w:rPr>
        <w:t xml:space="preserve"> </w:t>
      </w:r>
      <w:r>
        <w:t>Industry</w:t>
      </w:r>
      <w:r>
        <w:rPr>
          <w:spacing w:val="-10"/>
        </w:rPr>
        <w:t xml:space="preserve"> </w:t>
      </w:r>
      <w:r>
        <w:t>remains</w:t>
      </w:r>
      <w:r>
        <w:rPr>
          <w:spacing w:val="-9"/>
        </w:rPr>
        <w:t xml:space="preserve"> </w:t>
      </w:r>
      <w:r>
        <w:t>concerned</w:t>
      </w:r>
      <w:r>
        <w:rPr>
          <w:spacing w:val="-10"/>
        </w:rPr>
        <w:t xml:space="preserve"> </w:t>
      </w:r>
      <w:r>
        <w:t>by</w:t>
      </w:r>
      <w:r>
        <w:rPr>
          <w:spacing w:val="-10"/>
        </w:rPr>
        <w:t xml:space="preserve"> </w:t>
      </w:r>
      <w:r>
        <w:t>certain</w:t>
      </w:r>
      <w:r>
        <w:rPr>
          <w:spacing w:val="-10"/>
        </w:rPr>
        <w:t xml:space="preserve"> </w:t>
      </w:r>
      <w:r>
        <w:t>elements</w:t>
      </w:r>
      <w:r>
        <w:rPr>
          <w:spacing w:val="-9"/>
        </w:rPr>
        <w:t xml:space="preserve"> </w:t>
      </w:r>
      <w:r>
        <w:t>in</w:t>
      </w:r>
      <w:r>
        <w:rPr>
          <w:spacing w:val="-10"/>
        </w:rPr>
        <w:t xml:space="preserve"> </w:t>
      </w:r>
      <w:r>
        <w:t>the</w:t>
      </w:r>
      <w:r>
        <w:rPr>
          <w:spacing w:val="-11"/>
        </w:rPr>
        <w:t xml:space="preserve"> </w:t>
      </w:r>
      <w:r>
        <w:t>market</w:t>
      </w:r>
      <w:r>
        <w:rPr>
          <w:spacing w:val="-9"/>
        </w:rPr>
        <w:t xml:space="preserve"> </w:t>
      </w:r>
      <w:r>
        <w:t>risk</w:t>
      </w:r>
      <w:r>
        <w:rPr>
          <w:spacing w:val="-11"/>
        </w:rPr>
        <w:t xml:space="preserve"> </w:t>
      </w:r>
      <w:r>
        <w:t>reforms</w:t>
      </w:r>
      <w:r>
        <w:rPr>
          <w:spacing w:val="-9"/>
        </w:rPr>
        <w:t xml:space="preserve"> </w:t>
      </w:r>
      <w:r>
        <w:t>and</w:t>
      </w:r>
      <w:r>
        <w:rPr>
          <w:spacing w:val="-13"/>
        </w:rPr>
        <w:t xml:space="preserve"> </w:t>
      </w:r>
      <w:r>
        <w:t>the</w:t>
      </w:r>
      <w:r>
        <w:rPr>
          <w:spacing w:val="-10"/>
        </w:rPr>
        <w:t xml:space="preserve"> </w:t>
      </w:r>
      <w:r>
        <w:t xml:space="preserve">significant impact the package will have </w:t>
      </w:r>
      <w:r>
        <w:rPr>
          <w:spacing w:val="-3"/>
        </w:rPr>
        <w:t xml:space="preserve">on </w:t>
      </w:r>
      <w:r>
        <w:t>capital requirements for specific product and risk categories. The implementation of the FRTB will materially increase capital requirements for banks with market making activities in Europe, while elsewhere the Commission is trying to promote market-based financing through the Capital Markets Union (CMU)</w:t>
      </w:r>
      <w:r>
        <w:rPr>
          <w:spacing w:val="-7"/>
        </w:rPr>
        <w:t xml:space="preserve"> </w:t>
      </w:r>
      <w:r>
        <w:t>project.</w:t>
      </w:r>
    </w:p>
    <w:p w14:paraId="4474AE02" w14:textId="77777777" w:rsidR="001D4C35" w:rsidRDefault="00D84817">
      <w:pPr>
        <w:pStyle w:val="BodyText"/>
        <w:spacing w:before="121" w:line="276" w:lineRule="auto"/>
        <w:ind w:left="171" w:right="105" w:hanging="1"/>
        <w:jc w:val="both"/>
      </w:pPr>
      <w:r>
        <w:t>In the latest EBA’s advice</w:t>
      </w:r>
      <w:hyperlink w:anchor="_bookmark41" w:history="1">
        <w:r>
          <w:rPr>
            <w:position w:val="5"/>
            <w:sz w:val="14"/>
          </w:rPr>
          <w:t>3</w:t>
        </w:r>
      </w:hyperlink>
      <w:r>
        <w:rPr>
          <w:position w:val="5"/>
          <w:sz w:val="14"/>
        </w:rPr>
        <w:t xml:space="preserve"> </w:t>
      </w:r>
      <w:r>
        <w:t>published in September 2021 using banks’ data as of December 2020, the EBA has estimated that the impact of the FRTB would be 32.5% higher (using a simple average) relative to current RWA</w:t>
      </w:r>
      <w:r>
        <w:rPr>
          <w:spacing w:val="-4"/>
        </w:rPr>
        <w:t xml:space="preserve"> </w:t>
      </w:r>
      <w:r>
        <w:t>levels</w:t>
      </w:r>
      <w:r>
        <w:rPr>
          <w:spacing w:val="-5"/>
        </w:rPr>
        <w:t xml:space="preserve"> </w:t>
      </w:r>
      <w:r>
        <w:t>for</w:t>
      </w:r>
      <w:r>
        <w:rPr>
          <w:spacing w:val="-2"/>
        </w:rPr>
        <w:t xml:space="preserve"> </w:t>
      </w:r>
      <w:r>
        <w:t>the</w:t>
      </w:r>
      <w:r>
        <w:rPr>
          <w:spacing w:val="-5"/>
        </w:rPr>
        <w:t xml:space="preserve"> </w:t>
      </w:r>
      <w:r>
        <w:t>same</w:t>
      </w:r>
      <w:r>
        <w:rPr>
          <w:spacing w:val="-6"/>
        </w:rPr>
        <w:t xml:space="preserve"> </w:t>
      </w:r>
      <w:r>
        <w:t>risks.</w:t>
      </w:r>
      <w:r>
        <w:rPr>
          <w:spacing w:val="-4"/>
        </w:rPr>
        <w:t xml:space="preserve"> </w:t>
      </w:r>
      <w:r>
        <w:t>However,</w:t>
      </w:r>
      <w:r>
        <w:rPr>
          <w:spacing w:val="-7"/>
        </w:rPr>
        <w:t xml:space="preserve"> </w:t>
      </w:r>
      <w:r>
        <w:t>we</w:t>
      </w:r>
      <w:r>
        <w:rPr>
          <w:spacing w:val="-2"/>
        </w:rPr>
        <w:t xml:space="preserve"> </w:t>
      </w:r>
      <w:r>
        <w:t>believe</w:t>
      </w:r>
      <w:r>
        <w:rPr>
          <w:spacing w:val="-2"/>
        </w:rPr>
        <w:t xml:space="preserve"> </w:t>
      </w:r>
      <w:r>
        <w:t>this</w:t>
      </w:r>
      <w:r>
        <w:rPr>
          <w:spacing w:val="-2"/>
        </w:rPr>
        <w:t xml:space="preserve"> </w:t>
      </w:r>
      <w:r>
        <w:t>latest</w:t>
      </w:r>
      <w:r>
        <w:rPr>
          <w:spacing w:val="-1"/>
        </w:rPr>
        <w:t xml:space="preserve"> </w:t>
      </w:r>
      <w:r>
        <w:t>figure</w:t>
      </w:r>
      <w:r>
        <w:rPr>
          <w:spacing w:val="-2"/>
        </w:rPr>
        <w:t xml:space="preserve"> </w:t>
      </w:r>
      <w:r>
        <w:t>is</w:t>
      </w:r>
      <w:r>
        <w:rPr>
          <w:spacing w:val="-1"/>
        </w:rPr>
        <w:t xml:space="preserve"> </w:t>
      </w:r>
      <w:r>
        <w:t>underestimating</w:t>
      </w:r>
      <w:r>
        <w:rPr>
          <w:spacing w:val="-3"/>
        </w:rPr>
        <w:t xml:space="preserve"> </w:t>
      </w:r>
      <w:r>
        <w:t>the</w:t>
      </w:r>
      <w:r>
        <w:rPr>
          <w:spacing w:val="-2"/>
        </w:rPr>
        <w:t xml:space="preserve"> </w:t>
      </w:r>
      <w:r>
        <w:t>impact</w:t>
      </w:r>
      <w:r>
        <w:rPr>
          <w:spacing w:val="-5"/>
        </w:rPr>
        <w:t xml:space="preserve"> </w:t>
      </w:r>
      <w:r>
        <w:t>and</w:t>
      </w:r>
      <w:r>
        <w:rPr>
          <w:spacing w:val="-1"/>
        </w:rPr>
        <w:t xml:space="preserve"> </w:t>
      </w:r>
      <w:r>
        <w:rPr>
          <w:spacing w:val="-3"/>
        </w:rPr>
        <w:t>is</w:t>
      </w:r>
      <w:r>
        <w:t xml:space="preserve"> not in line with industry quantitative impact studies, as it reflects a best case scenario where firms can continue using their current modelling permissions which is unlikely to be attained given that some desks are likely to fail</w:t>
      </w:r>
      <w:r>
        <w:rPr>
          <w:spacing w:val="-15"/>
        </w:rPr>
        <w:t xml:space="preserve"> </w:t>
      </w:r>
      <w:r>
        <w:t>the</w:t>
      </w:r>
      <w:r>
        <w:rPr>
          <w:spacing w:val="-13"/>
        </w:rPr>
        <w:t xml:space="preserve"> </w:t>
      </w:r>
      <w:r>
        <w:t>IMA</w:t>
      </w:r>
      <w:r>
        <w:rPr>
          <w:spacing w:val="-15"/>
        </w:rPr>
        <w:t xml:space="preserve"> </w:t>
      </w:r>
      <w:r>
        <w:t>eligibility</w:t>
      </w:r>
      <w:r>
        <w:rPr>
          <w:spacing w:val="-13"/>
        </w:rPr>
        <w:t xml:space="preserve"> </w:t>
      </w:r>
      <w:r>
        <w:t>tests.</w:t>
      </w:r>
      <w:r>
        <w:rPr>
          <w:spacing w:val="-15"/>
        </w:rPr>
        <w:t xml:space="preserve"> </w:t>
      </w:r>
      <w:r>
        <w:t>Furthermore,</w:t>
      </w:r>
      <w:r>
        <w:rPr>
          <w:spacing w:val="-15"/>
        </w:rPr>
        <w:t xml:space="preserve"> </w:t>
      </w:r>
      <w:r>
        <w:t>these</w:t>
      </w:r>
      <w:r>
        <w:rPr>
          <w:spacing w:val="-13"/>
        </w:rPr>
        <w:t xml:space="preserve"> </w:t>
      </w:r>
      <w:r>
        <w:t>estimates</w:t>
      </w:r>
      <w:r>
        <w:rPr>
          <w:spacing w:val="-12"/>
        </w:rPr>
        <w:t xml:space="preserve"> </w:t>
      </w:r>
      <w:r>
        <w:t>from</w:t>
      </w:r>
      <w:r>
        <w:rPr>
          <w:spacing w:val="-13"/>
        </w:rPr>
        <w:t xml:space="preserve"> </w:t>
      </w:r>
      <w:r>
        <w:t>the</w:t>
      </w:r>
      <w:r>
        <w:rPr>
          <w:spacing w:val="-13"/>
        </w:rPr>
        <w:t xml:space="preserve"> </w:t>
      </w:r>
      <w:r>
        <w:t>EBA</w:t>
      </w:r>
      <w:r>
        <w:rPr>
          <w:spacing w:val="-15"/>
        </w:rPr>
        <w:t xml:space="preserve"> </w:t>
      </w:r>
      <w:r>
        <w:t>do</w:t>
      </w:r>
      <w:r>
        <w:rPr>
          <w:spacing w:val="-15"/>
        </w:rPr>
        <w:t xml:space="preserve"> </w:t>
      </w:r>
      <w:r>
        <w:t>not</w:t>
      </w:r>
      <w:r>
        <w:rPr>
          <w:spacing w:val="-12"/>
        </w:rPr>
        <w:t xml:space="preserve"> </w:t>
      </w:r>
      <w:r>
        <w:t>include</w:t>
      </w:r>
      <w:r>
        <w:rPr>
          <w:spacing w:val="-13"/>
        </w:rPr>
        <w:t xml:space="preserve"> </w:t>
      </w:r>
      <w:r>
        <w:t>any</w:t>
      </w:r>
      <w:r>
        <w:rPr>
          <w:spacing w:val="-14"/>
        </w:rPr>
        <w:t xml:space="preserve"> </w:t>
      </w:r>
      <w:r>
        <w:t>market</w:t>
      </w:r>
      <w:r>
        <w:rPr>
          <w:spacing w:val="-12"/>
        </w:rPr>
        <w:t xml:space="preserve"> </w:t>
      </w:r>
      <w:r>
        <w:t>risk</w:t>
      </w:r>
      <w:r>
        <w:rPr>
          <w:spacing w:val="-13"/>
        </w:rPr>
        <w:t xml:space="preserve"> </w:t>
      </w:r>
      <w:r>
        <w:t>impacts from</w:t>
      </w:r>
      <w:r>
        <w:rPr>
          <w:spacing w:val="-9"/>
        </w:rPr>
        <w:t xml:space="preserve"> </w:t>
      </w:r>
      <w:r>
        <w:t>three</w:t>
      </w:r>
      <w:r>
        <w:rPr>
          <w:spacing w:val="-9"/>
        </w:rPr>
        <w:t xml:space="preserve"> </w:t>
      </w:r>
      <w:r>
        <w:t>European</w:t>
      </w:r>
      <w:r>
        <w:rPr>
          <w:spacing w:val="-9"/>
        </w:rPr>
        <w:t xml:space="preserve"> </w:t>
      </w:r>
      <w:r>
        <w:t>G-SIBs.</w:t>
      </w:r>
      <w:r>
        <w:rPr>
          <w:spacing w:val="-10"/>
        </w:rPr>
        <w:t xml:space="preserve"> </w:t>
      </w:r>
      <w:r>
        <w:t>The</w:t>
      </w:r>
      <w:r>
        <w:rPr>
          <w:spacing w:val="-9"/>
        </w:rPr>
        <w:t xml:space="preserve"> </w:t>
      </w:r>
      <w:r>
        <w:t>reason</w:t>
      </w:r>
      <w:r>
        <w:rPr>
          <w:spacing w:val="-9"/>
        </w:rPr>
        <w:t xml:space="preserve"> </w:t>
      </w:r>
      <w:r>
        <w:t>for</w:t>
      </w:r>
      <w:r>
        <w:rPr>
          <w:spacing w:val="-12"/>
        </w:rPr>
        <w:t xml:space="preserve"> </w:t>
      </w:r>
      <w:r>
        <w:t>exclusion</w:t>
      </w:r>
      <w:r>
        <w:rPr>
          <w:spacing w:val="-9"/>
        </w:rPr>
        <w:t xml:space="preserve"> </w:t>
      </w:r>
      <w:r>
        <w:t>of</w:t>
      </w:r>
      <w:r>
        <w:rPr>
          <w:spacing w:val="-8"/>
        </w:rPr>
        <w:t xml:space="preserve"> </w:t>
      </w:r>
      <w:r>
        <w:t>all</w:t>
      </w:r>
      <w:r>
        <w:rPr>
          <w:spacing w:val="-10"/>
        </w:rPr>
        <w:t xml:space="preserve"> </w:t>
      </w:r>
      <w:r>
        <w:t>FRTB</w:t>
      </w:r>
      <w:r>
        <w:rPr>
          <w:spacing w:val="-7"/>
        </w:rPr>
        <w:t xml:space="preserve"> </w:t>
      </w:r>
      <w:r>
        <w:t>data</w:t>
      </w:r>
      <w:r>
        <w:rPr>
          <w:spacing w:val="-9"/>
        </w:rPr>
        <w:t xml:space="preserve"> </w:t>
      </w:r>
      <w:r>
        <w:t>from</w:t>
      </w:r>
      <w:r>
        <w:rPr>
          <w:spacing w:val="-9"/>
        </w:rPr>
        <w:t xml:space="preserve"> </w:t>
      </w:r>
      <w:r>
        <w:t>these</w:t>
      </w:r>
      <w:r>
        <w:rPr>
          <w:spacing w:val="-9"/>
        </w:rPr>
        <w:t xml:space="preserve"> </w:t>
      </w:r>
      <w:r>
        <w:t>institutions</w:t>
      </w:r>
      <w:r>
        <w:rPr>
          <w:spacing w:val="-7"/>
        </w:rPr>
        <w:t xml:space="preserve"> </w:t>
      </w:r>
      <w:r>
        <w:t>was</w:t>
      </w:r>
      <w:r>
        <w:rPr>
          <w:spacing w:val="-8"/>
        </w:rPr>
        <w:t xml:space="preserve"> </w:t>
      </w:r>
      <w:r>
        <w:t>due</w:t>
      </w:r>
      <w:r>
        <w:rPr>
          <w:spacing w:val="-9"/>
        </w:rPr>
        <w:t xml:space="preserve"> </w:t>
      </w:r>
      <w:r>
        <w:t>to</w:t>
      </w:r>
      <w:r>
        <w:rPr>
          <w:spacing w:val="-10"/>
        </w:rPr>
        <w:t xml:space="preserve"> </w:t>
      </w:r>
      <w:r>
        <w:t>their capital treatment of equity investment in funds, which the EBA deemed to be based on overly conservative assumptions.</w:t>
      </w:r>
    </w:p>
    <w:p w14:paraId="4474AE03" w14:textId="77777777" w:rsidR="001D4C35" w:rsidRDefault="001D4C35">
      <w:pPr>
        <w:pStyle w:val="BodyText"/>
        <w:rPr>
          <w:sz w:val="20"/>
        </w:rPr>
      </w:pPr>
    </w:p>
    <w:p w14:paraId="4474AE04" w14:textId="77777777" w:rsidR="001D4C35" w:rsidRDefault="006F73FF">
      <w:pPr>
        <w:pStyle w:val="BodyText"/>
        <w:spacing w:before="10"/>
        <w:rPr>
          <w:sz w:val="29"/>
        </w:rPr>
      </w:pPr>
      <w:r>
        <w:pict w14:anchorId="4474B090">
          <v:shape id="_x0000_s2095" style="position:absolute;margin-left:42.6pt;margin-top:19.9pt;width:2in;height:.1pt;z-index:-251594752;mso-wrap-distance-left:0;mso-wrap-distance-right:0;mso-position-horizontal-relative:page" coordorigin="852,398" coordsize="2880,0" path="m852,398r2880,e" filled="f" strokeweight=".8pt">
            <v:path arrowok="t"/>
            <w10:wrap type="topAndBottom" anchorx="page"/>
          </v:shape>
        </w:pict>
      </w:r>
    </w:p>
    <w:p w14:paraId="4474AE05" w14:textId="77777777" w:rsidR="001D4C35" w:rsidRDefault="00D84817">
      <w:pPr>
        <w:spacing w:before="79"/>
        <w:ind w:left="172"/>
        <w:rPr>
          <w:sz w:val="16"/>
        </w:rPr>
      </w:pPr>
      <w:bookmarkStart w:id="10" w:name="_bookmark39"/>
      <w:bookmarkEnd w:id="10"/>
      <w:r>
        <w:rPr>
          <w:position w:val="4"/>
          <w:sz w:val="10"/>
        </w:rPr>
        <w:t xml:space="preserve">1 </w:t>
      </w:r>
      <w:hyperlink r:id="rId10">
        <w:r>
          <w:rPr>
            <w:color w:val="0000FF"/>
            <w:sz w:val="16"/>
            <w:u w:val="single" w:color="0000FF"/>
          </w:rPr>
          <w:t>https://ec.europa.eu/info/publications/211027-banking-package_en</w:t>
        </w:r>
      </w:hyperlink>
    </w:p>
    <w:p w14:paraId="4474AE06" w14:textId="77777777" w:rsidR="001D4C35" w:rsidRDefault="00D84817">
      <w:pPr>
        <w:ind w:left="172"/>
        <w:rPr>
          <w:sz w:val="16"/>
        </w:rPr>
      </w:pPr>
      <w:bookmarkStart w:id="11" w:name="_bookmark40"/>
      <w:bookmarkEnd w:id="11"/>
      <w:r>
        <w:rPr>
          <w:position w:val="4"/>
          <w:sz w:val="10"/>
        </w:rPr>
        <w:t xml:space="preserve">2 </w:t>
      </w:r>
      <w:hyperlink r:id="rId11">
        <w:r>
          <w:rPr>
            <w:color w:val="0000FF"/>
            <w:sz w:val="16"/>
            <w:u w:val="single" w:color="0000FF"/>
          </w:rPr>
          <w:t>https://eur-lex.europa.eu/legal-content/EN/TXT/?uri=CELEX%3A32019R0876</w:t>
        </w:r>
      </w:hyperlink>
    </w:p>
    <w:bookmarkStart w:id="12" w:name="_bookmark41"/>
    <w:bookmarkEnd w:id="12"/>
    <w:p w14:paraId="4474AE07" w14:textId="77777777" w:rsidR="001D4C35" w:rsidRDefault="00D84817">
      <w:pPr>
        <w:spacing w:before="1"/>
        <w:ind w:left="172"/>
        <w:rPr>
          <w:sz w:val="16"/>
        </w:rPr>
      </w:pPr>
      <w:r>
        <w:fldChar w:fldCharType="begin"/>
      </w:r>
      <w:r>
        <w:instrText xml:space="preserve"> HYPERLINK "https://www.eba.europa.eu/sites/default/documents/files/document_library/Publications/Reports/2021/1020673/EBA%20Report%20on%20Basel%20III%20Monitoring%20%28data%20as%20of%2031%20December%202020%29.pdf" \h </w:instrText>
      </w:r>
      <w:r>
        <w:fldChar w:fldCharType="separate"/>
      </w:r>
      <w:r>
        <w:rPr>
          <w:position w:val="4"/>
          <w:sz w:val="10"/>
        </w:rPr>
        <w:t>3</w:t>
      </w:r>
      <w:r>
        <w:rPr>
          <w:color w:val="0000FF"/>
          <w:sz w:val="16"/>
          <w:u w:val="single" w:color="0000FF"/>
        </w:rPr>
        <w:t>https://www.eba.europa.eu/sites/default/documents/files/document_library/Publications/Reports/2021/1020673/EBA%20Report%20on%20B</w:t>
      </w:r>
      <w:r>
        <w:rPr>
          <w:color w:val="0000FF"/>
          <w:sz w:val="16"/>
          <w:u w:val="single" w:color="0000FF"/>
        </w:rPr>
        <w:fldChar w:fldCharType="end"/>
      </w:r>
    </w:p>
    <w:p w14:paraId="4474AE08" w14:textId="77777777" w:rsidR="001D4C35" w:rsidRDefault="006F73FF">
      <w:pPr>
        <w:ind w:left="172"/>
        <w:rPr>
          <w:sz w:val="16"/>
        </w:rPr>
      </w:pPr>
      <w:hyperlink r:id="rId12">
        <w:r w:rsidR="00D84817">
          <w:rPr>
            <w:color w:val="0000FF"/>
            <w:sz w:val="16"/>
            <w:u w:val="single" w:color="0000FF"/>
          </w:rPr>
          <w:t>asel%20III%20Monitoring%20%28data%20as%20of%2031%20December%202020%29.pdf</w:t>
        </w:r>
      </w:hyperlink>
    </w:p>
    <w:p w14:paraId="4474AE09" w14:textId="77777777" w:rsidR="001D4C35" w:rsidRDefault="001D4C35">
      <w:pPr>
        <w:rPr>
          <w:sz w:val="16"/>
        </w:rPr>
        <w:sectPr w:rsidR="001D4C35">
          <w:footerReference w:type="default" r:id="rId13"/>
          <w:pgSz w:w="11910" w:h="16840"/>
          <w:pgMar w:top="920" w:right="740" w:bottom="1200" w:left="680" w:header="0" w:footer="1000" w:gutter="0"/>
          <w:pgNumType w:start="1"/>
          <w:cols w:space="720"/>
        </w:sectPr>
      </w:pPr>
    </w:p>
    <w:p w14:paraId="4474AE0A" w14:textId="77777777" w:rsidR="001D4C35" w:rsidRDefault="00D84817">
      <w:pPr>
        <w:pStyle w:val="Heading3"/>
        <w:spacing w:before="75"/>
        <w:ind w:left="172"/>
      </w:pPr>
      <w:r>
        <w:rPr>
          <w:u w:val="single"/>
        </w:rPr>
        <w:lastRenderedPageBreak/>
        <w:t>Globally consistent and aligned implementation of FRTB</w:t>
      </w:r>
    </w:p>
    <w:p w14:paraId="4474AE0B" w14:textId="77777777" w:rsidR="001D4C35" w:rsidRDefault="001D4C35">
      <w:pPr>
        <w:pStyle w:val="BodyText"/>
        <w:spacing w:before="4"/>
        <w:rPr>
          <w:b/>
        </w:rPr>
      </w:pPr>
    </w:p>
    <w:p w14:paraId="66F76A3D" w14:textId="77777777" w:rsidR="00756094" w:rsidRDefault="00756094" w:rsidP="00756094">
      <w:pPr>
        <w:pStyle w:val="BodyText"/>
        <w:spacing w:before="100" w:line="276" w:lineRule="auto"/>
        <w:ind w:left="172" w:right="106"/>
        <w:jc w:val="both"/>
      </w:pPr>
      <w:r>
        <w:t>Banks’ wholesale and trading operations are profoundly global in nature as investors from different regions are looking for investment opportunities within their mandates and securities issuers want access to competitively priced finance from all corners of the world.</w:t>
      </w:r>
    </w:p>
    <w:p w14:paraId="3CB386F8" w14:textId="77777777" w:rsidR="00756094" w:rsidRDefault="00756094" w:rsidP="00756094">
      <w:pPr>
        <w:pStyle w:val="BodyText"/>
        <w:spacing w:before="120" w:line="276" w:lineRule="auto"/>
        <w:ind w:left="172" w:right="106"/>
        <w:jc w:val="both"/>
      </w:pPr>
      <w:r>
        <w:t>The industry strongly supports the objectives underpinning the CRR 3 delegated act under Article 461a, to ensure a globally-consistent and aligned implementation of the market risk capital rules.</w:t>
      </w:r>
    </w:p>
    <w:p w14:paraId="4E4DA5A5" w14:textId="77777777" w:rsidR="00756094" w:rsidRDefault="00756094" w:rsidP="00756094">
      <w:pPr>
        <w:pStyle w:val="BodyText"/>
        <w:spacing w:before="120" w:line="276" w:lineRule="auto"/>
        <w:ind w:left="172" w:right="106"/>
        <w:jc w:val="both"/>
        <w:rPr>
          <w:highlight w:val="yellow"/>
        </w:rPr>
      </w:pPr>
      <w:r>
        <w:t>The EU has proposed a start date of 1st January 2025 for the FRTB framework, as set in the European Commission’s CRR 3 proposal and the industry is supportive of this timeline. However, a number of major jurisdictions (including the US and the UK) have not yet published their draft rules, inclusive of the implementation timeline, while others have already set different timing expectations and/or are still consulting on their national rulemaking. We therefore encourage European policymakers to continue to monitor the progress of the transposition of the FRTB in other major jurisdictions and amend the implementation timeline in Europe if necessar</w:t>
      </w:r>
      <w:r w:rsidRPr="00EE04DE">
        <w:t xml:space="preserve">y. </w:t>
      </w:r>
    </w:p>
    <w:p w14:paraId="13D884B5" w14:textId="77777777" w:rsidR="00756094" w:rsidRDefault="00756094" w:rsidP="00756094">
      <w:pPr>
        <w:pStyle w:val="BodyText"/>
        <w:spacing w:before="120" w:line="276" w:lineRule="auto"/>
        <w:ind w:left="172" w:right="106"/>
        <w:jc w:val="both"/>
      </w:pPr>
      <w:r>
        <w:t>T</w:t>
      </w:r>
      <w:r w:rsidRPr="00EE04DE">
        <w:t xml:space="preserve">he </w:t>
      </w:r>
      <w:r>
        <w:t>flexibility</w:t>
      </w:r>
      <w:r w:rsidRPr="00EE04DE">
        <w:t xml:space="preserve"> </w:t>
      </w:r>
      <w:r>
        <w:t>provided</w:t>
      </w:r>
      <w:r w:rsidRPr="00EE04DE">
        <w:t xml:space="preserve"> </w:t>
      </w:r>
      <w:r>
        <w:t xml:space="preserve">in </w:t>
      </w:r>
      <w:r w:rsidRPr="00EE04DE">
        <w:t>the delegated act under</w:t>
      </w:r>
      <w:r>
        <w:t xml:space="preserve"> </w:t>
      </w:r>
      <w:r w:rsidRPr="00EE04DE">
        <w:t>Article 461a, offering a potential 2-year delay to the start date of FRTB</w:t>
      </w:r>
      <w:r>
        <w:t xml:space="preserve"> </w:t>
      </w:r>
      <w:r w:rsidRPr="00EE04DE">
        <w:t>is a critical tool in light of the uncertainty resulting from the lack of visibility on timin</w:t>
      </w:r>
      <w:r>
        <w:t xml:space="preserve">g, </w:t>
      </w:r>
      <w:r w:rsidRPr="00EE04DE">
        <w:t xml:space="preserve">content </w:t>
      </w:r>
      <w:r>
        <w:t>and impact of</w:t>
      </w:r>
      <w:r w:rsidRPr="00EE04DE">
        <w:t xml:space="preserve"> </w:t>
      </w:r>
      <w:r>
        <w:t xml:space="preserve">the locally adopted </w:t>
      </w:r>
      <w:r w:rsidRPr="00EE04DE">
        <w:t xml:space="preserve">FRTB rules in </w:t>
      </w:r>
      <w:r>
        <w:t xml:space="preserve">other </w:t>
      </w:r>
      <w:r w:rsidRPr="00EE04DE">
        <w:t>major jurisdictions.</w:t>
      </w:r>
      <w:r>
        <w:t xml:space="preserve"> Besides, beyond the mechanism to adjust the calibration set in the delegated act, some additional aspects could also be considered, including ensuring the concurrent implementation of both CVA and FRTB framework given the significant read-across between the two standards. </w:t>
      </w:r>
    </w:p>
    <w:p w14:paraId="7467DE74" w14:textId="77777777" w:rsidR="00756094" w:rsidRDefault="00756094" w:rsidP="00756094">
      <w:pPr>
        <w:pStyle w:val="BodyText"/>
        <w:spacing w:before="120" w:line="276" w:lineRule="auto"/>
        <w:ind w:left="172" w:right="106"/>
        <w:jc w:val="both"/>
      </w:pPr>
      <w:r>
        <w:t>Given the global nature of capital markets, the industry</w:t>
      </w:r>
      <w:r>
        <w:rPr>
          <w:spacing w:val="-14"/>
        </w:rPr>
        <w:t xml:space="preserve"> </w:t>
      </w:r>
      <w:r>
        <w:t>has</w:t>
      </w:r>
      <w:r>
        <w:rPr>
          <w:spacing w:val="-12"/>
        </w:rPr>
        <w:t xml:space="preserve"> </w:t>
      </w:r>
      <w:r>
        <w:t>always</w:t>
      </w:r>
      <w:r>
        <w:rPr>
          <w:spacing w:val="-12"/>
        </w:rPr>
        <w:t xml:space="preserve"> </w:t>
      </w:r>
      <w:r>
        <w:t>stressed</w:t>
      </w:r>
      <w:r>
        <w:rPr>
          <w:spacing w:val="-13"/>
        </w:rPr>
        <w:t xml:space="preserve"> </w:t>
      </w:r>
      <w:r>
        <w:t>that</w:t>
      </w:r>
      <w:r>
        <w:rPr>
          <w:spacing w:val="-13"/>
        </w:rPr>
        <w:t xml:space="preserve"> </w:t>
      </w:r>
      <w:r>
        <w:t>it</w:t>
      </w:r>
      <w:r>
        <w:rPr>
          <w:spacing w:val="-13"/>
        </w:rPr>
        <w:t xml:space="preserve"> </w:t>
      </w:r>
      <w:r>
        <w:t>was</w:t>
      </w:r>
      <w:r>
        <w:rPr>
          <w:spacing w:val="-12"/>
        </w:rPr>
        <w:t xml:space="preserve"> </w:t>
      </w:r>
      <w:r>
        <w:t>crucially important</w:t>
      </w:r>
      <w:r>
        <w:rPr>
          <w:spacing w:val="-15"/>
        </w:rPr>
        <w:t xml:space="preserve"> that </w:t>
      </w:r>
      <w:r>
        <w:t>the</w:t>
      </w:r>
      <w:r>
        <w:rPr>
          <w:spacing w:val="-9"/>
        </w:rPr>
        <w:t xml:space="preserve"> </w:t>
      </w:r>
      <w:r>
        <w:t>impact</w:t>
      </w:r>
      <w:r>
        <w:rPr>
          <w:spacing w:val="-13"/>
        </w:rPr>
        <w:t xml:space="preserve"> </w:t>
      </w:r>
      <w:r>
        <w:t>of</w:t>
      </w:r>
      <w:r>
        <w:rPr>
          <w:spacing w:val="-14"/>
        </w:rPr>
        <w:t xml:space="preserve"> </w:t>
      </w:r>
      <w:r>
        <w:t>FRTB</w:t>
      </w:r>
      <w:r>
        <w:rPr>
          <w:spacing w:val="-12"/>
        </w:rPr>
        <w:t xml:space="preserve"> </w:t>
      </w:r>
      <w:r>
        <w:t>on</w:t>
      </w:r>
      <w:r>
        <w:rPr>
          <w:spacing w:val="-13"/>
        </w:rPr>
        <w:t xml:space="preserve"> </w:t>
      </w:r>
      <w:r>
        <w:t>banks’</w:t>
      </w:r>
      <w:r>
        <w:rPr>
          <w:spacing w:val="-15"/>
        </w:rPr>
        <w:t xml:space="preserve"> </w:t>
      </w:r>
      <w:r>
        <w:t>wholesale</w:t>
      </w:r>
      <w:r>
        <w:rPr>
          <w:spacing w:val="-14"/>
        </w:rPr>
        <w:t xml:space="preserve"> </w:t>
      </w:r>
      <w:r>
        <w:t>activities</w:t>
      </w:r>
      <w:r>
        <w:rPr>
          <w:spacing w:val="-12"/>
        </w:rPr>
        <w:t xml:space="preserve"> </w:t>
      </w:r>
      <w:r>
        <w:t>be</w:t>
      </w:r>
      <w:r>
        <w:rPr>
          <w:spacing w:val="-12"/>
        </w:rPr>
        <w:t xml:space="preserve"> </w:t>
      </w:r>
      <w:r>
        <w:t>not</w:t>
      </w:r>
      <w:r>
        <w:rPr>
          <w:spacing w:val="-13"/>
        </w:rPr>
        <w:t xml:space="preserve"> </w:t>
      </w:r>
      <w:r>
        <w:t>further exacerbated by inconsistent timeline, transposition and capital outcomes of the rules in key financial</w:t>
      </w:r>
      <w:r>
        <w:rPr>
          <w:spacing w:val="-17"/>
        </w:rPr>
        <w:t xml:space="preserve"> </w:t>
      </w:r>
      <w:r>
        <w:t xml:space="preserve">centers. Such a scenario would temporarily fragment the markets and result in banks being less able to provide liquidity and client facilitation seamlessly across jurisdictions. The industry considers that the delegated act is the most appropriate legal tool to facilitate adjusting the implementation timeline, if it becomes necessary in light of international developments. </w:t>
      </w:r>
    </w:p>
    <w:p w14:paraId="2EAFC34E" w14:textId="787E6520" w:rsidR="00756094" w:rsidRDefault="00756094" w:rsidP="000F4511">
      <w:pPr>
        <w:pStyle w:val="BodyText"/>
        <w:spacing w:before="120" w:line="276" w:lineRule="auto"/>
        <w:ind w:left="172" w:right="106"/>
        <w:jc w:val="both"/>
      </w:pPr>
      <w:r>
        <w:t xml:space="preserve">Furthermore, the industry strongly supports both consistent rules and comparable capital outcomes between jurisdictions as the optimal outcome for the implementation of the market risk framework.   We recognize that the EU as a ‘first mover’ does not yet have visibility on the rules that will be proposed by other jurisdictions. While the multiplier proposed under Article 461a may not be the best long-term solution, it aims to address these possible differences in capital outcomes and it is essential that a mechanism to align and address potential inconsistencies is maintained in the final CRR3 text. </w:t>
      </w:r>
    </w:p>
    <w:p w14:paraId="7DDB7F40" w14:textId="77777777" w:rsidR="00756094" w:rsidRDefault="00756094" w:rsidP="000F4511">
      <w:pPr>
        <w:pStyle w:val="BodyText"/>
        <w:spacing w:before="120" w:line="276" w:lineRule="auto"/>
        <w:ind w:left="172" w:right="106"/>
        <w:jc w:val="both"/>
      </w:pPr>
      <w:r>
        <w:t xml:space="preserve">Given the timeline for finalization of CRR 3 and the impending start date of 1 January 2025, the Industry understands there are timing and process constraints for the implementation of the framework in the EU. The 2-year delay proposed under Article 461a could be accompanied by a mandate to develop, if needed, a fast-tracked legislative proposal to ensure these inconsistencies are properly addressed. In the meanwhile, the mechanism set in Article 461a to adjust the calibration of FRTB (by setting a ’0-1’ multiplier to market risk capital) – whilst not being the optimal long term solution – could prove necessary to </w:t>
      </w:r>
      <w:r w:rsidRPr="002E54FB">
        <w:t>deliver a level playing field</w:t>
      </w:r>
      <w:r w:rsidRPr="00D916E0">
        <w:t xml:space="preserve"> </w:t>
      </w:r>
      <w:r w:rsidRPr="00EE04DE">
        <w:t>for specific risk classes and specific risk factors</w:t>
      </w:r>
      <w:r>
        <w:t xml:space="preserve"> in a timely manner.</w:t>
      </w:r>
      <w:r w:rsidRPr="00EE04DE">
        <w:t xml:space="preserve"> </w:t>
      </w:r>
      <w:r>
        <w:t xml:space="preserve"> </w:t>
      </w:r>
    </w:p>
    <w:p w14:paraId="68ADBF9F" w14:textId="77777777" w:rsidR="00756094" w:rsidRDefault="00756094" w:rsidP="00756094">
      <w:pPr>
        <w:pStyle w:val="BodyText"/>
        <w:spacing w:line="276" w:lineRule="auto"/>
        <w:ind w:left="172" w:right="106"/>
        <w:jc w:val="both"/>
      </w:pPr>
    </w:p>
    <w:p w14:paraId="6C9D1CE3" w14:textId="77777777" w:rsidR="00756094" w:rsidRDefault="00756094" w:rsidP="002C4A01">
      <w:pPr>
        <w:pStyle w:val="BodyText"/>
        <w:pBdr>
          <w:top w:val="single" w:sz="4" w:space="1" w:color="auto"/>
          <w:left w:val="single" w:sz="4" w:space="4" w:color="auto"/>
          <w:bottom w:val="single" w:sz="4" w:space="1" w:color="auto"/>
          <w:right w:val="single" w:sz="4" w:space="4" w:color="auto"/>
        </w:pBdr>
        <w:shd w:val="clear" w:color="auto" w:fill="DBE5F1" w:themeFill="accent1" w:themeFillTint="33"/>
        <w:spacing w:line="276" w:lineRule="auto"/>
        <w:ind w:left="172" w:right="106"/>
        <w:jc w:val="center"/>
        <w:rPr>
          <w:b/>
          <w:bCs/>
        </w:rPr>
      </w:pPr>
    </w:p>
    <w:p w14:paraId="626A2068" w14:textId="77777777" w:rsidR="00756094" w:rsidRPr="00F35363" w:rsidRDefault="00756094" w:rsidP="002C4A01">
      <w:pPr>
        <w:pStyle w:val="BodyText"/>
        <w:pBdr>
          <w:top w:val="single" w:sz="4" w:space="1" w:color="auto"/>
          <w:left w:val="single" w:sz="4" w:space="4" w:color="auto"/>
          <w:bottom w:val="single" w:sz="4" w:space="1" w:color="auto"/>
          <w:right w:val="single" w:sz="4" w:space="4" w:color="auto"/>
        </w:pBdr>
        <w:shd w:val="clear" w:color="auto" w:fill="DBE5F1" w:themeFill="accent1" w:themeFillTint="33"/>
        <w:spacing w:line="276" w:lineRule="auto"/>
        <w:ind w:left="172" w:right="106"/>
        <w:jc w:val="center"/>
        <w:rPr>
          <w:b/>
          <w:bCs/>
        </w:rPr>
      </w:pPr>
      <w:r w:rsidRPr="00F35363">
        <w:rPr>
          <w:b/>
          <w:bCs/>
        </w:rPr>
        <w:t>Recommendations</w:t>
      </w:r>
    </w:p>
    <w:p w14:paraId="1C6A1E02" w14:textId="77777777" w:rsidR="00756094" w:rsidRDefault="00756094" w:rsidP="002C4A01">
      <w:pPr>
        <w:pStyle w:val="BodyText"/>
        <w:pBdr>
          <w:top w:val="single" w:sz="4" w:space="1" w:color="auto"/>
          <w:left w:val="single" w:sz="4" w:space="4" w:color="auto"/>
          <w:bottom w:val="single" w:sz="4" w:space="1" w:color="auto"/>
          <w:right w:val="single" w:sz="4" w:space="4" w:color="auto"/>
        </w:pBdr>
        <w:shd w:val="clear" w:color="auto" w:fill="DBE5F1" w:themeFill="accent1" w:themeFillTint="33"/>
        <w:spacing w:line="276" w:lineRule="auto"/>
        <w:ind w:left="172" w:right="106"/>
        <w:jc w:val="both"/>
      </w:pPr>
    </w:p>
    <w:p w14:paraId="2E0DFF9B" w14:textId="77777777" w:rsidR="00756094" w:rsidRDefault="00756094" w:rsidP="002C4A01">
      <w:pPr>
        <w:pStyle w:val="BodyText"/>
        <w:pBdr>
          <w:top w:val="single" w:sz="4" w:space="1" w:color="auto"/>
          <w:left w:val="single" w:sz="4" w:space="4" w:color="auto"/>
          <w:bottom w:val="single" w:sz="4" w:space="1" w:color="auto"/>
          <w:right w:val="single" w:sz="4" w:space="4" w:color="auto"/>
        </w:pBdr>
        <w:shd w:val="clear" w:color="auto" w:fill="DBE5F1" w:themeFill="accent1" w:themeFillTint="33"/>
        <w:spacing w:line="276" w:lineRule="auto"/>
        <w:ind w:left="172" w:right="106"/>
        <w:jc w:val="both"/>
      </w:pPr>
      <w:r>
        <w:t xml:space="preserve">The Industry strongly supports international alignment of market risk rules and timelines, therefore we welcome the Commission’s objectives behind the delegated act under Article 461a to allow flexibility in </w:t>
      </w:r>
      <w:r>
        <w:lastRenderedPageBreak/>
        <w:t>aligning timelines and outcome of the market risk rules.</w:t>
      </w:r>
    </w:p>
    <w:p w14:paraId="6A139EB8" w14:textId="77777777" w:rsidR="00756094" w:rsidRDefault="00756094" w:rsidP="002C4A01">
      <w:pPr>
        <w:pStyle w:val="BodyText"/>
        <w:pBdr>
          <w:top w:val="single" w:sz="4" w:space="1" w:color="auto"/>
          <w:left w:val="single" w:sz="4" w:space="4" w:color="auto"/>
          <w:bottom w:val="single" w:sz="4" w:space="1" w:color="auto"/>
          <w:right w:val="single" w:sz="4" w:space="4" w:color="auto"/>
        </w:pBdr>
        <w:shd w:val="clear" w:color="auto" w:fill="DBE5F1" w:themeFill="accent1" w:themeFillTint="33"/>
        <w:spacing w:line="276" w:lineRule="auto"/>
        <w:ind w:left="172" w:right="106"/>
        <w:jc w:val="both"/>
      </w:pPr>
    </w:p>
    <w:p w14:paraId="0DBCE8A4" w14:textId="2CD1554E" w:rsidR="00756094" w:rsidRDefault="00756094" w:rsidP="002C4A01">
      <w:pPr>
        <w:pStyle w:val="BodyText"/>
        <w:pBdr>
          <w:top w:val="single" w:sz="4" w:space="1" w:color="auto"/>
          <w:left w:val="single" w:sz="4" w:space="4" w:color="auto"/>
          <w:bottom w:val="single" w:sz="4" w:space="1" w:color="auto"/>
          <w:right w:val="single" w:sz="4" w:space="4" w:color="auto"/>
        </w:pBdr>
        <w:shd w:val="clear" w:color="auto" w:fill="DBE5F1" w:themeFill="accent1" w:themeFillTint="33"/>
        <w:spacing w:line="276" w:lineRule="auto"/>
        <w:ind w:left="172" w:right="106"/>
        <w:jc w:val="both"/>
      </w:pPr>
      <w:r>
        <w:t>If it was necessary to invoke the delegated act, further coordination and review with other key jurisdictions of the divergences in the locally adopted market risk standards should lead to later legislative proposals to amend the CRR to address any inconsistencies and to help avoid fragmentation of capital outcome across jurisdictions</w:t>
      </w:r>
    </w:p>
    <w:p w14:paraId="75C26195" w14:textId="77777777" w:rsidR="00756094" w:rsidRDefault="00756094" w:rsidP="002C4A01">
      <w:pPr>
        <w:pStyle w:val="BodyText"/>
        <w:pBdr>
          <w:top w:val="single" w:sz="4" w:space="1" w:color="auto"/>
          <w:left w:val="single" w:sz="4" w:space="4" w:color="auto"/>
          <w:bottom w:val="single" w:sz="4" w:space="1" w:color="auto"/>
          <w:right w:val="single" w:sz="4" w:space="4" w:color="auto"/>
        </w:pBdr>
        <w:shd w:val="clear" w:color="auto" w:fill="DBE5F1" w:themeFill="accent1" w:themeFillTint="33"/>
        <w:spacing w:line="276" w:lineRule="auto"/>
        <w:ind w:left="172" w:right="106"/>
        <w:jc w:val="both"/>
      </w:pPr>
    </w:p>
    <w:p w14:paraId="4474AE11" w14:textId="60E25C2F" w:rsidR="001D4C35" w:rsidRDefault="001D4C35">
      <w:pPr>
        <w:pStyle w:val="BodyText"/>
        <w:spacing w:line="276" w:lineRule="auto"/>
        <w:ind w:left="172" w:right="106"/>
        <w:jc w:val="both"/>
      </w:pPr>
    </w:p>
    <w:p w14:paraId="4474AE1E" w14:textId="77777777" w:rsidR="001D4C35" w:rsidRDefault="00D84817">
      <w:pPr>
        <w:pStyle w:val="Heading4"/>
        <w:jc w:val="both"/>
      </w:pPr>
      <w:r>
        <w:rPr>
          <w:color w:val="44536A"/>
        </w:rPr>
        <w:t>Allow sufficient time for EBA RTS rulemaking and IMA application process</w:t>
      </w:r>
    </w:p>
    <w:p w14:paraId="4474AE1F" w14:textId="77777777" w:rsidR="001D4C35" w:rsidRDefault="001D4C35">
      <w:pPr>
        <w:pStyle w:val="BodyText"/>
        <w:rPr>
          <w:b/>
          <w:i/>
        </w:rPr>
      </w:pPr>
    </w:p>
    <w:p w14:paraId="4474AE20" w14:textId="77777777" w:rsidR="001D4C35" w:rsidRDefault="00D84817">
      <w:pPr>
        <w:pStyle w:val="BodyText"/>
        <w:spacing w:line="276" w:lineRule="auto"/>
        <w:ind w:left="172" w:right="106"/>
        <w:jc w:val="both"/>
      </w:pPr>
      <w:r>
        <w:t>The implementation period should allow sufficient time between the required date for the EBA to finalise regulatory technical standards (RTSs) and the FRTB go-live date. Firms will need to develop internal models and</w:t>
      </w:r>
      <w:r>
        <w:rPr>
          <w:spacing w:val="-13"/>
        </w:rPr>
        <w:t xml:space="preserve"> </w:t>
      </w:r>
      <w:r>
        <w:t>supervisors</w:t>
      </w:r>
      <w:r>
        <w:rPr>
          <w:spacing w:val="-13"/>
        </w:rPr>
        <w:t xml:space="preserve"> </w:t>
      </w:r>
      <w:r>
        <w:t>require</w:t>
      </w:r>
      <w:r>
        <w:rPr>
          <w:spacing w:val="-14"/>
        </w:rPr>
        <w:t xml:space="preserve"> </w:t>
      </w:r>
      <w:r>
        <w:t>time</w:t>
      </w:r>
      <w:r>
        <w:rPr>
          <w:spacing w:val="-17"/>
        </w:rPr>
        <w:t xml:space="preserve"> </w:t>
      </w:r>
      <w:r>
        <w:t>to</w:t>
      </w:r>
      <w:r>
        <w:rPr>
          <w:spacing w:val="-16"/>
        </w:rPr>
        <w:t xml:space="preserve"> </w:t>
      </w:r>
      <w:r>
        <w:t>validate</w:t>
      </w:r>
      <w:r>
        <w:rPr>
          <w:spacing w:val="-17"/>
        </w:rPr>
        <w:t xml:space="preserve"> </w:t>
      </w:r>
      <w:r>
        <w:t>them.</w:t>
      </w:r>
      <w:r>
        <w:rPr>
          <w:spacing w:val="-16"/>
        </w:rPr>
        <w:t xml:space="preserve"> </w:t>
      </w:r>
      <w:r>
        <w:t>If</w:t>
      </w:r>
      <w:r>
        <w:rPr>
          <w:spacing w:val="-13"/>
        </w:rPr>
        <w:t xml:space="preserve"> </w:t>
      </w:r>
      <w:r>
        <w:t>there</w:t>
      </w:r>
      <w:r>
        <w:rPr>
          <w:spacing w:val="-14"/>
        </w:rPr>
        <w:t xml:space="preserve"> </w:t>
      </w:r>
      <w:r>
        <w:t>is</w:t>
      </w:r>
      <w:r>
        <w:rPr>
          <w:spacing w:val="-13"/>
        </w:rPr>
        <w:t xml:space="preserve"> </w:t>
      </w:r>
      <w:r>
        <w:t>significant</w:t>
      </w:r>
      <w:r>
        <w:rPr>
          <w:spacing w:val="-13"/>
        </w:rPr>
        <w:t xml:space="preserve"> </w:t>
      </w:r>
      <w:r>
        <w:t>uncertainty</w:t>
      </w:r>
      <w:r>
        <w:rPr>
          <w:spacing w:val="-13"/>
        </w:rPr>
        <w:t xml:space="preserve"> </w:t>
      </w:r>
      <w:r>
        <w:t>about</w:t>
      </w:r>
      <w:r>
        <w:rPr>
          <w:spacing w:val="-13"/>
        </w:rPr>
        <w:t xml:space="preserve"> </w:t>
      </w:r>
      <w:r>
        <w:t>the</w:t>
      </w:r>
      <w:r>
        <w:rPr>
          <w:spacing w:val="-14"/>
        </w:rPr>
        <w:t xml:space="preserve"> </w:t>
      </w:r>
      <w:r>
        <w:t>final</w:t>
      </w:r>
      <w:r>
        <w:rPr>
          <w:spacing w:val="-14"/>
        </w:rPr>
        <w:t xml:space="preserve"> </w:t>
      </w:r>
      <w:r>
        <w:t>internal</w:t>
      </w:r>
      <w:r>
        <w:rPr>
          <w:spacing w:val="-15"/>
        </w:rPr>
        <w:t xml:space="preserve"> </w:t>
      </w:r>
      <w:r>
        <w:t xml:space="preserve">models validation methodology, approval process and the resulting capital levels, then banks may reduce their appetite for market risk in the run-up to implementation – with negative ramifications to the functioning </w:t>
      </w:r>
      <w:r>
        <w:rPr>
          <w:spacing w:val="-3"/>
        </w:rPr>
        <w:t xml:space="preserve">of </w:t>
      </w:r>
      <w:r>
        <w:t>the EU capital</w:t>
      </w:r>
      <w:r>
        <w:rPr>
          <w:spacing w:val="-2"/>
        </w:rPr>
        <w:t xml:space="preserve"> </w:t>
      </w:r>
      <w:r>
        <w:t>markets.</w:t>
      </w:r>
    </w:p>
    <w:p w14:paraId="4474AE21" w14:textId="77777777" w:rsidR="001D4C35" w:rsidRDefault="00D84817">
      <w:pPr>
        <w:pStyle w:val="BodyText"/>
        <w:spacing w:before="116" w:line="278" w:lineRule="auto"/>
        <w:ind w:left="172" w:right="106"/>
        <w:jc w:val="both"/>
      </w:pPr>
      <w:r>
        <w:t>The</w:t>
      </w:r>
      <w:r>
        <w:rPr>
          <w:spacing w:val="-3"/>
        </w:rPr>
        <w:t xml:space="preserve"> </w:t>
      </w:r>
      <w:r>
        <w:t>EU</w:t>
      </w:r>
      <w:r>
        <w:rPr>
          <w:spacing w:val="-5"/>
        </w:rPr>
        <w:t xml:space="preserve"> </w:t>
      </w:r>
      <w:r>
        <w:t>should</w:t>
      </w:r>
      <w:r>
        <w:rPr>
          <w:spacing w:val="-2"/>
        </w:rPr>
        <w:t xml:space="preserve"> </w:t>
      </w:r>
      <w:r>
        <w:t>make</w:t>
      </w:r>
      <w:r>
        <w:rPr>
          <w:spacing w:val="-3"/>
        </w:rPr>
        <w:t xml:space="preserve"> </w:t>
      </w:r>
      <w:r>
        <w:t>use</w:t>
      </w:r>
      <w:r>
        <w:rPr>
          <w:spacing w:val="-2"/>
        </w:rPr>
        <w:t xml:space="preserve"> </w:t>
      </w:r>
      <w:r>
        <w:t>of</w:t>
      </w:r>
      <w:r>
        <w:rPr>
          <w:spacing w:val="-3"/>
        </w:rPr>
        <w:t xml:space="preserve"> </w:t>
      </w:r>
      <w:r>
        <w:t>the</w:t>
      </w:r>
      <w:r>
        <w:rPr>
          <w:spacing w:val="-2"/>
        </w:rPr>
        <w:t xml:space="preserve"> </w:t>
      </w:r>
      <w:r>
        <w:t>1-year</w:t>
      </w:r>
      <w:r>
        <w:rPr>
          <w:spacing w:val="-3"/>
        </w:rPr>
        <w:t xml:space="preserve"> </w:t>
      </w:r>
      <w:r>
        <w:t>transitional</w:t>
      </w:r>
      <w:r>
        <w:rPr>
          <w:spacing w:val="-3"/>
        </w:rPr>
        <w:t xml:space="preserve"> </w:t>
      </w:r>
      <w:r>
        <w:t>period</w:t>
      </w:r>
      <w:r>
        <w:rPr>
          <w:spacing w:val="-6"/>
        </w:rPr>
        <w:t xml:space="preserve"> </w:t>
      </w:r>
      <w:r>
        <w:t>defined</w:t>
      </w:r>
      <w:r>
        <w:rPr>
          <w:spacing w:val="-1"/>
        </w:rPr>
        <w:t xml:space="preserve"> </w:t>
      </w:r>
      <w:r>
        <w:t>by</w:t>
      </w:r>
      <w:r>
        <w:rPr>
          <w:spacing w:val="-7"/>
        </w:rPr>
        <w:t xml:space="preserve"> </w:t>
      </w:r>
      <w:r>
        <w:t>the</w:t>
      </w:r>
      <w:r>
        <w:rPr>
          <w:spacing w:val="-2"/>
        </w:rPr>
        <w:t xml:space="preserve"> </w:t>
      </w:r>
      <w:r>
        <w:t>BCBS</w:t>
      </w:r>
      <w:r>
        <w:rPr>
          <w:spacing w:val="-5"/>
        </w:rPr>
        <w:t xml:space="preserve"> </w:t>
      </w:r>
      <w:r>
        <w:t>global</w:t>
      </w:r>
      <w:r>
        <w:rPr>
          <w:spacing w:val="-3"/>
        </w:rPr>
        <w:t xml:space="preserve"> </w:t>
      </w:r>
      <w:r>
        <w:t>standard</w:t>
      </w:r>
      <w:r>
        <w:rPr>
          <w:spacing w:val="-2"/>
        </w:rPr>
        <w:t xml:space="preserve"> </w:t>
      </w:r>
      <w:r>
        <w:t>on</w:t>
      </w:r>
      <w:r>
        <w:rPr>
          <w:spacing w:val="-6"/>
        </w:rPr>
        <w:t xml:space="preserve"> </w:t>
      </w:r>
      <w:r>
        <w:t>market</w:t>
      </w:r>
      <w:r>
        <w:rPr>
          <w:spacing w:val="-2"/>
        </w:rPr>
        <w:t xml:space="preserve"> </w:t>
      </w:r>
      <w:r>
        <w:t>risk between go-live of FRTB and Profit and Loss Attribution Test (PLAT)</w:t>
      </w:r>
      <w:r>
        <w:rPr>
          <w:spacing w:val="-6"/>
        </w:rPr>
        <w:t xml:space="preserve"> </w:t>
      </w:r>
      <w:r>
        <w:t>implementation.</w:t>
      </w:r>
    </w:p>
    <w:p w14:paraId="4474AE22" w14:textId="77777777" w:rsidR="001D4C35" w:rsidRDefault="00D84817">
      <w:pPr>
        <w:pStyle w:val="Heading3"/>
        <w:spacing w:before="118"/>
        <w:ind w:left="172"/>
        <w:jc w:val="both"/>
      </w:pPr>
      <w:r>
        <w:rPr>
          <w:u w:val="single"/>
        </w:rPr>
        <w:t>Implementing FRTB in the European Union</w:t>
      </w:r>
    </w:p>
    <w:p w14:paraId="4474AE23" w14:textId="77777777" w:rsidR="001D4C35" w:rsidRDefault="00D84817">
      <w:pPr>
        <w:pStyle w:val="BodyText"/>
        <w:spacing w:before="158" w:line="276" w:lineRule="auto"/>
        <w:ind w:left="172" w:right="103" w:hanging="1"/>
        <w:jc w:val="both"/>
      </w:pPr>
      <w:r>
        <w:t>While firms implement FRTB as a reporting requirement and prepare for the start of Pillar 1 capital requirement for the new market risk standards, it can be expected that new issues may emerge during the implementation</w:t>
      </w:r>
      <w:r>
        <w:rPr>
          <w:spacing w:val="-11"/>
        </w:rPr>
        <w:t xml:space="preserve"> </w:t>
      </w:r>
      <w:r>
        <w:t>process.</w:t>
      </w:r>
      <w:r>
        <w:rPr>
          <w:spacing w:val="-8"/>
        </w:rPr>
        <w:t xml:space="preserve"> </w:t>
      </w:r>
      <w:r>
        <w:t>.</w:t>
      </w:r>
      <w:r>
        <w:rPr>
          <w:spacing w:val="-8"/>
        </w:rPr>
        <w:t xml:space="preserve"> </w:t>
      </w:r>
      <w:r>
        <w:t>The</w:t>
      </w:r>
      <w:r>
        <w:rPr>
          <w:spacing w:val="-10"/>
        </w:rPr>
        <w:t xml:space="preserve"> </w:t>
      </w:r>
      <w:r>
        <w:t>FRTB</w:t>
      </w:r>
      <w:r>
        <w:rPr>
          <w:spacing w:val="-9"/>
        </w:rPr>
        <w:t xml:space="preserve"> </w:t>
      </w:r>
      <w:r>
        <w:t>IMA</w:t>
      </w:r>
      <w:r>
        <w:rPr>
          <w:spacing w:val="-9"/>
        </w:rPr>
        <w:t xml:space="preserve"> </w:t>
      </w:r>
      <w:r>
        <w:t>standard</w:t>
      </w:r>
      <w:r>
        <w:rPr>
          <w:spacing w:val="-5"/>
        </w:rPr>
        <w:t xml:space="preserve"> </w:t>
      </w:r>
      <w:r>
        <w:t>has</w:t>
      </w:r>
      <w:r>
        <w:rPr>
          <w:spacing w:val="-10"/>
        </w:rPr>
        <w:t xml:space="preserve"> </w:t>
      </w:r>
      <w:r>
        <w:t>never</w:t>
      </w:r>
      <w:r>
        <w:rPr>
          <w:spacing w:val="-6"/>
        </w:rPr>
        <w:t xml:space="preserve"> </w:t>
      </w:r>
      <w:r>
        <w:t>been</w:t>
      </w:r>
      <w:r>
        <w:rPr>
          <w:spacing w:val="-7"/>
        </w:rPr>
        <w:t xml:space="preserve"> </w:t>
      </w:r>
      <w:r>
        <w:t>tested,</w:t>
      </w:r>
      <w:r>
        <w:rPr>
          <w:spacing w:val="-8"/>
        </w:rPr>
        <w:t xml:space="preserve"> </w:t>
      </w:r>
      <w:r>
        <w:t>and</w:t>
      </w:r>
      <w:r>
        <w:rPr>
          <w:spacing w:val="-9"/>
        </w:rPr>
        <w:t xml:space="preserve"> </w:t>
      </w:r>
      <w:r>
        <w:t>firms</w:t>
      </w:r>
      <w:r>
        <w:rPr>
          <w:spacing w:val="-5"/>
        </w:rPr>
        <w:t xml:space="preserve"> </w:t>
      </w:r>
      <w:r>
        <w:t>have</w:t>
      </w:r>
      <w:r>
        <w:rPr>
          <w:spacing w:val="-7"/>
        </w:rPr>
        <w:t xml:space="preserve"> </w:t>
      </w:r>
      <w:r>
        <w:t>yet</w:t>
      </w:r>
      <w:r>
        <w:rPr>
          <w:spacing w:val="-5"/>
        </w:rPr>
        <w:t xml:space="preserve"> </w:t>
      </w:r>
      <w:r>
        <w:t>to</w:t>
      </w:r>
      <w:r>
        <w:rPr>
          <w:spacing w:val="-8"/>
        </w:rPr>
        <w:t xml:space="preserve"> </w:t>
      </w:r>
      <w:r>
        <w:t>go</w:t>
      </w:r>
      <w:r>
        <w:rPr>
          <w:spacing w:val="-12"/>
        </w:rPr>
        <w:t xml:space="preserve"> </w:t>
      </w:r>
      <w:r>
        <w:t>through</w:t>
      </w:r>
      <w:r>
        <w:rPr>
          <w:spacing w:val="-9"/>
        </w:rPr>
        <w:t xml:space="preserve"> </w:t>
      </w:r>
      <w:r>
        <w:t>the supervisory approval process or through the live calculation of the P&amp;L attribution test using real data. Furthermore,</w:t>
      </w:r>
      <w:r>
        <w:rPr>
          <w:spacing w:val="-17"/>
        </w:rPr>
        <w:t xml:space="preserve"> </w:t>
      </w:r>
      <w:r>
        <w:t>the</w:t>
      </w:r>
      <w:r>
        <w:rPr>
          <w:spacing w:val="-10"/>
        </w:rPr>
        <w:t xml:space="preserve"> </w:t>
      </w:r>
      <w:r>
        <w:t>implementation</w:t>
      </w:r>
      <w:r>
        <w:rPr>
          <w:spacing w:val="-11"/>
        </w:rPr>
        <w:t xml:space="preserve"> </w:t>
      </w:r>
      <w:r>
        <w:t>of</w:t>
      </w:r>
      <w:r>
        <w:rPr>
          <w:spacing w:val="-14"/>
        </w:rPr>
        <w:t xml:space="preserve"> </w:t>
      </w:r>
      <w:r>
        <w:t>pillar</w:t>
      </w:r>
      <w:r>
        <w:rPr>
          <w:spacing w:val="-14"/>
        </w:rPr>
        <w:t xml:space="preserve"> </w:t>
      </w:r>
      <w:r>
        <w:t>1</w:t>
      </w:r>
      <w:r>
        <w:rPr>
          <w:spacing w:val="-13"/>
        </w:rPr>
        <w:t xml:space="preserve"> </w:t>
      </w:r>
      <w:r>
        <w:t>capital</w:t>
      </w:r>
      <w:r>
        <w:rPr>
          <w:spacing w:val="-12"/>
        </w:rPr>
        <w:t xml:space="preserve"> </w:t>
      </w:r>
      <w:r>
        <w:t>requirements</w:t>
      </w:r>
      <w:r>
        <w:rPr>
          <w:spacing w:val="-9"/>
        </w:rPr>
        <w:t xml:space="preserve"> </w:t>
      </w:r>
      <w:r>
        <w:t>for</w:t>
      </w:r>
      <w:r>
        <w:rPr>
          <w:spacing w:val="-15"/>
        </w:rPr>
        <w:t xml:space="preserve"> </w:t>
      </w:r>
      <w:r>
        <w:t>FRTB</w:t>
      </w:r>
      <w:r>
        <w:rPr>
          <w:spacing w:val="-13"/>
        </w:rPr>
        <w:t xml:space="preserve"> </w:t>
      </w:r>
      <w:r>
        <w:t>will</w:t>
      </w:r>
      <w:r>
        <w:rPr>
          <w:spacing w:val="-11"/>
        </w:rPr>
        <w:t xml:space="preserve"> </w:t>
      </w:r>
      <w:r>
        <w:t>depend</w:t>
      </w:r>
      <w:r>
        <w:rPr>
          <w:spacing w:val="-14"/>
        </w:rPr>
        <w:t xml:space="preserve"> </w:t>
      </w:r>
      <w:r>
        <w:t>on</w:t>
      </w:r>
      <w:r>
        <w:rPr>
          <w:spacing w:val="-10"/>
        </w:rPr>
        <w:t xml:space="preserve"> </w:t>
      </w:r>
      <w:r>
        <w:t>the</w:t>
      </w:r>
      <w:r>
        <w:rPr>
          <w:spacing w:val="-11"/>
        </w:rPr>
        <w:t xml:space="preserve"> </w:t>
      </w:r>
      <w:r>
        <w:t>EBA</w:t>
      </w:r>
      <w:r>
        <w:rPr>
          <w:spacing w:val="-12"/>
        </w:rPr>
        <w:t xml:space="preserve"> </w:t>
      </w:r>
      <w:r>
        <w:t>developing a number of technical standards in line with its planned</w:t>
      </w:r>
      <w:r>
        <w:rPr>
          <w:spacing w:val="-9"/>
        </w:rPr>
        <w:t xml:space="preserve"> </w:t>
      </w:r>
      <w:r>
        <w:t>roadmap.</w:t>
      </w:r>
    </w:p>
    <w:p w14:paraId="4474AE24" w14:textId="77777777" w:rsidR="001D4C35" w:rsidRDefault="00D84817">
      <w:pPr>
        <w:pStyle w:val="BodyText"/>
        <w:spacing w:before="120" w:line="276" w:lineRule="auto"/>
        <w:ind w:left="172" w:right="106"/>
        <w:jc w:val="both"/>
        <w:rPr>
          <w:sz w:val="14"/>
        </w:rPr>
      </w:pPr>
      <w:r>
        <w:t>The capital impact is significant when considered against the importance of the market-making role of banks in capital markets in Europe. The intermediary role played by banks in capital markets through primary issuance and trading could thus be hampered by measures that increase capital requirements held against certain trading activities, limiting the capacity of banks to offer liquidity and act as market-makers. This was also recognized more recently in the Final Report of the High-Level Forum for the CMU.</w:t>
      </w:r>
      <w:hyperlink w:anchor="_bookmark42" w:history="1">
        <w:r>
          <w:rPr>
            <w:position w:val="5"/>
            <w:sz w:val="14"/>
          </w:rPr>
          <w:t>4</w:t>
        </w:r>
      </w:hyperlink>
    </w:p>
    <w:p w14:paraId="4474AE25" w14:textId="77777777" w:rsidR="001D4C35" w:rsidRDefault="00D84817">
      <w:pPr>
        <w:pStyle w:val="BodyText"/>
        <w:spacing w:before="121" w:line="276" w:lineRule="auto"/>
        <w:ind w:left="171" w:right="106"/>
        <w:jc w:val="both"/>
      </w:pPr>
      <w:r>
        <w:t>Finally, it is also important to note that the significance of the recent market turmoil in light of the COVID-19 pandemic has yet to be fully understood and therefore further detailed impact analysis is necessary to help clarify what the long-term impacts will be on the EU economy. In particular, this will help identify any pro- cyclicality aspects that should be avoided in the future market risk framework.</w:t>
      </w:r>
    </w:p>
    <w:p w14:paraId="4474AE26" w14:textId="77777777" w:rsidR="001D4C35" w:rsidRDefault="001D4C35">
      <w:pPr>
        <w:pStyle w:val="BodyText"/>
        <w:spacing w:before="3"/>
        <w:rPr>
          <w:sz w:val="20"/>
        </w:rPr>
      </w:pPr>
    </w:p>
    <w:p w14:paraId="4474AE27" w14:textId="77777777" w:rsidR="001D4C35" w:rsidRDefault="00D84817">
      <w:pPr>
        <w:pStyle w:val="BodyText"/>
        <w:spacing w:line="276" w:lineRule="auto"/>
        <w:ind w:left="171" w:right="109"/>
        <w:jc w:val="both"/>
      </w:pPr>
      <w:r>
        <w:t>In terms of specific provisions related to FRTB, ISDA and AFME would like to bring to the attention of the co- legislators the following areas:</w:t>
      </w:r>
    </w:p>
    <w:p w14:paraId="4474AE28" w14:textId="77777777" w:rsidR="001D4C35" w:rsidRDefault="00D84817">
      <w:pPr>
        <w:pStyle w:val="ListParagraph"/>
        <w:numPr>
          <w:ilvl w:val="0"/>
          <w:numId w:val="12"/>
        </w:numPr>
        <w:tabs>
          <w:tab w:val="left" w:pos="600"/>
        </w:tabs>
        <w:spacing w:before="119" w:line="276" w:lineRule="auto"/>
        <w:ind w:right="105"/>
        <w:jc w:val="both"/>
      </w:pPr>
      <w:r>
        <w:t xml:space="preserve">The first relates to the investment in funds, or Collective Investment Undertakings (CIUs) eligible </w:t>
      </w:r>
      <w:r>
        <w:rPr>
          <w:spacing w:val="-3"/>
        </w:rPr>
        <w:t xml:space="preserve">for </w:t>
      </w:r>
      <w:r>
        <w:t>allocation</w:t>
      </w:r>
      <w:r>
        <w:rPr>
          <w:spacing w:val="-7"/>
        </w:rPr>
        <w:t xml:space="preserve"> </w:t>
      </w:r>
      <w:r>
        <w:t>in</w:t>
      </w:r>
      <w:r>
        <w:rPr>
          <w:spacing w:val="-6"/>
        </w:rPr>
        <w:t xml:space="preserve"> </w:t>
      </w:r>
      <w:r>
        <w:t>the</w:t>
      </w:r>
      <w:r>
        <w:rPr>
          <w:spacing w:val="-6"/>
        </w:rPr>
        <w:t xml:space="preserve"> </w:t>
      </w:r>
      <w:r>
        <w:t>Trading</w:t>
      </w:r>
      <w:r>
        <w:rPr>
          <w:spacing w:val="-8"/>
        </w:rPr>
        <w:t xml:space="preserve"> </w:t>
      </w:r>
      <w:r>
        <w:t>Book.</w:t>
      </w:r>
      <w:r>
        <w:rPr>
          <w:spacing w:val="-8"/>
        </w:rPr>
        <w:t xml:space="preserve"> </w:t>
      </w:r>
      <w:r>
        <w:t>Banks</w:t>
      </w:r>
      <w:r>
        <w:rPr>
          <w:spacing w:val="-5"/>
        </w:rPr>
        <w:t xml:space="preserve"> </w:t>
      </w:r>
      <w:r>
        <w:t>offer</w:t>
      </w:r>
      <w:r>
        <w:rPr>
          <w:spacing w:val="-10"/>
        </w:rPr>
        <w:t xml:space="preserve"> </w:t>
      </w:r>
      <w:r>
        <w:t>derivative</w:t>
      </w:r>
      <w:r>
        <w:rPr>
          <w:spacing w:val="-6"/>
        </w:rPr>
        <w:t xml:space="preserve"> </w:t>
      </w:r>
      <w:r>
        <w:t>products</w:t>
      </w:r>
      <w:r>
        <w:rPr>
          <w:spacing w:val="-8"/>
        </w:rPr>
        <w:t xml:space="preserve"> </w:t>
      </w:r>
      <w:r>
        <w:t>to</w:t>
      </w:r>
      <w:r>
        <w:rPr>
          <w:spacing w:val="-8"/>
        </w:rPr>
        <w:t xml:space="preserve"> </w:t>
      </w:r>
      <w:r>
        <w:t>their</w:t>
      </w:r>
      <w:r>
        <w:rPr>
          <w:spacing w:val="-7"/>
        </w:rPr>
        <w:t xml:space="preserve"> </w:t>
      </w:r>
      <w:r>
        <w:t>clients</w:t>
      </w:r>
      <w:r>
        <w:rPr>
          <w:spacing w:val="-5"/>
        </w:rPr>
        <w:t xml:space="preserve"> </w:t>
      </w:r>
      <w:r>
        <w:t>on</w:t>
      </w:r>
      <w:r>
        <w:rPr>
          <w:spacing w:val="-6"/>
        </w:rPr>
        <w:t xml:space="preserve"> </w:t>
      </w:r>
      <w:r>
        <w:t>performance</w:t>
      </w:r>
      <w:r>
        <w:rPr>
          <w:spacing w:val="-6"/>
        </w:rPr>
        <w:t xml:space="preserve"> </w:t>
      </w:r>
      <w:r>
        <w:t>of</w:t>
      </w:r>
      <w:r>
        <w:rPr>
          <w:spacing w:val="-6"/>
        </w:rPr>
        <w:t xml:space="preserve"> </w:t>
      </w:r>
      <w:r>
        <w:t>specific funds and hedge these products with underlying positions in the reference funds. The FRTB allows for equity</w:t>
      </w:r>
      <w:r>
        <w:rPr>
          <w:spacing w:val="-11"/>
        </w:rPr>
        <w:t xml:space="preserve"> </w:t>
      </w:r>
      <w:r>
        <w:t>investments</w:t>
      </w:r>
      <w:r>
        <w:rPr>
          <w:spacing w:val="-9"/>
        </w:rPr>
        <w:t xml:space="preserve"> </w:t>
      </w:r>
      <w:r>
        <w:t>to</w:t>
      </w:r>
      <w:r>
        <w:rPr>
          <w:spacing w:val="-12"/>
        </w:rPr>
        <w:t xml:space="preserve"> </w:t>
      </w:r>
      <w:r>
        <w:t>be</w:t>
      </w:r>
      <w:r>
        <w:rPr>
          <w:spacing w:val="-10"/>
        </w:rPr>
        <w:t xml:space="preserve"> </w:t>
      </w:r>
      <w:r>
        <w:t>included</w:t>
      </w:r>
      <w:r>
        <w:rPr>
          <w:spacing w:val="-9"/>
        </w:rPr>
        <w:t xml:space="preserve"> </w:t>
      </w:r>
      <w:r>
        <w:t>in</w:t>
      </w:r>
      <w:r>
        <w:rPr>
          <w:spacing w:val="-10"/>
        </w:rPr>
        <w:t xml:space="preserve"> </w:t>
      </w:r>
      <w:r>
        <w:t>the</w:t>
      </w:r>
      <w:r>
        <w:rPr>
          <w:spacing w:val="-11"/>
        </w:rPr>
        <w:t xml:space="preserve"> </w:t>
      </w:r>
      <w:r>
        <w:t>scope</w:t>
      </w:r>
      <w:r>
        <w:rPr>
          <w:spacing w:val="-10"/>
        </w:rPr>
        <w:t xml:space="preserve"> </w:t>
      </w:r>
      <w:r>
        <w:t>of</w:t>
      </w:r>
      <w:r>
        <w:rPr>
          <w:spacing w:val="-9"/>
        </w:rPr>
        <w:t xml:space="preserve"> </w:t>
      </w:r>
      <w:r>
        <w:t>the</w:t>
      </w:r>
      <w:r>
        <w:rPr>
          <w:spacing w:val="-10"/>
        </w:rPr>
        <w:t xml:space="preserve"> </w:t>
      </w:r>
      <w:r>
        <w:t>internal</w:t>
      </w:r>
      <w:r>
        <w:rPr>
          <w:spacing w:val="-15"/>
        </w:rPr>
        <w:t xml:space="preserve"> </w:t>
      </w:r>
      <w:r>
        <w:t>models</w:t>
      </w:r>
      <w:r>
        <w:rPr>
          <w:spacing w:val="-14"/>
        </w:rPr>
        <w:t xml:space="preserve"> </w:t>
      </w:r>
      <w:r>
        <w:rPr>
          <w:i/>
        </w:rPr>
        <w:t>if</w:t>
      </w:r>
      <w:r>
        <w:rPr>
          <w:i/>
          <w:spacing w:val="-11"/>
        </w:rPr>
        <w:t xml:space="preserve"> </w:t>
      </w:r>
      <w:r>
        <w:t>the</w:t>
      </w:r>
      <w:r>
        <w:rPr>
          <w:spacing w:val="-10"/>
        </w:rPr>
        <w:t xml:space="preserve"> </w:t>
      </w:r>
      <w:r>
        <w:t>bank</w:t>
      </w:r>
      <w:r>
        <w:rPr>
          <w:spacing w:val="-10"/>
        </w:rPr>
        <w:t xml:space="preserve"> </w:t>
      </w:r>
      <w:r>
        <w:t>is</w:t>
      </w:r>
      <w:r>
        <w:rPr>
          <w:spacing w:val="-9"/>
        </w:rPr>
        <w:t xml:space="preserve"> </w:t>
      </w:r>
      <w:r>
        <w:t>able</w:t>
      </w:r>
      <w:r>
        <w:rPr>
          <w:spacing w:val="-11"/>
        </w:rPr>
        <w:t xml:space="preserve"> </w:t>
      </w:r>
      <w:r>
        <w:t>to</w:t>
      </w:r>
      <w:r>
        <w:rPr>
          <w:spacing w:val="-12"/>
        </w:rPr>
        <w:t xml:space="preserve"> </w:t>
      </w:r>
      <w:r>
        <w:t>calculate</w:t>
      </w:r>
      <w:r>
        <w:rPr>
          <w:spacing w:val="-10"/>
        </w:rPr>
        <w:t xml:space="preserve"> </w:t>
      </w:r>
      <w:r>
        <w:t>capital requirements</w:t>
      </w:r>
      <w:r>
        <w:rPr>
          <w:spacing w:val="-13"/>
        </w:rPr>
        <w:t xml:space="preserve"> </w:t>
      </w:r>
      <w:r>
        <w:t>based</w:t>
      </w:r>
      <w:r>
        <w:rPr>
          <w:spacing w:val="-13"/>
        </w:rPr>
        <w:t xml:space="preserve"> </w:t>
      </w:r>
      <w:r>
        <w:t>on</w:t>
      </w:r>
      <w:r>
        <w:rPr>
          <w:spacing w:val="-13"/>
        </w:rPr>
        <w:t xml:space="preserve"> </w:t>
      </w:r>
      <w:r>
        <w:t>the</w:t>
      </w:r>
      <w:r>
        <w:rPr>
          <w:spacing w:val="-14"/>
        </w:rPr>
        <w:t xml:space="preserve"> </w:t>
      </w:r>
      <w:r>
        <w:t>assets</w:t>
      </w:r>
      <w:r>
        <w:rPr>
          <w:spacing w:val="-12"/>
        </w:rPr>
        <w:t xml:space="preserve"> </w:t>
      </w:r>
      <w:r>
        <w:t>underlying</w:t>
      </w:r>
      <w:r>
        <w:rPr>
          <w:spacing w:val="-15"/>
        </w:rPr>
        <w:t xml:space="preserve"> </w:t>
      </w:r>
      <w:r>
        <w:t>the</w:t>
      </w:r>
      <w:r>
        <w:rPr>
          <w:spacing w:val="-14"/>
        </w:rPr>
        <w:t xml:space="preserve"> </w:t>
      </w:r>
      <w:r>
        <w:t>fund</w:t>
      </w:r>
      <w:r>
        <w:rPr>
          <w:spacing w:val="-13"/>
        </w:rPr>
        <w:t xml:space="preserve"> </w:t>
      </w:r>
      <w:r>
        <w:t>(i.e.</w:t>
      </w:r>
      <w:r>
        <w:rPr>
          <w:spacing w:val="-11"/>
        </w:rPr>
        <w:t xml:space="preserve"> </w:t>
      </w:r>
      <w:r>
        <w:t>if</w:t>
      </w:r>
      <w:r>
        <w:rPr>
          <w:spacing w:val="-14"/>
        </w:rPr>
        <w:t xml:space="preserve"> </w:t>
      </w:r>
      <w:r>
        <w:t>the</w:t>
      </w:r>
      <w:r>
        <w:rPr>
          <w:spacing w:val="-9"/>
        </w:rPr>
        <w:t xml:space="preserve"> </w:t>
      </w:r>
      <w:r>
        <w:t>bank</w:t>
      </w:r>
      <w:r>
        <w:rPr>
          <w:spacing w:val="-14"/>
        </w:rPr>
        <w:t xml:space="preserve"> </w:t>
      </w:r>
      <w:r>
        <w:t>can</w:t>
      </w:r>
      <w:r>
        <w:rPr>
          <w:spacing w:val="-13"/>
        </w:rPr>
        <w:t xml:space="preserve"> </w:t>
      </w:r>
      <w:r>
        <w:t>“look</w:t>
      </w:r>
      <w:r>
        <w:rPr>
          <w:spacing w:val="-14"/>
        </w:rPr>
        <w:t xml:space="preserve"> </w:t>
      </w:r>
      <w:r>
        <w:t>through”</w:t>
      </w:r>
      <w:r>
        <w:rPr>
          <w:spacing w:val="-9"/>
        </w:rPr>
        <w:t xml:space="preserve"> </w:t>
      </w:r>
      <w:r>
        <w:t>to</w:t>
      </w:r>
      <w:r>
        <w:rPr>
          <w:spacing w:val="-16"/>
        </w:rPr>
        <w:t xml:space="preserve"> </w:t>
      </w:r>
      <w:r>
        <w:t>the</w:t>
      </w:r>
      <w:r>
        <w:rPr>
          <w:spacing w:val="-9"/>
        </w:rPr>
        <w:t xml:space="preserve"> </w:t>
      </w:r>
      <w:r>
        <w:t>underlying</w:t>
      </w:r>
    </w:p>
    <w:p w14:paraId="4474AE29" w14:textId="77777777" w:rsidR="001D4C35" w:rsidRDefault="006F73FF">
      <w:pPr>
        <w:pStyle w:val="BodyText"/>
        <w:spacing w:before="3"/>
        <w:rPr>
          <w:sz w:val="16"/>
        </w:rPr>
      </w:pPr>
      <w:r>
        <w:pict w14:anchorId="4474B094">
          <v:shape id="_x0000_s2091" style="position:absolute;margin-left:42.6pt;margin-top:11.9pt;width:2in;height:.1pt;z-index:-251590656;mso-wrap-distance-left:0;mso-wrap-distance-right:0;mso-position-horizontal-relative:page" coordorigin="852,238" coordsize="2880,0" path="m852,238r2880,e" filled="f" strokeweight=".8pt">
            <v:path arrowok="t"/>
            <w10:wrap type="topAndBottom" anchorx="page"/>
          </v:shape>
        </w:pict>
      </w:r>
    </w:p>
    <w:p w14:paraId="4474AE2A" w14:textId="77777777" w:rsidR="001D4C35" w:rsidRDefault="00D84817">
      <w:pPr>
        <w:spacing w:before="81"/>
        <w:ind w:left="172"/>
        <w:rPr>
          <w:sz w:val="16"/>
        </w:rPr>
      </w:pPr>
      <w:bookmarkStart w:id="13" w:name="_bookmark42"/>
      <w:bookmarkEnd w:id="13"/>
      <w:r>
        <w:rPr>
          <w:rFonts w:ascii="Calibri"/>
          <w:position w:val="7"/>
          <w:sz w:val="13"/>
        </w:rPr>
        <w:t>4</w:t>
      </w:r>
      <w:r>
        <w:rPr>
          <w:rFonts w:ascii="Calibri"/>
          <w:color w:val="0000FF"/>
          <w:sz w:val="13"/>
        </w:rPr>
        <w:t xml:space="preserve"> </w:t>
      </w:r>
      <w:hyperlink r:id="rId14">
        <w:r>
          <w:rPr>
            <w:color w:val="0000FF"/>
            <w:sz w:val="16"/>
            <w:u w:val="single" w:color="0000FF"/>
          </w:rPr>
          <w:t>https://ec.europa.eu/info/news/cmu-high-level-forum-final-report_en</w:t>
        </w:r>
      </w:hyperlink>
    </w:p>
    <w:p w14:paraId="4474AE2B" w14:textId="77777777" w:rsidR="001D4C35" w:rsidRDefault="001D4C35">
      <w:pPr>
        <w:rPr>
          <w:sz w:val="16"/>
        </w:rPr>
        <w:sectPr w:rsidR="001D4C35">
          <w:pgSz w:w="11910" w:h="16840"/>
          <w:pgMar w:top="1020" w:right="740" w:bottom="1200" w:left="680" w:header="0" w:footer="1000" w:gutter="0"/>
          <w:cols w:space="720"/>
        </w:sectPr>
      </w:pPr>
    </w:p>
    <w:p w14:paraId="4474AE2C" w14:textId="77777777" w:rsidR="001D4C35" w:rsidRDefault="00D84817">
      <w:pPr>
        <w:pStyle w:val="BodyText"/>
        <w:spacing w:before="75" w:line="276" w:lineRule="auto"/>
        <w:ind w:left="600" w:right="106" w:hanging="1"/>
        <w:jc w:val="both"/>
      </w:pPr>
      <w:r>
        <w:lastRenderedPageBreak/>
        <w:t>assets). Otherwise, three different approaches under the Standardized Approach (SA) are used. Two of them lead to conservative capital charges. The third one (the look-through approach under SA), which is the most risk sensitive approach, introduces computational intensity comparable to the IMA. These provisions regarding IMA and SA look-through approaches result in operational complexity in relatively simple and low risk strategies and may result in activity in funds being prohibitively expensive. While CRR 3 has introduced a widened use of the look through approach for SA and IMA including the use of data provided by relevant third-parties, there are still challenges associated with these elements.</w:t>
      </w:r>
    </w:p>
    <w:p w14:paraId="4474AE2D" w14:textId="77777777" w:rsidR="001D4C35" w:rsidRDefault="00D84817">
      <w:pPr>
        <w:pStyle w:val="ListParagraph"/>
        <w:numPr>
          <w:ilvl w:val="0"/>
          <w:numId w:val="12"/>
        </w:numPr>
        <w:tabs>
          <w:tab w:val="left" w:pos="601"/>
        </w:tabs>
        <w:spacing w:before="119" w:line="276" w:lineRule="auto"/>
        <w:ind w:left="600" w:right="104" w:hanging="360"/>
        <w:jc w:val="both"/>
      </w:pPr>
      <w:r>
        <w:t>The</w:t>
      </w:r>
      <w:r>
        <w:rPr>
          <w:spacing w:val="-7"/>
        </w:rPr>
        <w:t xml:space="preserve"> </w:t>
      </w:r>
      <w:r>
        <w:t>Trading</w:t>
      </w:r>
      <w:r>
        <w:rPr>
          <w:spacing w:val="-7"/>
        </w:rPr>
        <w:t xml:space="preserve"> </w:t>
      </w:r>
      <w:r>
        <w:t>book</w:t>
      </w:r>
      <w:r>
        <w:rPr>
          <w:spacing w:val="-6"/>
        </w:rPr>
        <w:t xml:space="preserve"> </w:t>
      </w:r>
      <w:r>
        <w:t>(TB)</w:t>
      </w:r>
      <w:r>
        <w:rPr>
          <w:spacing w:val="-7"/>
        </w:rPr>
        <w:t xml:space="preserve"> </w:t>
      </w:r>
      <w:r>
        <w:t>and</w:t>
      </w:r>
      <w:r>
        <w:rPr>
          <w:spacing w:val="-5"/>
        </w:rPr>
        <w:t xml:space="preserve"> </w:t>
      </w:r>
      <w:r>
        <w:t>banking</w:t>
      </w:r>
      <w:r>
        <w:rPr>
          <w:spacing w:val="-8"/>
        </w:rPr>
        <w:t xml:space="preserve"> </w:t>
      </w:r>
      <w:r>
        <w:t>book</w:t>
      </w:r>
      <w:r>
        <w:rPr>
          <w:spacing w:val="-6"/>
        </w:rPr>
        <w:t xml:space="preserve"> </w:t>
      </w:r>
      <w:r>
        <w:t>(BB)</w:t>
      </w:r>
      <w:r>
        <w:rPr>
          <w:spacing w:val="-7"/>
        </w:rPr>
        <w:t xml:space="preserve"> </w:t>
      </w:r>
      <w:r>
        <w:t>boundary</w:t>
      </w:r>
      <w:r>
        <w:rPr>
          <w:spacing w:val="-10"/>
        </w:rPr>
        <w:t xml:space="preserve"> </w:t>
      </w:r>
      <w:r>
        <w:t>defines</w:t>
      </w:r>
      <w:r>
        <w:rPr>
          <w:spacing w:val="-5"/>
        </w:rPr>
        <w:t xml:space="preserve"> </w:t>
      </w:r>
      <w:r>
        <w:t>which</w:t>
      </w:r>
      <w:r>
        <w:rPr>
          <w:spacing w:val="-8"/>
        </w:rPr>
        <w:t xml:space="preserve"> </w:t>
      </w:r>
      <w:r>
        <w:t>assets</w:t>
      </w:r>
      <w:r>
        <w:rPr>
          <w:spacing w:val="-5"/>
        </w:rPr>
        <w:t xml:space="preserve"> </w:t>
      </w:r>
      <w:r>
        <w:t>fall</w:t>
      </w:r>
      <w:r>
        <w:rPr>
          <w:spacing w:val="-7"/>
        </w:rPr>
        <w:t xml:space="preserve"> </w:t>
      </w:r>
      <w:r>
        <w:t>either</w:t>
      </w:r>
      <w:r>
        <w:rPr>
          <w:spacing w:val="-6"/>
        </w:rPr>
        <w:t xml:space="preserve"> </w:t>
      </w:r>
      <w:r>
        <w:t>within</w:t>
      </w:r>
      <w:r>
        <w:rPr>
          <w:spacing w:val="-6"/>
        </w:rPr>
        <w:t xml:space="preserve"> </w:t>
      </w:r>
      <w:r>
        <w:t>the</w:t>
      </w:r>
      <w:r>
        <w:rPr>
          <w:spacing w:val="-6"/>
        </w:rPr>
        <w:t xml:space="preserve"> </w:t>
      </w:r>
      <w:r>
        <w:t>scope of</w:t>
      </w:r>
      <w:r>
        <w:rPr>
          <w:spacing w:val="-7"/>
        </w:rPr>
        <w:t xml:space="preserve"> </w:t>
      </w:r>
      <w:r>
        <w:t>the</w:t>
      </w:r>
      <w:r>
        <w:rPr>
          <w:spacing w:val="-6"/>
        </w:rPr>
        <w:t xml:space="preserve"> </w:t>
      </w:r>
      <w:r>
        <w:t>capital</w:t>
      </w:r>
      <w:r>
        <w:rPr>
          <w:spacing w:val="-11"/>
        </w:rPr>
        <w:t xml:space="preserve"> </w:t>
      </w:r>
      <w:r>
        <w:t>requirements</w:t>
      </w:r>
      <w:r>
        <w:rPr>
          <w:spacing w:val="-10"/>
        </w:rPr>
        <w:t xml:space="preserve"> </w:t>
      </w:r>
      <w:r>
        <w:t>for</w:t>
      </w:r>
      <w:r>
        <w:rPr>
          <w:spacing w:val="-6"/>
        </w:rPr>
        <w:t xml:space="preserve"> </w:t>
      </w:r>
      <w:r>
        <w:t>market</w:t>
      </w:r>
      <w:r>
        <w:rPr>
          <w:spacing w:val="-9"/>
        </w:rPr>
        <w:t xml:space="preserve"> </w:t>
      </w:r>
      <w:r>
        <w:t>risk</w:t>
      </w:r>
      <w:r>
        <w:rPr>
          <w:spacing w:val="-10"/>
        </w:rPr>
        <w:t xml:space="preserve"> </w:t>
      </w:r>
      <w:r>
        <w:t>(assets</w:t>
      </w:r>
      <w:r>
        <w:rPr>
          <w:spacing w:val="-5"/>
        </w:rPr>
        <w:t xml:space="preserve"> </w:t>
      </w:r>
      <w:r>
        <w:t>held</w:t>
      </w:r>
      <w:r>
        <w:rPr>
          <w:spacing w:val="-9"/>
        </w:rPr>
        <w:t xml:space="preserve"> </w:t>
      </w:r>
      <w:r>
        <w:t>with</w:t>
      </w:r>
      <w:r>
        <w:rPr>
          <w:spacing w:val="-9"/>
        </w:rPr>
        <w:t xml:space="preserve"> </w:t>
      </w:r>
      <w:r>
        <w:t>a</w:t>
      </w:r>
      <w:r>
        <w:rPr>
          <w:spacing w:val="-10"/>
        </w:rPr>
        <w:t xml:space="preserve"> </w:t>
      </w:r>
      <w:r>
        <w:t>trading</w:t>
      </w:r>
      <w:r>
        <w:rPr>
          <w:spacing w:val="-8"/>
        </w:rPr>
        <w:t xml:space="preserve"> </w:t>
      </w:r>
      <w:r>
        <w:t>intent)</w:t>
      </w:r>
      <w:r>
        <w:rPr>
          <w:spacing w:val="-7"/>
        </w:rPr>
        <w:t xml:space="preserve"> </w:t>
      </w:r>
      <w:r>
        <w:t>and</w:t>
      </w:r>
      <w:r>
        <w:rPr>
          <w:spacing w:val="-5"/>
        </w:rPr>
        <w:t xml:space="preserve"> </w:t>
      </w:r>
      <w:r>
        <w:t>credit</w:t>
      </w:r>
      <w:r>
        <w:rPr>
          <w:spacing w:val="-6"/>
        </w:rPr>
        <w:t xml:space="preserve"> </w:t>
      </w:r>
      <w:r>
        <w:t>risk</w:t>
      </w:r>
      <w:r>
        <w:rPr>
          <w:spacing w:val="-7"/>
        </w:rPr>
        <w:t xml:space="preserve"> </w:t>
      </w:r>
      <w:r>
        <w:t>(those</w:t>
      </w:r>
      <w:r>
        <w:rPr>
          <w:spacing w:val="-6"/>
        </w:rPr>
        <w:t xml:space="preserve"> </w:t>
      </w:r>
      <w:r>
        <w:t>in</w:t>
      </w:r>
      <w:r>
        <w:rPr>
          <w:spacing w:val="-10"/>
        </w:rPr>
        <w:t xml:space="preserve"> </w:t>
      </w:r>
      <w:r>
        <w:t xml:space="preserve">the banking book). The industry remains concerned about the operational requirements, complexity </w:t>
      </w:r>
      <w:r>
        <w:rPr>
          <w:spacing w:val="-3"/>
        </w:rPr>
        <w:t xml:space="preserve">and </w:t>
      </w:r>
      <w:r>
        <w:t>potential</w:t>
      </w:r>
      <w:r>
        <w:rPr>
          <w:spacing w:val="-8"/>
        </w:rPr>
        <w:t xml:space="preserve"> </w:t>
      </w:r>
      <w:r>
        <w:t>rigidity</w:t>
      </w:r>
      <w:r>
        <w:rPr>
          <w:spacing w:val="-7"/>
        </w:rPr>
        <w:t xml:space="preserve"> </w:t>
      </w:r>
      <w:r>
        <w:t>in</w:t>
      </w:r>
      <w:r>
        <w:rPr>
          <w:spacing w:val="-7"/>
        </w:rPr>
        <w:t xml:space="preserve"> </w:t>
      </w:r>
      <w:r>
        <w:t>instrument</w:t>
      </w:r>
      <w:r>
        <w:rPr>
          <w:spacing w:val="-6"/>
        </w:rPr>
        <w:t xml:space="preserve"> </w:t>
      </w:r>
      <w:r>
        <w:t>designation,</w:t>
      </w:r>
      <w:r>
        <w:rPr>
          <w:spacing w:val="-9"/>
        </w:rPr>
        <w:t xml:space="preserve"> </w:t>
      </w:r>
      <w:r>
        <w:t>as</w:t>
      </w:r>
      <w:r>
        <w:rPr>
          <w:spacing w:val="-6"/>
        </w:rPr>
        <w:t xml:space="preserve"> </w:t>
      </w:r>
      <w:r>
        <w:t>well</w:t>
      </w:r>
      <w:r>
        <w:rPr>
          <w:spacing w:val="-8"/>
        </w:rPr>
        <w:t xml:space="preserve"> </w:t>
      </w:r>
      <w:r>
        <w:t>as</w:t>
      </w:r>
      <w:r>
        <w:rPr>
          <w:spacing w:val="-6"/>
        </w:rPr>
        <w:t xml:space="preserve"> </w:t>
      </w:r>
      <w:r>
        <w:t>downside</w:t>
      </w:r>
      <w:r>
        <w:rPr>
          <w:spacing w:val="-7"/>
        </w:rPr>
        <w:t xml:space="preserve"> </w:t>
      </w:r>
      <w:r>
        <w:t>effects</w:t>
      </w:r>
      <w:r>
        <w:rPr>
          <w:spacing w:val="-6"/>
        </w:rPr>
        <w:t xml:space="preserve"> </w:t>
      </w:r>
      <w:r>
        <w:t>in</w:t>
      </w:r>
      <w:r>
        <w:rPr>
          <w:spacing w:val="-7"/>
        </w:rPr>
        <w:t xml:space="preserve"> </w:t>
      </w:r>
      <w:r>
        <w:t>funding</w:t>
      </w:r>
      <w:r>
        <w:rPr>
          <w:spacing w:val="-9"/>
        </w:rPr>
        <w:t xml:space="preserve"> </w:t>
      </w:r>
      <w:r>
        <w:t>and</w:t>
      </w:r>
      <w:r>
        <w:rPr>
          <w:spacing w:val="-10"/>
        </w:rPr>
        <w:t xml:space="preserve"> </w:t>
      </w:r>
      <w:r>
        <w:t>liquidity</w:t>
      </w:r>
      <w:r>
        <w:rPr>
          <w:spacing w:val="-6"/>
        </w:rPr>
        <w:t xml:space="preserve"> </w:t>
      </w:r>
      <w:r>
        <w:t>activities resulting from the revised trading/ banking book boundary. The two-step approach across CRR 2 and CRR</w:t>
      </w:r>
      <w:r>
        <w:rPr>
          <w:spacing w:val="-9"/>
        </w:rPr>
        <w:t xml:space="preserve"> </w:t>
      </w:r>
      <w:r>
        <w:t>3</w:t>
      </w:r>
      <w:r>
        <w:rPr>
          <w:spacing w:val="-9"/>
        </w:rPr>
        <w:t xml:space="preserve"> </w:t>
      </w:r>
      <w:r>
        <w:t>to</w:t>
      </w:r>
      <w:r>
        <w:rPr>
          <w:spacing w:val="-8"/>
        </w:rPr>
        <w:t xml:space="preserve"> </w:t>
      </w:r>
      <w:r>
        <w:t>implement</w:t>
      </w:r>
      <w:r>
        <w:rPr>
          <w:spacing w:val="-7"/>
        </w:rPr>
        <w:t xml:space="preserve"> </w:t>
      </w:r>
      <w:r>
        <w:t>the</w:t>
      </w:r>
      <w:r>
        <w:rPr>
          <w:spacing w:val="-6"/>
        </w:rPr>
        <w:t xml:space="preserve"> </w:t>
      </w:r>
      <w:r>
        <w:t>new</w:t>
      </w:r>
      <w:r>
        <w:rPr>
          <w:spacing w:val="-6"/>
        </w:rPr>
        <w:t xml:space="preserve"> </w:t>
      </w:r>
      <w:r>
        <w:t>boundary</w:t>
      </w:r>
      <w:r>
        <w:rPr>
          <w:spacing w:val="-6"/>
        </w:rPr>
        <w:t xml:space="preserve"> </w:t>
      </w:r>
      <w:r>
        <w:t>can</w:t>
      </w:r>
      <w:r>
        <w:rPr>
          <w:spacing w:val="-6"/>
        </w:rPr>
        <w:t xml:space="preserve"> </w:t>
      </w:r>
      <w:r>
        <w:t>lead</w:t>
      </w:r>
      <w:r>
        <w:rPr>
          <w:spacing w:val="-6"/>
        </w:rPr>
        <w:t xml:space="preserve"> </w:t>
      </w:r>
      <w:r>
        <w:t>to</w:t>
      </w:r>
      <w:r>
        <w:rPr>
          <w:spacing w:val="-8"/>
        </w:rPr>
        <w:t xml:space="preserve"> </w:t>
      </w:r>
      <w:r>
        <w:t>significant</w:t>
      </w:r>
      <w:r>
        <w:rPr>
          <w:spacing w:val="-10"/>
        </w:rPr>
        <w:t xml:space="preserve"> </w:t>
      </w:r>
      <w:r>
        <w:t>disturbance,</w:t>
      </w:r>
      <w:r>
        <w:rPr>
          <w:spacing w:val="-9"/>
        </w:rPr>
        <w:t xml:space="preserve"> </w:t>
      </w:r>
      <w:r>
        <w:t>unless</w:t>
      </w:r>
      <w:r>
        <w:rPr>
          <w:spacing w:val="-5"/>
        </w:rPr>
        <w:t xml:space="preserve"> </w:t>
      </w:r>
      <w:r>
        <w:t>supervisory</w:t>
      </w:r>
      <w:r>
        <w:rPr>
          <w:spacing w:val="-7"/>
        </w:rPr>
        <w:t xml:space="preserve"> </w:t>
      </w:r>
      <w:r>
        <w:t>authorities and banks have the right tools to avoid a</w:t>
      </w:r>
      <w:r>
        <w:rPr>
          <w:spacing w:val="-2"/>
        </w:rPr>
        <w:t xml:space="preserve"> </w:t>
      </w:r>
      <w:r>
        <w:t>cliff-edge.</w:t>
      </w:r>
    </w:p>
    <w:p w14:paraId="4474AE2E" w14:textId="77777777" w:rsidR="001D4C35" w:rsidRDefault="00D84817">
      <w:pPr>
        <w:pStyle w:val="ListParagraph"/>
        <w:numPr>
          <w:ilvl w:val="0"/>
          <w:numId w:val="12"/>
        </w:numPr>
        <w:tabs>
          <w:tab w:val="left" w:pos="601"/>
        </w:tabs>
        <w:spacing w:before="119" w:line="276" w:lineRule="auto"/>
        <w:ind w:left="600" w:right="104"/>
        <w:jc w:val="both"/>
      </w:pPr>
      <w:r>
        <w:t>The</w:t>
      </w:r>
      <w:r>
        <w:rPr>
          <w:spacing w:val="-6"/>
        </w:rPr>
        <w:t xml:space="preserve"> </w:t>
      </w:r>
      <w:r>
        <w:t>residual</w:t>
      </w:r>
      <w:r>
        <w:rPr>
          <w:spacing w:val="-7"/>
        </w:rPr>
        <w:t xml:space="preserve"> </w:t>
      </w:r>
      <w:r>
        <w:t>risk</w:t>
      </w:r>
      <w:r>
        <w:rPr>
          <w:spacing w:val="-6"/>
        </w:rPr>
        <w:t xml:space="preserve"> </w:t>
      </w:r>
      <w:r>
        <w:t>add-on</w:t>
      </w:r>
      <w:r>
        <w:rPr>
          <w:spacing w:val="-5"/>
        </w:rPr>
        <w:t xml:space="preserve"> </w:t>
      </w:r>
      <w:r>
        <w:t>(RRAO)</w:t>
      </w:r>
      <w:r>
        <w:rPr>
          <w:spacing w:val="-7"/>
        </w:rPr>
        <w:t xml:space="preserve"> </w:t>
      </w:r>
      <w:r>
        <w:t>is</w:t>
      </w:r>
      <w:r>
        <w:rPr>
          <w:spacing w:val="-5"/>
        </w:rPr>
        <w:t xml:space="preserve"> </w:t>
      </w:r>
      <w:r>
        <w:t>a</w:t>
      </w:r>
      <w:r>
        <w:rPr>
          <w:spacing w:val="-5"/>
        </w:rPr>
        <w:t xml:space="preserve"> </w:t>
      </w:r>
      <w:r>
        <w:t>capital</w:t>
      </w:r>
      <w:r>
        <w:rPr>
          <w:spacing w:val="-11"/>
        </w:rPr>
        <w:t xml:space="preserve"> </w:t>
      </w:r>
      <w:r>
        <w:t>charge</w:t>
      </w:r>
      <w:r>
        <w:rPr>
          <w:spacing w:val="-6"/>
        </w:rPr>
        <w:t xml:space="preserve"> </w:t>
      </w:r>
      <w:r>
        <w:t>intended</w:t>
      </w:r>
      <w:r>
        <w:rPr>
          <w:spacing w:val="-4"/>
        </w:rPr>
        <w:t xml:space="preserve"> </w:t>
      </w:r>
      <w:r>
        <w:t>to</w:t>
      </w:r>
      <w:r>
        <w:rPr>
          <w:spacing w:val="-8"/>
        </w:rPr>
        <w:t xml:space="preserve"> </w:t>
      </w:r>
      <w:r>
        <w:t>only</w:t>
      </w:r>
      <w:r>
        <w:rPr>
          <w:spacing w:val="-6"/>
        </w:rPr>
        <w:t xml:space="preserve"> </w:t>
      </w:r>
      <w:r>
        <w:t>apply</w:t>
      </w:r>
      <w:r>
        <w:rPr>
          <w:spacing w:val="-9"/>
        </w:rPr>
        <w:t xml:space="preserve"> </w:t>
      </w:r>
      <w:r>
        <w:t>to</w:t>
      </w:r>
      <w:r>
        <w:rPr>
          <w:spacing w:val="-8"/>
        </w:rPr>
        <w:t xml:space="preserve"> </w:t>
      </w:r>
      <w:r>
        <w:t>exotic</w:t>
      </w:r>
      <w:r>
        <w:rPr>
          <w:spacing w:val="-8"/>
        </w:rPr>
        <w:t xml:space="preserve"> </w:t>
      </w:r>
      <w:r>
        <w:t>risks.</w:t>
      </w:r>
      <w:r>
        <w:rPr>
          <w:spacing w:val="-7"/>
        </w:rPr>
        <w:t xml:space="preserve"> </w:t>
      </w:r>
      <w:r>
        <w:t>Its</w:t>
      </w:r>
      <w:r>
        <w:rPr>
          <w:spacing w:val="-5"/>
        </w:rPr>
        <w:t xml:space="preserve"> </w:t>
      </w:r>
      <w:r>
        <w:t>design,</w:t>
      </w:r>
      <w:r>
        <w:rPr>
          <w:spacing w:val="-8"/>
        </w:rPr>
        <w:t xml:space="preserve"> </w:t>
      </w:r>
      <w:r>
        <w:t>a</w:t>
      </w:r>
      <w:r>
        <w:rPr>
          <w:spacing w:val="-5"/>
        </w:rPr>
        <w:t xml:space="preserve"> </w:t>
      </w:r>
      <w:r>
        <w:t>flat risk</w:t>
      </w:r>
      <w:r>
        <w:rPr>
          <w:spacing w:val="-10"/>
        </w:rPr>
        <w:t xml:space="preserve"> </w:t>
      </w:r>
      <w:r>
        <w:t>weight</w:t>
      </w:r>
      <w:r>
        <w:rPr>
          <w:spacing w:val="-9"/>
        </w:rPr>
        <w:t xml:space="preserve"> </w:t>
      </w:r>
      <w:r>
        <w:t>on</w:t>
      </w:r>
      <w:r>
        <w:rPr>
          <w:spacing w:val="-9"/>
        </w:rPr>
        <w:t xml:space="preserve"> </w:t>
      </w:r>
      <w:r>
        <w:t>the</w:t>
      </w:r>
      <w:r>
        <w:rPr>
          <w:spacing w:val="-10"/>
        </w:rPr>
        <w:t xml:space="preserve"> </w:t>
      </w:r>
      <w:r>
        <w:t>gross</w:t>
      </w:r>
      <w:r>
        <w:rPr>
          <w:spacing w:val="-8"/>
        </w:rPr>
        <w:t xml:space="preserve"> </w:t>
      </w:r>
      <w:r>
        <w:t>notional</w:t>
      </w:r>
      <w:r>
        <w:rPr>
          <w:spacing w:val="-10"/>
        </w:rPr>
        <w:t xml:space="preserve"> </w:t>
      </w:r>
      <w:r>
        <w:t>of</w:t>
      </w:r>
      <w:r>
        <w:rPr>
          <w:spacing w:val="-9"/>
        </w:rPr>
        <w:t xml:space="preserve"> </w:t>
      </w:r>
      <w:r>
        <w:t>affected</w:t>
      </w:r>
      <w:r>
        <w:rPr>
          <w:spacing w:val="-12"/>
        </w:rPr>
        <w:t xml:space="preserve"> </w:t>
      </w:r>
      <w:r>
        <w:t>products,</w:t>
      </w:r>
      <w:r>
        <w:rPr>
          <w:spacing w:val="-11"/>
        </w:rPr>
        <w:t xml:space="preserve"> </w:t>
      </w:r>
      <w:r>
        <w:t>is</w:t>
      </w:r>
      <w:r>
        <w:rPr>
          <w:spacing w:val="-9"/>
        </w:rPr>
        <w:t xml:space="preserve"> </w:t>
      </w:r>
      <w:r>
        <w:t>risk</w:t>
      </w:r>
      <w:r>
        <w:rPr>
          <w:spacing w:val="-9"/>
        </w:rPr>
        <w:t xml:space="preserve"> </w:t>
      </w:r>
      <w:r>
        <w:t>insensitive</w:t>
      </w:r>
      <w:r>
        <w:rPr>
          <w:spacing w:val="-9"/>
        </w:rPr>
        <w:t xml:space="preserve"> </w:t>
      </w:r>
      <w:r>
        <w:t>and</w:t>
      </w:r>
      <w:r>
        <w:rPr>
          <w:spacing w:val="-13"/>
        </w:rPr>
        <w:t xml:space="preserve"> </w:t>
      </w:r>
      <w:r>
        <w:t>penalizes</w:t>
      </w:r>
      <w:r>
        <w:rPr>
          <w:spacing w:val="-8"/>
        </w:rPr>
        <w:t xml:space="preserve"> </w:t>
      </w:r>
      <w:r>
        <w:t>in</w:t>
      </w:r>
      <w:r>
        <w:rPr>
          <w:spacing w:val="-9"/>
        </w:rPr>
        <w:t xml:space="preserve"> </w:t>
      </w:r>
      <w:r>
        <w:t>some</w:t>
      </w:r>
      <w:r>
        <w:rPr>
          <w:spacing w:val="-10"/>
        </w:rPr>
        <w:t xml:space="preserve"> </w:t>
      </w:r>
      <w:r>
        <w:t>cases</w:t>
      </w:r>
      <w:r>
        <w:rPr>
          <w:spacing w:val="-8"/>
        </w:rPr>
        <w:t xml:space="preserve"> </w:t>
      </w:r>
      <w:r>
        <w:t xml:space="preserve">well- hedged portfolios, which can result in overly high capital charges for banks, and lead to trading services becoming overly expensive. Moreover, the industry is concerned with the excessive RRAO charge for interest rate (IR) yield curve options and spread options. IR yield curve options </w:t>
      </w:r>
      <w:r>
        <w:rPr>
          <w:spacing w:val="-3"/>
        </w:rPr>
        <w:t xml:space="preserve">are </w:t>
      </w:r>
      <w:r>
        <w:t>widely used as hedging tools against interest rate curve exposure by clients such as pension funds, life insurance companies, corporates, asset managers and the RRAO charge could increase significantly their cost of hedging.</w:t>
      </w:r>
    </w:p>
    <w:p w14:paraId="4474AE2F" w14:textId="77777777" w:rsidR="001D4C35" w:rsidRDefault="00D84817">
      <w:pPr>
        <w:pStyle w:val="ListParagraph"/>
        <w:numPr>
          <w:ilvl w:val="0"/>
          <w:numId w:val="12"/>
        </w:numPr>
        <w:tabs>
          <w:tab w:val="left" w:pos="625"/>
        </w:tabs>
        <w:spacing w:before="119" w:line="276" w:lineRule="auto"/>
        <w:ind w:left="624" w:right="104"/>
        <w:jc w:val="both"/>
      </w:pPr>
      <w:r>
        <w:t>Correlation</w:t>
      </w:r>
      <w:r>
        <w:rPr>
          <w:spacing w:val="-16"/>
        </w:rPr>
        <w:t xml:space="preserve"> </w:t>
      </w:r>
      <w:r>
        <w:t>Trading</w:t>
      </w:r>
      <w:r>
        <w:rPr>
          <w:spacing w:val="-13"/>
        </w:rPr>
        <w:t xml:space="preserve"> </w:t>
      </w:r>
      <w:r>
        <w:t>Portfolios</w:t>
      </w:r>
      <w:r>
        <w:rPr>
          <w:spacing w:val="-10"/>
        </w:rPr>
        <w:t xml:space="preserve"> </w:t>
      </w:r>
      <w:r>
        <w:t>(CTP):</w:t>
      </w:r>
      <w:r>
        <w:rPr>
          <w:spacing w:val="-14"/>
        </w:rPr>
        <w:t xml:space="preserve"> </w:t>
      </w:r>
      <w:r>
        <w:t>The</w:t>
      </w:r>
      <w:r>
        <w:rPr>
          <w:spacing w:val="-12"/>
        </w:rPr>
        <w:t xml:space="preserve"> </w:t>
      </w:r>
      <w:r>
        <w:t>FRTB</w:t>
      </w:r>
      <w:r>
        <w:rPr>
          <w:spacing w:val="-10"/>
        </w:rPr>
        <w:t xml:space="preserve"> </w:t>
      </w:r>
      <w:r>
        <w:t>introduces</w:t>
      </w:r>
      <w:r>
        <w:rPr>
          <w:spacing w:val="-11"/>
        </w:rPr>
        <w:t xml:space="preserve"> </w:t>
      </w:r>
      <w:r>
        <w:t>particularly</w:t>
      </w:r>
      <w:r>
        <w:rPr>
          <w:spacing w:val="-15"/>
        </w:rPr>
        <w:t xml:space="preserve"> </w:t>
      </w:r>
      <w:r>
        <w:t>punitive</w:t>
      </w:r>
      <w:r>
        <w:rPr>
          <w:spacing w:val="-11"/>
        </w:rPr>
        <w:t xml:space="preserve"> </w:t>
      </w:r>
      <w:r>
        <w:t>charges</w:t>
      </w:r>
      <w:r>
        <w:rPr>
          <w:spacing w:val="-11"/>
        </w:rPr>
        <w:t xml:space="preserve"> </w:t>
      </w:r>
      <w:r>
        <w:t>for</w:t>
      </w:r>
      <w:r>
        <w:rPr>
          <w:spacing w:val="-15"/>
        </w:rPr>
        <w:t xml:space="preserve"> </w:t>
      </w:r>
      <w:r>
        <w:t>this</w:t>
      </w:r>
      <w:r>
        <w:rPr>
          <w:spacing w:val="-11"/>
        </w:rPr>
        <w:t xml:space="preserve"> </w:t>
      </w:r>
      <w:r>
        <w:t xml:space="preserve">business line in terms of default and credit spread risks and by limiting the recognition of hedges. This may incentivize banks to break economic hedges and effectively take </w:t>
      </w:r>
      <w:r>
        <w:rPr>
          <w:spacing w:val="-3"/>
        </w:rPr>
        <w:t xml:space="preserve">on </w:t>
      </w:r>
      <w:r>
        <w:t>more risk in order to reduce capital, which</w:t>
      </w:r>
      <w:r>
        <w:rPr>
          <w:spacing w:val="-16"/>
        </w:rPr>
        <w:t xml:space="preserve"> </w:t>
      </w:r>
      <w:r>
        <w:t>should</w:t>
      </w:r>
      <w:r>
        <w:rPr>
          <w:spacing w:val="-13"/>
        </w:rPr>
        <w:t xml:space="preserve"> </w:t>
      </w:r>
      <w:r>
        <w:t>not</w:t>
      </w:r>
      <w:r>
        <w:rPr>
          <w:spacing w:val="-12"/>
        </w:rPr>
        <w:t xml:space="preserve"> </w:t>
      </w:r>
      <w:r>
        <w:t>be</w:t>
      </w:r>
      <w:r>
        <w:rPr>
          <w:spacing w:val="-14"/>
        </w:rPr>
        <w:t xml:space="preserve"> </w:t>
      </w:r>
      <w:r>
        <w:t>an</w:t>
      </w:r>
      <w:r>
        <w:rPr>
          <w:spacing w:val="-13"/>
        </w:rPr>
        <w:t xml:space="preserve"> </w:t>
      </w:r>
      <w:r>
        <w:t>aim</w:t>
      </w:r>
      <w:r>
        <w:rPr>
          <w:spacing w:val="-14"/>
        </w:rPr>
        <w:t xml:space="preserve"> </w:t>
      </w:r>
      <w:r>
        <w:t>of</w:t>
      </w:r>
      <w:r>
        <w:rPr>
          <w:spacing w:val="-13"/>
        </w:rPr>
        <w:t xml:space="preserve"> </w:t>
      </w:r>
      <w:r>
        <w:t>a</w:t>
      </w:r>
      <w:r>
        <w:rPr>
          <w:spacing w:val="-14"/>
        </w:rPr>
        <w:t xml:space="preserve"> </w:t>
      </w:r>
      <w:r>
        <w:t>regulatory</w:t>
      </w:r>
      <w:r>
        <w:rPr>
          <w:spacing w:val="-13"/>
        </w:rPr>
        <w:t xml:space="preserve"> </w:t>
      </w:r>
      <w:r>
        <w:t>capital</w:t>
      </w:r>
      <w:r>
        <w:rPr>
          <w:spacing w:val="-15"/>
        </w:rPr>
        <w:t xml:space="preserve"> </w:t>
      </w:r>
      <w:r>
        <w:t>framework.</w:t>
      </w:r>
      <w:r>
        <w:rPr>
          <w:spacing w:val="-15"/>
        </w:rPr>
        <w:t xml:space="preserve"> </w:t>
      </w:r>
      <w:r>
        <w:t>In</w:t>
      </w:r>
      <w:r>
        <w:rPr>
          <w:spacing w:val="-14"/>
        </w:rPr>
        <w:t xml:space="preserve"> </w:t>
      </w:r>
      <w:r>
        <w:t>addition,</w:t>
      </w:r>
      <w:r>
        <w:rPr>
          <w:spacing w:val="-15"/>
        </w:rPr>
        <w:t xml:space="preserve"> </w:t>
      </w:r>
      <w:r>
        <w:t>the</w:t>
      </w:r>
      <w:r>
        <w:rPr>
          <w:spacing w:val="-14"/>
        </w:rPr>
        <w:t xml:space="preserve"> </w:t>
      </w:r>
      <w:r>
        <w:t>rules</w:t>
      </w:r>
      <w:r>
        <w:rPr>
          <w:spacing w:val="-13"/>
        </w:rPr>
        <w:t xml:space="preserve"> </w:t>
      </w:r>
      <w:r>
        <w:t>still</w:t>
      </w:r>
      <w:r>
        <w:rPr>
          <w:spacing w:val="-18"/>
        </w:rPr>
        <w:t xml:space="preserve"> </w:t>
      </w:r>
      <w:r>
        <w:t>lack</w:t>
      </w:r>
      <w:r>
        <w:rPr>
          <w:spacing w:val="-13"/>
        </w:rPr>
        <w:t xml:space="preserve"> </w:t>
      </w:r>
      <w:r>
        <w:t>clarity,</w:t>
      </w:r>
      <w:r>
        <w:rPr>
          <w:spacing w:val="-16"/>
        </w:rPr>
        <w:t xml:space="preserve"> </w:t>
      </w:r>
      <w:r>
        <w:t>which might result in limited own funds requirements comparability between</w:t>
      </w:r>
      <w:r>
        <w:rPr>
          <w:spacing w:val="-3"/>
        </w:rPr>
        <w:t xml:space="preserve"> </w:t>
      </w:r>
      <w:r>
        <w:t>banks.</w:t>
      </w:r>
    </w:p>
    <w:p w14:paraId="4474AE30" w14:textId="77777777" w:rsidR="001D4C35" w:rsidRDefault="00D84817">
      <w:pPr>
        <w:pStyle w:val="ListParagraph"/>
        <w:numPr>
          <w:ilvl w:val="0"/>
          <w:numId w:val="12"/>
        </w:numPr>
        <w:tabs>
          <w:tab w:val="left" w:pos="625"/>
        </w:tabs>
        <w:spacing w:before="121" w:line="276" w:lineRule="auto"/>
        <w:ind w:left="624" w:right="104"/>
        <w:jc w:val="both"/>
      </w:pPr>
      <w:r>
        <w:t xml:space="preserve">It is essential to ensure the viability </w:t>
      </w:r>
      <w:r>
        <w:rPr>
          <w:spacing w:val="-3"/>
        </w:rPr>
        <w:t xml:space="preserve">of </w:t>
      </w:r>
      <w:r>
        <w:t>the internal model approaches. While supporting a number of methodology and supervisory measures that will lead a more robust IMA, we are concerned that the extent</w:t>
      </w:r>
      <w:r>
        <w:rPr>
          <w:spacing w:val="-6"/>
        </w:rPr>
        <w:t xml:space="preserve"> </w:t>
      </w:r>
      <w:r>
        <w:t>of</w:t>
      </w:r>
      <w:r>
        <w:rPr>
          <w:spacing w:val="-7"/>
        </w:rPr>
        <w:t xml:space="preserve"> </w:t>
      </w:r>
      <w:r>
        <w:t>these</w:t>
      </w:r>
      <w:r>
        <w:rPr>
          <w:spacing w:val="-7"/>
        </w:rPr>
        <w:t xml:space="preserve"> </w:t>
      </w:r>
      <w:r>
        <w:t>measures</w:t>
      </w:r>
      <w:r>
        <w:rPr>
          <w:spacing w:val="-5"/>
        </w:rPr>
        <w:t xml:space="preserve"> </w:t>
      </w:r>
      <w:r>
        <w:t>may</w:t>
      </w:r>
      <w:r>
        <w:rPr>
          <w:spacing w:val="-7"/>
        </w:rPr>
        <w:t xml:space="preserve"> </w:t>
      </w:r>
      <w:r>
        <w:t>challenge</w:t>
      </w:r>
      <w:r>
        <w:rPr>
          <w:spacing w:val="-7"/>
        </w:rPr>
        <w:t xml:space="preserve"> </w:t>
      </w:r>
      <w:r>
        <w:t>the</w:t>
      </w:r>
      <w:r>
        <w:rPr>
          <w:spacing w:val="-10"/>
        </w:rPr>
        <w:t xml:space="preserve"> </w:t>
      </w:r>
      <w:r>
        <w:t>viability</w:t>
      </w:r>
      <w:r>
        <w:rPr>
          <w:spacing w:val="-7"/>
        </w:rPr>
        <w:t xml:space="preserve"> </w:t>
      </w:r>
      <w:r>
        <w:t>of</w:t>
      </w:r>
      <w:r>
        <w:rPr>
          <w:spacing w:val="-6"/>
        </w:rPr>
        <w:t xml:space="preserve"> </w:t>
      </w:r>
      <w:r>
        <w:t>the</w:t>
      </w:r>
      <w:r>
        <w:rPr>
          <w:spacing w:val="-7"/>
        </w:rPr>
        <w:t xml:space="preserve"> </w:t>
      </w:r>
      <w:r>
        <w:t>IMA</w:t>
      </w:r>
      <w:r>
        <w:rPr>
          <w:spacing w:val="-9"/>
        </w:rPr>
        <w:t xml:space="preserve"> </w:t>
      </w:r>
      <w:r>
        <w:t>altogether.</w:t>
      </w:r>
      <w:r>
        <w:rPr>
          <w:spacing w:val="-8"/>
        </w:rPr>
        <w:t xml:space="preserve"> </w:t>
      </w:r>
      <w:r>
        <w:t>Certain</w:t>
      </w:r>
      <w:r>
        <w:rPr>
          <w:spacing w:val="-7"/>
        </w:rPr>
        <w:t xml:space="preserve"> </w:t>
      </w:r>
      <w:r>
        <w:t>requirements</w:t>
      </w:r>
      <w:r>
        <w:rPr>
          <w:spacing w:val="-6"/>
        </w:rPr>
        <w:t xml:space="preserve"> </w:t>
      </w:r>
      <w:r>
        <w:t>that</w:t>
      </w:r>
      <w:r>
        <w:rPr>
          <w:spacing w:val="-5"/>
        </w:rPr>
        <w:t xml:space="preserve"> </w:t>
      </w:r>
      <w:r>
        <w:t>are unique to the internal model - which due to the strictness of requirements or obvious inconsistencies across model approaches - are potentially undermining this approach as a viable option for banks. Of particular relevance</w:t>
      </w:r>
      <w:r>
        <w:rPr>
          <w:spacing w:val="-1"/>
        </w:rPr>
        <w:t xml:space="preserve"> </w:t>
      </w:r>
      <w:r>
        <w:t>are:</w:t>
      </w:r>
    </w:p>
    <w:p w14:paraId="4474AE31" w14:textId="77777777" w:rsidR="001D4C35" w:rsidRDefault="00D84817">
      <w:pPr>
        <w:pStyle w:val="ListParagraph"/>
        <w:numPr>
          <w:ilvl w:val="1"/>
          <w:numId w:val="12"/>
        </w:numPr>
        <w:tabs>
          <w:tab w:val="left" w:pos="1305"/>
        </w:tabs>
        <w:spacing w:before="120" w:line="276" w:lineRule="auto"/>
        <w:ind w:right="110"/>
        <w:jc w:val="both"/>
      </w:pPr>
      <w:r>
        <w:t>the PLAT, which requires testing on real portfolios to ensure appropriate calibration before becoming a requirement for IMA</w:t>
      </w:r>
      <w:r>
        <w:rPr>
          <w:spacing w:val="-4"/>
        </w:rPr>
        <w:t xml:space="preserve"> </w:t>
      </w:r>
      <w:r>
        <w:t>eligibility</w:t>
      </w:r>
      <w:hyperlink w:anchor="_bookmark43" w:history="1">
        <w:r>
          <w:rPr>
            <w:position w:val="5"/>
            <w:sz w:val="14"/>
          </w:rPr>
          <w:t>5</w:t>
        </w:r>
      </w:hyperlink>
      <w:r>
        <w:t>.</w:t>
      </w:r>
    </w:p>
    <w:p w14:paraId="4474AE32" w14:textId="77777777" w:rsidR="001D4C35" w:rsidRDefault="00D84817">
      <w:pPr>
        <w:pStyle w:val="ListParagraph"/>
        <w:numPr>
          <w:ilvl w:val="1"/>
          <w:numId w:val="12"/>
        </w:numPr>
        <w:tabs>
          <w:tab w:val="left" w:pos="1304"/>
        </w:tabs>
        <w:spacing w:before="120" w:line="276" w:lineRule="auto"/>
        <w:ind w:left="1303" w:right="111"/>
        <w:jc w:val="both"/>
      </w:pPr>
      <w:r>
        <w:t>the Non-modellable Risk Factors (NMRF) with the prescriptive nature of the requirements potentially leading to a competitive disadvantage;</w:t>
      </w:r>
      <w:r>
        <w:rPr>
          <w:spacing w:val="-9"/>
        </w:rPr>
        <w:t xml:space="preserve"> </w:t>
      </w:r>
      <w:r>
        <w:t>and</w:t>
      </w:r>
    </w:p>
    <w:p w14:paraId="4474AE33" w14:textId="77777777" w:rsidR="001D4C35" w:rsidRDefault="00D84817">
      <w:pPr>
        <w:pStyle w:val="ListParagraph"/>
        <w:numPr>
          <w:ilvl w:val="1"/>
          <w:numId w:val="12"/>
        </w:numPr>
        <w:tabs>
          <w:tab w:val="left" w:pos="1305"/>
        </w:tabs>
        <w:spacing w:before="119" w:line="276" w:lineRule="auto"/>
        <w:ind w:right="109" w:hanging="357"/>
        <w:jc w:val="both"/>
      </w:pPr>
      <w:r>
        <w:t>an obvious inconsistency in the Default Risk Charge</w:t>
      </w:r>
      <w:hyperlink w:anchor="_bookmark44" w:history="1">
        <w:r>
          <w:rPr>
            <w:position w:val="5"/>
            <w:sz w:val="14"/>
          </w:rPr>
          <w:t>6</w:t>
        </w:r>
      </w:hyperlink>
      <w:r>
        <w:rPr>
          <w:position w:val="5"/>
          <w:sz w:val="14"/>
        </w:rPr>
        <w:t xml:space="preserve"> </w:t>
      </w:r>
      <w:r>
        <w:t>(DRC) between IMA and SA in relation to sovereign issuers of low risk. Such as EU Sovereign issuers, covered bonds or other Sovereign issues denominated in local currency of third countries whose supervisory and regulatory requirements are considered equivalent, that give rise to significant differences in the</w:t>
      </w:r>
      <w:r>
        <w:rPr>
          <w:spacing w:val="-28"/>
        </w:rPr>
        <w:t xml:space="preserve"> </w:t>
      </w:r>
      <w:r>
        <w:t>regulatory</w:t>
      </w:r>
    </w:p>
    <w:p w14:paraId="4474AE34" w14:textId="77777777" w:rsidR="001D4C35" w:rsidRDefault="006F73FF">
      <w:pPr>
        <w:pStyle w:val="BodyText"/>
        <w:spacing w:before="1"/>
        <w:rPr>
          <w:sz w:val="18"/>
        </w:rPr>
      </w:pPr>
      <w:r>
        <w:pict w14:anchorId="4474B095">
          <v:shape id="_x0000_s2090" style="position:absolute;margin-left:42.6pt;margin-top:12.95pt;width:2in;height:.1pt;z-index:-251589632;mso-wrap-distance-left:0;mso-wrap-distance-right:0;mso-position-horizontal-relative:page" coordorigin="852,259" coordsize="2880,0" path="m852,259r2880,e" filled="f" strokeweight=".8pt">
            <v:path arrowok="t"/>
            <w10:wrap type="topAndBottom" anchorx="page"/>
          </v:shape>
        </w:pict>
      </w:r>
    </w:p>
    <w:p w14:paraId="4474AE35" w14:textId="77777777" w:rsidR="001D4C35" w:rsidRDefault="00D84817">
      <w:pPr>
        <w:spacing w:before="79" w:line="244" w:lineRule="auto"/>
        <w:ind w:left="171" w:right="117"/>
        <w:rPr>
          <w:i/>
          <w:sz w:val="16"/>
        </w:rPr>
      </w:pPr>
      <w:bookmarkStart w:id="14" w:name="_bookmark43"/>
      <w:bookmarkEnd w:id="14"/>
      <w:r>
        <w:rPr>
          <w:rFonts w:ascii="Calibri" w:hAnsi="Calibri"/>
          <w:position w:val="5"/>
          <w:sz w:val="10"/>
        </w:rPr>
        <w:t xml:space="preserve">5 </w:t>
      </w:r>
      <w:r>
        <w:rPr>
          <w:sz w:val="16"/>
        </w:rPr>
        <w:t xml:space="preserve">Extract </w:t>
      </w:r>
      <w:hyperlink r:id="rId15">
        <w:r>
          <w:rPr>
            <w:color w:val="0000FF"/>
            <w:sz w:val="16"/>
            <w:u w:val="single" w:color="0000FF"/>
          </w:rPr>
          <w:t>BCBS monitoring report</w:t>
        </w:r>
        <w:r>
          <w:rPr>
            <w:color w:val="0000FF"/>
            <w:sz w:val="16"/>
          </w:rPr>
          <w:t xml:space="preserve"> </w:t>
        </w:r>
      </w:hyperlink>
      <w:r>
        <w:rPr>
          <w:sz w:val="16"/>
        </w:rPr>
        <w:t>published in September 2021 (p. 78) – “</w:t>
      </w:r>
      <w:r>
        <w:rPr>
          <w:i/>
          <w:sz w:val="16"/>
        </w:rPr>
        <w:t>Overall, 15 banks in eight countries were able to provide sufficient data to perform VaR backtesting versus 20 in the end-2019 data collection. Banks provided enough data for 474 desks for all tests to be performed, a significant improvement in the banks’ capabilities versus the 311 desks in the end-2019 data collection. Of these desks, 43 were able to pass all tests in the green zone and a further 24 desks passed in the amber zone for a total pass rate of 14.2%”</w:t>
      </w:r>
    </w:p>
    <w:p w14:paraId="4474AE36" w14:textId="77777777" w:rsidR="001D4C35" w:rsidRDefault="00D84817">
      <w:pPr>
        <w:spacing w:line="244" w:lineRule="auto"/>
        <w:ind w:left="172"/>
        <w:rPr>
          <w:sz w:val="16"/>
        </w:rPr>
      </w:pPr>
      <w:bookmarkStart w:id="15" w:name="_bookmark44"/>
      <w:bookmarkEnd w:id="15"/>
      <w:r>
        <w:rPr>
          <w:rFonts w:ascii="Calibri"/>
          <w:position w:val="5"/>
          <w:sz w:val="10"/>
        </w:rPr>
        <w:t xml:space="preserve">6 </w:t>
      </w:r>
      <w:r>
        <w:rPr>
          <w:sz w:val="16"/>
        </w:rPr>
        <w:t xml:space="preserve">Extract from </w:t>
      </w:r>
      <w:hyperlink r:id="rId16">
        <w:r>
          <w:rPr>
            <w:color w:val="0000FF"/>
            <w:sz w:val="16"/>
            <w:u w:val="single" w:color="0000FF"/>
          </w:rPr>
          <w:t>BCBS monitoring report</w:t>
        </w:r>
        <w:r>
          <w:rPr>
            <w:color w:val="0000FF"/>
            <w:sz w:val="16"/>
          </w:rPr>
          <w:t xml:space="preserve"> </w:t>
        </w:r>
      </w:hyperlink>
      <w:r>
        <w:rPr>
          <w:sz w:val="16"/>
        </w:rPr>
        <w:t>published in September 2021: The default risk capital (DRC) requirement in the Standardised Approach (SA) contributes 29.0% and 34.3% to the total standardised approach capital requirements for Group 1 and Group 2 banks, respectively. The DRC for internal models is expected to contribute 35.1% for Group 1 banks and 37.6% for Group 2 banks.</w:t>
      </w:r>
    </w:p>
    <w:p w14:paraId="4474AE37" w14:textId="77777777" w:rsidR="001D4C35" w:rsidRDefault="001D4C35">
      <w:pPr>
        <w:spacing w:line="244" w:lineRule="auto"/>
        <w:rPr>
          <w:sz w:val="16"/>
        </w:rPr>
        <w:sectPr w:rsidR="001D4C35">
          <w:pgSz w:w="11910" w:h="16840"/>
          <w:pgMar w:top="760" w:right="740" w:bottom="1200" w:left="680" w:header="0" w:footer="1000" w:gutter="0"/>
          <w:cols w:space="720"/>
        </w:sectPr>
      </w:pPr>
    </w:p>
    <w:p w14:paraId="4474AE38" w14:textId="77777777" w:rsidR="001D4C35" w:rsidRDefault="00D84817">
      <w:pPr>
        <w:pStyle w:val="BodyText"/>
        <w:spacing w:before="75" w:line="276" w:lineRule="auto"/>
        <w:ind w:left="1303" w:right="110"/>
        <w:jc w:val="both"/>
      </w:pPr>
      <w:bookmarkStart w:id="16" w:name="_bookmark45"/>
      <w:bookmarkEnd w:id="16"/>
      <w:r>
        <w:lastRenderedPageBreak/>
        <w:t>capital charges associated, as well as their risk perception between these two approaches. In addition, a floor of 3bp leads to a significantly higher charge under IMA (than for SA) for the equivalent risk.</w:t>
      </w:r>
    </w:p>
    <w:p w14:paraId="4474AE39" w14:textId="77777777" w:rsidR="001D4C35" w:rsidRDefault="00D84817">
      <w:pPr>
        <w:pStyle w:val="ListParagraph"/>
        <w:numPr>
          <w:ilvl w:val="0"/>
          <w:numId w:val="12"/>
        </w:numPr>
        <w:tabs>
          <w:tab w:val="left" w:pos="892"/>
        </w:tabs>
        <w:spacing w:before="118" w:line="276" w:lineRule="auto"/>
        <w:ind w:left="891" w:right="106"/>
        <w:jc w:val="both"/>
        <w:rPr>
          <w:sz w:val="14"/>
        </w:rPr>
      </w:pPr>
      <w:r>
        <w:t xml:space="preserve">Under the BCBS FRTB, carbon certificates have been allocated a risk weight bucket </w:t>
      </w:r>
      <w:r>
        <w:rPr>
          <w:spacing w:val="-3"/>
        </w:rPr>
        <w:t xml:space="preserve">of </w:t>
      </w:r>
      <w:r>
        <w:t>60% – among the highest of all commodities (e.g. twice that of crude oil). The Industry welcomes the changes by the</w:t>
      </w:r>
      <w:r>
        <w:rPr>
          <w:spacing w:val="-10"/>
        </w:rPr>
        <w:t xml:space="preserve"> </w:t>
      </w:r>
      <w:r>
        <w:t>Commission</w:t>
      </w:r>
      <w:r>
        <w:rPr>
          <w:spacing w:val="-9"/>
        </w:rPr>
        <w:t xml:space="preserve"> </w:t>
      </w:r>
      <w:r>
        <w:t>in</w:t>
      </w:r>
      <w:r>
        <w:rPr>
          <w:spacing w:val="-9"/>
        </w:rPr>
        <w:t xml:space="preserve"> </w:t>
      </w:r>
      <w:r>
        <w:t>the</w:t>
      </w:r>
      <w:r>
        <w:rPr>
          <w:spacing w:val="-9"/>
        </w:rPr>
        <w:t xml:space="preserve"> </w:t>
      </w:r>
      <w:r>
        <w:t>CRR</w:t>
      </w:r>
      <w:r>
        <w:rPr>
          <w:spacing w:val="-11"/>
        </w:rPr>
        <w:t xml:space="preserve"> </w:t>
      </w:r>
      <w:r>
        <w:t>3</w:t>
      </w:r>
      <w:r>
        <w:rPr>
          <w:spacing w:val="-9"/>
        </w:rPr>
        <w:t xml:space="preserve"> </w:t>
      </w:r>
      <w:r>
        <w:t>proposal</w:t>
      </w:r>
      <w:r>
        <w:rPr>
          <w:spacing w:val="-10"/>
        </w:rPr>
        <w:t xml:space="preserve"> </w:t>
      </w:r>
      <w:r>
        <w:t>by</w:t>
      </w:r>
      <w:r>
        <w:rPr>
          <w:spacing w:val="-9"/>
        </w:rPr>
        <w:t xml:space="preserve"> </w:t>
      </w:r>
      <w:r>
        <w:t>introducing</w:t>
      </w:r>
      <w:r>
        <w:rPr>
          <w:spacing w:val="-11"/>
        </w:rPr>
        <w:t xml:space="preserve"> </w:t>
      </w:r>
      <w:r>
        <w:t>a</w:t>
      </w:r>
      <w:r>
        <w:rPr>
          <w:spacing w:val="-9"/>
        </w:rPr>
        <w:t xml:space="preserve"> </w:t>
      </w:r>
      <w:r>
        <w:t>separate</w:t>
      </w:r>
      <w:r>
        <w:rPr>
          <w:spacing w:val="-10"/>
        </w:rPr>
        <w:t xml:space="preserve"> </w:t>
      </w:r>
      <w:r>
        <w:t>bucket</w:t>
      </w:r>
      <w:r>
        <w:rPr>
          <w:spacing w:val="-8"/>
        </w:rPr>
        <w:t xml:space="preserve"> </w:t>
      </w:r>
      <w:r>
        <w:t>for</w:t>
      </w:r>
      <w:r>
        <w:rPr>
          <w:spacing w:val="-9"/>
        </w:rPr>
        <w:t xml:space="preserve"> </w:t>
      </w:r>
      <w:r>
        <w:t>Carbon</w:t>
      </w:r>
      <w:r>
        <w:rPr>
          <w:spacing w:val="-9"/>
        </w:rPr>
        <w:t xml:space="preserve"> </w:t>
      </w:r>
      <w:r>
        <w:t>Trading</w:t>
      </w:r>
      <w:r>
        <w:rPr>
          <w:spacing w:val="-11"/>
        </w:rPr>
        <w:t xml:space="preserve"> </w:t>
      </w:r>
      <w:r>
        <w:t>with</w:t>
      </w:r>
      <w:r>
        <w:rPr>
          <w:spacing w:val="-12"/>
        </w:rPr>
        <w:t xml:space="preserve"> </w:t>
      </w:r>
      <w:r>
        <w:t>a</w:t>
      </w:r>
      <w:r>
        <w:rPr>
          <w:spacing w:val="-9"/>
        </w:rPr>
        <w:t xml:space="preserve"> </w:t>
      </w:r>
      <w:r>
        <w:t>risk weight of 40%, however the framework still penalizes carry positions as the FRTB imposes a correlation of 0.99 between spot and forward positions. While this might be appropriate for commodities to account for physical storage costs, carbon certificates are not typical commodities as there are no physical storage costs. Therefore, a much higher correlation for carbon certificates is appropriate. In fact, data on EU allowance (EUA) spot and forward trades shows a correlation of around 0.996 between returns for spot and future carbon</w:t>
      </w:r>
      <w:r>
        <w:rPr>
          <w:spacing w:val="-10"/>
        </w:rPr>
        <w:t xml:space="preserve"> </w:t>
      </w:r>
      <w:r>
        <w:t>certificates.</w:t>
      </w:r>
      <w:hyperlink w:anchor="_bookmark45" w:history="1">
        <w:r>
          <w:rPr>
            <w:position w:val="5"/>
            <w:sz w:val="14"/>
          </w:rPr>
          <w:t>7</w:t>
        </w:r>
      </w:hyperlink>
    </w:p>
    <w:p w14:paraId="4474AE3A" w14:textId="77777777" w:rsidR="001D4C35" w:rsidRDefault="001D4C35">
      <w:pPr>
        <w:pStyle w:val="BodyText"/>
        <w:rPr>
          <w:sz w:val="20"/>
        </w:rPr>
      </w:pPr>
    </w:p>
    <w:p w14:paraId="4474AE3B" w14:textId="77777777" w:rsidR="001D4C35" w:rsidRDefault="001D4C35">
      <w:pPr>
        <w:pStyle w:val="BodyText"/>
        <w:spacing w:before="7"/>
        <w:rPr>
          <w:sz w:val="26"/>
        </w:rPr>
      </w:pPr>
    </w:p>
    <w:p w14:paraId="4474AE3C" w14:textId="77777777" w:rsidR="001D4C35" w:rsidRDefault="006F73FF">
      <w:pPr>
        <w:pStyle w:val="Heading3"/>
        <w:spacing w:before="100"/>
        <w:ind w:left="4306" w:right="4253"/>
        <w:jc w:val="center"/>
      </w:pPr>
      <w:r>
        <w:pict w14:anchorId="4474B096">
          <v:group id="_x0000_s2084" style="position:absolute;left:0;text-align:left;margin-left:42.6pt;margin-top:-8.35pt;width:510.2pt;height:500.05pt;z-index:-254281728;mso-position-horizontal-relative:page" coordorigin="852,-167" coordsize="10204,10001">
            <v:shape id="_x0000_s2089" style="position:absolute;left:860;top:-155;width:10184;height:9980" coordorigin="860,-155" coordsize="10184,9980" path="m11044,-155r-104,l964,-155r-104,l860,9825r104,l10940,9825r104,l11044,-155e" fillcolor="#d9e1f3" stroked="f">
              <v:path arrowok="t"/>
            </v:shape>
            <v:line id="_x0000_s2088" style="position:absolute" from="860,-163" to="11048,-163" strokeweight=".14147mm"/>
            <v:line id="_x0000_s2087" style="position:absolute" from="860,-157" to="11048,-157" strokecolor="#d9e1f3" strokeweight=".2pt"/>
            <v:shape id="_x0000_s2086" style="position:absolute;left:856;top:-167;width:10192;height:10001" coordorigin="856,-167" coordsize="10192,10001" o:spt="100" adj="0,,0" path="m856,-167r,10000m860,9829r10188,e" filled="f" strokeweight=".4pt">
              <v:stroke joinstyle="round"/>
              <v:formulas/>
              <v:path arrowok="t" o:connecttype="segments"/>
            </v:shape>
            <v:line id="_x0000_s2085" style="position:absolute" from="11052,-167" to="11052,9833" strokeweight=".4pt"/>
            <w10:wrap anchorx="page"/>
          </v:group>
        </w:pict>
      </w:r>
      <w:r w:rsidR="00D84817">
        <w:t>Recommendations</w:t>
      </w:r>
    </w:p>
    <w:p w14:paraId="4474AE3D" w14:textId="77777777" w:rsidR="001D4C35" w:rsidRDefault="001D4C35">
      <w:pPr>
        <w:pStyle w:val="BodyText"/>
        <w:spacing w:before="10"/>
        <w:rPr>
          <w:b/>
          <w:sz w:val="16"/>
        </w:rPr>
      </w:pPr>
    </w:p>
    <w:p w14:paraId="4474AE3E" w14:textId="77777777" w:rsidR="001D4C35" w:rsidRDefault="00D84817">
      <w:pPr>
        <w:pStyle w:val="ListParagraph"/>
        <w:numPr>
          <w:ilvl w:val="0"/>
          <w:numId w:val="11"/>
        </w:numPr>
        <w:tabs>
          <w:tab w:val="left" w:pos="1005"/>
        </w:tabs>
        <w:spacing w:before="100" w:line="276" w:lineRule="auto"/>
        <w:ind w:right="221" w:hanging="360"/>
      </w:pPr>
      <w:r>
        <w:t>It</w:t>
      </w:r>
      <w:r>
        <w:rPr>
          <w:spacing w:val="-7"/>
        </w:rPr>
        <w:t xml:space="preserve"> </w:t>
      </w:r>
      <w:r>
        <w:t>is</w:t>
      </w:r>
      <w:r>
        <w:rPr>
          <w:spacing w:val="-6"/>
        </w:rPr>
        <w:t xml:space="preserve"> </w:t>
      </w:r>
      <w:r>
        <w:t>crucial</w:t>
      </w:r>
      <w:r>
        <w:rPr>
          <w:spacing w:val="-7"/>
        </w:rPr>
        <w:t xml:space="preserve"> </w:t>
      </w:r>
      <w:r>
        <w:t>that</w:t>
      </w:r>
      <w:r>
        <w:rPr>
          <w:spacing w:val="-6"/>
        </w:rPr>
        <w:t xml:space="preserve"> </w:t>
      </w:r>
      <w:r>
        <w:t>there</w:t>
      </w:r>
      <w:r>
        <w:rPr>
          <w:spacing w:val="-6"/>
        </w:rPr>
        <w:t xml:space="preserve"> </w:t>
      </w:r>
      <w:r>
        <w:t>is</w:t>
      </w:r>
      <w:r>
        <w:rPr>
          <w:spacing w:val="-6"/>
        </w:rPr>
        <w:t xml:space="preserve"> </w:t>
      </w:r>
      <w:r>
        <w:t>dialogue</w:t>
      </w:r>
      <w:r>
        <w:rPr>
          <w:spacing w:val="-7"/>
        </w:rPr>
        <w:t xml:space="preserve"> </w:t>
      </w:r>
      <w:r>
        <w:t>with</w:t>
      </w:r>
      <w:r>
        <w:rPr>
          <w:spacing w:val="-9"/>
        </w:rPr>
        <w:t xml:space="preserve"> </w:t>
      </w:r>
      <w:r>
        <w:t>key</w:t>
      </w:r>
      <w:r>
        <w:rPr>
          <w:spacing w:val="-6"/>
        </w:rPr>
        <w:t xml:space="preserve"> </w:t>
      </w:r>
      <w:r>
        <w:t>jurisdictions</w:t>
      </w:r>
      <w:r>
        <w:rPr>
          <w:spacing w:val="-6"/>
        </w:rPr>
        <w:t xml:space="preserve"> </w:t>
      </w:r>
      <w:r>
        <w:t>to</w:t>
      </w:r>
      <w:r>
        <w:rPr>
          <w:spacing w:val="-9"/>
        </w:rPr>
        <w:t xml:space="preserve"> </w:t>
      </w:r>
      <w:r>
        <w:t>ensure</w:t>
      </w:r>
      <w:r>
        <w:rPr>
          <w:spacing w:val="-7"/>
        </w:rPr>
        <w:t xml:space="preserve"> </w:t>
      </w:r>
      <w:r>
        <w:t>coordination</w:t>
      </w:r>
      <w:r>
        <w:rPr>
          <w:spacing w:val="-6"/>
        </w:rPr>
        <w:t xml:space="preserve"> </w:t>
      </w:r>
      <w:r>
        <w:t>and</w:t>
      </w:r>
      <w:r>
        <w:rPr>
          <w:spacing w:val="-6"/>
        </w:rPr>
        <w:t xml:space="preserve"> </w:t>
      </w:r>
      <w:r>
        <w:t>flexibility</w:t>
      </w:r>
      <w:r>
        <w:rPr>
          <w:spacing w:val="-7"/>
        </w:rPr>
        <w:t xml:space="preserve"> </w:t>
      </w:r>
      <w:r>
        <w:t>on</w:t>
      </w:r>
      <w:r>
        <w:rPr>
          <w:spacing w:val="-7"/>
        </w:rPr>
        <w:t xml:space="preserve"> </w:t>
      </w:r>
      <w:r>
        <w:t>the start date for FRTB and if necessary the scope of the delegated act should be an extended to accommodate the content of the rules based on the latest international developments. It is also imperative that the scope of the delegated be extended to include CVA due to the obvious interlinkages between the capital</w:t>
      </w:r>
      <w:r>
        <w:rPr>
          <w:spacing w:val="-2"/>
        </w:rPr>
        <w:t xml:space="preserve"> </w:t>
      </w:r>
      <w:r>
        <w:t>frameworks.</w:t>
      </w:r>
    </w:p>
    <w:p w14:paraId="4474AE3F" w14:textId="77777777" w:rsidR="001D4C35" w:rsidRDefault="00D84817">
      <w:pPr>
        <w:pStyle w:val="ListParagraph"/>
        <w:numPr>
          <w:ilvl w:val="0"/>
          <w:numId w:val="11"/>
        </w:numPr>
        <w:tabs>
          <w:tab w:val="left" w:pos="1005"/>
        </w:tabs>
        <w:spacing w:line="278" w:lineRule="auto"/>
        <w:ind w:right="224" w:hanging="360"/>
      </w:pPr>
      <w:r>
        <w:t>For Collective Investment Undertakings (CIUs), it will be important to clarify from the BCBS rules and ensure that</w:t>
      </w:r>
    </w:p>
    <w:p w14:paraId="4474AE40" w14:textId="77777777" w:rsidR="001D4C35" w:rsidRDefault="00D84817">
      <w:pPr>
        <w:pStyle w:val="ListParagraph"/>
        <w:numPr>
          <w:ilvl w:val="1"/>
          <w:numId w:val="11"/>
        </w:numPr>
        <w:tabs>
          <w:tab w:val="left" w:pos="1724"/>
        </w:tabs>
        <w:spacing w:line="268" w:lineRule="auto"/>
        <w:ind w:right="222"/>
      </w:pPr>
      <w:r>
        <w:t xml:space="preserve">the IMA should not include the mandatory look through requirements, instead it should be acceptable for CIUs to be included in IMA as a single risk factor using the daily liquid price of the CIU as currently permitted the ECB by paragraph 40 of the </w:t>
      </w:r>
      <w:hyperlink r:id="rId17">
        <w:r>
          <w:rPr>
            <w:rFonts w:ascii="Calibri" w:hAnsi="Calibri"/>
            <w:sz w:val="24"/>
          </w:rPr>
          <w:t xml:space="preserve">ECB guide </w:t>
        </w:r>
      </w:hyperlink>
      <w:r>
        <w:t>to internal models;</w:t>
      </w:r>
    </w:p>
    <w:p w14:paraId="4474AE41" w14:textId="77777777" w:rsidR="001D4C35" w:rsidRDefault="00D84817">
      <w:pPr>
        <w:pStyle w:val="ListParagraph"/>
        <w:numPr>
          <w:ilvl w:val="1"/>
          <w:numId w:val="11"/>
        </w:numPr>
        <w:tabs>
          <w:tab w:val="left" w:pos="1724"/>
        </w:tabs>
        <w:spacing w:before="3" w:line="271" w:lineRule="auto"/>
        <w:ind w:right="223"/>
      </w:pPr>
      <w:r>
        <w:t>flexibility should be introduced for the SA so Banks are permitted to use FRTB capital per unit published by the funds where available. This approach is more risk aligned than using specific</w:t>
      </w:r>
      <w:r>
        <w:rPr>
          <w:spacing w:val="-8"/>
        </w:rPr>
        <w:t xml:space="preserve"> </w:t>
      </w:r>
      <w:r>
        <w:t>risk</w:t>
      </w:r>
      <w:r>
        <w:rPr>
          <w:spacing w:val="-5"/>
        </w:rPr>
        <w:t xml:space="preserve"> </w:t>
      </w:r>
      <w:r>
        <w:t>weights.</w:t>
      </w:r>
      <w:r>
        <w:rPr>
          <w:spacing w:val="-7"/>
        </w:rPr>
        <w:t xml:space="preserve"> </w:t>
      </w:r>
      <w:r>
        <w:t>The</w:t>
      </w:r>
      <w:r>
        <w:rPr>
          <w:spacing w:val="-5"/>
        </w:rPr>
        <w:t xml:space="preserve"> </w:t>
      </w:r>
      <w:r>
        <w:t>funds</w:t>
      </w:r>
      <w:r>
        <w:rPr>
          <w:spacing w:val="-4"/>
        </w:rPr>
        <w:t xml:space="preserve"> </w:t>
      </w:r>
      <w:r>
        <w:t>or</w:t>
      </w:r>
      <w:r>
        <w:rPr>
          <w:spacing w:val="-5"/>
        </w:rPr>
        <w:t xml:space="preserve"> </w:t>
      </w:r>
      <w:r>
        <w:t>other</w:t>
      </w:r>
      <w:r>
        <w:rPr>
          <w:spacing w:val="-5"/>
        </w:rPr>
        <w:t xml:space="preserve"> </w:t>
      </w:r>
      <w:r>
        <w:t>arms-length</w:t>
      </w:r>
      <w:r>
        <w:rPr>
          <w:spacing w:val="-7"/>
        </w:rPr>
        <w:t xml:space="preserve"> </w:t>
      </w:r>
      <w:r>
        <w:t>third</w:t>
      </w:r>
      <w:r>
        <w:rPr>
          <w:spacing w:val="-4"/>
        </w:rPr>
        <w:t xml:space="preserve"> </w:t>
      </w:r>
      <w:r>
        <w:t>parties</w:t>
      </w:r>
      <w:r>
        <w:rPr>
          <w:spacing w:val="-4"/>
        </w:rPr>
        <w:t xml:space="preserve"> </w:t>
      </w:r>
      <w:r>
        <w:t>could</w:t>
      </w:r>
      <w:r>
        <w:rPr>
          <w:spacing w:val="-4"/>
        </w:rPr>
        <w:t xml:space="preserve"> </w:t>
      </w:r>
      <w:r>
        <w:t>voluntarily</w:t>
      </w:r>
      <w:r>
        <w:rPr>
          <w:spacing w:val="-5"/>
        </w:rPr>
        <w:t xml:space="preserve"> </w:t>
      </w:r>
      <w:r>
        <w:t>publish the percentage capital per unit for the three components of the FRTB SA, which banks can use as risk weights for their positions in these</w:t>
      </w:r>
      <w:r>
        <w:rPr>
          <w:spacing w:val="-6"/>
        </w:rPr>
        <w:t xml:space="preserve"> </w:t>
      </w:r>
      <w:r>
        <w:t>funds.</w:t>
      </w:r>
    </w:p>
    <w:p w14:paraId="4474AE42" w14:textId="77777777" w:rsidR="001D4C35" w:rsidRDefault="00D84817">
      <w:pPr>
        <w:pStyle w:val="ListParagraph"/>
        <w:numPr>
          <w:ilvl w:val="1"/>
          <w:numId w:val="11"/>
        </w:numPr>
        <w:tabs>
          <w:tab w:val="left" w:pos="1724"/>
        </w:tabs>
        <w:spacing w:before="130" w:line="268" w:lineRule="auto"/>
        <w:ind w:right="221"/>
      </w:pPr>
      <w:r>
        <w:t>Furthermore,</w:t>
      </w:r>
      <w:r>
        <w:rPr>
          <w:spacing w:val="-9"/>
        </w:rPr>
        <w:t xml:space="preserve"> </w:t>
      </w:r>
      <w:r>
        <w:t>the</w:t>
      </w:r>
      <w:r>
        <w:rPr>
          <w:spacing w:val="-7"/>
        </w:rPr>
        <w:t xml:space="preserve"> </w:t>
      </w:r>
      <w:r>
        <w:t>industry</w:t>
      </w:r>
      <w:r>
        <w:rPr>
          <w:spacing w:val="-6"/>
        </w:rPr>
        <w:t xml:space="preserve"> </w:t>
      </w:r>
      <w:r>
        <w:t>believes</w:t>
      </w:r>
      <w:r>
        <w:rPr>
          <w:spacing w:val="-6"/>
        </w:rPr>
        <w:t xml:space="preserve"> </w:t>
      </w:r>
      <w:r>
        <w:t>that</w:t>
      </w:r>
      <w:r>
        <w:rPr>
          <w:spacing w:val="-6"/>
        </w:rPr>
        <w:t xml:space="preserve"> </w:t>
      </w:r>
      <w:r>
        <w:t>the</w:t>
      </w:r>
      <w:r>
        <w:rPr>
          <w:spacing w:val="-6"/>
        </w:rPr>
        <w:t xml:space="preserve"> </w:t>
      </w:r>
      <w:r>
        <w:t>aggregation</w:t>
      </w:r>
      <w:r>
        <w:rPr>
          <w:spacing w:val="-7"/>
        </w:rPr>
        <w:t xml:space="preserve"> </w:t>
      </w:r>
      <w:r>
        <w:t>methodology</w:t>
      </w:r>
      <w:r>
        <w:rPr>
          <w:spacing w:val="-7"/>
        </w:rPr>
        <w:t xml:space="preserve"> </w:t>
      </w:r>
      <w:r>
        <w:t>for</w:t>
      </w:r>
      <w:r>
        <w:rPr>
          <w:spacing w:val="-6"/>
        </w:rPr>
        <w:t xml:space="preserve"> </w:t>
      </w:r>
      <w:r>
        <w:t>the</w:t>
      </w:r>
      <w:r>
        <w:rPr>
          <w:spacing w:val="-7"/>
        </w:rPr>
        <w:t xml:space="preserve"> </w:t>
      </w:r>
      <w:r>
        <w:t>fund-as-single equity approach should be adapted. Risk-weighted exposures should be correlated rather than absolute simple summed as per the ‘other sector’ (bucket 11)</w:t>
      </w:r>
      <w:r>
        <w:rPr>
          <w:spacing w:val="-13"/>
        </w:rPr>
        <w:t xml:space="preserve"> </w:t>
      </w:r>
      <w:r>
        <w:t>specification.</w:t>
      </w:r>
    </w:p>
    <w:p w14:paraId="4474AE43" w14:textId="77777777" w:rsidR="001D4C35" w:rsidRDefault="00D84817">
      <w:pPr>
        <w:pStyle w:val="ListParagraph"/>
        <w:numPr>
          <w:ilvl w:val="0"/>
          <w:numId w:val="11"/>
        </w:numPr>
        <w:tabs>
          <w:tab w:val="left" w:pos="1005"/>
        </w:tabs>
        <w:spacing w:before="128" w:line="276" w:lineRule="auto"/>
        <w:ind w:right="223" w:hanging="360"/>
      </w:pPr>
      <w:r>
        <w:t>For the implementation of the TB/BB boundary, it will be important not to unduly burden firms with operational requirements, complexity and potential rigidity in instrument designation. It is also crucially important to avoid any potential issues with the new boundary go-live dates and existing portfolios. Effective supervisory tools and grandfathering arrangements would help avoid any cliff-edge situations that are not</w:t>
      </w:r>
      <w:r>
        <w:rPr>
          <w:spacing w:val="-6"/>
        </w:rPr>
        <w:t xml:space="preserve"> </w:t>
      </w:r>
      <w:r>
        <w:t>intended.</w:t>
      </w:r>
    </w:p>
    <w:p w14:paraId="4474AE44" w14:textId="77777777" w:rsidR="001D4C35" w:rsidRDefault="00D84817">
      <w:pPr>
        <w:pStyle w:val="ListParagraph"/>
        <w:numPr>
          <w:ilvl w:val="0"/>
          <w:numId w:val="11"/>
        </w:numPr>
        <w:tabs>
          <w:tab w:val="left" w:pos="1005"/>
        </w:tabs>
        <w:spacing w:before="115" w:line="276" w:lineRule="auto"/>
        <w:ind w:right="222" w:hanging="360"/>
      </w:pPr>
      <w:r>
        <w:t>RRAO should address only risks not capitalized elsewhere in the framework (ex. volatility risk of volatility or variance swaps could well be captured in the SBM Vega risk charge and should not be subject</w:t>
      </w:r>
      <w:r>
        <w:rPr>
          <w:spacing w:val="-6"/>
        </w:rPr>
        <w:t xml:space="preserve"> </w:t>
      </w:r>
      <w:r>
        <w:t>to</w:t>
      </w:r>
      <w:r>
        <w:rPr>
          <w:spacing w:val="-12"/>
        </w:rPr>
        <w:t xml:space="preserve"> </w:t>
      </w:r>
      <w:r>
        <w:t>the</w:t>
      </w:r>
      <w:r>
        <w:rPr>
          <w:spacing w:val="-5"/>
        </w:rPr>
        <w:t xml:space="preserve"> </w:t>
      </w:r>
      <w:r>
        <w:t>1%</w:t>
      </w:r>
      <w:r>
        <w:rPr>
          <w:spacing w:val="-7"/>
        </w:rPr>
        <w:t xml:space="preserve"> </w:t>
      </w:r>
      <w:r>
        <w:t>RRAO</w:t>
      </w:r>
      <w:r>
        <w:rPr>
          <w:spacing w:val="-7"/>
        </w:rPr>
        <w:t xml:space="preserve"> </w:t>
      </w:r>
      <w:r>
        <w:t>charge),</w:t>
      </w:r>
      <w:r>
        <w:rPr>
          <w:spacing w:val="-7"/>
        </w:rPr>
        <w:t xml:space="preserve"> </w:t>
      </w:r>
      <w:r>
        <w:t>it</w:t>
      </w:r>
      <w:r>
        <w:rPr>
          <w:spacing w:val="-6"/>
        </w:rPr>
        <w:t xml:space="preserve"> </w:t>
      </w:r>
      <w:r>
        <w:t>should</w:t>
      </w:r>
      <w:r>
        <w:rPr>
          <w:spacing w:val="-5"/>
        </w:rPr>
        <w:t xml:space="preserve"> </w:t>
      </w:r>
      <w:r>
        <w:rPr>
          <w:spacing w:val="-3"/>
        </w:rPr>
        <w:t>be</w:t>
      </w:r>
      <w:r>
        <w:rPr>
          <w:spacing w:val="-6"/>
        </w:rPr>
        <w:t xml:space="preserve"> </w:t>
      </w:r>
      <w:r>
        <w:t>ensured</w:t>
      </w:r>
      <w:r>
        <w:rPr>
          <w:spacing w:val="-8"/>
        </w:rPr>
        <w:t xml:space="preserve"> </w:t>
      </w:r>
      <w:r>
        <w:t>that</w:t>
      </w:r>
      <w:r>
        <w:rPr>
          <w:spacing w:val="-6"/>
        </w:rPr>
        <w:t xml:space="preserve"> </w:t>
      </w:r>
      <w:r>
        <w:t>only</w:t>
      </w:r>
      <w:r>
        <w:rPr>
          <w:spacing w:val="-6"/>
        </w:rPr>
        <w:t xml:space="preserve"> </w:t>
      </w:r>
      <w:r>
        <w:t>real</w:t>
      </w:r>
      <w:r>
        <w:rPr>
          <w:spacing w:val="-10"/>
        </w:rPr>
        <w:t xml:space="preserve"> </w:t>
      </w:r>
      <w:r>
        <w:t>truly</w:t>
      </w:r>
      <w:r>
        <w:rPr>
          <w:spacing w:val="-10"/>
        </w:rPr>
        <w:t xml:space="preserve"> </w:t>
      </w:r>
      <w:r>
        <w:t>exotic</w:t>
      </w:r>
      <w:r>
        <w:rPr>
          <w:spacing w:val="-7"/>
        </w:rPr>
        <w:t xml:space="preserve"> </w:t>
      </w:r>
      <w:r>
        <w:t>underlying</w:t>
      </w:r>
      <w:r>
        <w:rPr>
          <w:spacing w:val="-8"/>
        </w:rPr>
        <w:t xml:space="preserve"> </w:t>
      </w:r>
      <w:r>
        <w:t>risks</w:t>
      </w:r>
      <w:r>
        <w:rPr>
          <w:spacing w:val="-5"/>
        </w:rPr>
        <w:t xml:space="preserve"> </w:t>
      </w:r>
      <w:r>
        <w:rPr>
          <w:spacing w:val="-3"/>
        </w:rPr>
        <w:t xml:space="preserve">are </w:t>
      </w:r>
      <w:r>
        <w:t>subject to the 1% charge and more generally RRAO does not disproportionally charge vanilla rates products.</w:t>
      </w:r>
    </w:p>
    <w:p w14:paraId="4474AE45" w14:textId="77777777" w:rsidR="001D4C35" w:rsidRDefault="001D4C35">
      <w:pPr>
        <w:spacing w:line="276" w:lineRule="auto"/>
        <w:jc w:val="both"/>
        <w:sectPr w:rsidR="001D4C35">
          <w:footerReference w:type="default" r:id="rId18"/>
          <w:pgSz w:w="11910" w:h="16840"/>
          <w:pgMar w:top="760" w:right="740" w:bottom="1640" w:left="680" w:header="0" w:footer="1440" w:gutter="0"/>
          <w:pgNumType w:start="7"/>
          <w:cols w:space="720"/>
        </w:sectPr>
      </w:pPr>
    </w:p>
    <w:p w14:paraId="4474AE46" w14:textId="77777777" w:rsidR="001D4C35" w:rsidRDefault="006F73FF">
      <w:pPr>
        <w:pStyle w:val="ListParagraph"/>
        <w:numPr>
          <w:ilvl w:val="0"/>
          <w:numId w:val="11"/>
        </w:numPr>
        <w:tabs>
          <w:tab w:val="left" w:pos="1004"/>
        </w:tabs>
        <w:spacing w:before="83" w:line="276" w:lineRule="auto"/>
        <w:ind w:right="224" w:hanging="360"/>
      </w:pPr>
      <w:r>
        <w:lastRenderedPageBreak/>
        <w:pict w14:anchorId="4474B097">
          <v:group id="_x0000_s2075" style="position:absolute;left:0;text-align:left;margin-left:42.6pt;margin-top:3.8pt;width:510.2pt;height:342.6pt;z-index:-254280704;mso-position-horizontal-relative:page" coordorigin="852,76" coordsize="10204,6852">
            <v:shape id="_x0000_s2083" style="position:absolute;left:860;top:84;width:10184;height:6840" coordorigin="860,84" coordsize="10184,6840" path="m11044,84r-104,l964,84r-104,l860,6924r104,l10940,6924r104,l11044,84e" fillcolor="#d9e1f3" stroked="f">
              <v:path arrowok="t"/>
            </v:shape>
            <v:shape id="_x0000_s2082" style="position:absolute;left:852;top:76;width:8;height:12" coordorigin="852,76" coordsize="8,12" path="m860,76r-8,l852,84r,4l860,88r,-4l860,76e" fillcolor="black" stroked="f">
              <v:path arrowok="t"/>
            </v:shape>
            <v:line id="_x0000_s2081" style="position:absolute" from="860,80" to="11048,80" strokeweight=".4pt"/>
            <v:line id="_x0000_s2080" style="position:absolute" from="860,86" to="11048,86" strokecolor="#d9e1f3" strokeweight=".07092mm"/>
            <v:shape id="_x0000_s2079" style="position:absolute;left:11048;top:76;width:8;height:12" coordorigin="11048,76" coordsize="8,12" path="m11056,76r-8,l11048,84r,4l11056,88r,-4l11056,76e" fillcolor="black" stroked="f">
              <v:path arrowok="t"/>
            </v:shape>
            <v:line id="_x0000_s2078" style="position:absolute" from="856,88" to="856,6928" strokeweight=".4pt"/>
            <v:line id="_x0000_s2077" style="position:absolute" from="860,6924" to="11048,6924" strokeweight=".4pt"/>
            <v:line id="_x0000_s2076" style="position:absolute" from="11052,88" to="11052,6928" strokeweight=".4pt"/>
            <w10:wrap anchorx="page"/>
          </v:group>
        </w:pict>
      </w:r>
      <w:bookmarkStart w:id="17" w:name="_bookmark46"/>
      <w:bookmarkEnd w:id="17"/>
      <w:r w:rsidR="00D84817">
        <w:t>CTP exposures should be able to be decomposed to constituents of the product for both SBM and DRC</w:t>
      </w:r>
      <w:r w:rsidR="00D84817">
        <w:rPr>
          <w:spacing w:val="-8"/>
        </w:rPr>
        <w:t xml:space="preserve"> </w:t>
      </w:r>
      <w:r w:rsidR="00D84817">
        <w:t>to</w:t>
      </w:r>
      <w:r w:rsidR="00D84817">
        <w:rPr>
          <w:spacing w:val="-9"/>
        </w:rPr>
        <w:t xml:space="preserve"> </w:t>
      </w:r>
      <w:r w:rsidR="00D84817">
        <w:t>ensure</w:t>
      </w:r>
      <w:r w:rsidR="00D84817">
        <w:rPr>
          <w:spacing w:val="-7"/>
        </w:rPr>
        <w:t xml:space="preserve"> </w:t>
      </w:r>
      <w:r w:rsidR="00D84817">
        <w:t>a</w:t>
      </w:r>
      <w:r w:rsidR="00D84817">
        <w:rPr>
          <w:spacing w:val="-6"/>
        </w:rPr>
        <w:t xml:space="preserve"> </w:t>
      </w:r>
      <w:r w:rsidR="00D84817">
        <w:t>capital</w:t>
      </w:r>
      <w:r w:rsidR="00D84817">
        <w:rPr>
          <w:spacing w:val="-8"/>
        </w:rPr>
        <w:t xml:space="preserve"> </w:t>
      </w:r>
      <w:r w:rsidR="00D84817">
        <w:t>outcome</w:t>
      </w:r>
      <w:r w:rsidR="00D84817">
        <w:rPr>
          <w:spacing w:val="-11"/>
        </w:rPr>
        <w:t xml:space="preserve"> </w:t>
      </w:r>
      <w:r w:rsidR="00D84817">
        <w:t>that</w:t>
      </w:r>
      <w:r w:rsidR="00D84817">
        <w:rPr>
          <w:spacing w:val="-5"/>
        </w:rPr>
        <w:t xml:space="preserve"> </w:t>
      </w:r>
      <w:r w:rsidR="00D84817">
        <w:t>is</w:t>
      </w:r>
      <w:r w:rsidR="00D84817">
        <w:rPr>
          <w:spacing w:val="-6"/>
        </w:rPr>
        <w:t xml:space="preserve"> </w:t>
      </w:r>
      <w:r w:rsidR="00D84817">
        <w:t>more</w:t>
      </w:r>
      <w:r w:rsidR="00D84817">
        <w:rPr>
          <w:spacing w:val="-7"/>
        </w:rPr>
        <w:t xml:space="preserve"> </w:t>
      </w:r>
      <w:r w:rsidR="00D84817">
        <w:t>aligned</w:t>
      </w:r>
      <w:r w:rsidR="00D84817">
        <w:rPr>
          <w:spacing w:val="-9"/>
        </w:rPr>
        <w:t xml:space="preserve"> </w:t>
      </w:r>
      <w:r w:rsidR="00D84817">
        <w:t>with</w:t>
      </w:r>
      <w:r w:rsidR="00D84817">
        <w:rPr>
          <w:spacing w:val="-9"/>
        </w:rPr>
        <w:t xml:space="preserve"> </w:t>
      </w:r>
      <w:r w:rsidR="00D84817">
        <w:t>the</w:t>
      </w:r>
      <w:r w:rsidR="00D84817">
        <w:rPr>
          <w:spacing w:val="-7"/>
        </w:rPr>
        <w:t xml:space="preserve"> </w:t>
      </w:r>
      <w:r w:rsidR="00D84817">
        <w:t>underlying</w:t>
      </w:r>
      <w:r w:rsidR="00D84817">
        <w:rPr>
          <w:spacing w:val="-8"/>
        </w:rPr>
        <w:t xml:space="preserve"> </w:t>
      </w:r>
      <w:r w:rsidR="00D84817">
        <w:t>risk</w:t>
      </w:r>
      <w:r w:rsidR="00D84817">
        <w:rPr>
          <w:spacing w:val="-7"/>
        </w:rPr>
        <w:t xml:space="preserve"> </w:t>
      </w:r>
      <w:r w:rsidR="00D84817">
        <w:t>for</w:t>
      </w:r>
      <w:r w:rsidR="00D84817">
        <w:rPr>
          <w:spacing w:val="-7"/>
        </w:rPr>
        <w:t xml:space="preserve"> </w:t>
      </w:r>
      <w:r w:rsidR="00D84817">
        <w:t>better</w:t>
      </w:r>
      <w:r w:rsidR="00D84817">
        <w:rPr>
          <w:spacing w:val="-10"/>
        </w:rPr>
        <w:t xml:space="preserve"> </w:t>
      </w:r>
      <w:r w:rsidR="00D84817">
        <w:t>recognition of</w:t>
      </w:r>
      <w:r w:rsidR="00D84817">
        <w:rPr>
          <w:spacing w:val="-1"/>
        </w:rPr>
        <w:t xml:space="preserve"> </w:t>
      </w:r>
      <w:r w:rsidR="00D84817">
        <w:t>hedging.</w:t>
      </w:r>
    </w:p>
    <w:p w14:paraId="4474AE47" w14:textId="77777777" w:rsidR="001D4C35" w:rsidRDefault="00D84817">
      <w:pPr>
        <w:pStyle w:val="ListParagraph"/>
        <w:numPr>
          <w:ilvl w:val="0"/>
          <w:numId w:val="11"/>
        </w:numPr>
        <w:tabs>
          <w:tab w:val="left" w:pos="1005"/>
        </w:tabs>
        <w:spacing w:before="120" w:line="273" w:lineRule="auto"/>
        <w:ind w:right="223" w:hanging="360"/>
      </w:pPr>
      <w:r>
        <w:t>Careful implementation of the key IMA requirements using real portfolios and addressing obvious inconsistencies between the IMA and SA approach before go-live of FRTB own funds requirement to ensure the viability of</w:t>
      </w:r>
      <w:r>
        <w:rPr>
          <w:spacing w:val="-3"/>
        </w:rPr>
        <w:t xml:space="preserve"> </w:t>
      </w:r>
      <w:r>
        <w:t>IMA.</w:t>
      </w:r>
    </w:p>
    <w:p w14:paraId="4474AE48" w14:textId="77777777" w:rsidR="001D4C35" w:rsidRDefault="00D84817">
      <w:pPr>
        <w:pStyle w:val="ListParagraph"/>
        <w:numPr>
          <w:ilvl w:val="0"/>
          <w:numId w:val="11"/>
        </w:numPr>
        <w:tabs>
          <w:tab w:val="left" w:pos="1005"/>
        </w:tabs>
        <w:spacing w:before="124" w:line="276" w:lineRule="auto"/>
        <w:ind w:right="222" w:hanging="360"/>
      </w:pPr>
      <w:r>
        <w:t>The industry reiterates its proposal to remove the 3 basis-point floor for Sovereigns. In FRTB DRC SA, exposures that receive a 0% risk weight in the credit risk SA (sovereigns, public sector entities and</w:t>
      </w:r>
      <w:r>
        <w:rPr>
          <w:spacing w:val="-10"/>
        </w:rPr>
        <w:t xml:space="preserve"> </w:t>
      </w:r>
      <w:r>
        <w:t>multilateral</w:t>
      </w:r>
      <w:r>
        <w:rPr>
          <w:spacing w:val="-12"/>
        </w:rPr>
        <w:t xml:space="preserve"> </w:t>
      </w:r>
      <w:r>
        <w:t>development</w:t>
      </w:r>
      <w:r>
        <w:rPr>
          <w:spacing w:val="-10"/>
        </w:rPr>
        <w:t xml:space="preserve"> </w:t>
      </w:r>
      <w:r>
        <w:t>banks</w:t>
      </w:r>
      <w:r>
        <w:rPr>
          <w:spacing w:val="-10"/>
        </w:rPr>
        <w:t xml:space="preserve"> </w:t>
      </w:r>
      <w:r>
        <w:t>as</w:t>
      </w:r>
      <w:r>
        <w:rPr>
          <w:spacing w:val="-10"/>
        </w:rPr>
        <w:t xml:space="preserve"> </w:t>
      </w:r>
      <w:r>
        <w:t>well</w:t>
      </w:r>
      <w:r>
        <w:rPr>
          <w:spacing w:val="-16"/>
        </w:rPr>
        <w:t xml:space="preserve"> </w:t>
      </w:r>
      <w:r>
        <w:t>as</w:t>
      </w:r>
      <w:r>
        <w:rPr>
          <w:spacing w:val="-10"/>
        </w:rPr>
        <w:t xml:space="preserve"> </w:t>
      </w:r>
      <w:r>
        <w:t>international</w:t>
      </w:r>
      <w:r>
        <w:rPr>
          <w:spacing w:val="-12"/>
        </w:rPr>
        <w:t xml:space="preserve"> </w:t>
      </w:r>
      <w:r>
        <w:t>organizations</w:t>
      </w:r>
      <w:r>
        <w:rPr>
          <w:spacing w:val="-10"/>
        </w:rPr>
        <w:t xml:space="preserve"> </w:t>
      </w:r>
      <w:r>
        <w:t>that</w:t>
      </w:r>
      <w:r>
        <w:rPr>
          <w:spacing w:val="-10"/>
        </w:rPr>
        <w:t xml:space="preserve"> </w:t>
      </w:r>
      <w:r>
        <w:t>are</w:t>
      </w:r>
      <w:r>
        <w:rPr>
          <w:spacing w:val="-11"/>
        </w:rPr>
        <w:t xml:space="preserve"> </w:t>
      </w:r>
      <w:r>
        <w:t>treated</w:t>
      </w:r>
      <w:r>
        <w:rPr>
          <w:spacing w:val="-10"/>
        </w:rPr>
        <w:t xml:space="preserve"> </w:t>
      </w:r>
      <w:r>
        <w:t>similarly to a sovereign in CRR), shall be assigned a 0% risk weight. However, in IMA, a 3bp probability of default floor applies to exposures that are risk weighted 0%. All counterparties to which a 0% risk weight</w:t>
      </w:r>
      <w:r>
        <w:rPr>
          <w:spacing w:val="-2"/>
        </w:rPr>
        <w:t xml:space="preserve"> </w:t>
      </w:r>
      <w:r>
        <w:t>applies</w:t>
      </w:r>
      <w:r>
        <w:rPr>
          <w:spacing w:val="-3"/>
        </w:rPr>
        <w:t xml:space="preserve"> </w:t>
      </w:r>
      <w:r>
        <w:t>in</w:t>
      </w:r>
      <w:r>
        <w:rPr>
          <w:spacing w:val="-3"/>
        </w:rPr>
        <w:t xml:space="preserve"> </w:t>
      </w:r>
      <w:r>
        <w:t>SA-DRC</w:t>
      </w:r>
      <w:r>
        <w:rPr>
          <w:spacing w:val="-3"/>
        </w:rPr>
        <w:t xml:space="preserve"> </w:t>
      </w:r>
      <w:r>
        <w:t>should</w:t>
      </w:r>
      <w:r>
        <w:rPr>
          <w:spacing w:val="-2"/>
        </w:rPr>
        <w:t xml:space="preserve"> </w:t>
      </w:r>
      <w:r>
        <w:t>not</w:t>
      </w:r>
      <w:r>
        <w:rPr>
          <w:spacing w:val="-2"/>
        </w:rPr>
        <w:t xml:space="preserve"> </w:t>
      </w:r>
      <w:r>
        <w:t>be</w:t>
      </w:r>
      <w:r>
        <w:rPr>
          <w:spacing w:val="-6"/>
        </w:rPr>
        <w:t xml:space="preserve"> </w:t>
      </w:r>
      <w:r>
        <w:t>subject</w:t>
      </w:r>
      <w:r>
        <w:rPr>
          <w:spacing w:val="-2"/>
        </w:rPr>
        <w:t xml:space="preserve"> </w:t>
      </w:r>
      <w:r>
        <w:t>to</w:t>
      </w:r>
      <w:r>
        <w:rPr>
          <w:spacing w:val="-8"/>
        </w:rPr>
        <w:t xml:space="preserve"> </w:t>
      </w:r>
      <w:r>
        <w:t>the</w:t>
      </w:r>
      <w:r>
        <w:rPr>
          <w:spacing w:val="-3"/>
        </w:rPr>
        <w:t xml:space="preserve"> </w:t>
      </w:r>
      <w:r>
        <w:t>PD</w:t>
      </w:r>
      <w:r>
        <w:rPr>
          <w:spacing w:val="-5"/>
        </w:rPr>
        <w:t xml:space="preserve"> </w:t>
      </w:r>
      <w:r>
        <w:t>3bp</w:t>
      </w:r>
      <w:r>
        <w:rPr>
          <w:spacing w:val="-2"/>
        </w:rPr>
        <w:t xml:space="preserve"> </w:t>
      </w:r>
      <w:r>
        <w:t>floor</w:t>
      </w:r>
      <w:r>
        <w:rPr>
          <w:spacing w:val="-3"/>
        </w:rPr>
        <w:t xml:space="preserve"> </w:t>
      </w:r>
      <w:r>
        <w:t>in</w:t>
      </w:r>
      <w:r>
        <w:rPr>
          <w:spacing w:val="-2"/>
        </w:rPr>
        <w:t xml:space="preserve"> </w:t>
      </w:r>
      <w:r>
        <w:t>IMA-DRC</w:t>
      </w:r>
      <w:r>
        <w:rPr>
          <w:rFonts w:ascii="Calibri" w:hAnsi="Calibri"/>
          <w:sz w:val="24"/>
        </w:rPr>
        <w:t>.</w:t>
      </w:r>
      <w:r>
        <w:rPr>
          <w:rFonts w:ascii="Calibri" w:hAnsi="Calibri"/>
          <w:spacing w:val="-2"/>
          <w:sz w:val="24"/>
        </w:rPr>
        <w:t xml:space="preserve"> </w:t>
      </w:r>
      <w:r>
        <w:t>In</w:t>
      </w:r>
      <w:r>
        <w:rPr>
          <w:spacing w:val="-7"/>
        </w:rPr>
        <w:t xml:space="preserve"> </w:t>
      </w:r>
      <w:r>
        <w:t>addition,</w:t>
      </w:r>
      <w:r>
        <w:rPr>
          <w:spacing w:val="-4"/>
        </w:rPr>
        <w:t xml:space="preserve"> </w:t>
      </w:r>
      <w:r>
        <w:t>a</w:t>
      </w:r>
      <w:r>
        <w:rPr>
          <w:spacing w:val="-3"/>
        </w:rPr>
        <w:t xml:space="preserve"> </w:t>
      </w:r>
      <w:r>
        <w:t>more appropriate calibration for Covered Bond issuers as a separate risk class, reflecting their distinct characteristics and risk should be</w:t>
      </w:r>
      <w:r>
        <w:rPr>
          <w:spacing w:val="1"/>
        </w:rPr>
        <w:t xml:space="preserve"> </w:t>
      </w:r>
      <w:r>
        <w:t>defined.</w:t>
      </w:r>
    </w:p>
    <w:p w14:paraId="4474AE49" w14:textId="77777777" w:rsidR="001D4C35" w:rsidRDefault="00D84817">
      <w:pPr>
        <w:pStyle w:val="ListParagraph"/>
        <w:numPr>
          <w:ilvl w:val="0"/>
          <w:numId w:val="11"/>
        </w:numPr>
        <w:tabs>
          <w:tab w:val="left" w:pos="1005"/>
        </w:tabs>
        <w:spacing w:before="121" w:line="278" w:lineRule="auto"/>
        <w:ind w:right="220" w:hanging="360"/>
      </w:pPr>
      <w:r>
        <w:t>The introduction of a separate bucket with a 40% RW for carbon trading is welcomed, however we recommend setting a tenor correlation parameter (medium correlation scenario) for carbon certificates of 0.995-0.999, reflecting empirical observations</w:t>
      </w:r>
      <w:hyperlink w:anchor="_bookmark46" w:history="1">
        <w:r>
          <w:rPr>
            <w:rFonts w:ascii="Calibri" w:hAnsi="Calibri"/>
            <w:position w:val="8"/>
            <w:sz w:val="16"/>
          </w:rPr>
          <w:t>8</w:t>
        </w:r>
      </w:hyperlink>
      <w:r>
        <w:t>. This is still a conservative approach: as</w:t>
      </w:r>
      <w:r>
        <w:rPr>
          <w:spacing w:val="-13"/>
        </w:rPr>
        <w:t xml:space="preserve"> </w:t>
      </w:r>
      <w:r>
        <w:t>low</w:t>
      </w:r>
      <w:r>
        <w:rPr>
          <w:spacing w:val="-13"/>
        </w:rPr>
        <w:t xml:space="preserve"> </w:t>
      </w:r>
      <w:r>
        <w:t>and</w:t>
      </w:r>
      <w:r>
        <w:rPr>
          <w:spacing w:val="-12"/>
        </w:rPr>
        <w:t xml:space="preserve"> </w:t>
      </w:r>
      <w:r>
        <w:t>high</w:t>
      </w:r>
      <w:r>
        <w:rPr>
          <w:spacing w:val="-16"/>
        </w:rPr>
        <w:t xml:space="preserve"> </w:t>
      </w:r>
      <w:r>
        <w:t>correlation</w:t>
      </w:r>
      <w:r>
        <w:rPr>
          <w:spacing w:val="-13"/>
        </w:rPr>
        <w:t xml:space="preserve"> </w:t>
      </w:r>
      <w:r>
        <w:t>scenarios</w:t>
      </w:r>
      <w:r>
        <w:rPr>
          <w:spacing w:val="-13"/>
        </w:rPr>
        <w:t xml:space="preserve"> </w:t>
      </w:r>
      <w:r>
        <w:t>are</w:t>
      </w:r>
      <w:r>
        <w:rPr>
          <w:spacing w:val="-14"/>
        </w:rPr>
        <w:t xml:space="preserve"> </w:t>
      </w:r>
      <w:r>
        <w:t>calculated</w:t>
      </w:r>
      <w:r>
        <w:rPr>
          <w:spacing w:val="-12"/>
        </w:rPr>
        <w:t xml:space="preserve"> </w:t>
      </w:r>
      <w:r>
        <w:t>based</w:t>
      </w:r>
      <w:r>
        <w:rPr>
          <w:spacing w:val="-13"/>
        </w:rPr>
        <w:t xml:space="preserve"> </w:t>
      </w:r>
      <w:r>
        <w:t>on</w:t>
      </w:r>
      <w:r>
        <w:rPr>
          <w:spacing w:val="-13"/>
        </w:rPr>
        <w:t xml:space="preserve"> </w:t>
      </w:r>
      <w:r>
        <w:t>this</w:t>
      </w:r>
      <w:r>
        <w:rPr>
          <w:spacing w:val="-13"/>
        </w:rPr>
        <w:t xml:space="preserve"> </w:t>
      </w:r>
      <w:r>
        <w:t>parameter,</w:t>
      </w:r>
      <w:r>
        <w:rPr>
          <w:spacing w:val="-16"/>
        </w:rPr>
        <w:t xml:space="preserve"> </w:t>
      </w:r>
      <w:r>
        <w:t>with</w:t>
      </w:r>
      <w:r>
        <w:rPr>
          <w:spacing w:val="-15"/>
        </w:rPr>
        <w:t xml:space="preserve"> </w:t>
      </w:r>
      <w:r>
        <w:t>the</w:t>
      </w:r>
      <w:r>
        <w:rPr>
          <w:spacing w:val="-14"/>
        </w:rPr>
        <w:t xml:space="preserve"> </w:t>
      </w:r>
      <w:r>
        <w:t>largest</w:t>
      </w:r>
      <w:r>
        <w:rPr>
          <w:spacing w:val="-12"/>
        </w:rPr>
        <w:t xml:space="preserve"> </w:t>
      </w:r>
      <w:r>
        <w:t>capital requirement</w:t>
      </w:r>
      <w:r>
        <w:rPr>
          <w:spacing w:val="-6"/>
        </w:rPr>
        <w:t xml:space="preserve"> </w:t>
      </w:r>
      <w:r>
        <w:t>taken</w:t>
      </w:r>
      <w:r>
        <w:rPr>
          <w:spacing w:val="-2"/>
        </w:rPr>
        <w:t xml:space="preserve"> </w:t>
      </w:r>
      <w:r>
        <w:t>from</w:t>
      </w:r>
      <w:r>
        <w:rPr>
          <w:spacing w:val="-2"/>
        </w:rPr>
        <w:t xml:space="preserve"> </w:t>
      </w:r>
      <w:r>
        <w:t>the</w:t>
      </w:r>
      <w:r>
        <w:rPr>
          <w:spacing w:val="-6"/>
        </w:rPr>
        <w:t xml:space="preserve"> </w:t>
      </w:r>
      <w:r>
        <w:t>three</w:t>
      </w:r>
      <w:r>
        <w:rPr>
          <w:spacing w:val="-6"/>
        </w:rPr>
        <w:t xml:space="preserve"> </w:t>
      </w:r>
      <w:r>
        <w:t>scenarios.</w:t>
      </w:r>
      <w:r>
        <w:rPr>
          <w:spacing w:val="-5"/>
        </w:rPr>
        <w:t xml:space="preserve"> </w:t>
      </w:r>
      <w:r>
        <w:t>This</w:t>
      </w:r>
      <w:r>
        <w:rPr>
          <w:spacing w:val="-2"/>
        </w:rPr>
        <w:t xml:space="preserve"> </w:t>
      </w:r>
      <w:r>
        <w:t>will</w:t>
      </w:r>
      <w:r>
        <w:rPr>
          <w:spacing w:val="-7"/>
        </w:rPr>
        <w:t xml:space="preserve"> </w:t>
      </w:r>
      <w:r>
        <w:t>help</w:t>
      </w:r>
      <w:r>
        <w:rPr>
          <w:spacing w:val="-1"/>
        </w:rPr>
        <w:t xml:space="preserve"> </w:t>
      </w:r>
      <w:r>
        <w:t>contribute</w:t>
      </w:r>
      <w:r>
        <w:rPr>
          <w:spacing w:val="-3"/>
        </w:rPr>
        <w:t xml:space="preserve"> </w:t>
      </w:r>
      <w:r>
        <w:t>to</w:t>
      </w:r>
      <w:r>
        <w:rPr>
          <w:spacing w:val="-8"/>
        </w:rPr>
        <w:t xml:space="preserve"> </w:t>
      </w:r>
      <w:r>
        <w:t>the</w:t>
      </w:r>
      <w:r>
        <w:rPr>
          <w:spacing w:val="-2"/>
        </w:rPr>
        <w:t xml:space="preserve"> </w:t>
      </w:r>
      <w:r>
        <w:t>development</w:t>
      </w:r>
      <w:r>
        <w:rPr>
          <w:spacing w:val="-1"/>
        </w:rPr>
        <w:t xml:space="preserve"> </w:t>
      </w:r>
      <w:r>
        <w:t>of</w:t>
      </w:r>
      <w:r>
        <w:rPr>
          <w:spacing w:val="-6"/>
        </w:rPr>
        <w:t xml:space="preserve"> </w:t>
      </w:r>
      <w:r>
        <w:t>a</w:t>
      </w:r>
      <w:r>
        <w:rPr>
          <w:spacing w:val="-6"/>
        </w:rPr>
        <w:t xml:space="preserve"> </w:t>
      </w:r>
      <w:r>
        <w:t>well- functioning forward carbon certificate market that provides certainty about the future costs of emissions, allowing companies to plan</w:t>
      </w:r>
      <w:r>
        <w:rPr>
          <w:spacing w:val="-7"/>
        </w:rPr>
        <w:t xml:space="preserve"> </w:t>
      </w:r>
      <w:r>
        <w:t>ahead.</w:t>
      </w:r>
    </w:p>
    <w:p w14:paraId="4474AE4A" w14:textId="77777777" w:rsidR="001D4C35" w:rsidRDefault="001D4C35">
      <w:pPr>
        <w:spacing w:line="278" w:lineRule="auto"/>
        <w:jc w:val="both"/>
        <w:sectPr w:rsidR="001D4C35">
          <w:pgSz w:w="11910" w:h="16840"/>
          <w:pgMar w:top="760" w:right="740" w:bottom="1640" w:left="680" w:header="0" w:footer="1440" w:gutter="0"/>
          <w:cols w:space="720"/>
        </w:sectPr>
      </w:pPr>
    </w:p>
    <w:p w14:paraId="4474AE4B" w14:textId="77777777" w:rsidR="001D4C35" w:rsidRDefault="00D84817">
      <w:pPr>
        <w:pStyle w:val="Heading3"/>
        <w:spacing w:before="71"/>
        <w:ind w:left="304"/>
      </w:pPr>
      <w:r>
        <w:lastRenderedPageBreak/>
        <w:t>Contacts</w:t>
      </w:r>
    </w:p>
    <w:p w14:paraId="4474AE4C" w14:textId="77777777" w:rsidR="001D4C35" w:rsidRDefault="001D4C35">
      <w:pPr>
        <w:pStyle w:val="BodyText"/>
        <w:spacing w:before="1"/>
        <w:rPr>
          <w:b/>
          <w:sz w:val="27"/>
        </w:rPr>
      </w:pPr>
    </w:p>
    <w:tbl>
      <w:tblPr>
        <w:tblW w:w="0" w:type="auto"/>
        <w:tblInd w:w="123" w:type="dxa"/>
        <w:tblLayout w:type="fixed"/>
        <w:tblCellMar>
          <w:left w:w="0" w:type="dxa"/>
          <w:right w:w="0" w:type="dxa"/>
        </w:tblCellMar>
        <w:tblLook w:val="01E0" w:firstRow="1" w:lastRow="1" w:firstColumn="1" w:lastColumn="1" w:noHBand="0" w:noVBand="0"/>
      </w:tblPr>
      <w:tblGrid>
        <w:gridCol w:w="4579"/>
        <w:gridCol w:w="5494"/>
      </w:tblGrid>
      <w:tr w:rsidR="001D4C35" w14:paraId="4474AE53" w14:textId="77777777">
        <w:trPr>
          <w:trHeight w:val="940"/>
        </w:trPr>
        <w:tc>
          <w:tcPr>
            <w:tcW w:w="4579" w:type="dxa"/>
          </w:tcPr>
          <w:p w14:paraId="4474AE4D" w14:textId="77777777" w:rsidR="001D4C35" w:rsidRPr="00E82871" w:rsidRDefault="00D84817">
            <w:pPr>
              <w:pStyle w:val="TableParagraph"/>
              <w:rPr>
                <w:b/>
                <w:i/>
                <w:lang w:val="it-IT"/>
              </w:rPr>
            </w:pPr>
            <w:r w:rsidRPr="00E82871">
              <w:rPr>
                <w:b/>
                <w:i/>
                <w:lang w:val="it-IT"/>
              </w:rPr>
              <w:t>ISDA London:</w:t>
            </w:r>
          </w:p>
          <w:p w14:paraId="4474AE4E" w14:textId="77777777" w:rsidR="001D4C35" w:rsidRPr="00E82871" w:rsidRDefault="00D84817">
            <w:pPr>
              <w:pStyle w:val="TableParagraph"/>
              <w:spacing w:before="2" w:line="257" w:lineRule="exact"/>
              <w:rPr>
                <w:lang w:val="it-IT"/>
              </w:rPr>
            </w:pPr>
            <w:r w:rsidRPr="00E82871">
              <w:rPr>
                <w:lang w:val="it-IT"/>
              </w:rPr>
              <w:t xml:space="preserve">Gregg Jones, </w:t>
            </w:r>
            <w:hyperlink r:id="rId19">
              <w:r w:rsidRPr="00E82871">
                <w:rPr>
                  <w:color w:val="0000FF"/>
                  <w:u w:val="single" w:color="0000FF"/>
                  <w:lang w:val="it-IT"/>
                </w:rPr>
                <w:t>GJones@isda.org</w:t>
              </w:r>
            </w:hyperlink>
          </w:p>
          <w:p w14:paraId="4474AE4F" w14:textId="77777777" w:rsidR="001D4C35" w:rsidRDefault="00D84817">
            <w:pPr>
              <w:pStyle w:val="TableParagraph"/>
              <w:spacing w:line="257" w:lineRule="exact"/>
            </w:pPr>
            <w:r>
              <w:t>+44 (0)20 3808 9746</w:t>
            </w:r>
          </w:p>
        </w:tc>
        <w:tc>
          <w:tcPr>
            <w:tcW w:w="5494" w:type="dxa"/>
          </w:tcPr>
          <w:p w14:paraId="4474AE50" w14:textId="77777777" w:rsidR="001D4C35" w:rsidRPr="00D76835" w:rsidRDefault="00D84817">
            <w:pPr>
              <w:pStyle w:val="TableParagraph"/>
              <w:ind w:left="617"/>
              <w:rPr>
                <w:b/>
                <w:i/>
                <w:lang w:val="fr-FR"/>
              </w:rPr>
            </w:pPr>
            <w:r w:rsidRPr="00D76835">
              <w:rPr>
                <w:b/>
                <w:i/>
                <w:lang w:val="fr-FR"/>
              </w:rPr>
              <w:t>ISDA Brussels:</w:t>
            </w:r>
          </w:p>
          <w:p w14:paraId="4474AE51" w14:textId="77777777" w:rsidR="001D4C35" w:rsidRPr="00D76835" w:rsidRDefault="00D84817">
            <w:pPr>
              <w:pStyle w:val="TableParagraph"/>
              <w:spacing w:before="2" w:line="257" w:lineRule="exact"/>
              <w:ind w:left="617"/>
              <w:rPr>
                <w:lang w:val="fr-FR"/>
              </w:rPr>
            </w:pPr>
            <w:r w:rsidRPr="00D76835">
              <w:rPr>
                <w:lang w:val="fr-FR"/>
              </w:rPr>
              <w:t xml:space="preserve">Sandrine Lapinsonniere, </w:t>
            </w:r>
            <w:hyperlink r:id="rId20">
              <w:r w:rsidRPr="00D76835">
                <w:rPr>
                  <w:color w:val="0000FF"/>
                  <w:u w:val="single" w:color="0000FF"/>
                  <w:lang w:val="fr-FR"/>
                </w:rPr>
                <w:t>slapinsonniere@isda.org</w:t>
              </w:r>
            </w:hyperlink>
          </w:p>
          <w:p w14:paraId="4474AE52" w14:textId="77777777" w:rsidR="001D4C35" w:rsidRDefault="00D84817">
            <w:pPr>
              <w:pStyle w:val="TableParagraph"/>
              <w:spacing w:line="257" w:lineRule="exact"/>
              <w:ind w:left="617"/>
            </w:pPr>
            <w:r>
              <w:t>+32 (0) 2 808 8016</w:t>
            </w:r>
          </w:p>
        </w:tc>
      </w:tr>
      <w:tr w:rsidR="001D4C35" w14:paraId="4474AE5A" w14:textId="77777777">
        <w:trPr>
          <w:trHeight w:val="940"/>
        </w:trPr>
        <w:tc>
          <w:tcPr>
            <w:tcW w:w="4579" w:type="dxa"/>
          </w:tcPr>
          <w:p w14:paraId="4474AE54" w14:textId="77777777" w:rsidR="001D4C35" w:rsidRPr="00E82871" w:rsidRDefault="00D84817">
            <w:pPr>
              <w:pStyle w:val="TableParagraph"/>
              <w:spacing w:before="167"/>
              <w:rPr>
                <w:b/>
                <w:i/>
                <w:lang w:val="fi-FI"/>
              </w:rPr>
            </w:pPr>
            <w:r w:rsidRPr="00E82871">
              <w:rPr>
                <w:b/>
                <w:i/>
                <w:lang w:val="fi-FI"/>
              </w:rPr>
              <w:t>AFME London:</w:t>
            </w:r>
          </w:p>
          <w:p w14:paraId="4474AE55" w14:textId="77777777" w:rsidR="001D4C35" w:rsidRPr="00E82871" w:rsidRDefault="00D84817">
            <w:pPr>
              <w:pStyle w:val="TableParagraph"/>
              <w:spacing w:before="2" w:line="257" w:lineRule="exact"/>
              <w:rPr>
                <w:lang w:val="fi-FI"/>
              </w:rPr>
            </w:pPr>
            <w:r w:rsidRPr="00E82871">
              <w:rPr>
                <w:lang w:val="fi-FI"/>
              </w:rPr>
              <w:t xml:space="preserve">Jouni Aaltonen, </w:t>
            </w:r>
            <w:hyperlink r:id="rId21">
              <w:r w:rsidRPr="00E82871">
                <w:rPr>
                  <w:color w:val="0000FF"/>
                  <w:u w:val="single" w:color="0000FF"/>
                  <w:lang w:val="fi-FI"/>
                </w:rPr>
                <w:t>jouni.aaltonen@afme.eu</w:t>
              </w:r>
            </w:hyperlink>
          </w:p>
          <w:p w14:paraId="4474AE56" w14:textId="77777777" w:rsidR="001D4C35" w:rsidRDefault="00D84817">
            <w:pPr>
              <w:pStyle w:val="TableParagraph"/>
              <w:spacing w:line="237" w:lineRule="exact"/>
            </w:pPr>
            <w:r>
              <w:t>+44 (0)20 3828 2671</w:t>
            </w:r>
          </w:p>
        </w:tc>
        <w:tc>
          <w:tcPr>
            <w:tcW w:w="5494" w:type="dxa"/>
          </w:tcPr>
          <w:p w14:paraId="4474AE57" w14:textId="77777777" w:rsidR="001D4C35" w:rsidRPr="00E82871" w:rsidRDefault="00D84817">
            <w:pPr>
              <w:pStyle w:val="TableParagraph"/>
              <w:spacing w:before="167"/>
              <w:ind w:left="617"/>
              <w:rPr>
                <w:b/>
                <w:i/>
                <w:lang w:val="it-IT"/>
              </w:rPr>
            </w:pPr>
            <w:r w:rsidRPr="00E82871">
              <w:rPr>
                <w:b/>
                <w:i/>
                <w:lang w:val="it-IT"/>
              </w:rPr>
              <w:t>AFME Brussels:</w:t>
            </w:r>
          </w:p>
          <w:p w14:paraId="4474AE58" w14:textId="77777777" w:rsidR="001D4C35" w:rsidRPr="00E82871" w:rsidRDefault="00D84817">
            <w:pPr>
              <w:pStyle w:val="TableParagraph"/>
              <w:spacing w:before="2" w:line="257" w:lineRule="exact"/>
              <w:ind w:left="617"/>
              <w:rPr>
                <w:lang w:val="it-IT"/>
              </w:rPr>
            </w:pPr>
            <w:r w:rsidRPr="00E82871">
              <w:rPr>
                <w:lang w:val="it-IT"/>
              </w:rPr>
              <w:t xml:space="preserve">Stefano Mazzocchi, </w:t>
            </w:r>
            <w:hyperlink r:id="rId22">
              <w:r w:rsidRPr="00E82871">
                <w:rPr>
                  <w:color w:val="0000FF"/>
                  <w:u w:val="single" w:color="0000FF"/>
                  <w:lang w:val="it-IT"/>
                </w:rPr>
                <w:t>stefano.mazzocchi@afme.eu</w:t>
              </w:r>
            </w:hyperlink>
          </w:p>
          <w:p w14:paraId="4474AE59" w14:textId="77777777" w:rsidR="001D4C35" w:rsidRDefault="00D84817">
            <w:pPr>
              <w:pStyle w:val="TableParagraph"/>
              <w:spacing w:line="237" w:lineRule="exact"/>
              <w:ind w:left="617"/>
            </w:pPr>
            <w:r>
              <w:t>+32 (0)2 788 3972</w:t>
            </w:r>
          </w:p>
        </w:tc>
      </w:tr>
    </w:tbl>
    <w:p w14:paraId="4474AE5B" w14:textId="77777777" w:rsidR="001D4C35" w:rsidRDefault="001D4C35">
      <w:pPr>
        <w:pStyle w:val="BodyText"/>
        <w:spacing w:before="10"/>
        <w:rPr>
          <w:b/>
          <w:sz w:val="29"/>
        </w:rPr>
      </w:pPr>
    </w:p>
    <w:p w14:paraId="4474AE5C" w14:textId="77777777" w:rsidR="001D4C35" w:rsidRPr="00891580" w:rsidRDefault="00D84817" w:rsidP="00891580">
      <w:pPr>
        <w:pStyle w:val="Heading3"/>
        <w:spacing w:before="101"/>
        <w:ind w:left="304"/>
        <w:jc w:val="both"/>
      </w:pPr>
      <w:r>
        <w:t>About ISDA</w:t>
      </w:r>
    </w:p>
    <w:p w14:paraId="4474AE5D" w14:textId="77777777" w:rsidR="001D4C35" w:rsidRDefault="001D4C35">
      <w:pPr>
        <w:pStyle w:val="BodyText"/>
        <w:spacing w:before="1"/>
        <w:rPr>
          <w:b/>
          <w:sz w:val="27"/>
        </w:rPr>
      </w:pPr>
    </w:p>
    <w:p w14:paraId="4474AE5E" w14:textId="77777777" w:rsidR="001D4C35" w:rsidRDefault="00D84817">
      <w:pPr>
        <w:pStyle w:val="BodyText"/>
        <w:spacing w:line="276" w:lineRule="auto"/>
        <w:ind w:left="304" w:right="300"/>
      </w:pPr>
      <w:r>
        <w:t xml:space="preserve">Since 1985, ISDA has worked to make the global derivatives markets safer and more efficient. Today, ISDA has over 850 member institutions from 66 countries. These members comprise a broad range of derivatives market participants, including corporations, investment managers, government and supranational entities, insurance companies, energy and commodities firms, and international and regional banks. In addition to market participants, members also include key components of the derivatives market infrastructure, such as exchanges, intermediaries, clearing houses and repositories, as well as law firms, accounting firms and other service providers. Information about ISDA and its activities is available on the Association's website: </w:t>
      </w:r>
      <w:hyperlink r:id="rId23">
        <w:r>
          <w:rPr>
            <w:color w:val="006EC0"/>
            <w:u w:val="single" w:color="006EC0"/>
          </w:rPr>
          <w:t>www.isda.org</w:t>
        </w:r>
        <w:r>
          <w:t>.</w:t>
        </w:r>
      </w:hyperlink>
    </w:p>
    <w:p w14:paraId="4474AE5F" w14:textId="77777777" w:rsidR="001D4C35" w:rsidRDefault="001D4C35">
      <w:pPr>
        <w:pStyle w:val="BodyText"/>
        <w:spacing w:before="3"/>
        <w:rPr>
          <w:sz w:val="15"/>
        </w:rPr>
      </w:pPr>
    </w:p>
    <w:p w14:paraId="4474AE60" w14:textId="77777777" w:rsidR="001D4C35" w:rsidRDefault="00D84817">
      <w:pPr>
        <w:pStyle w:val="Heading3"/>
        <w:spacing w:before="101"/>
        <w:ind w:left="304"/>
        <w:jc w:val="both"/>
      </w:pPr>
      <w:r>
        <w:t>About AFME</w:t>
      </w:r>
    </w:p>
    <w:p w14:paraId="4474AE61" w14:textId="77777777" w:rsidR="001D4C35" w:rsidRDefault="001D4C35">
      <w:pPr>
        <w:pStyle w:val="BodyText"/>
        <w:spacing w:before="1"/>
        <w:rPr>
          <w:b/>
          <w:sz w:val="27"/>
        </w:rPr>
      </w:pPr>
    </w:p>
    <w:p w14:paraId="4474AE62" w14:textId="77777777" w:rsidR="001D4C35" w:rsidRDefault="00D84817">
      <w:pPr>
        <w:pStyle w:val="BodyText"/>
        <w:spacing w:line="276" w:lineRule="auto"/>
        <w:ind w:left="303" w:right="248"/>
        <w:jc w:val="both"/>
      </w:pPr>
      <w:r>
        <w:t xml:space="preserve">AFME represents a broad array of European and global participants in the wholesale financial markets. Its members comprise pan-EU and global banks as well as key regional banks, brokers, law firms, investors and other financial market participants. We advocate stable, competitive, sustainable European financial markets that support economic growth and benefit society. AFME is the European member of the Global Financial Markets Association (GFMA) a global alliance with the Securities Industry </w:t>
      </w:r>
      <w:r>
        <w:rPr>
          <w:spacing w:val="-3"/>
        </w:rPr>
        <w:t xml:space="preserve">and </w:t>
      </w:r>
      <w:r>
        <w:t>Financial Markets Association</w:t>
      </w:r>
      <w:r>
        <w:rPr>
          <w:spacing w:val="-8"/>
        </w:rPr>
        <w:t xml:space="preserve"> </w:t>
      </w:r>
      <w:r>
        <w:t>(SIFMA)</w:t>
      </w:r>
      <w:r>
        <w:rPr>
          <w:spacing w:val="-20"/>
        </w:rPr>
        <w:t xml:space="preserve"> </w:t>
      </w:r>
      <w:r>
        <w:t>in</w:t>
      </w:r>
      <w:r>
        <w:rPr>
          <w:spacing w:val="-18"/>
        </w:rPr>
        <w:t xml:space="preserve"> </w:t>
      </w:r>
      <w:r>
        <w:t>the</w:t>
      </w:r>
      <w:r>
        <w:rPr>
          <w:spacing w:val="-15"/>
        </w:rPr>
        <w:t xml:space="preserve"> </w:t>
      </w:r>
      <w:r>
        <w:t>US,</w:t>
      </w:r>
      <w:r>
        <w:rPr>
          <w:spacing w:val="-17"/>
        </w:rPr>
        <w:t xml:space="preserve"> </w:t>
      </w:r>
      <w:r>
        <w:t>and</w:t>
      </w:r>
      <w:r>
        <w:rPr>
          <w:spacing w:val="-18"/>
        </w:rPr>
        <w:t xml:space="preserve"> </w:t>
      </w:r>
      <w:r>
        <w:t>the</w:t>
      </w:r>
      <w:r>
        <w:rPr>
          <w:spacing w:val="-15"/>
        </w:rPr>
        <w:t xml:space="preserve"> </w:t>
      </w:r>
      <w:r>
        <w:t>Asia</w:t>
      </w:r>
      <w:r>
        <w:rPr>
          <w:spacing w:val="-11"/>
        </w:rPr>
        <w:t xml:space="preserve"> </w:t>
      </w:r>
      <w:r>
        <w:t>Securities</w:t>
      </w:r>
      <w:r>
        <w:rPr>
          <w:spacing w:val="-15"/>
        </w:rPr>
        <w:t xml:space="preserve"> </w:t>
      </w:r>
      <w:r>
        <w:t>Industry</w:t>
      </w:r>
      <w:r>
        <w:rPr>
          <w:spacing w:val="-19"/>
        </w:rPr>
        <w:t xml:space="preserve"> </w:t>
      </w:r>
      <w:r>
        <w:t>and</w:t>
      </w:r>
      <w:r>
        <w:rPr>
          <w:spacing w:val="-17"/>
        </w:rPr>
        <w:t xml:space="preserve"> </w:t>
      </w:r>
      <w:r>
        <w:t>Financial</w:t>
      </w:r>
      <w:r>
        <w:rPr>
          <w:spacing w:val="-20"/>
        </w:rPr>
        <w:t xml:space="preserve"> </w:t>
      </w:r>
      <w:r>
        <w:t>Markets</w:t>
      </w:r>
      <w:r>
        <w:rPr>
          <w:spacing w:val="-14"/>
        </w:rPr>
        <w:t xml:space="preserve"> </w:t>
      </w:r>
      <w:r>
        <w:t>Association</w:t>
      </w:r>
      <w:r>
        <w:rPr>
          <w:spacing w:val="-19"/>
        </w:rPr>
        <w:t xml:space="preserve"> </w:t>
      </w:r>
      <w:r>
        <w:t xml:space="preserve">(ASIFMA) in Asia. AFME is listed on the EU Register </w:t>
      </w:r>
      <w:r>
        <w:rPr>
          <w:spacing w:val="-3"/>
        </w:rPr>
        <w:t xml:space="preserve">of </w:t>
      </w:r>
      <w:r>
        <w:t>Interest Representatives, registration number</w:t>
      </w:r>
      <w:r>
        <w:rPr>
          <w:spacing w:val="-5"/>
        </w:rPr>
        <w:t xml:space="preserve"> </w:t>
      </w:r>
      <w:r>
        <w:t>65110063986-</w:t>
      </w:r>
    </w:p>
    <w:p w14:paraId="4474AE6A" w14:textId="4D56173C" w:rsidR="001D4C35" w:rsidRPr="0047095C" w:rsidRDefault="00D84817" w:rsidP="0047095C">
      <w:pPr>
        <w:pStyle w:val="ListParagraph"/>
        <w:numPr>
          <w:ilvl w:val="0"/>
          <w:numId w:val="10"/>
        </w:numPr>
        <w:tabs>
          <w:tab w:val="left" w:pos="636"/>
        </w:tabs>
        <w:spacing w:line="258" w:lineRule="exact"/>
        <w:ind w:hanging="333"/>
        <w:jc w:val="both"/>
        <w:rPr>
          <w:sz w:val="20"/>
        </w:rPr>
      </w:pPr>
      <w:r>
        <w:t>Information about AFME and its activities is available on the Association's</w:t>
      </w:r>
      <w:r w:rsidRPr="0047095C">
        <w:rPr>
          <w:color w:val="0000FF"/>
          <w:spacing w:val="-8"/>
        </w:rPr>
        <w:t xml:space="preserve"> </w:t>
      </w:r>
      <w:hyperlink r:id="rId24">
        <w:r w:rsidRPr="0047095C">
          <w:rPr>
            <w:color w:val="0000FF"/>
            <w:u w:val="single" w:color="0000FF"/>
          </w:rPr>
          <w:t>website</w:t>
        </w:r>
        <w:r>
          <w:t>.</w:t>
        </w:r>
      </w:hyperlink>
    </w:p>
    <w:p w14:paraId="4474AE6B" w14:textId="77777777" w:rsidR="001D4C35" w:rsidRDefault="001D4C35">
      <w:pPr>
        <w:pStyle w:val="BodyText"/>
        <w:rPr>
          <w:sz w:val="20"/>
        </w:rPr>
      </w:pPr>
    </w:p>
    <w:p w14:paraId="4474AE6C" w14:textId="77777777" w:rsidR="001D4C35" w:rsidRDefault="001D4C35">
      <w:pPr>
        <w:pStyle w:val="BodyText"/>
        <w:rPr>
          <w:sz w:val="20"/>
        </w:rPr>
      </w:pPr>
    </w:p>
    <w:p w14:paraId="4474AE6D" w14:textId="77777777" w:rsidR="001D4C35" w:rsidRDefault="001D4C35">
      <w:pPr>
        <w:pStyle w:val="BodyText"/>
        <w:rPr>
          <w:sz w:val="20"/>
        </w:rPr>
      </w:pPr>
    </w:p>
    <w:p w14:paraId="4474AE6E" w14:textId="77777777" w:rsidR="001D4C35" w:rsidRDefault="001D4C35">
      <w:pPr>
        <w:pStyle w:val="BodyText"/>
        <w:rPr>
          <w:sz w:val="20"/>
        </w:rPr>
      </w:pPr>
    </w:p>
    <w:p w14:paraId="4474AE6F" w14:textId="77777777" w:rsidR="001D4C35" w:rsidRDefault="001D4C35">
      <w:pPr>
        <w:pStyle w:val="BodyText"/>
        <w:rPr>
          <w:sz w:val="20"/>
        </w:rPr>
      </w:pPr>
    </w:p>
    <w:p w14:paraId="4474AE70" w14:textId="77777777" w:rsidR="001D4C35" w:rsidRDefault="001D4C35">
      <w:pPr>
        <w:pStyle w:val="BodyText"/>
        <w:rPr>
          <w:sz w:val="20"/>
        </w:rPr>
      </w:pPr>
    </w:p>
    <w:p w14:paraId="4474AE71" w14:textId="77777777" w:rsidR="001D4C35" w:rsidRDefault="001D4C35">
      <w:pPr>
        <w:pStyle w:val="BodyText"/>
        <w:rPr>
          <w:sz w:val="20"/>
        </w:rPr>
      </w:pPr>
    </w:p>
    <w:p w14:paraId="4474AE72" w14:textId="77777777" w:rsidR="001D4C35" w:rsidRDefault="001D4C35">
      <w:pPr>
        <w:pStyle w:val="BodyText"/>
        <w:rPr>
          <w:sz w:val="20"/>
        </w:rPr>
      </w:pPr>
    </w:p>
    <w:p w14:paraId="4474AE73" w14:textId="77777777" w:rsidR="001D4C35" w:rsidRDefault="001D4C35">
      <w:pPr>
        <w:pStyle w:val="BodyText"/>
        <w:rPr>
          <w:sz w:val="20"/>
        </w:rPr>
      </w:pPr>
    </w:p>
    <w:p w14:paraId="4474AE74" w14:textId="77777777" w:rsidR="001D4C35" w:rsidRDefault="001D4C35">
      <w:pPr>
        <w:pStyle w:val="BodyText"/>
        <w:rPr>
          <w:sz w:val="20"/>
        </w:rPr>
      </w:pPr>
    </w:p>
    <w:p w14:paraId="4474AE75" w14:textId="77777777" w:rsidR="001D4C35" w:rsidRDefault="001D4C35">
      <w:pPr>
        <w:pStyle w:val="BodyText"/>
        <w:rPr>
          <w:sz w:val="20"/>
        </w:rPr>
      </w:pPr>
    </w:p>
    <w:p w14:paraId="4474AE76" w14:textId="77777777" w:rsidR="001D4C35" w:rsidRDefault="001D4C35">
      <w:pPr>
        <w:pStyle w:val="BodyText"/>
        <w:rPr>
          <w:sz w:val="20"/>
        </w:rPr>
      </w:pPr>
    </w:p>
    <w:p w14:paraId="4474AE77" w14:textId="77777777" w:rsidR="001D4C35" w:rsidRDefault="001D4C35">
      <w:pPr>
        <w:pStyle w:val="BodyText"/>
        <w:rPr>
          <w:sz w:val="20"/>
        </w:rPr>
      </w:pPr>
    </w:p>
    <w:p w14:paraId="4474AE78" w14:textId="77777777" w:rsidR="001D4C35" w:rsidRDefault="001D4C35">
      <w:pPr>
        <w:pStyle w:val="BodyText"/>
        <w:rPr>
          <w:sz w:val="20"/>
        </w:rPr>
      </w:pPr>
    </w:p>
    <w:p w14:paraId="4474AE79" w14:textId="77777777" w:rsidR="001D4C35" w:rsidRDefault="001D4C35">
      <w:pPr>
        <w:pStyle w:val="BodyText"/>
        <w:rPr>
          <w:sz w:val="20"/>
        </w:rPr>
      </w:pPr>
    </w:p>
    <w:p w14:paraId="4474AE7A" w14:textId="77777777" w:rsidR="001D4C35" w:rsidRDefault="001D4C35">
      <w:pPr>
        <w:pStyle w:val="BodyText"/>
        <w:rPr>
          <w:sz w:val="20"/>
        </w:rPr>
      </w:pPr>
    </w:p>
    <w:p w14:paraId="4474AE7B" w14:textId="77777777" w:rsidR="001D4C35" w:rsidRDefault="001D4C35">
      <w:pPr>
        <w:pStyle w:val="BodyText"/>
        <w:rPr>
          <w:sz w:val="20"/>
        </w:rPr>
      </w:pPr>
    </w:p>
    <w:p w14:paraId="4474AE7C" w14:textId="77777777" w:rsidR="001D4C35" w:rsidRDefault="001D4C35">
      <w:pPr>
        <w:pStyle w:val="BodyText"/>
        <w:spacing w:before="10"/>
        <w:rPr>
          <w:sz w:val="28"/>
        </w:rPr>
      </w:pPr>
    </w:p>
    <w:sectPr w:rsidR="001D4C35" w:rsidSect="00E82871">
      <w:footerReference w:type="default" r:id="rId25"/>
      <w:pgSz w:w="11910" w:h="16840"/>
      <w:pgMar w:top="1000" w:right="740" w:bottom="1200" w:left="680" w:header="0" w:footer="101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4D3A7" w14:textId="77777777" w:rsidR="006F73FF" w:rsidRDefault="006F73FF">
      <w:r>
        <w:separator/>
      </w:r>
    </w:p>
  </w:endnote>
  <w:endnote w:type="continuationSeparator" w:id="0">
    <w:p w14:paraId="10ABA6A5" w14:textId="77777777" w:rsidR="006F73FF" w:rsidRDefault="006F7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4B0C7" w14:textId="77777777" w:rsidR="001D4C35" w:rsidRDefault="006F73FF">
    <w:pPr>
      <w:pStyle w:val="BodyText"/>
      <w:spacing w:line="14" w:lineRule="auto"/>
      <w:rPr>
        <w:sz w:val="20"/>
      </w:rPr>
    </w:pPr>
    <w:r>
      <w:pict w14:anchorId="4474B0D4">
        <v:shapetype id="_x0000_t202" coordsize="21600,21600" o:spt="202" path="m,l,21600r21600,l21600,xe">
          <v:stroke joinstyle="miter"/>
          <v:path gradientshapeok="t" o:connecttype="rect"/>
        </v:shapetype>
        <v:shape id="_x0000_s1031" type="#_x0000_t202" style="position:absolute;margin-left:291.4pt;margin-top:776.8pt;width:12.65pt;height:16.1pt;z-index:-254347264;mso-position-horizontal-relative:page;mso-position-vertical-relative:page" filled="f" stroked="f">
          <v:textbox inset="0,0,0,0">
            <w:txbxContent>
              <w:p w14:paraId="4474B1C4" w14:textId="77777777" w:rsidR="001D4C35" w:rsidRDefault="00D84817">
                <w:pPr>
                  <w:spacing w:before="20"/>
                  <w:ind w:left="60"/>
                  <w:rPr>
                    <w:sz w:val="24"/>
                  </w:rPr>
                </w:pPr>
                <w:r>
                  <w:fldChar w:fldCharType="begin"/>
                </w:r>
                <w:r>
                  <w:rPr>
                    <w:sz w:val="24"/>
                  </w:rPr>
                  <w:instrText xml:space="preserve"> PAGE </w:instrText>
                </w:r>
                <w:r>
                  <w:fldChar w:fldCharType="separate"/>
                </w:r>
                <w: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4B0C8" w14:textId="77777777" w:rsidR="001D4C35" w:rsidRDefault="006F73FF">
    <w:pPr>
      <w:pStyle w:val="BodyText"/>
      <w:spacing w:line="14" w:lineRule="auto"/>
      <w:rPr>
        <w:sz w:val="20"/>
      </w:rPr>
    </w:pPr>
    <w:r>
      <w:pict w14:anchorId="4474B0D5">
        <v:line id="_x0000_s1030" style="position:absolute;z-index:-254346240;mso-position-horizontal-relative:page;mso-position-vertical-relative:page" from="42.6pt,760.2pt" to="186.6pt,760.2pt" strokeweight=".8pt">
          <w10:wrap anchorx="page" anchory="page"/>
        </v:line>
      </w:pict>
    </w:r>
    <w:r>
      <w:pict w14:anchorId="4474B0D6">
        <v:shapetype id="_x0000_t202" coordsize="21600,21600" o:spt="202" path="m,l,21600r21600,l21600,xe">
          <v:stroke joinstyle="miter"/>
          <v:path gradientshapeok="t" o:connecttype="rect"/>
        </v:shapetype>
        <v:shape id="_x0000_s1029" type="#_x0000_t202" style="position:absolute;margin-left:39.6pt;margin-top:765.65pt;width:303.85pt;height:27.25pt;z-index:-254345216;mso-position-horizontal-relative:page;mso-position-vertical-relative:page" filled="f" stroked="f">
          <v:textbox inset="0,0,0,0">
            <w:txbxContent>
              <w:p w14:paraId="4474B1C5" w14:textId="77777777" w:rsidR="001D4C35" w:rsidRDefault="00D84817">
                <w:pPr>
                  <w:spacing w:before="25"/>
                  <w:ind w:left="60"/>
                  <w:rPr>
                    <w:sz w:val="16"/>
                  </w:rPr>
                </w:pPr>
                <w:r>
                  <w:fldChar w:fldCharType="begin"/>
                </w:r>
                <w:r>
                  <w:rPr>
                    <w:position w:val="5"/>
                    <w:sz w:val="13"/>
                  </w:rPr>
                  <w:instrText xml:space="preserve"> PAGE </w:instrText>
                </w:r>
                <w:r>
                  <w:fldChar w:fldCharType="separate"/>
                </w:r>
                <w:r>
                  <w:t>7</w:t>
                </w:r>
                <w:r>
                  <w:fldChar w:fldCharType="end"/>
                </w:r>
                <w:r>
                  <w:rPr>
                    <w:position w:val="5"/>
                    <w:sz w:val="13"/>
                  </w:rPr>
                  <w:t xml:space="preserve"> </w:t>
                </w:r>
                <w:hyperlink r:id="rId1">
                  <w:r>
                    <w:rPr>
                      <w:color w:val="0000FF"/>
                      <w:sz w:val="16"/>
                      <w:u w:val="single" w:color="0000FF"/>
                    </w:rPr>
                    <w:t>https://www.isda.org/a/i6MgE/Implications-of-the-FRTB-for-Carbon-Certificates.pdf</w:t>
                  </w:r>
                </w:hyperlink>
              </w:p>
              <w:p w14:paraId="4474B1C6" w14:textId="77777777" w:rsidR="001D4C35" w:rsidRDefault="00D84817">
                <w:pPr>
                  <w:spacing w:before="9"/>
                  <w:ind w:right="845"/>
                  <w:jc w:val="right"/>
                  <w:rPr>
                    <w:sz w:val="24"/>
                  </w:rPr>
                </w:pPr>
                <w:r>
                  <w:rPr>
                    <w:sz w:val="24"/>
                  </w:rPr>
                  <w:t>5</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4B0C9" w14:textId="77777777" w:rsidR="001D4C35" w:rsidRDefault="006F73FF">
    <w:pPr>
      <w:pStyle w:val="BodyText"/>
      <w:spacing w:line="14" w:lineRule="auto"/>
      <w:rPr>
        <w:sz w:val="20"/>
      </w:rPr>
    </w:pPr>
    <w:r>
      <w:pict w14:anchorId="4474B0D7">
        <v:shapetype id="_x0000_t202" coordsize="21600,21600" o:spt="202" path="m,l,21600r21600,l21600,xe">
          <v:stroke joinstyle="miter"/>
          <v:path gradientshapeok="t" o:connecttype="rect"/>
        </v:shapetype>
        <v:shape id="_x0000_s1028" type="#_x0000_t202" style="position:absolute;margin-left:293.4pt;margin-top:776.8pt;width:8.65pt;height:16.1pt;z-index:-254344192;mso-position-horizontal-relative:page;mso-position-vertical-relative:page" filled="f" stroked="f">
          <v:textbox inset="0,0,0,0">
            <w:txbxContent>
              <w:p w14:paraId="4474B1C7" w14:textId="77777777" w:rsidR="001D4C35" w:rsidRDefault="00D84817">
                <w:pPr>
                  <w:spacing w:before="20"/>
                  <w:ind w:left="20"/>
                  <w:rPr>
                    <w:sz w:val="24"/>
                  </w:rPr>
                </w:pPr>
                <w:r>
                  <w:rPr>
                    <w:sz w:val="24"/>
                  </w:rPr>
                  <w:t>7</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A9C76" w14:textId="77777777" w:rsidR="006F73FF" w:rsidRDefault="006F73FF">
      <w:r>
        <w:separator/>
      </w:r>
    </w:p>
  </w:footnote>
  <w:footnote w:type="continuationSeparator" w:id="0">
    <w:p w14:paraId="61788FFE" w14:textId="77777777" w:rsidR="006F73FF" w:rsidRDefault="006F73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0C28"/>
    <w:multiLevelType w:val="hybridMultilevel"/>
    <w:tmpl w:val="FBB028FC"/>
    <w:lvl w:ilvl="0" w:tplc="D8ACB77C">
      <w:numFmt w:val="bullet"/>
      <w:lvlText w:val=""/>
      <w:lvlJc w:val="left"/>
      <w:pPr>
        <w:ind w:left="824" w:hanging="361"/>
      </w:pPr>
      <w:rPr>
        <w:rFonts w:ascii="Symbol" w:eastAsia="Symbol" w:hAnsi="Symbol" w:cs="Symbol" w:hint="default"/>
        <w:w w:val="100"/>
        <w:sz w:val="22"/>
        <w:szCs w:val="22"/>
      </w:rPr>
    </w:lvl>
    <w:lvl w:ilvl="1" w:tplc="A5BCBE0C">
      <w:numFmt w:val="bullet"/>
      <w:lvlText w:val="•"/>
      <w:lvlJc w:val="left"/>
      <w:pPr>
        <w:ind w:left="1756" w:hanging="361"/>
      </w:pPr>
      <w:rPr>
        <w:rFonts w:hint="default"/>
      </w:rPr>
    </w:lvl>
    <w:lvl w:ilvl="2" w:tplc="6186E1B4">
      <w:numFmt w:val="bullet"/>
      <w:lvlText w:val="•"/>
      <w:lvlJc w:val="left"/>
      <w:pPr>
        <w:ind w:left="2693" w:hanging="361"/>
      </w:pPr>
      <w:rPr>
        <w:rFonts w:hint="default"/>
      </w:rPr>
    </w:lvl>
    <w:lvl w:ilvl="3" w:tplc="5F0E083E">
      <w:numFmt w:val="bullet"/>
      <w:lvlText w:val="•"/>
      <w:lvlJc w:val="left"/>
      <w:pPr>
        <w:ind w:left="3630" w:hanging="361"/>
      </w:pPr>
      <w:rPr>
        <w:rFonts w:hint="default"/>
      </w:rPr>
    </w:lvl>
    <w:lvl w:ilvl="4" w:tplc="8772B702">
      <w:numFmt w:val="bullet"/>
      <w:lvlText w:val="•"/>
      <w:lvlJc w:val="left"/>
      <w:pPr>
        <w:ind w:left="4567" w:hanging="361"/>
      </w:pPr>
      <w:rPr>
        <w:rFonts w:hint="default"/>
      </w:rPr>
    </w:lvl>
    <w:lvl w:ilvl="5" w:tplc="721AAA4C">
      <w:numFmt w:val="bullet"/>
      <w:lvlText w:val="•"/>
      <w:lvlJc w:val="left"/>
      <w:pPr>
        <w:ind w:left="5504" w:hanging="361"/>
      </w:pPr>
      <w:rPr>
        <w:rFonts w:hint="default"/>
      </w:rPr>
    </w:lvl>
    <w:lvl w:ilvl="6" w:tplc="8F52DBFA">
      <w:numFmt w:val="bullet"/>
      <w:lvlText w:val="•"/>
      <w:lvlJc w:val="left"/>
      <w:pPr>
        <w:ind w:left="6440" w:hanging="361"/>
      </w:pPr>
      <w:rPr>
        <w:rFonts w:hint="default"/>
      </w:rPr>
    </w:lvl>
    <w:lvl w:ilvl="7" w:tplc="84B48C04">
      <w:numFmt w:val="bullet"/>
      <w:lvlText w:val="•"/>
      <w:lvlJc w:val="left"/>
      <w:pPr>
        <w:ind w:left="7377" w:hanging="361"/>
      </w:pPr>
      <w:rPr>
        <w:rFonts w:hint="default"/>
      </w:rPr>
    </w:lvl>
    <w:lvl w:ilvl="8" w:tplc="0C8833F2">
      <w:numFmt w:val="bullet"/>
      <w:lvlText w:val="•"/>
      <w:lvlJc w:val="left"/>
      <w:pPr>
        <w:ind w:left="8314" w:hanging="361"/>
      </w:pPr>
      <w:rPr>
        <w:rFonts w:hint="default"/>
      </w:rPr>
    </w:lvl>
  </w:abstractNum>
  <w:abstractNum w:abstractNumId="1" w15:restartNumberingAfterBreak="0">
    <w:nsid w:val="04D03E6B"/>
    <w:multiLevelType w:val="hybridMultilevel"/>
    <w:tmpl w:val="A5D8F0DE"/>
    <w:lvl w:ilvl="0" w:tplc="1FEABC8C">
      <w:start w:val="2"/>
      <w:numFmt w:val="lowerRoman"/>
      <w:lvlText w:val="(%1)"/>
      <w:lvlJc w:val="left"/>
      <w:pPr>
        <w:ind w:left="192" w:hanging="240"/>
        <w:jc w:val="left"/>
      </w:pPr>
      <w:rPr>
        <w:rFonts w:ascii="Cambria" w:eastAsia="Cambria" w:hAnsi="Cambria" w:cs="Cambria" w:hint="default"/>
        <w:spacing w:val="-2"/>
        <w:w w:val="100"/>
        <w:sz w:val="16"/>
        <w:szCs w:val="16"/>
      </w:rPr>
    </w:lvl>
    <w:lvl w:ilvl="1" w:tplc="BE52DB8E">
      <w:start w:val="1"/>
      <w:numFmt w:val="decimal"/>
      <w:lvlText w:val="%2."/>
      <w:lvlJc w:val="left"/>
      <w:pPr>
        <w:ind w:left="912" w:hanging="360"/>
        <w:jc w:val="left"/>
      </w:pPr>
      <w:rPr>
        <w:rFonts w:ascii="Cambria" w:eastAsia="Cambria" w:hAnsi="Cambria" w:cs="Cambria" w:hint="default"/>
        <w:b/>
        <w:bCs/>
        <w:spacing w:val="-17"/>
        <w:w w:val="100"/>
        <w:sz w:val="22"/>
        <w:szCs w:val="22"/>
      </w:rPr>
    </w:lvl>
    <w:lvl w:ilvl="2" w:tplc="8A08D810">
      <w:numFmt w:val="bullet"/>
      <w:lvlText w:val="•"/>
      <w:lvlJc w:val="left"/>
      <w:pPr>
        <w:ind w:left="2029" w:hanging="360"/>
      </w:pPr>
      <w:rPr>
        <w:rFonts w:hint="default"/>
      </w:rPr>
    </w:lvl>
    <w:lvl w:ilvl="3" w:tplc="7E34255A">
      <w:numFmt w:val="bullet"/>
      <w:lvlText w:val="•"/>
      <w:lvlJc w:val="left"/>
      <w:pPr>
        <w:ind w:left="3139" w:hanging="360"/>
      </w:pPr>
      <w:rPr>
        <w:rFonts w:hint="default"/>
      </w:rPr>
    </w:lvl>
    <w:lvl w:ilvl="4" w:tplc="464682A2">
      <w:numFmt w:val="bullet"/>
      <w:lvlText w:val="•"/>
      <w:lvlJc w:val="left"/>
      <w:pPr>
        <w:ind w:left="4249" w:hanging="360"/>
      </w:pPr>
      <w:rPr>
        <w:rFonts w:hint="default"/>
      </w:rPr>
    </w:lvl>
    <w:lvl w:ilvl="5" w:tplc="15C80FBA">
      <w:numFmt w:val="bullet"/>
      <w:lvlText w:val="•"/>
      <w:lvlJc w:val="left"/>
      <w:pPr>
        <w:ind w:left="5359" w:hanging="360"/>
      </w:pPr>
      <w:rPr>
        <w:rFonts w:hint="default"/>
      </w:rPr>
    </w:lvl>
    <w:lvl w:ilvl="6" w:tplc="A8B6CC84">
      <w:numFmt w:val="bullet"/>
      <w:lvlText w:val="•"/>
      <w:lvlJc w:val="left"/>
      <w:pPr>
        <w:ind w:left="6468" w:hanging="360"/>
      </w:pPr>
      <w:rPr>
        <w:rFonts w:hint="default"/>
      </w:rPr>
    </w:lvl>
    <w:lvl w:ilvl="7" w:tplc="57C81F30">
      <w:numFmt w:val="bullet"/>
      <w:lvlText w:val="•"/>
      <w:lvlJc w:val="left"/>
      <w:pPr>
        <w:ind w:left="7578" w:hanging="360"/>
      </w:pPr>
      <w:rPr>
        <w:rFonts w:hint="default"/>
      </w:rPr>
    </w:lvl>
    <w:lvl w:ilvl="8" w:tplc="CF22D088">
      <w:numFmt w:val="bullet"/>
      <w:lvlText w:val="•"/>
      <w:lvlJc w:val="left"/>
      <w:pPr>
        <w:ind w:left="8688" w:hanging="360"/>
      </w:pPr>
      <w:rPr>
        <w:rFonts w:hint="default"/>
      </w:rPr>
    </w:lvl>
  </w:abstractNum>
  <w:abstractNum w:abstractNumId="2" w15:restartNumberingAfterBreak="0">
    <w:nsid w:val="06517D9E"/>
    <w:multiLevelType w:val="hybridMultilevel"/>
    <w:tmpl w:val="F46A3CDE"/>
    <w:lvl w:ilvl="0" w:tplc="90BCEE84">
      <w:start w:val="1"/>
      <w:numFmt w:val="decimal"/>
      <w:lvlText w:val="%1."/>
      <w:lvlJc w:val="left"/>
      <w:pPr>
        <w:ind w:left="892" w:hanging="361"/>
        <w:jc w:val="left"/>
      </w:pPr>
      <w:rPr>
        <w:rFonts w:ascii="Cambria" w:eastAsia="Cambria" w:hAnsi="Cambria" w:cs="Cambria" w:hint="default"/>
        <w:spacing w:val="-4"/>
        <w:w w:val="100"/>
        <w:sz w:val="22"/>
        <w:szCs w:val="22"/>
      </w:rPr>
    </w:lvl>
    <w:lvl w:ilvl="1" w:tplc="C7463E58">
      <w:numFmt w:val="bullet"/>
      <w:lvlText w:val="•"/>
      <w:lvlJc w:val="left"/>
      <w:pPr>
        <w:ind w:left="1848" w:hanging="361"/>
      </w:pPr>
      <w:rPr>
        <w:rFonts w:hint="default"/>
      </w:rPr>
    </w:lvl>
    <w:lvl w:ilvl="2" w:tplc="1C0EBCAC">
      <w:numFmt w:val="bullet"/>
      <w:lvlText w:val="•"/>
      <w:lvlJc w:val="left"/>
      <w:pPr>
        <w:ind w:left="2797" w:hanging="361"/>
      </w:pPr>
      <w:rPr>
        <w:rFonts w:hint="default"/>
      </w:rPr>
    </w:lvl>
    <w:lvl w:ilvl="3" w:tplc="919444E2">
      <w:numFmt w:val="bullet"/>
      <w:lvlText w:val="•"/>
      <w:lvlJc w:val="left"/>
      <w:pPr>
        <w:ind w:left="3746" w:hanging="361"/>
      </w:pPr>
      <w:rPr>
        <w:rFonts w:hint="default"/>
      </w:rPr>
    </w:lvl>
    <w:lvl w:ilvl="4" w:tplc="1C16EB62">
      <w:numFmt w:val="bullet"/>
      <w:lvlText w:val="•"/>
      <w:lvlJc w:val="left"/>
      <w:pPr>
        <w:ind w:left="4695" w:hanging="361"/>
      </w:pPr>
      <w:rPr>
        <w:rFonts w:hint="default"/>
      </w:rPr>
    </w:lvl>
    <w:lvl w:ilvl="5" w:tplc="BF3E2A6E">
      <w:numFmt w:val="bullet"/>
      <w:lvlText w:val="•"/>
      <w:lvlJc w:val="left"/>
      <w:pPr>
        <w:ind w:left="5644" w:hanging="361"/>
      </w:pPr>
      <w:rPr>
        <w:rFonts w:hint="default"/>
      </w:rPr>
    </w:lvl>
    <w:lvl w:ilvl="6" w:tplc="39CEE4A8">
      <w:numFmt w:val="bullet"/>
      <w:lvlText w:val="•"/>
      <w:lvlJc w:val="left"/>
      <w:pPr>
        <w:ind w:left="6592" w:hanging="361"/>
      </w:pPr>
      <w:rPr>
        <w:rFonts w:hint="default"/>
      </w:rPr>
    </w:lvl>
    <w:lvl w:ilvl="7" w:tplc="B7BEA23C">
      <w:numFmt w:val="bullet"/>
      <w:lvlText w:val="•"/>
      <w:lvlJc w:val="left"/>
      <w:pPr>
        <w:ind w:left="7541" w:hanging="361"/>
      </w:pPr>
      <w:rPr>
        <w:rFonts w:hint="default"/>
      </w:rPr>
    </w:lvl>
    <w:lvl w:ilvl="8" w:tplc="56DA6D86">
      <w:numFmt w:val="bullet"/>
      <w:lvlText w:val="•"/>
      <w:lvlJc w:val="left"/>
      <w:pPr>
        <w:ind w:left="8490" w:hanging="361"/>
      </w:pPr>
      <w:rPr>
        <w:rFonts w:hint="default"/>
      </w:rPr>
    </w:lvl>
  </w:abstractNum>
  <w:abstractNum w:abstractNumId="3" w15:restartNumberingAfterBreak="0">
    <w:nsid w:val="06D141DE"/>
    <w:multiLevelType w:val="hybridMultilevel"/>
    <w:tmpl w:val="2A349022"/>
    <w:lvl w:ilvl="0" w:tplc="D4E60AAA">
      <w:numFmt w:val="bullet"/>
      <w:lvlText w:val=""/>
      <w:lvlJc w:val="left"/>
      <w:pPr>
        <w:ind w:left="632" w:hanging="361"/>
      </w:pPr>
      <w:rPr>
        <w:rFonts w:ascii="Symbol" w:eastAsia="Symbol" w:hAnsi="Symbol" w:cs="Symbol" w:hint="default"/>
        <w:w w:val="100"/>
        <w:sz w:val="22"/>
        <w:szCs w:val="22"/>
      </w:rPr>
    </w:lvl>
    <w:lvl w:ilvl="1" w:tplc="A06CFE9A">
      <w:numFmt w:val="bullet"/>
      <w:lvlText w:val="•"/>
      <w:lvlJc w:val="left"/>
      <w:pPr>
        <w:ind w:left="1664" w:hanging="361"/>
      </w:pPr>
      <w:rPr>
        <w:rFonts w:hint="default"/>
      </w:rPr>
    </w:lvl>
    <w:lvl w:ilvl="2" w:tplc="21E21F3C">
      <w:numFmt w:val="bullet"/>
      <w:lvlText w:val="•"/>
      <w:lvlJc w:val="left"/>
      <w:pPr>
        <w:ind w:left="2689" w:hanging="361"/>
      </w:pPr>
      <w:rPr>
        <w:rFonts w:hint="default"/>
      </w:rPr>
    </w:lvl>
    <w:lvl w:ilvl="3" w:tplc="9E9A163C">
      <w:numFmt w:val="bullet"/>
      <w:lvlText w:val="•"/>
      <w:lvlJc w:val="left"/>
      <w:pPr>
        <w:ind w:left="3714" w:hanging="361"/>
      </w:pPr>
      <w:rPr>
        <w:rFonts w:hint="default"/>
      </w:rPr>
    </w:lvl>
    <w:lvl w:ilvl="4" w:tplc="794E3A64">
      <w:numFmt w:val="bullet"/>
      <w:lvlText w:val="•"/>
      <w:lvlJc w:val="left"/>
      <w:pPr>
        <w:ind w:left="4739" w:hanging="361"/>
      </w:pPr>
      <w:rPr>
        <w:rFonts w:hint="default"/>
      </w:rPr>
    </w:lvl>
    <w:lvl w:ilvl="5" w:tplc="7E52711E">
      <w:numFmt w:val="bullet"/>
      <w:lvlText w:val="•"/>
      <w:lvlJc w:val="left"/>
      <w:pPr>
        <w:ind w:left="5764" w:hanging="361"/>
      </w:pPr>
      <w:rPr>
        <w:rFonts w:hint="default"/>
      </w:rPr>
    </w:lvl>
    <w:lvl w:ilvl="6" w:tplc="F31AC848">
      <w:numFmt w:val="bullet"/>
      <w:lvlText w:val="•"/>
      <w:lvlJc w:val="left"/>
      <w:pPr>
        <w:ind w:left="6788" w:hanging="361"/>
      </w:pPr>
      <w:rPr>
        <w:rFonts w:hint="default"/>
      </w:rPr>
    </w:lvl>
    <w:lvl w:ilvl="7" w:tplc="E70EC376">
      <w:numFmt w:val="bullet"/>
      <w:lvlText w:val="•"/>
      <w:lvlJc w:val="left"/>
      <w:pPr>
        <w:ind w:left="7813" w:hanging="361"/>
      </w:pPr>
      <w:rPr>
        <w:rFonts w:hint="default"/>
      </w:rPr>
    </w:lvl>
    <w:lvl w:ilvl="8" w:tplc="06BA4ACE">
      <w:numFmt w:val="bullet"/>
      <w:lvlText w:val="•"/>
      <w:lvlJc w:val="left"/>
      <w:pPr>
        <w:ind w:left="8838" w:hanging="361"/>
      </w:pPr>
      <w:rPr>
        <w:rFonts w:hint="default"/>
      </w:rPr>
    </w:lvl>
  </w:abstractNum>
  <w:abstractNum w:abstractNumId="4" w15:restartNumberingAfterBreak="0">
    <w:nsid w:val="08DC108A"/>
    <w:multiLevelType w:val="hybridMultilevel"/>
    <w:tmpl w:val="84542444"/>
    <w:lvl w:ilvl="0" w:tplc="9410D104">
      <w:start w:val="76"/>
      <w:numFmt w:val="decimal"/>
      <w:lvlText w:val="%1."/>
      <w:lvlJc w:val="left"/>
      <w:pPr>
        <w:ind w:left="635" w:hanging="332"/>
        <w:jc w:val="left"/>
      </w:pPr>
      <w:rPr>
        <w:rFonts w:ascii="Cambria" w:eastAsia="Cambria" w:hAnsi="Cambria" w:cs="Cambria" w:hint="default"/>
        <w:spacing w:val="-2"/>
        <w:w w:val="100"/>
        <w:sz w:val="22"/>
        <w:szCs w:val="22"/>
      </w:rPr>
    </w:lvl>
    <w:lvl w:ilvl="1" w:tplc="0D282C30">
      <w:start w:val="1"/>
      <w:numFmt w:val="decimal"/>
      <w:lvlText w:val="%2."/>
      <w:lvlJc w:val="left"/>
      <w:pPr>
        <w:ind w:left="884" w:hanging="357"/>
        <w:jc w:val="left"/>
      </w:pPr>
      <w:rPr>
        <w:rFonts w:ascii="Cambria" w:eastAsia="Cambria" w:hAnsi="Cambria" w:cs="Cambria" w:hint="default"/>
        <w:spacing w:val="-17"/>
        <w:w w:val="100"/>
        <w:sz w:val="22"/>
        <w:szCs w:val="22"/>
      </w:rPr>
    </w:lvl>
    <w:lvl w:ilvl="2" w:tplc="AF40A2B8">
      <w:numFmt w:val="bullet"/>
      <w:lvlText w:val="•"/>
      <w:lvlJc w:val="left"/>
      <w:pPr>
        <w:ind w:left="1947" w:hanging="357"/>
      </w:pPr>
      <w:rPr>
        <w:rFonts w:hint="default"/>
      </w:rPr>
    </w:lvl>
    <w:lvl w:ilvl="3" w:tplc="F930305A">
      <w:numFmt w:val="bullet"/>
      <w:lvlText w:val="•"/>
      <w:lvlJc w:val="left"/>
      <w:pPr>
        <w:ind w:left="3015" w:hanging="357"/>
      </w:pPr>
      <w:rPr>
        <w:rFonts w:hint="default"/>
      </w:rPr>
    </w:lvl>
    <w:lvl w:ilvl="4" w:tplc="633ED294">
      <w:numFmt w:val="bullet"/>
      <w:lvlText w:val="•"/>
      <w:lvlJc w:val="left"/>
      <w:pPr>
        <w:ind w:left="4082" w:hanging="357"/>
      </w:pPr>
      <w:rPr>
        <w:rFonts w:hint="default"/>
      </w:rPr>
    </w:lvl>
    <w:lvl w:ilvl="5" w:tplc="EDA46A22">
      <w:numFmt w:val="bullet"/>
      <w:lvlText w:val="•"/>
      <w:lvlJc w:val="left"/>
      <w:pPr>
        <w:ind w:left="5150" w:hanging="357"/>
      </w:pPr>
      <w:rPr>
        <w:rFonts w:hint="default"/>
      </w:rPr>
    </w:lvl>
    <w:lvl w:ilvl="6" w:tplc="1E645F9A">
      <w:numFmt w:val="bullet"/>
      <w:lvlText w:val="•"/>
      <w:lvlJc w:val="left"/>
      <w:pPr>
        <w:ind w:left="6217" w:hanging="357"/>
      </w:pPr>
      <w:rPr>
        <w:rFonts w:hint="default"/>
      </w:rPr>
    </w:lvl>
    <w:lvl w:ilvl="7" w:tplc="186C2E96">
      <w:numFmt w:val="bullet"/>
      <w:lvlText w:val="•"/>
      <w:lvlJc w:val="left"/>
      <w:pPr>
        <w:ind w:left="7285" w:hanging="357"/>
      </w:pPr>
      <w:rPr>
        <w:rFonts w:hint="default"/>
      </w:rPr>
    </w:lvl>
    <w:lvl w:ilvl="8" w:tplc="B8D2043C">
      <w:numFmt w:val="bullet"/>
      <w:lvlText w:val="•"/>
      <w:lvlJc w:val="left"/>
      <w:pPr>
        <w:ind w:left="8352" w:hanging="357"/>
      </w:pPr>
      <w:rPr>
        <w:rFonts w:hint="default"/>
      </w:rPr>
    </w:lvl>
  </w:abstractNum>
  <w:abstractNum w:abstractNumId="5" w15:restartNumberingAfterBreak="0">
    <w:nsid w:val="0A341670"/>
    <w:multiLevelType w:val="hybridMultilevel"/>
    <w:tmpl w:val="D5F229F0"/>
    <w:lvl w:ilvl="0" w:tplc="225CA600">
      <w:numFmt w:val="bullet"/>
      <w:lvlText w:val=""/>
      <w:lvlJc w:val="left"/>
      <w:pPr>
        <w:ind w:left="924" w:hanging="361"/>
      </w:pPr>
      <w:rPr>
        <w:rFonts w:hint="default"/>
        <w:w w:val="100"/>
      </w:rPr>
    </w:lvl>
    <w:lvl w:ilvl="1" w:tplc="BF2C9BC8">
      <w:numFmt w:val="bullet"/>
      <w:lvlText w:val="•"/>
      <w:lvlJc w:val="left"/>
      <w:pPr>
        <w:ind w:left="920" w:hanging="361"/>
      </w:pPr>
      <w:rPr>
        <w:rFonts w:hint="default"/>
      </w:rPr>
    </w:lvl>
    <w:lvl w:ilvl="2" w:tplc="C78E4802">
      <w:numFmt w:val="bullet"/>
      <w:lvlText w:val="•"/>
      <w:lvlJc w:val="left"/>
      <w:pPr>
        <w:ind w:left="1972" w:hanging="361"/>
      </w:pPr>
      <w:rPr>
        <w:rFonts w:hint="default"/>
      </w:rPr>
    </w:lvl>
    <w:lvl w:ilvl="3" w:tplc="E4202E32">
      <w:numFmt w:val="bullet"/>
      <w:lvlText w:val="•"/>
      <w:lvlJc w:val="left"/>
      <w:pPr>
        <w:ind w:left="3024" w:hanging="361"/>
      </w:pPr>
      <w:rPr>
        <w:rFonts w:hint="default"/>
      </w:rPr>
    </w:lvl>
    <w:lvl w:ilvl="4" w:tplc="9DE4D5CA">
      <w:numFmt w:val="bullet"/>
      <w:lvlText w:val="•"/>
      <w:lvlJc w:val="left"/>
      <w:pPr>
        <w:ind w:left="4076" w:hanging="361"/>
      </w:pPr>
      <w:rPr>
        <w:rFonts w:hint="default"/>
      </w:rPr>
    </w:lvl>
    <w:lvl w:ilvl="5" w:tplc="674A068A">
      <w:numFmt w:val="bullet"/>
      <w:lvlText w:val="•"/>
      <w:lvlJc w:val="left"/>
      <w:pPr>
        <w:ind w:left="5128" w:hanging="361"/>
      </w:pPr>
      <w:rPr>
        <w:rFonts w:hint="default"/>
      </w:rPr>
    </w:lvl>
    <w:lvl w:ilvl="6" w:tplc="5276D804">
      <w:numFmt w:val="bullet"/>
      <w:lvlText w:val="•"/>
      <w:lvlJc w:val="left"/>
      <w:pPr>
        <w:ind w:left="6180" w:hanging="361"/>
      </w:pPr>
      <w:rPr>
        <w:rFonts w:hint="default"/>
      </w:rPr>
    </w:lvl>
    <w:lvl w:ilvl="7" w:tplc="A04E6C38">
      <w:numFmt w:val="bullet"/>
      <w:lvlText w:val="•"/>
      <w:lvlJc w:val="left"/>
      <w:pPr>
        <w:ind w:left="7232" w:hanging="361"/>
      </w:pPr>
      <w:rPr>
        <w:rFonts w:hint="default"/>
      </w:rPr>
    </w:lvl>
    <w:lvl w:ilvl="8" w:tplc="379E244E">
      <w:numFmt w:val="bullet"/>
      <w:lvlText w:val="•"/>
      <w:lvlJc w:val="left"/>
      <w:pPr>
        <w:ind w:left="8284" w:hanging="361"/>
      </w:pPr>
      <w:rPr>
        <w:rFonts w:hint="default"/>
      </w:rPr>
    </w:lvl>
  </w:abstractNum>
  <w:abstractNum w:abstractNumId="6" w15:restartNumberingAfterBreak="0">
    <w:nsid w:val="0FEE4BCC"/>
    <w:multiLevelType w:val="hybridMultilevel"/>
    <w:tmpl w:val="4016D850"/>
    <w:lvl w:ilvl="0" w:tplc="104A4B92">
      <w:start w:val="76"/>
      <w:numFmt w:val="decimal"/>
      <w:lvlText w:val="%1."/>
      <w:lvlJc w:val="left"/>
      <w:pPr>
        <w:ind w:left="655" w:hanging="332"/>
        <w:jc w:val="left"/>
      </w:pPr>
      <w:rPr>
        <w:rFonts w:ascii="Cambria" w:eastAsia="Cambria" w:hAnsi="Cambria" w:cs="Cambria" w:hint="default"/>
        <w:spacing w:val="-2"/>
        <w:w w:val="100"/>
        <w:sz w:val="22"/>
        <w:szCs w:val="22"/>
      </w:rPr>
    </w:lvl>
    <w:lvl w:ilvl="1" w:tplc="9BB8863A">
      <w:numFmt w:val="bullet"/>
      <w:lvlText w:val=""/>
      <w:lvlJc w:val="left"/>
      <w:pPr>
        <w:ind w:left="891" w:hanging="361"/>
      </w:pPr>
      <w:rPr>
        <w:rFonts w:ascii="Wingdings" w:eastAsia="Wingdings" w:hAnsi="Wingdings" w:cs="Wingdings" w:hint="default"/>
        <w:w w:val="100"/>
        <w:sz w:val="22"/>
        <w:szCs w:val="22"/>
      </w:rPr>
    </w:lvl>
    <w:lvl w:ilvl="2" w:tplc="BECE567E">
      <w:numFmt w:val="bullet"/>
      <w:lvlText w:val="•"/>
      <w:lvlJc w:val="left"/>
      <w:pPr>
        <w:ind w:left="1954" w:hanging="361"/>
      </w:pPr>
      <w:rPr>
        <w:rFonts w:hint="default"/>
      </w:rPr>
    </w:lvl>
    <w:lvl w:ilvl="3" w:tplc="BB10DD52">
      <w:numFmt w:val="bullet"/>
      <w:lvlText w:val="•"/>
      <w:lvlJc w:val="left"/>
      <w:pPr>
        <w:ind w:left="3008" w:hanging="361"/>
      </w:pPr>
      <w:rPr>
        <w:rFonts w:hint="default"/>
      </w:rPr>
    </w:lvl>
    <w:lvl w:ilvl="4" w:tplc="2C10B17A">
      <w:numFmt w:val="bullet"/>
      <w:lvlText w:val="•"/>
      <w:lvlJc w:val="left"/>
      <w:pPr>
        <w:ind w:left="4062" w:hanging="361"/>
      </w:pPr>
      <w:rPr>
        <w:rFonts w:hint="default"/>
      </w:rPr>
    </w:lvl>
    <w:lvl w:ilvl="5" w:tplc="4854358A">
      <w:numFmt w:val="bullet"/>
      <w:lvlText w:val="•"/>
      <w:lvlJc w:val="left"/>
      <w:pPr>
        <w:ind w:left="5116" w:hanging="361"/>
      </w:pPr>
      <w:rPr>
        <w:rFonts w:hint="default"/>
      </w:rPr>
    </w:lvl>
    <w:lvl w:ilvl="6" w:tplc="76E0F296">
      <w:numFmt w:val="bullet"/>
      <w:lvlText w:val="•"/>
      <w:lvlJc w:val="left"/>
      <w:pPr>
        <w:ind w:left="6171" w:hanging="361"/>
      </w:pPr>
      <w:rPr>
        <w:rFonts w:hint="default"/>
      </w:rPr>
    </w:lvl>
    <w:lvl w:ilvl="7" w:tplc="EF24C568">
      <w:numFmt w:val="bullet"/>
      <w:lvlText w:val="•"/>
      <w:lvlJc w:val="left"/>
      <w:pPr>
        <w:ind w:left="7225" w:hanging="361"/>
      </w:pPr>
      <w:rPr>
        <w:rFonts w:hint="default"/>
      </w:rPr>
    </w:lvl>
    <w:lvl w:ilvl="8" w:tplc="D428BA74">
      <w:numFmt w:val="bullet"/>
      <w:lvlText w:val="•"/>
      <w:lvlJc w:val="left"/>
      <w:pPr>
        <w:ind w:left="8279" w:hanging="361"/>
      </w:pPr>
      <w:rPr>
        <w:rFonts w:hint="default"/>
      </w:rPr>
    </w:lvl>
  </w:abstractNum>
  <w:abstractNum w:abstractNumId="7" w15:restartNumberingAfterBreak="0">
    <w:nsid w:val="12F918C9"/>
    <w:multiLevelType w:val="hybridMultilevel"/>
    <w:tmpl w:val="F95A81B4"/>
    <w:lvl w:ilvl="0" w:tplc="3D70751C">
      <w:numFmt w:val="bullet"/>
      <w:lvlText w:val=""/>
      <w:lvlJc w:val="left"/>
      <w:pPr>
        <w:ind w:left="824" w:hanging="361"/>
      </w:pPr>
      <w:rPr>
        <w:rFonts w:ascii="Symbol" w:eastAsia="Symbol" w:hAnsi="Symbol" w:cs="Symbol" w:hint="default"/>
        <w:b/>
        <w:bCs/>
        <w:w w:val="99"/>
        <w:sz w:val="22"/>
        <w:szCs w:val="22"/>
      </w:rPr>
    </w:lvl>
    <w:lvl w:ilvl="1" w:tplc="4A26FA74">
      <w:numFmt w:val="bullet"/>
      <w:lvlText w:val="•"/>
      <w:lvlJc w:val="left"/>
      <w:pPr>
        <w:ind w:left="1756" w:hanging="361"/>
      </w:pPr>
      <w:rPr>
        <w:rFonts w:hint="default"/>
      </w:rPr>
    </w:lvl>
    <w:lvl w:ilvl="2" w:tplc="EB06EECE">
      <w:numFmt w:val="bullet"/>
      <w:lvlText w:val="•"/>
      <w:lvlJc w:val="left"/>
      <w:pPr>
        <w:ind w:left="2693" w:hanging="361"/>
      </w:pPr>
      <w:rPr>
        <w:rFonts w:hint="default"/>
      </w:rPr>
    </w:lvl>
    <w:lvl w:ilvl="3" w:tplc="D464A334">
      <w:numFmt w:val="bullet"/>
      <w:lvlText w:val="•"/>
      <w:lvlJc w:val="left"/>
      <w:pPr>
        <w:ind w:left="3630" w:hanging="361"/>
      </w:pPr>
      <w:rPr>
        <w:rFonts w:hint="default"/>
      </w:rPr>
    </w:lvl>
    <w:lvl w:ilvl="4" w:tplc="B35C7DCC">
      <w:numFmt w:val="bullet"/>
      <w:lvlText w:val="•"/>
      <w:lvlJc w:val="left"/>
      <w:pPr>
        <w:ind w:left="4567" w:hanging="361"/>
      </w:pPr>
      <w:rPr>
        <w:rFonts w:hint="default"/>
      </w:rPr>
    </w:lvl>
    <w:lvl w:ilvl="5" w:tplc="8690E584">
      <w:numFmt w:val="bullet"/>
      <w:lvlText w:val="•"/>
      <w:lvlJc w:val="left"/>
      <w:pPr>
        <w:ind w:left="5504" w:hanging="361"/>
      </w:pPr>
      <w:rPr>
        <w:rFonts w:hint="default"/>
      </w:rPr>
    </w:lvl>
    <w:lvl w:ilvl="6" w:tplc="B7F6EF02">
      <w:numFmt w:val="bullet"/>
      <w:lvlText w:val="•"/>
      <w:lvlJc w:val="left"/>
      <w:pPr>
        <w:ind w:left="6440" w:hanging="361"/>
      </w:pPr>
      <w:rPr>
        <w:rFonts w:hint="default"/>
      </w:rPr>
    </w:lvl>
    <w:lvl w:ilvl="7" w:tplc="A090285C">
      <w:numFmt w:val="bullet"/>
      <w:lvlText w:val="•"/>
      <w:lvlJc w:val="left"/>
      <w:pPr>
        <w:ind w:left="7377" w:hanging="361"/>
      </w:pPr>
      <w:rPr>
        <w:rFonts w:hint="default"/>
      </w:rPr>
    </w:lvl>
    <w:lvl w:ilvl="8" w:tplc="D238325C">
      <w:numFmt w:val="bullet"/>
      <w:lvlText w:val="•"/>
      <w:lvlJc w:val="left"/>
      <w:pPr>
        <w:ind w:left="8314" w:hanging="361"/>
      </w:pPr>
      <w:rPr>
        <w:rFonts w:hint="default"/>
      </w:rPr>
    </w:lvl>
  </w:abstractNum>
  <w:abstractNum w:abstractNumId="8" w15:restartNumberingAfterBreak="0">
    <w:nsid w:val="14025138"/>
    <w:multiLevelType w:val="hybridMultilevel"/>
    <w:tmpl w:val="097A04D2"/>
    <w:lvl w:ilvl="0" w:tplc="3E4E8D46">
      <w:start w:val="2"/>
      <w:numFmt w:val="decimal"/>
      <w:lvlText w:val="%1)"/>
      <w:lvlJc w:val="left"/>
      <w:pPr>
        <w:ind w:left="911" w:hanging="360"/>
        <w:jc w:val="left"/>
      </w:pPr>
      <w:rPr>
        <w:rFonts w:ascii="Cambria" w:eastAsia="Cambria" w:hAnsi="Cambria" w:cs="Cambria" w:hint="default"/>
        <w:b/>
        <w:bCs/>
        <w:spacing w:val="-8"/>
        <w:w w:val="100"/>
        <w:sz w:val="22"/>
        <w:szCs w:val="22"/>
      </w:rPr>
    </w:lvl>
    <w:lvl w:ilvl="1" w:tplc="4DCCF38E">
      <w:numFmt w:val="bullet"/>
      <w:lvlText w:val="•"/>
      <w:lvlJc w:val="left"/>
      <w:pPr>
        <w:ind w:left="1918" w:hanging="360"/>
      </w:pPr>
      <w:rPr>
        <w:rFonts w:hint="default"/>
      </w:rPr>
    </w:lvl>
    <w:lvl w:ilvl="2" w:tplc="3E8E4B3A">
      <w:numFmt w:val="bullet"/>
      <w:lvlText w:val="•"/>
      <w:lvlJc w:val="left"/>
      <w:pPr>
        <w:ind w:left="2917" w:hanging="360"/>
      </w:pPr>
      <w:rPr>
        <w:rFonts w:hint="default"/>
      </w:rPr>
    </w:lvl>
    <w:lvl w:ilvl="3" w:tplc="5C185E2A">
      <w:numFmt w:val="bullet"/>
      <w:lvlText w:val="•"/>
      <w:lvlJc w:val="left"/>
      <w:pPr>
        <w:ind w:left="3916" w:hanging="360"/>
      </w:pPr>
      <w:rPr>
        <w:rFonts w:hint="default"/>
      </w:rPr>
    </w:lvl>
    <w:lvl w:ilvl="4" w:tplc="D7289382">
      <w:numFmt w:val="bullet"/>
      <w:lvlText w:val="•"/>
      <w:lvlJc w:val="left"/>
      <w:pPr>
        <w:ind w:left="4915" w:hanging="360"/>
      </w:pPr>
      <w:rPr>
        <w:rFonts w:hint="default"/>
      </w:rPr>
    </w:lvl>
    <w:lvl w:ilvl="5" w:tplc="575AAD8A">
      <w:numFmt w:val="bullet"/>
      <w:lvlText w:val="•"/>
      <w:lvlJc w:val="left"/>
      <w:pPr>
        <w:ind w:left="5914" w:hanging="360"/>
      </w:pPr>
      <w:rPr>
        <w:rFonts w:hint="default"/>
      </w:rPr>
    </w:lvl>
    <w:lvl w:ilvl="6" w:tplc="FECEDC98">
      <w:numFmt w:val="bullet"/>
      <w:lvlText w:val="•"/>
      <w:lvlJc w:val="left"/>
      <w:pPr>
        <w:ind w:left="6912" w:hanging="360"/>
      </w:pPr>
      <w:rPr>
        <w:rFonts w:hint="default"/>
      </w:rPr>
    </w:lvl>
    <w:lvl w:ilvl="7" w:tplc="42E2296C">
      <w:numFmt w:val="bullet"/>
      <w:lvlText w:val="•"/>
      <w:lvlJc w:val="left"/>
      <w:pPr>
        <w:ind w:left="7911" w:hanging="360"/>
      </w:pPr>
      <w:rPr>
        <w:rFonts w:hint="default"/>
      </w:rPr>
    </w:lvl>
    <w:lvl w:ilvl="8" w:tplc="7F4E5A42">
      <w:numFmt w:val="bullet"/>
      <w:lvlText w:val="•"/>
      <w:lvlJc w:val="left"/>
      <w:pPr>
        <w:ind w:left="8910" w:hanging="360"/>
      </w:pPr>
      <w:rPr>
        <w:rFonts w:hint="default"/>
      </w:rPr>
    </w:lvl>
  </w:abstractNum>
  <w:abstractNum w:abstractNumId="9" w15:restartNumberingAfterBreak="0">
    <w:nsid w:val="1E1D66D5"/>
    <w:multiLevelType w:val="hybridMultilevel"/>
    <w:tmpl w:val="955C7C58"/>
    <w:lvl w:ilvl="0" w:tplc="B8FAD326">
      <w:start w:val="1"/>
      <w:numFmt w:val="decimal"/>
      <w:lvlText w:val="%1)"/>
      <w:lvlJc w:val="left"/>
      <w:pPr>
        <w:ind w:left="824" w:hanging="360"/>
        <w:jc w:val="left"/>
      </w:pPr>
      <w:rPr>
        <w:rFonts w:ascii="Cambria" w:eastAsia="Cambria" w:hAnsi="Cambria" w:cs="Cambria" w:hint="default"/>
        <w:spacing w:val="-24"/>
        <w:w w:val="100"/>
        <w:sz w:val="22"/>
        <w:szCs w:val="22"/>
      </w:rPr>
    </w:lvl>
    <w:lvl w:ilvl="1" w:tplc="FFA4BE0C">
      <w:numFmt w:val="bullet"/>
      <w:lvlText w:val="•"/>
      <w:lvlJc w:val="left"/>
      <w:pPr>
        <w:ind w:left="1756" w:hanging="360"/>
      </w:pPr>
      <w:rPr>
        <w:rFonts w:hint="default"/>
      </w:rPr>
    </w:lvl>
    <w:lvl w:ilvl="2" w:tplc="6238591E">
      <w:numFmt w:val="bullet"/>
      <w:lvlText w:val="•"/>
      <w:lvlJc w:val="left"/>
      <w:pPr>
        <w:ind w:left="2693" w:hanging="360"/>
      </w:pPr>
      <w:rPr>
        <w:rFonts w:hint="default"/>
      </w:rPr>
    </w:lvl>
    <w:lvl w:ilvl="3" w:tplc="497EE8A0">
      <w:numFmt w:val="bullet"/>
      <w:lvlText w:val="•"/>
      <w:lvlJc w:val="left"/>
      <w:pPr>
        <w:ind w:left="3630" w:hanging="360"/>
      </w:pPr>
      <w:rPr>
        <w:rFonts w:hint="default"/>
      </w:rPr>
    </w:lvl>
    <w:lvl w:ilvl="4" w:tplc="EAE60876">
      <w:numFmt w:val="bullet"/>
      <w:lvlText w:val="•"/>
      <w:lvlJc w:val="left"/>
      <w:pPr>
        <w:ind w:left="4567" w:hanging="360"/>
      </w:pPr>
      <w:rPr>
        <w:rFonts w:hint="default"/>
      </w:rPr>
    </w:lvl>
    <w:lvl w:ilvl="5" w:tplc="1652A9F2">
      <w:numFmt w:val="bullet"/>
      <w:lvlText w:val="•"/>
      <w:lvlJc w:val="left"/>
      <w:pPr>
        <w:ind w:left="5504" w:hanging="360"/>
      </w:pPr>
      <w:rPr>
        <w:rFonts w:hint="default"/>
      </w:rPr>
    </w:lvl>
    <w:lvl w:ilvl="6" w:tplc="18B07874">
      <w:numFmt w:val="bullet"/>
      <w:lvlText w:val="•"/>
      <w:lvlJc w:val="left"/>
      <w:pPr>
        <w:ind w:left="6440" w:hanging="360"/>
      </w:pPr>
      <w:rPr>
        <w:rFonts w:hint="default"/>
      </w:rPr>
    </w:lvl>
    <w:lvl w:ilvl="7" w:tplc="5F221E82">
      <w:numFmt w:val="bullet"/>
      <w:lvlText w:val="•"/>
      <w:lvlJc w:val="left"/>
      <w:pPr>
        <w:ind w:left="7377" w:hanging="360"/>
      </w:pPr>
      <w:rPr>
        <w:rFonts w:hint="default"/>
      </w:rPr>
    </w:lvl>
    <w:lvl w:ilvl="8" w:tplc="BA468F2A">
      <w:numFmt w:val="bullet"/>
      <w:lvlText w:val="•"/>
      <w:lvlJc w:val="left"/>
      <w:pPr>
        <w:ind w:left="8314" w:hanging="360"/>
      </w:pPr>
      <w:rPr>
        <w:rFonts w:hint="default"/>
      </w:rPr>
    </w:lvl>
  </w:abstractNum>
  <w:abstractNum w:abstractNumId="10" w15:restartNumberingAfterBreak="0">
    <w:nsid w:val="30AA2DB1"/>
    <w:multiLevelType w:val="hybridMultilevel"/>
    <w:tmpl w:val="558438A8"/>
    <w:lvl w:ilvl="0" w:tplc="EFECEBEE">
      <w:numFmt w:val="bullet"/>
      <w:lvlText w:val="-"/>
      <w:lvlJc w:val="left"/>
      <w:pPr>
        <w:ind w:left="891" w:hanging="360"/>
      </w:pPr>
      <w:rPr>
        <w:rFonts w:ascii="Cambria" w:eastAsia="Cambria" w:hAnsi="Cambria" w:cs="Cambria" w:hint="default"/>
        <w:spacing w:val="-6"/>
        <w:w w:val="100"/>
        <w:sz w:val="22"/>
        <w:szCs w:val="22"/>
      </w:rPr>
    </w:lvl>
    <w:lvl w:ilvl="1" w:tplc="AE4AFB1E">
      <w:numFmt w:val="bullet"/>
      <w:lvlText w:val=""/>
      <w:lvlJc w:val="left"/>
      <w:pPr>
        <w:ind w:left="1024" w:hanging="360"/>
      </w:pPr>
      <w:rPr>
        <w:rFonts w:ascii="Symbol" w:eastAsia="Symbol" w:hAnsi="Symbol" w:cs="Symbol" w:hint="default"/>
        <w:w w:val="100"/>
        <w:sz w:val="22"/>
        <w:szCs w:val="22"/>
      </w:rPr>
    </w:lvl>
    <w:lvl w:ilvl="2" w:tplc="4DCAC91A">
      <w:numFmt w:val="bullet"/>
      <w:lvlText w:val="•"/>
      <w:lvlJc w:val="left"/>
      <w:pPr>
        <w:ind w:left="2060" w:hanging="360"/>
      </w:pPr>
      <w:rPr>
        <w:rFonts w:hint="default"/>
      </w:rPr>
    </w:lvl>
    <w:lvl w:ilvl="3" w:tplc="7768728E">
      <w:numFmt w:val="bullet"/>
      <w:lvlText w:val="•"/>
      <w:lvlJc w:val="left"/>
      <w:pPr>
        <w:ind w:left="3101" w:hanging="360"/>
      </w:pPr>
      <w:rPr>
        <w:rFonts w:hint="default"/>
      </w:rPr>
    </w:lvl>
    <w:lvl w:ilvl="4" w:tplc="43BA9C9C">
      <w:numFmt w:val="bullet"/>
      <w:lvlText w:val="•"/>
      <w:lvlJc w:val="left"/>
      <w:pPr>
        <w:ind w:left="4142" w:hanging="360"/>
      </w:pPr>
      <w:rPr>
        <w:rFonts w:hint="default"/>
      </w:rPr>
    </w:lvl>
    <w:lvl w:ilvl="5" w:tplc="8C5048CC">
      <w:numFmt w:val="bullet"/>
      <w:lvlText w:val="•"/>
      <w:lvlJc w:val="left"/>
      <w:pPr>
        <w:ind w:left="5183" w:hanging="360"/>
      </w:pPr>
      <w:rPr>
        <w:rFonts w:hint="default"/>
      </w:rPr>
    </w:lvl>
    <w:lvl w:ilvl="6" w:tplc="21E01730">
      <w:numFmt w:val="bullet"/>
      <w:lvlText w:val="•"/>
      <w:lvlJc w:val="left"/>
      <w:pPr>
        <w:ind w:left="6224" w:hanging="360"/>
      </w:pPr>
      <w:rPr>
        <w:rFonts w:hint="default"/>
      </w:rPr>
    </w:lvl>
    <w:lvl w:ilvl="7" w:tplc="E6F86F24">
      <w:numFmt w:val="bullet"/>
      <w:lvlText w:val="•"/>
      <w:lvlJc w:val="left"/>
      <w:pPr>
        <w:ind w:left="7265" w:hanging="360"/>
      </w:pPr>
      <w:rPr>
        <w:rFonts w:hint="default"/>
      </w:rPr>
    </w:lvl>
    <w:lvl w:ilvl="8" w:tplc="3C80810A">
      <w:numFmt w:val="bullet"/>
      <w:lvlText w:val="•"/>
      <w:lvlJc w:val="left"/>
      <w:pPr>
        <w:ind w:left="8306" w:hanging="360"/>
      </w:pPr>
      <w:rPr>
        <w:rFonts w:hint="default"/>
      </w:rPr>
    </w:lvl>
  </w:abstractNum>
  <w:abstractNum w:abstractNumId="11" w15:restartNumberingAfterBreak="0">
    <w:nsid w:val="314B5465"/>
    <w:multiLevelType w:val="hybridMultilevel"/>
    <w:tmpl w:val="B91CF032"/>
    <w:lvl w:ilvl="0" w:tplc="3BC4387C">
      <w:numFmt w:val="bullet"/>
      <w:lvlText w:val=""/>
      <w:lvlJc w:val="left"/>
      <w:pPr>
        <w:ind w:left="824" w:hanging="361"/>
      </w:pPr>
      <w:rPr>
        <w:rFonts w:ascii="Symbol" w:eastAsia="Symbol" w:hAnsi="Symbol" w:cs="Symbol" w:hint="default"/>
        <w:w w:val="100"/>
        <w:sz w:val="22"/>
        <w:szCs w:val="22"/>
      </w:rPr>
    </w:lvl>
    <w:lvl w:ilvl="1" w:tplc="56464150">
      <w:numFmt w:val="bullet"/>
      <w:lvlText w:val="•"/>
      <w:lvlJc w:val="left"/>
      <w:pPr>
        <w:ind w:left="1756" w:hanging="361"/>
      </w:pPr>
      <w:rPr>
        <w:rFonts w:hint="default"/>
      </w:rPr>
    </w:lvl>
    <w:lvl w:ilvl="2" w:tplc="1F2AD55A">
      <w:numFmt w:val="bullet"/>
      <w:lvlText w:val="•"/>
      <w:lvlJc w:val="left"/>
      <w:pPr>
        <w:ind w:left="2693" w:hanging="361"/>
      </w:pPr>
      <w:rPr>
        <w:rFonts w:hint="default"/>
      </w:rPr>
    </w:lvl>
    <w:lvl w:ilvl="3" w:tplc="544EC080">
      <w:numFmt w:val="bullet"/>
      <w:lvlText w:val="•"/>
      <w:lvlJc w:val="left"/>
      <w:pPr>
        <w:ind w:left="3630" w:hanging="361"/>
      </w:pPr>
      <w:rPr>
        <w:rFonts w:hint="default"/>
      </w:rPr>
    </w:lvl>
    <w:lvl w:ilvl="4" w:tplc="5ECAC708">
      <w:numFmt w:val="bullet"/>
      <w:lvlText w:val="•"/>
      <w:lvlJc w:val="left"/>
      <w:pPr>
        <w:ind w:left="4567" w:hanging="361"/>
      </w:pPr>
      <w:rPr>
        <w:rFonts w:hint="default"/>
      </w:rPr>
    </w:lvl>
    <w:lvl w:ilvl="5" w:tplc="FB5A4B3C">
      <w:numFmt w:val="bullet"/>
      <w:lvlText w:val="•"/>
      <w:lvlJc w:val="left"/>
      <w:pPr>
        <w:ind w:left="5504" w:hanging="361"/>
      </w:pPr>
      <w:rPr>
        <w:rFonts w:hint="default"/>
      </w:rPr>
    </w:lvl>
    <w:lvl w:ilvl="6" w:tplc="9F249E3C">
      <w:numFmt w:val="bullet"/>
      <w:lvlText w:val="•"/>
      <w:lvlJc w:val="left"/>
      <w:pPr>
        <w:ind w:left="6440" w:hanging="361"/>
      </w:pPr>
      <w:rPr>
        <w:rFonts w:hint="default"/>
      </w:rPr>
    </w:lvl>
    <w:lvl w:ilvl="7" w:tplc="1570DB18">
      <w:numFmt w:val="bullet"/>
      <w:lvlText w:val="•"/>
      <w:lvlJc w:val="left"/>
      <w:pPr>
        <w:ind w:left="7377" w:hanging="361"/>
      </w:pPr>
      <w:rPr>
        <w:rFonts w:hint="default"/>
      </w:rPr>
    </w:lvl>
    <w:lvl w:ilvl="8" w:tplc="D9B2FE64">
      <w:numFmt w:val="bullet"/>
      <w:lvlText w:val="•"/>
      <w:lvlJc w:val="left"/>
      <w:pPr>
        <w:ind w:left="8314" w:hanging="361"/>
      </w:pPr>
      <w:rPr>
        <w:rFonts w:hint="default"/>
      </w:rPr>
    </w:lvl>
  </w:abstractNum>
  <w:abstractNum w:abstractNumId="12" w15:restartNumberingAfterBreak="0">
    <w:nsid w:val="362742B9"/>
    <w:multiLevelType w:val="hybridMultilevel"/>
    <w:tmpl w:val="CE0E952C"/>
    <w:lvl w:ilvl="0" w:tplc="2370CA5E">
      <w:numFmt w:val="bullet"/>
      <w:lvlText w:val=""/>
      <w:lvlJc w:val="left"/>
      <w:pPr>
        <w:ind w:left="824" w:hanging="361"/>
      </w:pPr>
      <w:rPr>
        <w:rFonts w:ascii="Symbol" w:eastAsia="Symbol" w:hAnsi="Symbol" w:cs="Symbol" w:hint="default"/>
        <w:w w:val="100"/>
        <w:sz w:val="22"/>
        <w:szCs w:val="22"/>
      </w:rPr>
    </w:lvl>
    <w:lvl w:ilvl="1" w:tplc="04F6A56E">
      <w:numFmt w:val="bullet"/>
      <w:lvlText w:val="•"/>
      <w:lvlJc w:val="left"/>
      <w:pPr>
        <w:ind w:left="1756" w:hanging="361"/>
      </w:pPr>
      <w:rPr>
        <w:rFonts w:hint="default"/>
      </w:rPr>
    </w:lvl>
    <w:lvl w:ilvl="2" w:tplc="DBF83386">
      <w:numFmt w:val="bullet"/>
      <w:lvlText w:val="•"/>
      <w:lvlJc w:val="left"/>
      <w:pPr>
        <w:ind w:left="2693" w:hanging="361"/>
      </w:pPr>
      <w:rPr>
        <w:rFonts w:hint="default"/>
      </w:rPr>
    </w:lvl>
    <w:lvl w:ilvl="3" w:tplc="EFC042A0">
      <w:numFmt w:val="bullet"/>
      <w:lvlText w:val="•"/>
      <w:lvlJc w:val="left"/>
      <w:pPr>
        <w:ind w:left="3630" w:hanging="361"/>
      </w:pPr>
      <w:rPr>
        <w:rFonts w:hint="default"/>
      </w:rPr>
    </w:lvl>
    <w:lvl w:ilvl="4" w:tplc="7DE07050">
      <w:numFmt w:val="bullet"/>
      <w:lvlText w:val="•"/>
      <w:lvlJc w:val="left"/>
      <w:pPr>
        <w:ind w:left="4567" w:hanging="361"/>
      </w:pPr>
      <w:rPr>
        <w:rFonts w:hint="default"/>
      </w:rPr>
    </w:lvl>
    <w:lvl w:ilvl="5" w:tplc="054CACDA">
      <w:numFmt w:val="bullet"/>
      <w:lvlText w:val="•"/>
      <w:lvlJc w:val="left"/>
      <w:pPr>
        <w:ind w:left="5504" w:hanging="361"/>
      </w:pPr>
      <w:rPr>
        <w:rFonts w:hint="default"/>
      </w:rPr>
    </w:lvl>
    <w:lvl w:ilvl="6" w:tplc="D0783E06">
      <w:numFmt w:val="bullet"/>
      <w:lvlText w:val="•"/>
      <w:lvlJc w:val="left"/>
      <w:pPr>
        <w:ind w:left="6440" w:hanging="361"/>
      </w:pPr>
      <w:rPr>
        <w:rFonts w:hint="default"/>
      </w:rPr>
    </w:lvl>
    <w:lvl w:ilvl="7" w:tplc="B7FCB88C">
      <w:numFmt w:val="bullet"/>
      <w:lvlText w:val="•"/>
      <w:lvlJc w:val="left"/>
      <w:pPr>
        <w:ind w:left="7377" w:hanging="361"/>
      </w:pPr>
      <w:rPr>
        <w:rFonts w:hint="default"/>
      </w:rPr>
    </w:lvl>
    <w:lvl w:ilvl="8" w:tplc="60D428AC">
      <w:numFmt w:val="bullet"/>
      <w:lvlText w:val="•"/>
      <w:lvlJc w:val="left"/>
      <w:pPr>
        <w:ind w:left="8314" w:hanging="361"/>
      </w:pPr>
      <w:rPr>
        <w:rFonts w:hint="default"/>
      </w:rPr>
    </w:lvl>
  </w:abstractNum>
  <w:abstractNum w:abstractNumId="13" w15:restartNumberingAfterBreak="0">
    <w:nsid w:val="387C261E"/>
    <w:multiLevelType w:val="hybridMultilevel"/>
    <w:tmpl w:val="FC201198"/>
    <w:lvl w:ilvl="0" w:tplc="40546640">
      <w:numFmt w:val="bullet"/>
      <w:lvlText w:val=""/>
      <w:lvlJc w:val="left"/>
      <w:pPr>
        <w:ind w:left="824" w:hanging="361"/>
      </w:pPr>
      <w:rPr>
        <w:rFonts w:ascii="Symbol" w:eastAsia="Symbol" w:hAnsi="Symbol" w:cs="Symbol" w:hint="default"/>
        <w:w w:val="100"/>
        <w:sz w:val="22"/>
        <w:szCs w:val="22"/>
      </w:rPr>
    </w:lvl>
    <w:lvl w:ilvl="1" w:tplc="FF3ADD84">
      <w:numFmt w:val="bullet"/>
      <w:lvlText w:val="•"/>
      <w:lvlJc w:val="left"/>
      <w:pPr>
        <w:ind w:left="1756" w:hanging="361"/>
      </w:pPr>
      <w:rPr>
        <w:rFonts w:hint="default"/>
      </w:rPr>
    </w:lvl>
    <w:lvl w:ilvl="2" w:tplc="CACECBC8">
      <w:numFmt w:val="bullet"/>
      <w:lvlText w:val="•"/>
      <w:lvlJc w:val="left"/>
      <w:pPr>
        <w:ind w:left="2693" w:hanging="361"/>
      </w:pPr>
      <w:rPr>
        <w:rFonts w:hint="default"/>
      </w:rPr>
    </w:lvl>
    <w:lvl w:ilvl="3" w:tplc="3BF8F8F2">
      <w:numFmt w:val="bullet"/>
      <w:lvlText w:val="•"/>
      <w:lvlJc w:val="left"/>
      <w:pPr>
        <w:ind w:left="3630" w:hanging="361"/>
      </w:pPr>
      <w:rPr>
        <w:rFonts w:hint="default"/>
      </w:rPr>
    </w:lvl>
    <w:lvl w:ilvl="4" w:tplc="FA4E1C00">
      <w:numFmt w:val="bullet"/>
      <w:lvlText w:val="•"/>
      <w:lvlJc w:val="left"/>
      <w:pPr>
        <w:ind w:left="4567" w:hanging="361"/>
      </w:pPr>
      <w:rPr>
        <w:rFonts w:hint="default"/>
      </w:rPr>
    </w:lvl>
    <w:lvl w:ilvl="5" w:tplc="8398F628">
      <w:numFmt w:val="bullet"/>
      <w:lvlText w:val="•"/>
      <w:lvlJc w:val="left"/>
      <w:pPr>
        <w:ind w:left="5504" w:hanging="361"/>
      </w:pPr>
      <w:rPr>
        <w:rFonts w:hint="default"/>
      </w:rPr>
    </w:lvl>
    <w:lvl w:ilvl="6" w:tplc="E4B6D6A0">
      <w:numFmt w:val="bullet"/>
      <w:lvlText w:val="•"/>
      <w:lvlJc w:val="left"/>
      <w:pPr>
        <w:ind w:left="6440" w:hanging="361"/>
      </w:pPr>
      <w:rPr>
        <w:rFonts w:hint="default"/>
      </w:rPr>
    </w:lvl>
    <w:lvl w:ilvl="7" w:tplc="3D74125E">
      <w:numFmt w:val="bullet"/>
      <w:lvlText w:val="•"/>
      <w:lvlJc w:val="left"/>
      <w:pPr>
        <w:ind w:left="7377" w:hanging="361"/>
      </w:pPr>
      <w:rPr>
        <w:rFonts w:hint="default"/>
      </w:rPr>
    </w:lvl>
    <w:lvl w:ilvl="8" w:tplc="E7183FF4">
      <w:numFmt w:val="bullet"/>
      <w:lvlText w:val="•"/>
      <w:lvlJc w:val="left"/>
      <w:pPr>
        <w:ind w:left="8314" w:hanging="361"/>
      </w:pPr>
      <w:rPr>
        <w:rFonts w:hint="default"/>
      </w:rPr>
    </w:lvl>
  </w:abstractNum>
  <w:abstractNum w:abstractNumId="14" w15:restartNumberingAfterBreak="0">
    <w:nsid w:val="3F1F418B"/>
    <w:multiLevelType w:val="hybridMultilevel"/>
    <w:tmpl w:val="49ACDB20"/>
    <w:lvl w:ilvl="0" w:tplc="0C38FC62">
      <w:start w:val="1"/>
      <w:numFmt w:val="lowerLetter"/>
      <w:lvlText w:val="(%1)"/>
      <w:lvlJc w:val="left"/>
      <w:pPr>
        <w:ind w:left="144" w:hanging="324"/>
        <w:jc w:val="left"/>
      </w:pPr>
      <w:rPr>
        <w:rFonts w:ascii="Cambria" w:eastAsia="Cambria" w:hAnsi="Cambria" w:cs="Cambria" w:hint="default"/>
        <w:w w:val="100"/>
        <w:sz w:val="22"/>
        <w:szCs w:val="22"/>
      </w:rPr>
    </w:lvl>
    <w:lvl w:ilvl="1" w:tplc="F1EEDE78">
      <w:numFmt w:val="bullet"/>
      <w:lvlText w:val="•"/>
      <w:lvlJc w:val="left"/>
      <w:pPr>
        <w:ind w:left="1082" w:hanging="324"/>
      </w:pPr>
      <w:rPr>
        <w:rFonts w:hint="default"/>
      </w:rPr>
    </w:lvl>
    <w:lvl w:ilvl="2" w:tplc="45F674E4">
      <w:numFmt w:val="bullet"/>
      <w:lvlText w:val="•"/>
      <w:lvlJc w:val="left"/>
      <w:pPr>
        <w:ind w:left="2024" w:hanging="324"/>
      </w:pPr>
      <w:rPr>
        <w:rFonts w:hint="default"/>
      </w:rPr>
    </w:lvl>
    <w:lvl w:ilvl="3" w:tplc="B36CC62E">
      <w:numFmt w:val="bullet"/>
      <w:lvlText w:val="•"/>
      <w:lvlJc w:val="left"/>
      <w:pPr>
        <w:ind w:left="2966" w:hanging="324"/>
      </w:pPr>
      <w:rPr>
        <w:rFonts w:hint="default"/>
      </w:rPr>
    </w:lvl>
    <w:lvl w:ilvl="4" w:tplc="479CAECC">
      <w:numFmt w:val="bullet"/>
      <w:lvlText w:val="•"/>
      <w:lvlJc w:val="left"/>
      <w:pPr>
        <w:ind w:left="3908" w:hanging="324"/>
      </w:pPr>
      <w:rPr>
        <w:rFonts w:hint="default"/>
      </w:rPr>
    </w:lvl>
    <w:lvl w:ilvl="5" w:tplc="3448FBEE">
      <w:numFmt w:val="bullet"/>
      <w:lvlText w:val="•"/>
      <w:lvlJc w:val="left"/>
      <w:pPr>
        <w:ind w:left="4850" w:hanging="324"/>
      </w:pPr>
      <w:rPr>
        <w:rFonts w:hint="default"/>
      </w:rPr>
    </w:lvl>
    <w:lvl w:ilvl="6" w:tplc="89AADC70">
      <w:numFmt w:val="bullet"/>
      <w:lvlText w:val="•"/>
      <w:lvlJc w:val="left"/>
      <w:pPr>
        <w:ind w:left="5792" w:hanging="324"/>
      </w:pPr>
      <w:rPr>
        <w:rFonts w:hint="default"/>
      </w:rPr>
    </w:lvl>
    <w:lvl w:ilvl="7" w:tplc="63C4BDD2">
      <w:numFmt w:val="bullet"/>
      <w:lvlText w:val="•"/>
      <w:lvlJc w:val="left"/>
      <w:pPr>
        <w:ind w:left="6734" w:hanging="324"/>
      </w:pPr>
      <w:rPr>
        <w:rFonts w:hint="default"/>
      </w:rPr>
    </w:lvl>
    <w:lvl w:ilvl="8" w:tplc="AAC83428">
      <w:numFmt w:val="bullet"/>
      <w:lvlText w:val="•"/>
      <w:lvlJc w:val="left"/>
      <w:pPr>
        <w:ind w:left="7676" w:hanging="324"/>
      </w:pPr>
      <w:rPr>
        <w:rFonts w:hint="default"/>
      </w:rPr>
    </w:lvl>
  </w:abstractNum>
  <w:abstractNum w:abstractNumId="15" w15:restartNumberingAfterBreak="0">
    <w:nsid w:val="46E21692"/>
    <w:multiLevelType w:val="hybridMultilevel"/>
    <w:tmpl w:val="2CB81A02"/>
    <w:lvl w:ilvl="0" w:tplc="15246C0A">
      <w:start w:val="1"/>
      <w:numFmt w:val="decimal"/>
      <w:lvlText w:val="%1."/>
      <w:lvlJc w:val="left"/>
      <w:pPr>
        <w:ind w:left="599" w:hanging="361"/>
        <w:jc w:val="right"/>
      </w:pPr>
      <w:rPr>
        <w:rFonts w:ascii="Cambria" w:eastAsia="Cambria" w:hAnsi="Cambria" w:cs="Cambria" w:hint="default"/>
        <w:spacing w:val="-24"/>
        <w:w w:val="100"/>
        <w:sz w:val="22"/>
        <w:szCs w:val="22"/>
      </w:rPr>
    </w:lvl>
    <w:lvl w:ilvl="1" w:tplc="56F69F34">
      <w:start w:val="1"/>
      <w:numFmt w:val="lowerLetter"/>
      <w:lvlText w:val="%2."/>
      <w:lvlJc w:val="left"/>
      <w:pPr>
        <w:ind w:left="1304" w:hanging="356"/>
        <w:jc w:val="left"/>
      </w:pPr>
      <w:rPr>
        <w:rFonts w:ascii="Cambria" w:eastAsia="Cambria" w:hAnsi="Cambria" w:cs="Cambria" w:hint="default"/>
        <w:spacing w:val="-9"/>
        <w:w w:val="100"/>
        <w:sz w:val="22"/>
        <w:szCs w:val="22"/>
      </w:rPr>
    </w:lvl>
    <w:lvl w:ilvl="2" w:tplc="2ED86B9E">
      <w:numFmt w:val="bullet"/>
      <w:lvlText w:val="•"/>
      <w:lvlJc w:val="left"/>
      <w:pPr>
        <w:ind w:left="2320" w:hanging="356"/>
      </w:pPr>
      <w:rPr>
        <w:rFonts w:hint="default"/>
      </w:rPr>
    </w:lvl>
    <w:lvl w:ilvl="3" w:tplc="E398E9EE">
      <w:numFmt w:val="bullet"/>
      <w:lvlText w:val="•"/>
      <w:lvlJc w:val="left"/>
      <w:pPr>
        <w:ind w:left="3341" w:hanging="356"/>
      </w:pPr>
      <w:rPr>
        <w:rFonts w:hint="default"/>
      </w:rPr>
    </w:lvl>
    <w:lvl w:ilvl="4" w:tplc="F108643A">
      <w:numFmt w:val="bullet"/>
      <w:lvlText w:val="•"/>
      <w:lvlJc w:val="left"/>
      <w:pPr>
        <w:ind w:left="4362" w:hanging="356"/>
      </w:pPr>
      <w:rPr>
        <w:rFonts w:hint="default"/>
      </w:rPr>
    </w:lvl>
    <w:lvl w:ilvl="5" w:tplc="7BC6CFC6">
      <w:numFmt w:val="bullet"/>
      <w:lvlText w:val="•"/>
      <w:lvlJc w:val="left"/>
      <w:pPr>
        <w:ind w:left="5383" w:hanging="356"/>
      </w:pPr>
      <w:rPr>
        <w:rFonts w:hint="default"/>
      </w:rPr>
    </w:lvl>
    <w:lvl w:ilvl="6" w:tplc="83F83290">
      <w:numFmt w:val="bullet"/>
      <w:lvlText w:val="•"/>
      <w:lvlJc w:val="left"/>
      <w:pPr>
        <w:ind w:left="6404" w:hanging="356"/>
      </w:pPr>
      <w:rPr>
        <w:rFonts w:hint="default"/>
      </w:rPr>
    </w:lvl>
    <w:lvl w:ilvl="7" w:tplc="12A004A0">
      <w:numFmt w:val="bullet"/>
      <w:lvlText w:val="•"/>
      <w:lvlJc w:val="left"/>
      <w:pPr>
        <w:ind w:left="7425" w:hanging="356"/>
      </w:pPr>
      <w:rPr>
        <w:rFonts w:hint="default"/>
      </w:rPr>
    </w:lvl>
    <w:lvl w:ilvl="8" w:tplc="CBC03CE8">
      <w:numFmt w:val="bullet"/>
      <w:lvlText w:val="•"/>
      <w:lvlJc w:val="left"/>
      <w:pPr>
        <w:ind w:left="8446" w:hanging="356"/>
      </w:pPr>
      <w:rPr>
        <w:rFonts w:hint="default"/>
      </w:rPr>
    </w:lvl>
  </w:abstractNum>
  <w:abstractNum w:abstractNumId="16" w15:restartNumberingAfterBreak="0">
    <w:nsid w:val="4ABD7CD0"/>
    <w:multiLevelType w:val="hybridMultilevel"/>
    <w:tmpl w:val="3AC4C684"/>
    <w:lvl w:ilvl="0" w:tplc="7310C0D8">
      <w:start w:val="1"/>
      <w:numFmt w:val="decimal"/>
      <w:lvlText w:val="%1)"/>
      <w:lvlJc w:val="left"/>
      <w:pPr>
        <w:ind w:left="1016" w:hanging="356"/>
        <w:jc w:val="left"/>
      </w:pPr>
      <w:rPr>
        <w:rFonts w:ascii="Cambria" w:eastAsia="Cambria" w:hAnsi="Cambria" w:cs="Cambria" w:hint="default"/>
        <w:spacing w:val="-10"/>
        <w:w w:val="100"/>
        <w:sz w:val="22"/>
        <w:szCs w:val="22"/>
      </w:rPr>
    </w:lvl>
    <w:lvl w:ilvl="1" w:tplc="B09AB8B0">
      <w:numFmt w:val="bullet"/>
      <w:lvlText w:val="•"/>
      <w:lvlJc w:val="left"/>
      <w:pPr>
        <w:ind w:left="2008" w:hanging="356"/>
      </w:pPr>
      <w:rPr>
        <w:rFonts w:hint="default"/>
      </w:rPr>
    </w:lvl>
    <w:lvl w:ilvl="2" w:tplc="B42A3DAC">
      <w:numFmt w:val="bullet"/>
      <w:lvlText w:val="•"/>
      <w:lvlJc w:val="left"/>
      <w:pPr>
        <w:ind w:left="2997" w:hanging="356"/>
      </w:pPr>
      <w:rPr>
        <w:rFonts w:hint="default"/>
      </w:rPr>
    </w:lvl>
    <w:lvl w:ilvl="3" w:tplc="82F6A2B6">
      <w:numFmt w:val="bullet"/>
      <w:lvlText w:val="•"/>
      <w:lvlJc w:val="left"/>
      <w:pPr>
        <w:ind w:left="3986" w:hanging="356"/>
      </w:pPr>
      <w:rPr>
        <w:rFonts w:hint="default"/>
      </w:rPr>
    </w:lvl>
    <w:lvl w:ilvl="4" w:tplc="C74EB674">
      <w:numFmt w:val="bullet"/>
      <w:lvlText w:val="•"/>
      <w:lvlJc w:val="left"/>
      <w:pPr>
        <w:ind w:left="4975" w:hanging="356"/>
      </w:pPr>
      <w:rPr>
        <w:rFonts w:hint="default"/>
      </w:rPr>
    </w:lvl>
    <w:lvl w:ilvl="5" w:tplc="2680827A">
      <w:numFmt w:val="bullet"/>
      <w:lvlText w:val="•"/>
      <w:lvlJc w:val="left"/>
      <w:pPr>
        <w:ind w:left="5964" w:hanging="356"/>
      </w:pPr>
      <w:rPr>
        <w:rFonts w:hint="default"/>
      </w:rPr>
    </w:lvl>
    <w:lvl w:ilvl="6" w:tplc="21168D12">
      <w:numFmt w:val="bullet"/>
      <w:lvlText w:val="•"/>
      <w:lvlJc w:val="left"/>
      <w:pPr>
        <w:ind w:left="6952" w:hanging="356"/>
      </w:pPr>
      <w:rPr>
        <w:rFonts w:hint="default"/>
      </w:rPr>
    </w:lvl>
    <w:lvl w:ilvl="7" w:tplc="829E60AC">
      <w:numFmt w:val="bullet"/>
      <w:lvlText w:val="•"/>
      <w:lvlJc w:val="left"/>
      <w:pPr>
        <w:ind w:left="7941" w:hanging="356"/>
      </w:pPr>
      <w:rPr>
        <w:rFonts w:hint="default"/>
      </w:rPr>
    </w:lvl>
    <w:lvl w:ilvl="8" w:tplc="3868459A">
      <w:numFmt w:val="bullet"/>
      <w:lvlText w:val="•"/>
      <w:lvlJc w:val="left"/>
      <w:pPr>
        <w:ind w:left="8930" w:hanging="356"/>
      </w:pPr>
      <w:rPr>
        <w:rFonts w:hint="default"/>
      </w:rPr>
    </w:lvl>
  </w:abstractNum>
  <w:abstractNum w:abstractNumId="17" w15:restartNumberingAfterBreak="0">
    <w:nsid w:val="4AE15BF3"/>
    <w:multiLevelType w:val="hybridMultilevel"/>
    <w:tmpl w:val="9AD20EFC"/>
    <w:lvl w:ilvl="0" w:tplc="252A00DE">
      <w:numFmt w:val="bullet"/>
      <w:lvlText w:val=""/>
      <w:lvlJc w:val="left"/>
      <w:pPr>
        <w:ind w:left="912" w:hanging="361"/>
      </w:pPr>
      <w:rPr>
        <w:rFonts w:ascii="Symbol" w:eastAsia="Symbol" w:hAnsi="Symbol" w:cs="Symbol" w:hint="default"/>
        <w:w w:val="100"/>
        <w:sz w:val="22"/>
        <w:szCs w:val="22"/>
      </w:rPr>
    </w:lvl>
    <w:lvl w:ilvl="1" w:tplc="B5D8AABC">
      <w:numFmt w:val="bullet"/>
      <w:lvlText w:val="•"/>
      <w:lvlJc w:val="left"/>
      <w:pPr>
        <w:ind w:left="1908" w:hanging="361"/>
      </w:pPr>
      <w:rPr>
        <w:rFonts w:hint="default"/>
      </w:rPr>
    </w:lvl>
    <w:lvl w:ilvl="2" w:tplc="68F031F6">
      <w:numFmt w:val="bullet"/>
      <w:lvlText w:val="•"/>
      <w:lvlJc w:val="left"/>
      <w:pPr>
        <w:ind w:left="2897" w:hanging="361"/>
      </w:pPr>
      <w:rPr>
        <w:rFonts w:hint="default"/>
      </w:rPr>
    </w:lvl>
    <w:lvl w:ilvl="3" w:tplc="FAA08DD4">
      <w:numFmt w:val="bullet"/>
      <w:lvlText w:val="•"/>
      <w:lvlJc w:val="left"/>
      <w:pPr>
        <w:ind w:left="3886" w:hanging="361"/>
      </w:pPr>
      <w:rPr>
        <w:rFonts w:hint="default"/>
      </w:rPr>
    </w:lvl>
    <w:lvl w:ilvl="4" w:tplc="74903978">
      <w:numFmt w:val="bullet"/>
      <w:lvlText w:val="•"/>
      <w:lvlJc w:val="left"/>
      <w:pPr>
        <w:ind w:left="4875" w:hanging="361"/>
      </w:pPr>
      <w:rPr>
        <w:rFonts w:hint="default"/>
      </w:rPr>
    </w:lvl>
    <w:lvl w:ilvl="5" w:tplc="1B8E92A0">
      <w:numFmt w:val="bullet"/>
      <w:lvlText w:val="•"/>
      <w:lvlJc w:val="left"/>
      <w:pPr>
        <w:ind w:left="5864" w:hanging="361"/>
      </w:pPr>
      <w:rPr>
        <w:rFonts w:hint="default"/>
      </w:rPr>
    </w:lvl>
    <w:lvl w:ilvl="6" w:tplc="96AE2AE2">
      <w:numFmt w:val="bullet"/>
      <w:lvlText w:val="•"/>
      <w:lvlJc w:val="left"/>
      <w:pPr>
        <w:ind w:left="6852" w:hanging="361"/>
      </w:pPr>
      <w:rPr>
        <w:rFonts w:hint="default"/>
      </w:rPr>
    </w:lvl>
    <w:lvl w:ilvl="7" w:tplc="9EA6B99C">
      <w:numFmt w:val="bullet"/>
      <w:lvlText w:val="•"/>
      <w:lvlJc w:val="left"/>
      <w:pPr>
        <w:ind w:left="7841" w:hanging="361"/>
      </w:pPr>
      <w:rPr>
        <w:rFonts w:hint="default"/>
      </w:rPr>
    </w:lvl>
    <w:lvl w:ilvl="8" w:tplc="0B90D182">
      <w:numFmt w:val="bullet"/>
      <w:lvlText w:val="•"/>
      <w:lvlJc w:val="left"/>
      <w:pPr>
        <w:ind w:left="8830" w:hanging="361"/>
      </w:pPr>
      <w:rPr>
        <w:rFonts w:hint="default"/>
      </w:rPr>
    </w:lvl>
  </w:abstractNum>
  <w:abstractNum w:abstractNumId="18" w15:restartNumberingAfterBreak="0">
    <w:nsid w:val="4E5E4053"/>
    <w:multiLevelType w:val="hybridMultilevel"/>
    <w:tmpl w:val="F63A9206"/>
    <w:lvl w:ilvl="0" w:tplc="5A2CD2EC">
      <w:numFmt w:val="bullet"/>
      <w:lvlText w:val=""/>
      <w:lvlJc w:val="left"/>
      <w:pPr>
        <w:ind w:left="1544" w:hanging="361"/>
      </w:pPr>
      <w:rPr>
        <w:rFonts w:ascii="Symbol" w:eastAsia="Symbol" w:hAnsi="Symbol" w:cs="Symbol" w:hint="default"/>
        <w:w w:val="100"/>
        <w:sz w:val="22"/>
        <w:szCs w:val="22"/>
      </w:rPr>
    </w:lvl>
    <w:lvl w:ilvl="1" w:tplc="4C303F26">
      <w:numFmt w:val="bullet"/>
      <w:lvlText w:val="•"/>
      <w:lvlJc w:val="left"/>
      <w:pPr>
        <w:ind w:left="2404" w:hanging="361"/>
      </w:pPr>
      <w:rPr>
        <w:rFonts w:hint="default"/>
      </w:rPr>
    </w:lvl>
    <w:lvl w:ilvl="2" w:tplc="1E60A68C">
      <w:numFmt w:val="bullet"/>
      <w:lvlText w:val="•"/>
      <w:lvlJc w:val="left"/>
      <w:pPr>
        <w:ind w:left="3269" w:hanging="361"/>
      </w:pPr>
      <w:rPr>
        <w:rFonts w:hint="default"/>
      </w:rPr>
    </w:lvl>
    <w:lvl w:ilvl="3" w:tplc="ED5225F6">
      <w:numFmt w:val="bullet"/>
      <w:lvlText w:val="•"/>
      <w:lvlJc w:val="left"/>
      <w:pPr>
        <w:ind w:left="4134" w:hanging="361"/>
      </w:pPr>
      <w:rPr>
        <w:rFonts w:hint="default"/>
      </w:rPr>
    </w:lvl>
    <w:lvl w:ilvl="4" w:tplc="D3724BD6">
      <w:numFmt w:val="bullet"/>
      <w:lvlText w:val="•"/>
      <w:lvlJc w:val="left"/>
      <w:pPr>
        <w:ind w:left="4999" w:hanging="361"/>
      </w:pPr>
      <w:rPr>
        <w:rFonts w:hint="default"/>
      </w:rPr>
    </w:lvl>
    <w:lvl w:ilvl="5" w:tplc="D4D8195A">
      <w:numFmt w:val="bullet"/>
      <w:lvlText w:val="•"/>
      <w:lvlJc w:val="left"/>
      <w:pPr>
        <w:ind w:left="5864" w:hanging="361"/>
      </w:pPr>
      <w:rPr>
        <w:rFonts w:hint="default"/>
      </w:rPr>
    </w:lvl>
    <w:lvl w:ilvl="6" w:tplc="F8043BA8">
      <w:numFmt w:val="bullet"/>
      <w:lvlText w:val="•"/>
      <w:lvlJc w:val="left"/>
      <w:pPr>
        <w:ind w:left="6728" w:hanging="361"/>
      </w:pPr>
      <w:rPr>
        <w:rFonts w:hint="default"/>
      </w:rPr>
    </w:lvl>
    <w:lvl w:ilvl="7" w:tplc="157A3CE0">
      <w:numFmt w:val="bullet"/>
      <w:lvlText w:val="•"/>
      <w:lvlJc w:val="left"/>
      <w:pPr>
        <w:ind w:left="7593" w:hanging="361"/>
      </w:pPr>
      <w:rPr>
        <w:rFonts w:hint="default"/>
      </w:rPr>
    </w:lvl>
    <w:lvl w:ilvl="8" w:tplc="AFE8E174">
      <w:numFmt w:val="bullet"/>
      <w:lvlText w:val="•"/>
      <w:lvlJc w:val="left"/>
      <w:pPr>
        <w:ind w:left="8458" w:hanging="361"/>
      </w:pPr>
      <w:rPr>
        <w:rFonts w:hint="default"/>
      </w:rPr>
    </w:lvl>
  </w:abstractNum>
  <w:abstractNum w:abstractNumId="19" w15:restartNumberingAfterBreak="0">
    <w:nsid w:val="53D72819"/>
    <w:multiLevelType w:val="hybridMultilevel"/>
    <w:tmpl w:val="04FC7EFC"/>
    <w:lvl w:ilvl="0" w:tplc="1BE8070C">
      <w:numFmt w:val="bullet"/>
      <w:lvlText w:val=""/>
      <w:lvlJc w:val="left"/>
      <w:pPr>
        <w:ind w:left="1544" w:hanging="361"/>
      </w:pPr>
      <w:rPr>
        <w:rFonts w:ascii="Symbol" w:eastAsia="Symbol" w:hAnsi="Symbol" w:cs="Symbol" w:hint="default"/>
        <w:w w:val="100"/>
        <w:sz w:val="22"/>
        <w:szCs w:val="22"/>
      </w:rPr>
    </w:lvl>
    <w:lvl w:ilvl="1" w:tplc="D368DD00">
      <w:numFmt w:val="bullet"/>
      <w:lvlText w:val="•"/>
      <w:lvlJc w:val="left"/>
      <w:pPr>
        <w:ind w:left="2404" w:hanging="361"/>
      </w:pPr>
      <w:rPr>
        <w:rFonts w:hint="default"/>
      </w:rPr>
    </w:lvl>
    <w:lvl w:ilvl="2" w:tplc="D6844836">
      <w:numFmt w:val="bullet"/>
      <w:lvlText w:val="•"/>
      <w:lvlJc w:val="left"/>
      <w:pPr>
        <w:ind w:left="3269" w:hanging="361"/>
      </w:pPr>
      <w:rPr>
        <w:rFonts w:hint="default"/>
      </w:rPr>
    </w:lvl>
    <w:lvl w:ilvl="3" w:tplc="B2FCE712">
      <w:numFmt w:val="bullet"/>
      <w:lvlText w:val="•"/>
      <w:lvlJc w:val="left"/>
      <w:pPr>
        <w:ind w:left="4134" w:hanging="361"/>
      </w:pPr>
      <w:rPr>
        <w:rFonts w:hint="default"/>
      </w:rPr>
    </w:lvl>
    <w:lvl w:ilvl="4" w:tplc="3A80C9C8">
      <w:numFmt w:val="bullet"/>
      <w:lvlText w:val="•"/>
      <w:lvlJc w:val="left"/>
      <w:pPr>
        <w:ind w:left="4999" w:hanging="361"/>
      </w:pPr>
      <w:rPr>
        <w:rFonts w:hint="default"/>
      </w:rPr>
    </w:lvl>
    <w:lvl w:ilvl="5" w:tplc="A9B630CA">
      <w:numFmt w:val="bullet"/>
      <w:lvlText w:val="•"/>
      <w:lvlJc w:val="left"/>
      <w:pPr>
        <w:ind w:left="5864" w:hanging="361"/>
      </w:pPr>
      <w:rPr>
        <w:rFonts w:hint="default"/>
      </w:rPr>
    </w:lvl>
    <w:lvl w:ilvl="6" w:tplc="41722ED8">
      <w:numFmt w:val="bullet"/>
      <w:lvlText w:val="•"/>
      <w:lvlJc w:val="left"/>
      <w:pPr>
        <w:ind w:left="6728" w:hanging="361"/>
      </w:pPr>
      <w:rPr>
        <w:rFonts w:hint="default"/>
      </w:rPr>
    </w:lvl>
    <w:lvl w:ilvl="7" w:tplc="9988606C">
      <w:numFmt w:val="bullet"/>
      <w:lvlText w:val="•"/>
      <w:lvlJc w:val="left"/>
      <w:pPr>
        <w:ind w:left="7593" w:hanging="361"/>
      </w:pPr>
      <w:rPr>
        <w:rFonts w:hint="default"/>
      </w:rPr>
    </w:lvl>
    <w:lvl w:ilvl="8" w:tplc="79E84AC6">
      <w:numFmt w:val="bullet"/>
      <w:lvlText w:val="•"/>
      <w:lvlJc w:val="left"/>
      <w:pPr>
        <w:ind w:left="8458" w:hanging="361"/>
      </w:pPr>
      <w:rPr>
        <w:rFonts w:hint="default"/>
      </w:rPr>
    </w:lvl>
  </w:abstractNum>
  <w:abstractNum w:abstractNumId="20" w15:restartNumberingAfterBreak="0">
    <w:nsid w:val="66C73537"/>
    <w:multiLevelType w:val="hybridMultilevel"/>
    <w:tmpl w:val="811ED5CC"/>
    <w:lvl w:ilvl="0" w:tplc="907459A0">
      <w:numFmt w:val="bullet"/>
      <w:lvlText w:val=""/>
      <w:lvlJc w:val="left"/>
      <w:pPr>
        <w:ind w:left="416" w:hanging="273"/>
      </w:pPr>
      <w:rPr>
        <w:rFonts w:ascii="Symbol" w:eastAsia="Symbol" w:hAnsi="Symbol" w:cs="Symbol" w:hint="default"/>
        <w:w w:val="100"/>
        <w:sz w:val="22"/>
        <w:szCs w:val="22"/>
      </w:rPr>
    </w:lvl>
    <w:lvl w:ilvl="1" w:tplc="AE3835C2">
      <w:numFmt w:val="bullet"/>
      <w:lvlText w:val="•"/>
      <w:lvlJc w:val="left"/>
      <w:pPr>
        <w:ind w:left="1396" w:hanging="273"/>
      </w:pPr>
      <w:rPr>
        <w:rFonts w:hint="default"/>
      </w:rPr>
    </w:lvl>
    <w:lvl w:ilvl="2" w:tplc="BC4EA69C">
      <w:numFmt w:val="bullet"/>
      <w:lvlText w:val="•"/>
      <w:lvlJc w:val="left"/>
      <w:pPr>
        <w:ind w:left="2373" w:hanging="273"/>
      </w:pPr>
      <w:rPr>
        <w:rFonts w:hint="default"/>
      </w:rPr>
    </w:lvl>
    <w:lvl w:ilvl="3" w:tplc="56D6D24A">
      <w:numFmt w:val="bullet"/>
      <w:lvlText w:val="•"/>
      <w:lvlJc w:val="left"/>
      <w:pPr>
        <w:ind w:left="3350" w:hanging="273"/>
      </w:pPr>
      <w:rPr>
        <w:rFonts w:hint="default"/>
      </w:rPr>
    </w:lvl>
    <w:lvl w:ilvl="4" w:tplc="09068284">
      <w:numFmt w:val="bullet"/>
      <w:lvlText w:val="•"/>
      <w:lvlJc w:val="left"/>
      <w:pPr>
        <w:ind w:left="4327" w:hanging="273"/>
      </w:pPr>
      <w:rPr>
        <w:rFonts w:hint="default"/>
      </w:rPr>
    </w:lvl>
    <w:lvl w:ilvl="5" w:tplc="A26C7F76">
      <w:numFmt w:val="bullet"/>
      <w:lvlText w:val="•"/>
      <w:lvlJc w:val="left"/>
      <w:pPr>
        <w:ind w:left="5304" w:hanging="273"/>
      </w:pPr>
      <w:rPr>
        <w:rFonts w:hint="default"/>
      </w:rPr>
    </w:lvl>
    <w:lvl w:ilvl="6" w:tplc="70FE4572">
      <w:numFmt w:val="bullet"/>
      <w:lvlText w:val="•"/>
      <w:lvlJc w:val="left"/>
      <w:pPr>
        <w:ind w:left="6280" w:hanging="273"/>
      </w:pPr>
      <w:rPr>
        <w:rFonts w:hint="default"/>
      </w:rPr>
    </w:lvl>
    <w:lvl w:ilvl="7" w:tplc="8EB086FC">
      <w:numFmt w:val="bullet"/>
      <w:lvlText w:val="•"/>
      <w:lvlJc w:val="left"/>
      <w:pPr>
        <w:ind w:left="7257" w:hanging="273"/>
      </w:pPr>
      <w:rPr>
        <w:rFonts w:hint="default"/>
      </w:rPr>
    </w:lvl>
    <w:lvl w:ilvl="8" w:tplc="0F381E70">
      <w:numFmt w:val="bullet"/>
      <w:lvlText w:val="•"/>
      <w:lvlJc w:val="left"/>
      <w:pPr>
        <w:ind w:left="8234" w:hanging="273"/>
      </w:pPr>
      <w:rPr>
        <w:rFonts w:hint="default"/>
      </w:rPr>
    </w:lvl>
  </w:abstractNum>
  <w:abstractNum w:abstractNumId="21" w15:restartNumberingAfterBreak="0">
    <w:nsid w:val="69041EA9"/>
    <w:multiLevelType w:val="hybridMultilevel"/>
    <w:tmpl w:val="07E2C218"/>
    <w:lvl w:ilvl="0" w:tplc="9B5A5EB6">
      <w:numFmt w:val="bullet"/>
      <w:lvlText w:val=""/>
      <w:lvlJc w:val="left"/>
      <w:pPr>
        <w:ind w:left="532" w:hanging="361"/>
      </w:pPr>
      <w:rPr>
        <w:rFonts w:ascii="Symbol" w:eastAsia="Symbol" w:hAnsi="Symbol" w:cs="Symbol" w:hint="default"/>
        <w:w w:val="100"/>
        <w:sz w:val="22"/>
        <w:szCs w:val="22"/>
      </w:rPr>
    </w:lvl>
    <w:lvl w:ilvl="1" w:tplc="C7489942">
      <w:numFmt w:val="bullet"/>
      <w:lvlText w:val="o"/>
      <w:lvlJc w:val="left"/>
      <w:pPr>
        <w:ind w:left="891" w:hanging="360"/>
      </w:pPr>
      <w:rPr>
        <w:rFonts w:ascii="Courier New" w:eastAsia="Courier New" w:hAnsi="Courier New" w:cs="Courier New" w:hint="default"/>
        <w:spacing w:val="-5"/>
        <w:w w:val="100"/>
        <w:sz w:val="22"/>
        <w:szCs w:val="22"/>
      </w:rPr>
    </w:lvl>
    <w:lvl w:ilvl="2" w:tplc="F128115A">
      <w:numFmt w:val="bullet"/>
      <w:lvlText w:val="•"/>
      <w:lvlJc w:val="left"/>
      <w:pPr>
        <w:ind w:left="1954" w:hanging="360"/>
      </w:pPr>
      <w:rPr>
        <w:rFonts w:hint="default"/>
      </w:rPr>
    </w:lvl>
    <w:lvl w:ilvl="3" w:tplc="F12481AE">
      <w:numFmt w:val="bullet"/>
      <w:lvlText w:val="•"/>
      <w:lvlJc w:val="left"/>
      <w:pPr>
        <w:ind w:left="3008" w:hanging="360"/>
      </w:pPr>
      <w:rPr>
        <w:rFonts w:hint="default"/>
      </w:rPr>
    </w:lvl>
    <w:lvl w:ilvl="4" w:tplc="90EE972E">
      <w:numFmt w:val="bullet"/>
      <w:lvlText w:val="•"/>
      <w:lvlJc w:val="left"/>
      <w:pPr>
        <w:ind w:left="4062" w:hanging="360"/>
      </w:pPr>
      <w:rPr>
        <w:rFonts w:hint="default"/>
      </w:rPr>
    </w:lvl>
    <w:lvl w:ilvl="5" w:tplc="2766B77E">
      <w:numFmt w:val="bullet"/>
      <w:lvlText w:val="•"/>
      <w:lvlJc w:val="left"/>
      <w:pPr>
        <w:ind w:left="5116" w:hanging="360"/>
      </w:pPr>
      <w:rPr>
        <w:rFonts w:hint="default"/>
      </w:rPr>
    </w:lvl>
    <w:lvl w:ilvl="6" w:tplc="ECAAEDCE">
      <w:numFmt w:val="bullet"/>
      <w:lvlText w:val="•"/>
      <w:lvlJc w:val="left"/>
      <w:pPr>
        <w:ind w:left="6171" w:hanging="360"/>
      </w:pPr>
      <w:rPr>
        <w:rFonts w:hint="default"/>
      </w:rPr>
    </w:lvl>
    <w:lvl w:ilvl="7" w:tplc="939E94FC">
      <w:numFmt w:val="bullet"/>
      <w:lvlText w:val="•"/>
      <w:lvlJc w:val="left"/>
      <w:pPr>
        <w:ind w:left="7225" w:hanging="360"/>
      </w:pPr>
      <w:rPr>
        <w:rFonts w:hint="default"/>
      </w:rPr>
    </w:lvl>
    <w:lvl w:ilvl="8" w:tplc="12B04B0A">
      <w:numFmt w:val="bullet"/>
      <w:lvlText w:val="•"/>
      <w:lvlJc w:val="left"/>
      <w:pPr>
        <w:ind w:left="8279" w:hanging="360"/>
      </w:pPr>
      <w:rPr>
        <w:rFonts w:hint="default"/>
      </w:rPr>
    </w:lvl>
  </w:abstractNum>
  <w:abstractNum w:abstractNumId="22" w15:restartNumberingAfterBreak="0">
    <w:nsid w:val="69291779"/>
    <w:multiLevelType w:val="hybridMultilevel"/>
    <w:tmpl w:val="7E864832"/>
    <w:lvl w:ilvl="0" w:tplc="097AE8B4">
      <w:numFmt w:val="bullet"/>
      <w:lvlText w:val=""/>
      <w:lvlJc w:val="left"/>
      <w:pPr>
        <w:ind w:left="824" w:hanging="361"/>
      </w:pPr>
      <w:rPr>
        <w:rFonts w:ascii="Symbol" w:eastAsia="Symbol" w:hAnsi="Symbol" w:cs="Symbol" w:hint="default"/>
        <w:w w:val="100"/>
        <w:sz w:val="22"/>
        <w:szCs w:val="22"/>
      </w:rPr>
    </w:lvl>
    <w:lvl w:ilvl="1" w:tplc="BF8AC726">
      <w:numFmt w:val="bullet"/>
      <w:lvlText w:val="•"/>
      <w:lvlJc w:val="left"/>
      <w:pPr>
        <w:ind w:left="1756" w:hanging="361"/>
      </w:pPr>
      <w:rPr>
        <w:rFonts w:hint="default"/>
      </w:rPr>
    </w:lvl>
    <w:lvl w:ilvl="2" w:tplc="74A2FA2A">
      <w:numFmt w:val="bullet"/>
      <w:lvlText w:val="•"/>
      <w:lvlJc w:val="left"/>
      <w:pPr>
        <w:ind w:left="2693" w:hanging="361"/>
      </w:pPr>
      <w:rPr>
        <w:rFonts w:hint="default"/>
      </w:rPr>
    </w:lvl>
    <w:lvl w:ilvl="3" w:tplc="AE101968">
      <w:numFmt w:val="bullet"/>
      <w:lvlText w:val="•"/>
      <w:lvlJc w:val="left"/>
      <w:pPr>
        <w:ind w:left="3630" w:hanging="361"/>
      </w:pPr>
      <w:rPr>
        <w:rFonts w:hint="default"/>
      </w:rPr>
    </w:lvl>
    <w:lvl w:ilvl="4" w:tplc="F9C6C7C6">
      <w:numFmt w:val="bullet"/>
      <w:lvlText w:val="•"/>
      <w:lvlJc w:val="left"/>
      <w:pPr>
        <w:ind w:left="4567" w:hanging="361"/>
      </w:pPr>
      <w:rPr>
        <w:rFonts w:hint="default"/>
      </w:rPr>
    </w:lvl>
    <w:lvl w:ilvl="5" w:tplc="ADF2CFA6">
      <w:numFmt w:val="bullet"/>
      <w:lvlText w:val="•"/>
      <w:lvlJc w:val="left"/>
      <w:pPr>
        <w:ind w:left="5504" w:hanging="361"/>
      </w:pPr>
      <w:rPr>
        <w:rFonts w:hint="default"/>
      </w:rPr>
    </w:lvl>
    <w:lvl w:ilvl="6" w:tplc="B59A6AFC">
      <w:numFmt w:val="bullet"/>
      <w:lvlText w:val="•"/>
      <w:lvlJc w:val="left"/>
      <w:pPr>
        <w:ind w:left="6440" w:hanging="361"/>
      </w:pPr>
      <w:rPr>
        <w:rFonts w:hint="default"/>
      </w:rPr>
    </w:lvl>
    <w:lvl w:ilvl="7" w:tplc="D3864174">
      <w:numFmt w:val="bullet"/>
      <w:lvlText w:val="•"/>
      <w:lvlJc w:val="left"/>
      <w:pPr>
        <w:ind w:left="7377" w:hanging="361"/>
      </w:pPr>
      <w:rPr>
        <w:rFonts w:hint="default"/>
      </w:rPr>
    </w:lvl>
    <w:lvl w:ilvl="8" w:tplc="615EEC96">
      <w:numFmt w:val="bullet"/>
      <w:lvlText w:val="•"/>
      <w:lvlJc w:val="left"/>
      <w:pPr>
        <w:ind w:left="8314" w:hanging="361"/>
      </w:pPr>
      <w:rPr>
        <w:rFonts w:hint="default"/>
      </w:rPr>
    </w:lvl>
  </w:abstractNum>
  <w:abstractNum w:abstractNumId="23" w15:restartNumberingAfterBreak="0">
    <w:nsid w:val="6D2B533C"/>
    <w:multiLevelType w:val="hybridMultilevel"/>
    <w:tmpl w:val="FDF68D5A"/>
    <w:lvl w:ilvl="0" w:tplc="2A80B960">
      <w:numFmt w:val="bullet"/>
      <w:lvlText w:val="o"/>
      <w:lvlJc w:val="left"/>
      <w:pPr>
        <w:ind w:left="1124" w:hanging="280"/>
      </w:pPr>
      <w:rPr>
        <w:rFonts w:ascii="Courier New" w:eastAsia="Courier New" w:hAnsi="Courier New" w:cs="Courier New" w:hint="default"/>
        <w:w w:val="100"/>
        <w:sz w:val="22"/>
        <w:szCs w:val="22"/>
      </w:rPr>
    </w:lvl>
    <w:lvl w:ilvl="1" w:tplc="0F580ED2">
      <w:numFmt w:val="bullet"/>
      <w:lvlText w:val="•"/>
      <w:lvlJc w:val="left"/>
      <w:pPr>
        <w:ind w:left="2026" w:hanging="280"/>
      </w:pPr>
      <w:rPr>
        <w:rFonts w:hint="default"/>
      </w:rPr>
    </w:lvl>
    <w:lvl w:ilvl="2" w:tplc="D7A2F48E">
      <w:numFmt w:val="bullet"/>
      <w:lvlText w:val="•"/>
      <w:lvlJc w:val="left"/>
      <w:pPr>
        <w:ind w:left="2933" w:hanging="280"/>
      </w:pPr>
      <w:rPr>
        <w:rFonts w:hint="default"/>
      </w:rPr>
    </w:lvl>
    <w:lvl w:ilvl="3" w:tplc="8D567FF0">
      <w:numFmt w:val="bullet"/>
      <w:lvlText w:val="•"/>
      <w:lvlJc w:val="left"/>
      <w:pPr>
        <w:ind w:left="3840" w:hanging="280"/>
      </w:pPr>
      <w:rPr>
        <w:rFonts w:hint="default"/>
      </w:rPr>
    </w:lvl>
    <w:lvl w:ilvl="4" w:tplc="7E2A7AEC">
      <w:numFmt w:val="bullet"/>
      <w:lvlText w:val="•"/>
      <w:lvlJc w:val="left"/>
      <w:pPr>
        <w:ind w:left="4747" w:hanging="280"/>
      </w:pPr>
      <w:rPr>
        <w:rFonts w:hint="default"/>
      </w:rPr>
    </w:lvl>
    <w:lvl w:ilvl="5" w:tplc="351CF6C8">
      <w:numFmt w:val="bullet"/>
      <w:lvlText w:val="•"/>
      <w:lvlJc w:val="left"/>
      <w:pPr>
        <w:ind w:left="5654" w:hanging="280"/>
      </w:pPr>
      <w:rPr>
        <w:rFonts w:hint="default"/>
      </w:rPr>
    </w:lvl>
    <w:lvl w:ilvl="6" w:tplc="052E2984">
      <w:numFmt w:val="bullet"/>
      <w:lvlText w:val="•"/>
      <w:lvlJc w:val="left"/>
      <w:pPr>
        <w:ind w:left="6560" w:hanging="280"/>
      </w:pPr>
      <w:rPr>
        <w:rFonts w:hint="default"/>
      </w:rPr>
    </w:lvl>
    <w:lvl w:ilvl="7" w:tplc="24ECB8B8">
      <w:numFmt w:val="bullet"/>
      <w:lvlText w:val="•"/>
      <w:lvlJc w:val="left"/>
      <w:pPr>
        <w:ind w:left="7467" w:hanging="280"/>
      </w:pPr>
      <w:rPr>
        <w:rFonts w:hint="default"/>
      </w:rPr>
    </w:lvl>
    <w:lvl w:ilvl="8" w:tplc="F3E6543C">
      <w:numFmt w:val="bullet"/>
      <w:lvlText w:val="•"/>
      <w:lvlJc w:val="left"/>
      <w:pPr>
        <w:ind w:left="8374" w:hanging="280"/>
      </w:pPr>
      <w:rPr>
        <w:rFonts w:hint="default"/>
      </w:rPr>
    </w:lvl>
  </w:abstractNum>
  <w:abstractNum w:abstractNumId="24" w15:restartNumberingAfterBreak="0">
    <w:nsid w:val="6DD12C57"/>
    <w:multiLevelType w:val="hybridMultilevel"/>
    <w:tmpl w:val="7138007E"/>
    <w:lvl w:ilvl="0" w:tplc="2F6210D2">
      <w:numFmt w:val="bullet"/>
      <w:lvlText w:val=""/>
      <w:lvlJc w:val="left"/>
      <w:pPr>
        <w:ind w:left="824" w:hanging="361"/>
      </w:pPr>
      <w:rPr>
        <w:rFonts w:ascii="Symbol" w:eastAsia="Symbol" w:hAnsi="Symbol" w:cs="Symbol" w:hint="default"/>
        <w:w w:val="100"/>
        <w:sz w:val="22"/>
        <w:szCs w:val="22"/>
      </w:rPr>
    </w:lvl>
    <w:lvl w:ilvl="1" w:tplc="BBCAB85C">
      <w:numFmt w:val="bullet"/>
      <w:lvlText w:val="-"/>
      <w:lvlJc w:val="left"/>
      <w:pPr>
        <w:ind w:left="1184" w:hanging="360"/>
      </w:pPr>
      <w:rPr>
        <w:rFonts w:ascii="Cambria" w:eastAsia="Cambria" w:hAnsi="Cambria" w:cs="Cambria" w:hint="default"/>
        <w:spacing w:val="-5"/>
        <w:w w:val="100"/>
        <w:sz w:val="22"/>
        <w:szCs w:val="22"/>
      </w:rPr>
    </w:lvl>
    <w:lvl w:ilvl="2" w:tplc="4E0CA5AE">
      <w:numFmt w:val="bullet"/>
      <w:lvlText w:val="•"/>
      <w:lvlJc w:val="left"/>
      <w:pPr>
        <w:ind w:left="2165" w:hanging="360"/>
      </w:pPr>
      <w:rPr>
        <w:rFonts w:hint="default"/>
      </w:rPr>
    </w:lvl>
    <w:lvl w:ilvl="3" w:tplc="77BE3FE8">
      <w:numFmt w:val="bullet"/>
      <w:lvlText w:val="•"/>
      <w:lvlJc w:val="left"/>
      <w:pPr>
        <w:ind w:left="3151" w:hanging="360"/>
      </w:pPr>
      <w:rPr>
        <w:rFonts w:hint="default"/>
      </w:rPr>
    </w:lvl>
    <w:lvl w:ilvl="4" w:tplc="24E0246E">
      <w:numFmt w:val="bullet"/>
      <w:lvlText w:val="•"/>
      <w:lvlJc w:val="left"/>
      <w:pPr>
        <w:ind w:left="4137" w:hanging="360"/>
      </w:pPr>
      <w:rPr>
        <w:rFonts w:hint="default"/>
      </w:rPr>
    </w:lvl>
    <w:lvl w:ilvl="5" w:tplc="0A3ACB28">
      <w:numFmt w:val="bullet"/>
      <w:lvlText w:val="•"/>
      <w:lvlJc w:val="left"/>
      <w:pPr>
        <w:ind w:left="5123" w:hanging="360"/>
      </w:pPr>
      <w:rPr>
        <w:rFonts w:hint="default"/>
      </w:rPr>
    </w:lvl>
    <w:lvl w:ilvl="6" w:tplc="45AA04D6">
      <w:numFmt w:val="bullet"/>
      <w:lvlText w:val="•"/>
      <w:lvlJc w:val="left"/>
      <w:pPr>
        <w:ind w:left="6108" w:hanging="360"/>
      </w:pPr>
      <w:rPr>
        <w:rFonts w:hint="default"/>
      </w:rPr>
    </w:lvl>
    <w:lvl w:ilvl="7" w:tplc="C608AD30">
      <w:numFmt w:val="bullet"/>
      <w:lvlText w:val="•"/>
      <w:lvlJc w:val="left"/>
      <w:pPr>
        <w:ind w:left="7094" w:hanging="360"/>
      </w:pPr>
      <w:rPr>
        <w:rFonts w:hint="default"/>
      </w:rPr>
    </w:lvl>
    <w:lvl w:ilvl="8" w:tplc="7840CE74">
      <w:numFmt w:val="bullet"/>
      <w:lvlText w:val="•"/>
      <w:lvlJc w:val="left"/>
      <w:pPr>
        <w:ind w:left="8080" w:hanging="360"/>
      </w:pPr>
      <w:rPr>
        <w:rFonts w:hint="default"/>
      </w:rPr>
    </w:lvl>
  </w:abstractNum>
  <w:abstractNum w:abstractNumId="25" w15:restartNumberingAfterBreak="0">
    <w:nsid w:val="6E132C4E"/>
    <w:multiLevelType w:val="hybridMultilevel"/>
    <w:tmpl w:val="D56AFE82"/>
    <w:lvl w:ilvl="0" w:tplc="515A8402">
      <w:numFmt w:val="bullet"/>
      <w:lvlText w:val=""/>
      <w:lvlJc w:val="left"/>
      <w:pPr>
        <w:ind w:left="1004" w:hanging="361"/>
      </w:pPr>
      <w:rPr>
        <w:rFonts w:ascii="Symbol" w:eastAsia="Symbol" w:hAnsi="Symbol" w:cs="Symbol" w:hint="default"/>
        <w:w w:val="100"/>
        <w:sz w:val="22"/>
        <w:szCs w:val="22"/>
      </w:rPr>
    </w:lvl>
    <w:lvl w:ilvl="1" w:tplc="E732EB72">
      <w:numFmt w:val="bullet"/>
      <w:lvlText w:val="o"/>
      <w:lvlJc w:val="left"/>
      <w:pPr>
        <w:ind w:left="1724" w:hanging="360"/>
      </w:pPr>
      <w:rPr>
        <w:rFonts w:ascii="Courier New" w:eastAsia="Courier New" w:hAnsi="Courier New" w:cs="Courier New" w:hint="default"/>
        <w:spacing w:val="-37"/>
        <w:w w:val="100"/>
        <w:sz w:val="22"/>
        <w:szCs w:val="22"/>
      </w:rPr>
    </w:lvl>
    <w:lvl w:ilvl="2" w:tplc="3356BB92">
      <w:numFmt w:val="bullet"/>
      <w:lvlText w:val="•"/>
      <w:lvlJc w:val="left"/>
      <w:pPr>
        <w:ind w:left="2694" w:hanging="360"/>
      </w:pPr>
      <w:rPr>
        <w:rFonts w:hint="default"/>
      </w:rPr>
    </w:lvl>
    <w:lvl w:ilvl="3" w:tplc="5DF4B974">
      <w:numFmt w:val="bullet"/>
      <w:lvlText w:val="•"/>
      <w:lvlJc w:val="left"/>
      <w:pPr>
        <w:ind w:left="3668" w:hanging="360"/>
      </w:pPr>
      <w:rPr>
        <w:rFonts w:hint="default"/>
      </w:rPr>
    </w:lvl>
    <w:lvl w:ilvl="4" w:tplc="22903F9C">
      <w:numFmt w:val="bullet"/>
      <w:lvlText w:val="•"/>
      <w:lvlJc w:val="left"/>
      <w:pPr>
        <w:ind w:left="4642" w:hanging="360"/>
      </w:pPr>
      <w:rPr>
        <w:rFonts w:hint="default"/>
      </w:rPr>
    </w:lvl>
    <w:lvl w:ilvl="5" w:tplc="B5B21C9A">
      <w:numFmt w:val="bullet"/>
      <w:lvlText w:val="•"/>
      <w:lvlJc w:val="left"/>
      <w:pPr>
        <w:ind w:left="5616" w:hanging="360"/>
      </w:pPr>
      <w:rPr>
        <w:rFonts w:hint="default"/>
      </w:rPr>
    </w:lvl>
    <w:lvl w:ilvl="6" w:tplc="A6CC5352">
      <w:numFmt w:val="bullet"/>
      <w:lvlText w:val="•"/>
      <w:lvlJc w:val="left"/>
      <w:pPr>
        <w:ind w:left="6591" w:hanging="360"/>
      </w:pPr>
      <w:rPr>
        <w:rFonts w:hint="default"/>
      </w:rPr>
    </w:lvl>
    <w:lvl w:ilvl="7" w:tplc="EC1C8990">
      <w:numFmt w:val="bullet"/>
      <w:lvlText w:val="•"/>
      <w:lvlJc w:val="left"/>
      <w:pPr>
        <w:ind w:left="7565" w:hanging="360"/>
      </w:pPr>
      <w:rPr>
        <w:rFonts w:hint="default"/>
      </w:rPr>
    </w:lvl>
    <w:lvl w:ilvl="8" w:tplc="C0900EFE">
      <w:numFmt w:val="bullet"/>
      <w:lvlText w:val="•"/>
      <w:lvlJc w:val="left"/>
      <w:pPr>
        <w:ind w:left="8539" w:hanging="360"/>
      </w:pPr>
      <w:rPr>
        <w:rFonts w:hint="default"/>
      </w:rPr>
    </w:lvl>
  </w:abstractNum>
  <w:abstractNum w:abstractNumId="26" w15:restartNumberingAfterBreak="0">
    <w:nsid w:val="6E2B3075"/>
    <w:multiLevelType w:val="hybridMultilevel"/>
    <w:tmpl w:val="6B8E7DDA"/>
    <w:lvl w:ilvl="0" w:tplc="7DD4D588">
      <w:start w:val="1"/>
      <w:numFmt w:val="decimal"/>
      <w:lvlText w:val="%1."/>
      <w:lvlJc w:val="left"/>
      <w:pPr>
        <w:ind w:left="532" w:hanging="361"/>
        <w:jc w:val="left"/>
      </w:pPr>
      <w:rPr>
        <w:rFonts w:ascii="Cambria" w:eastAsia="Cambria" w:hAnsi="Cambria" w:cs="Cambria" w:hint="default"/>
        <w:spacing w:val="-3"/>
        <w:w w:val="100"/>
        <w:sz w:val="22"/>
        <w:szCs w:val="22"/>
      </w:rPr>
    </w:lvl>
    <w:lvl w:ilvl="1" w:tplc="63A29E72">
      <w:start w:val="76"/>
      <w:numFmt w:val="decimal"/>
      <w:lvlText w:val="%2."/>
      <w:lvlJc w:val="left"/>
      <w:pPr>
        <w:ind w:left="635" w:hanging="332"/>
        <w:jc w:val="left"/>
      </w:pPr>
      <w:rPr>
        <w:rFonts w:ascii="Cambria" w:eastAsia="Cambria" w:hAnsi="Cambria" w:cs="Cambria" w:hint="default"/>
        <w:spacing w:val="-2"/>
        <w:w w:val="100"/>
        <w:sz w:val="22"/>
        <w:szCs w:val="22"/>
      </w:rPr>
    </w:lvl>
    <w:lvl w:ilvl="2" w:tplc="2926F1F6">
      <w:start w:val="1"/>
      <w:numFmt w:val="decimal"/>
      <w:lvlText w:val="%3)"/>
      <w:lvlJc w:val="left"/>
      <w:pPr>
        <w:ind w:left="911" w:hanging="360"/>
        <w:jc w:val="left"/>
      </w:pPr>
      <w:rPr>
        <w:rFonts w:ascii="Cambria" w:eastAsia="Cambria" w:hAnsi="Cambria" w:cs="Cambria" w:hint="default"/>
        <w:spacing w:val="-16"/>
        <w:w w:val="100"/>
        <w:sz w:val="22"/>
        <w:szCs w:val="22"/>
      </w:rPr>
    </w:lvl>
    <w:lvl w:ilvl="3" w:tplc="129E9F4C">
      <w:numFmt w:val="bullet"/>
      <w:lvlText w:val="•"/>
      <w:lvlJc w:val="left"/>
      <w:pPr>
        <w:ind w:left="2116" w:hanging="360"/>
      </w:pPr>
      <w:rPr>
        <w:rFonts w:hint="default"/>
      </w:rPr>
    </w:lvl>
    <w:lvl w:ilvl="4" w:tplc="D780C14E">
      <w:numFmt w:val="bullet"/>
      <w:lvlText w:val="•"/>
      <w:lvlJc w:val="left"/>
      <w:pPr>
        <w:ind w:left="3312" w:hanging="360"/>
      </w:pPr>
      <w:rPr>
        <w:rFonts w:hint="default"/>
      </w:rPr>
    </w:lvl>
    <w:lvl w:ilvl="5" w:tplc="40266B2A">
      <w:numFmt w:val="bullet"/>
      <w:lvlText w:val="•"/>
      <w:lvlJc w:val="left"/>
      <w:pPr>
        <w:ind w:left="4508" w:hanging="360"/>
      </w:pPr>
      <w:rPr>
        <w:rFonts w:hint="default"/>
      </w:rPr>
    </w:lvl>
    <w:lvl w:ilvl="6" w:tplc="B7D4BD30">
      <w:numFmt w:val="bullet"/>
      <w:lvlText w:val="•"/>
      <w:lvlJc w:val="left"/>
      <w:pPr>
        <w:ind w:left="5704" w:hanging="360"/>
      </w:pPr>
      <w:rPr>
        <w:rFonts w:hint="default"/>
      </w:rPr>
    </w:lvl>
    <w:lvl w:ilvl="7" w:tplc="7200F98C">
      <w:numFmt w:val="bullet"/>
      <w:lvlText w:val="•"/>
      <w:lvlJc w:val="left"/>
      <w:pPr>
        <w:ind w:left="6900" w:hanging="360"/>
      </w:pPr>
      <w:rPr>
        <w:rFonts w:hint="default"/>
      </w:rPr>
    </w:lvl>
    <w:lvl w:ilvl="8" w:tplc="F7344176">
      <w:numFmt w:val="bullet"/>
      <w:lvlText w:val="•"/>
      <w:lvlJc w:val="left"/>
      <w:pPr>
        <w:ind w:left="8096" w:hanging="360"/>
      </w:pPr>
      <w:rPr>
        <w:rFonts w:hint="default"/>
      </w:rPr>
    </w:lvl>
  </w:abstractNum>
  <w:abstractNum w:abstractNumId="27" w15:restartNumberingAfterBreak="0">
    <w:nsid w:val="7B3C7BB3"/>
    <w:multiLevelType w:val="hybridMultilevel"/>
    <w:tmpl w:val="CC3253EA"/>
    <w:lvl w:ilvl="0" w:tplc="8A94F70A">
      <w:numFmt w:val="bullet"/>
      <w:lvlText w:val=""/>
      <w:lvlJc w:val="left"/>
      <w:pPr>
        <w:ind w:left="824" w:hanging="361"/>
      </w:pPr>
      <w:rPr>
        <w:rFonts w:ascii="Symbol" w:eastAsia="Symbol" w:hAnsi="Symbol" w:cs="Symbol" w:hint="default"/>
        <w:w w:val="100"/>
        <w:sz w:val="22"/>
        <w:szCs w:val="22"/>
      </w:rPr>
    </w:lvl>
    <w:lvl w:ilvl="1" w:tplc="DD48B4E0">
      <w:numFmt w:val="bullet"/>
      <w:lvlText w:val="•"/>
      <w:lvlJc w:val="left"/>
      <w:pPr>
        <w:ind w:left="1756" w:hanging="361"/>
      </w:pPr>
      <w:rPr>
        <w:rFonts w:hint="default"/>
      </w:rPr>
    </w:lvl>
    <w:lvl w:ilvl="2" w:tplc="6BCE46D4">
      <w:numFmt w:val="bullet"/>
      <w:lvlText w:val="•"/>
      <w:lvlJc w:val="left"/>
      <w:pPr>
        <w:ind w:left="2693" w:hanging="361"/>
      </w:pPr>
      <w:rPr>
        <w:rFonts w:hint="default"/>
      </w:rPr>
    </w:lvl>
    <w:lvl w:ilvl="3" w:tplc="AE5EC4F6">
      <w:numFmt w:val="bullet"/>
      <w:lvlText w:val="•"/>
      <w:lvlJc w:val="left"/>
      <w:pPr>
        <w:ind w:left="3630" w:hanging="361"/>
      </w:pPr>
      <w:rPr>
        <w:rFonts w:hint="default"/>
      </w:rPr>
    </w:lvl>
    <w:lvl w:ilvl="4" w:tplc="C540A230">
      <w:numFmt w:val="bullet"/>
      <w:lvlText w:val="•"/>
      <w:lvlJc w:val="left"/>
      <w:pPr>
        <w:ind w:left="4567" w:hanging="361"/>
      </w:pPr>
      <w:rPr>
        <w:rFonts w:hint="default"/>
      </w:rPr>
    </w:lvl>
    <w:lvl w:ilvl="5" w:tplc="9306D6B4">
      <w:numFmt w:val="bullet"/>
      <w:lvlText w:val="•"/>
      <w:lvlJc w:val="left"/>
      <w:pPr>
        <w:ind w:left="5504" w:hanging="361"/>
      </w:pPr>
      <w:rPr>
        <w:rFonts w:hint="default"/>
      </w:rPr>
    </w:lvl>
    <w:lvl w:ilvl="6" w:tplc="2F16D516">
      <w:numFmt w:val="bullet"/>
      <w:lvlText w:val="•"/>
      <w:lvlJc w:val="left"/>
      <w:pPr>
        <w:ind w:left="6440" w:hanging="361"/>
      </w:pPr>
      <w:rPr>
        <w:rFonts w:hint="default"/>
      </w:rPr>
    </w:lvl>
    <w:lvl w:ilvl="7" w:tplc="66CE4B00">
      <w:numFmt w:val="bullet"/>
      <w:lvlText w:val="•"/>
      <w:lvlJc w:val="left"/>
      <w:pPr>
        <w:ind w:left="7377" w:hanging="361"/>
      </w:pPr>
      <w:rPr>
        <w:rFonts w:hint="default"/>
      </w:rPr>
    </w:lvl>
    <w:lvl w:ilvl="8" w:tplc="D7686CEE">
      <w:numFmt w:val="bullet"/>
      <w:lvlText w:val="•"/>
      <w:lvlJc w:val="left"/>
      <w:pPr>
        <w:ind w:left="8314" w:hanging="361"/>
      </w:pPr>
      <w:rPr>
        <w:rFonts w:hint="default"/>
      </w:rPr>
    </w:lvl>
  </w:abstractNum>
  <w:abstractNum w:abstractNumId="28" w15:restartNumberingAfterBreak="0">
    <w:nsid w:val="7C6212F5"/>
    <w:multiLevelType w:val="hybridMultilevel"/>
    <w:tmpl w:val="06F67EB6"/>
    <w:lvl w:ilvl="0" w:tplc="7CDC7A92">
      <w:start w:val="1"/>
      <w:numFmt w:val="decimal"/>
      <w:lvlText w:val="(%1)"/>
      <w:lvlJc w:val="left"/>
      <w:pPr>
        <w:ind w:left="3688" w:hanging="720"/>
        <w:jc w:val="right"/>
      </w:pPr>
      <w:rPr>
        <w:rFonts w:ascii="Cambria" w:eastAsia="Cambria" w:hAnsi="Cambria" w:cs="Cambria" w:hint="default"/>
        <w:b/>
        <w:bCs/>
        <w:spacing w:val="-3"/>
        <w:w w:val="100"/>
        <w:sz w:val="32"/>
        <w:szCs w:val="32"/>
      </w:rPr>
    </w:lvl>
    <w:lvl w:ilvl="1" w:tplc="96663A40">
      <w:numFmt w:val="bullet"/>
      <w:lvlText w:val="•"/>
      <w:lvlJc w:val="left"/>
      <w:pPr>
        <w:ind w:left="4166" w:hanging="720"/>
      </w:pPr>
      <w:rPr>
        <w:rFonts w:hint="default"/>
      </w:rPr>
    </w:lvl>
    <w:lvl w:ilvl="2" w:tplc="2FB80D8C">
      <w:numFmt w:val="bullet"/>
      <w:lvlText w:val="•"/>
      <w:lvlJc w:val="left"/>
      <w:pPr>
        <w:ind w:left="4653" w:hanging="720"/>
      </w:pPr>
      <w:rPr>
        <w:rFonts w:hint="default"/>
      </w:rPr>
    </w:lvl>
    <w:lvl w:ilvl="3" w:tplc="0B32D1A2">
      <w:numFmt w:val="bullet"/>
      <w:lvlText w:val="•"/>
      <w:lvlJc w:val="left"/>
      <w:pPr>
        <w:ind w:left="5140" w:hanging="720"/>
      </w:pPr>
      <w:rPr>
        <w:rFonts w:hint="default"/>
      </w:rPr>
    </w:lvl>
    <w:lvl w:ilvl="4" w:tplc="E084DADA">
      <w:numFmt w:val="bullet"/>
      <w:lvlText w:val="•"/>
      <w:lvlJc w:val="left"/>
      <w:pPr>
        <w:ind w:left="5627" w:hanging="720"/>
      </w:pPr>
      <w:rPr>
        <w:rFonts w:hint="default"/>
      </w:rPr>
    </w:lvl>
    <w:lvl w:ilvl="5" w:tplc="A142D03C">
      <w:numFmt w:val="bullet"/>
      <w:lvlText w:val="•"/>
      <w:lvlJc w:val="left"/>
      <w:pPr>
        <w:ind w:left="6114" w:hanging="720"/>
      </w:pPr>
      <w:rPr>
        <w:rFonts w:hint="default"/>
      </w:rPr>
    </w:lvl>
    <w:lvl w:ilvl="6" w:tplc="4B68659E">
      <w:numFmt w:val="bullet"/>
      <w:lvlText w:val="•"/>
      <w:lvlJc w:val="left"/>
      <w:pPr>
        <w:ind w:left="6600" w:hanging="720"/>
      </w:pPr>
      <w:rPr>
        <w:rFonts w:hint="default"/>
      </w:rPr>
    </w:lvl>
    <w:lvl w:ilvl="7" w:tplc="D27A2902">
      <w:numFmt w:val="bullet"/>
      <w:lvlText w:val="•"/>
      <w:lvlJc w:val="left"/>
      <w:pPr>
        <w:ind w:left="7087" w:hanging="720"/>
      </w:pPr>
      <w:rPr>
        <w:rFonts w:hint="default"/>
      </w:rPr>
    </w:lvl>
    <w:lvl w:ilvl="8" w:tplc="8DBE23F2">
      <w:numFmt w:val="bullet"/>
      <w:lvlText w:val="•"/>
      <w:lvlJc w:val="left"/>
      <w:pPr>
        <w:ind w:left="7574" w:hanging="720"/>
      </w:pPr>
      <w:rPr>
        <w:rFonts w:hint="default"/>
      </w:rPr>
    </w:lvl>
  </w:abstractNum>
  <w:num w:numId="1" w16cid:durableId="883828899">
    <w:abstractNumId w:val="16"/>
  </w:num>
  <w:num w:numId="2" w16cid:durableId="13574504">
    <w:abstractNumId w:val="18"/>
  </w:num>
  <w:num w:numId="3" w16cid:durableId="482937515">
    <w:abstractNumId w:val="19"/>
  </w:num>
  <w:num w:numId="4" w16cid:durableId="723066109">
    <w:abstractNumId w:val="3"/>
  </w:num>
  <w:num w:numId="5" w16cid:durableId="1334576251">
    <w:abstractNumId w:val="9"/>
  </w:num>
  <w:num w:numId="6" w16cid:durableId="1087849933">
    <w:abstractNumId w:val="23"/>
  </w:num>
  <w:num w:numId="7" w16cid:durableId="215893588">
    <w:abstractNumId w:val="22"/>
  </w:num>
  <w:num w:numId="8" w16cid:durableId="690954759">
    <w:abstractNumId w:val="26"/>
  </w:num>
  <w:num w:numId="9" w16cid:durableId="1151216137">
    <w:abstractNumId w:val="20"/>
  </w:num>
  <w:num w:numId="10" w16cid:durableId="992686636">
    <w:abstractNumId w:val="4"/>
  </w:num>
  <w:num w:numId="11" w16cid:durableId="27881708">
    <w:abstractNumId w:val="25"/>
  </w:num>
  <w:num w:numId="12" w16cid:durableId="1818763680">
    <w:abstractNumId w:val="15"/>
  </w:num>
  <w:num w:numId="13" w16cid:durableId="815150611">
    <w:abstractNumId w:val="27"/>
  </w:num>
  <w:num w:numId="14" w16cid:durableId="1618022997">
    <w:abstractNumId w:val="14"/>
  </w:num>
  <w:num w:numId="15" w16cid:durableId="1727875020">
    <w:abstractNumId w:val="10"/>
  </w:num>
  <w:num w:numId="16" w16cid:durableId="1393846033">
    <w:abstractNumId w:val="24"/>
  </w:num>
  <w:num w:numId="17" w16cid:durableId="884217543">
    <w:abstractNumId w:val="21"/>
  </w:num>
  <w:num w:numId="18" w16cid:durableId="1439134840">
    <w:abstractNumId w:val="2"/>
  </w:num>
  <w:num w:numId="19" w16cid:durableId="294020234">
    <w:abstractNumId w:val="5"/>
  </w:num>
  <w:num w:numId="20" w16cid:durableId="838616359">
    <w:abstractNumId w:val="6"/>
  </w:num>
  <w:num w:numId="21" w16cid:durableId="706219740">
    <w:abstractNumId w:val="13"/>
  </w:num>
  <w:num w:numId="22" w16cid:durableId="568273911">
    <w:abstractNumId w:val="0"/>
  </w:num>
  <w:num w:numId="23" w16cid:durableId="1162038224">
    <w:abstractNumId w:val="8"/>
  </w:num>
  <w:num w:numId="24" w16cid:durableId="222834493">
    <w:abstractNumId w:val="7"/>
  </w:num>
  <w:num w:numId="25" w16cid:durableId="1757552802">
    <w:abstractNumId w:val="11"/>
  </w:num>
  <w:num w:numId="26" w16cid:durableId="1542784236">
    <w:abstractNumId w:val="1"/>
  </w:num>
  <w:num w:numId="27" w16cid:durableId="532038667">
    <w:abstractNumId w:val="12"/>
  </w:num>
  <w:num w:numId="28" w16cid:durableId="143201595">
    <w:abstractNumId w:val="17"/>
  </w:num>
  <w:num w:numId="29" w16cid:durableId="13445551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97"/>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1D4C35"/>
    <w:rsid w:val="000F4511"/>
    <w:rsid w:val="001D4C35"/>
    <w:rsid w:val="00216F9D"/>
    <w:rsid w:val="002C4A01"/>
    <w:rsid w:val="002D1425"/>
    <w:rsid w:val="003A2851"/>
    <w:rsid w:val="0047095C"/>
    <w:rsid w:val="00513BD8"/>
    <w:rsid w:val="006F73FF"/>
    <w:rsid w:val="00756094"/>
    <w:rsid w:val="00845A6F"/>
    <w:rsid w:val="00891580"/>
    <w:rsid w:val="00994A96"/>
    <w:rsid w:val="00D76835"/>
    <w:rsid w:val="00D84817"/>
    <w:rsid w:val="00E828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97"/>
    <o:shapelayout v:ext="edit">
      <o:idmap v:ext="edit" data="2"/>
    </o:shapelayout>
  </w:shapeDefaults>
  <w:decimalSymbol w:val="."/>
  <w:listSeparator w:val=","/>
  <w14:docId w14:val="4474AA83"/>
  <w15:docId w15:val="{E50D917F-AA14-46F7-97A2-42B311356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before="100"/>
      <w:ind w:left="192"/>
      <w:outlineLvl w:val="0"/>
    </w:pPr>
    <w:rPr>
      <w:b/>
      <w:bCs/>
      <w:sz w:val="32"/>
      <w:szCs w:val="32"/>
    </w:rPr>
  </w:style>
  <w:style w:type="paragraph" w:styleId="Heading2">
    <w:name w:val="heading 2"/>
    <w:basedOn w:val="Normal"/>
    <w:uiPriority w:val="9"/>
    <w:unhideWhenUsed/>
    <w:qFormat/>
    <w:pPr>
      <w:ind w:left="60"/>
      <w:outlineLvl w:val="1"/>
    </w:pPr>
    <w:rPr>
      <w:sz w:val="24"/>
      <w:szCs w:val="24"/>
    </w:rPr>
  </w:style>
  <w:style w:type="paragraph" w:styleId="Heading3">
    <w:name w:val="heading 3"/>
    <w:basedOn w:val="Normal"/>
    <w:uiPriority w:val="9"/>
    <w:unhideWhenUsed/>
    <w:qFormat/>
    <w:pPr>
      <w:ind w:left="3971"/>
      <w:outlineLvl w:val="2"/>
    </w:pPr>
    <w:rPr>
      <w:b/>
      <w:bCs/>
    </w:rPr>
  </w:style>
  <w:style w:type="paragraph" w:styleId="Heading4">
    <w:name w:val="heading 4"/>
    <w:basedOn w:val="Normal"/>
    <w:uiPriority w:val="9"/>
    <w:unhideWhenUsed/>
    <w:qFormat/>
    <w:pPr>
      <w:spacing w:before="100"/>
      <w:ind w:left="172"/>
      <w:outlineLvl w:val="3"/>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891" w:hanging="360"/>
      <w:jc w:val="both"/>
    </w:pPr>
  </w:style>
  <w:style w:type="paragraph" w:customStyle="1" w:styleId="TableParagraph">
    <w:name w:val="Table Paragraph"/>
    <w:basedOn w:val="Normal"/>
    <w:uiPriority w:val="1"/>
    <w:qFormat/>
    <w:pPr>
      <w:ind w:left="200"/>
    </w:pPr>
  </w:style>
  <w:style w:type="paragraph" w:styleId="Header">
    <w:name w:val="header"/>
    <w:basedOn w:val="Normal"/>
    <w:link w:val="HeaderChar"/>
    <w:uiPriority w:val="99"/>
    <w:unhideWhenUsed/>
    <w:rsid w:val="00E82871"/>
    <w:pPr>
      <w:tabs>
        <w:tab w:val="center" w:pos="4513"/>
        <w:tab w:val="right" w:pos="9026"/>
      </w:tabs>
    </w:pPr>
  </w:style>
  <w:style w:type="character" w:customStyle="1" w:styleId="HeaderChar">
    <w:name w:val="Header Char"/>
    <w:basedOn w:val="DefaultParagraphFont"/>
    <w:link w:val="Header"/>
    <w:uiPriority w:val="99"/>
    <w:rsid w:val="00E82871"/>
    <w:rPr>
      <w:rFonts w:ascii="Cambria" w:eastAsia="Cambria" w:hAnsi="Cambria" w:cs="Cambria"/>
    </w:rPr>
  </w:style>
  <w:style w:type="paragraph" w:styleId="Footer">
    <w:name w:val="footer"/>
    <w:basedOn w:val="Normal"/>
    <w:link w:val="FooterChar"/>
    <w:uiPriority w:val="99"/>
    <w:unhideWhenUsed/>
    <w:rsid w:val="00E82871"/>
    <w:pPr>
      <w:tabs>
        <w:tab w:val="center" w:pos="4513"/>
        <w:tab w:val="right" w:pos="9026"/>
      </w:tabs>
    </w:pPr>
  </w:style>
  <w:style w:type="character" w:customStyle="1" w:styleId="FooterChar">
    <w:name w:val="Footer Char"/>
    <w:basedOn w:val="DefaultParagraphFont"/>
    <w:link w:val="Footer"/>
    <w:uiPriority w:val="99"/>
    <w:rsid w:val="00E82871"/>
    <w:rPr>
      <w:rFonts w:ascii="Cambria" w:eastAsia="Cambria" w:hAnsi="Cambria" w:cs="Cambria"/>
    </w:rPr>
  </w:style>
  <w:style w:type="character" w:customStyle="1" w:styleId="BodyTextChar">
    <w:name w:val="Body Text Char"/>
    <w:basedOn w:val="DefaultParagraphFont"/>
    <w:link w:val="BodyText"/>
    <w:uiPriority w:val="1"/>
    <w:rsid w:val="00756094"/>
    <w:rPr>
      <w:rFonts w:ascii="Cambria" w:eastAsia="Cambria" w:hAnsi="Cambria" w:cs="Cambria"/>
    </w:rPr>
  </w:style>
  <w:style w:type="paragraph" w:styleId="Revision">
    <w:name w:val="Revision"/>
    <w:hidden/>
    <w:uiPriority w:val="99"/>
    <w:semiHidden/>
    <w:rsid w:val="00216F9D"/>
    <w:pPr>
      <w:widowControl/>
      <w:autoSpaceDE/>
      <w:autoSpaceDN/>
    </w:pPr>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jouni.aaltonen@afme.eu" TargetMode="External"/><Relationship Id="rId7" Type="http://schemas.openxmlformats.org/officeDocument/2006/relationships/endnotes" Target="endnotes.xml"/><Relationship Id="rId12" Type="http://schemas.openxmlformats.org/officeDocument/2006/relationships/hyperlink" Target="https://www.eba.europa.eu/sites/default/documents/files/document_library/Publications/Reports/2021/1020673/EBA%20Report%20on%20Basel%20III%20Monitoring%20%28data%20as%20of%2031%20December%202020%29.pdf" TargetMode="External"/><Relationship Id="rId17" Type="http://schemas.openxmlformats.org/officeDocument/2006/relationships/hyperlink" Target="https://www.bankingsupervision.europa.eu/ecb/pub/pdf/ssm.guidetointernalmodels_consolidated_201910%7E97fd49fb08.en.pdf"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bis.org/bcbs/publ/d524.pdf" TargetMode="External"/><Relationship Id="rId20" Type="http://schemas.openxmlformats.org/officeDocument/2006/relationships/hyperlink" Target="mailto:slapinsonniere@isd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EN/TXT/?uri=CELEX%3A32019R0876" TargetMode="External"/><Relationship Id="rId24" Type="http://schemas.openxmlformats.org/officeDocument/2006/relationships/hyperlink" Target="http://www.afme.eu/" TargetMode="External"/><Relationship Id="rId5" Type="http://schemas.openxmlformats.org/officeDocument/2006/relationships/webSettings" Target="webSettings.xml"/><Relationship Id="rId15" Type="http://schemas.openxmlformats.org/officeDocument/2006/relationships/hyperlink" Target="https://www.bis.org/bcbs/publ/d524.pdf" TargetMode="External"/><Relationship Id="rId23" Type="http://schemas.openxmlformats.org/officeDocument/2006/relationships/hyperlink" Target="http://www.isda.org/" TargetMode="External"/><Relationship Id="rId10" Type="http://schemas.openxmlformats.org/officeDocument/2006/relationships/hyperlink" Target="https://ec.europa.eu/info/publications/211027-banking-package_en" TargetMode="External"/><Relationship Id="rId19" Type="http://schemas.openxmlformats.org/officeDocument/2006/relationships/hyperlink" Target="mailto:GJones@isda.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c.europa.eu/info/news/cmu-high-level-forum-final-report_en" TargetMode="External"/><Relationship Id="rId22" Type="http://schemas.openxmlformats.org/officeDocument/2006/relationships/hyperlink" Target="mailto:stefano.mazzocchi@afme.eu"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www.isda.org/a/i6MgE/Implications-of-the-FRTB-for-Carbon-Certificat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FECF0-51E3-4704-8DFB-016E8F009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3665</Words>
  <Characters>20893</Characters>
  <Application>Microsoft Office Word</Application>
  <DocSecurity>0</DocSecurity>
  <Lines>174</Lines>
  <Paragraphs>49</Paragraphs>
  <ScaleCrop>false</ScaleCrop>
  <Company/>
  <LinksUpToDate>false</LinksUpToDate>
  <CharactersWithSpaces>24509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amillar</dc:creator>
  <cp:lastModifiedBy>Sandrine Lapinsonniere</cp:lastModifiedBy>
  <cp:revision>3</cp:revision>
  <dcterms:created xsi:type="dcterms:W3CDTF">2022-05-12T06:30:00Z</dcterms:created>
  <dcterms:modified xsi:type="dcterms:W3CDTF">2022-05-13T13:22:00Z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2022-02-24T00:00:00Z</vt:filetime>
  </property>
  <property fmtid="{D5CDD505-2E9C-101B-9397-08002B2CF9AE}" pid="3" name="Creator">
    <vt:lpwstr>Acrobat PDFMaker 21 for Word</vt:lpwstr>
  </property>
  <property fmtid="{D5CDD505-2E9C-101B-9397-08002B2CF9AE}" pid="4" name="LastSaved">
    <vt:filetime>2022-03-09T00:00:00Z</vt:filetime>
  </property>
</Properties>
</file>