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AA83" w14:textId="4E862226" w:rsidR="001D4C35" w:rsidRDefault="001D4C35">
      <w:pPr>
        <w:pStyle w:val="BodyText"/>
        <w:rPr>
          <w:rFonts w:ascii="Times New Roman"/>
          <w:sz w:val="20"/>
        </w:rPr>
      </w:pPr>
    </w:p>
    <w:p w14:paraId="192DA127" w14:textId="570F7FB1" w:rsidR="00C77555" w:rsidRDefault="00D65A23" w:rsidP="00D65A23">
      <w:bookmarkStart w:id="0" w:name="(1)_Output_Floor"/>
      <w:bookmarkStart w:id="1" w:name="AFME_ISDA_Output_floor_position_paper_20"/>
      <w:bookmarkStart w:id="2" w:name="(2)_Credit_Risk"/>
      <w:bookmarkStart w:id="3" w:name="AFME_ISDA_Credit_risk_position_paper_202"/>
      <w:bookmarkStart w:id="4" w:name="(3)_Counterparty_credit_risk"/>
      <w:bookmarkStart w:id="5" w:name="ISDA_AFME_CCR_position_paper_2202015_FIN"/>
      <w:bookmarkEnd w:id="0"/>
      <w:bookmarkEnd w:id="1"/>
      <w:bookmarkEnd w:id="2"/>
      <w:bookmarkEnd w:id="3"/>
      <w:bookmarkEnd w:id="4"/>
      <w:bookmarkEnd w:id="5"/>
      <w:r>
        <w:rPr>
          <w:noProof/>
          <w:sz w:val="20"/>
        </w:rPr>
        <w:drawing>
          <wp:anchor distT="0" distB="0" distL="114300" distR="114300" simplePos="0" relativeHeight="251658240" behindDoc="0" locked="0" layoutInCell="1" allowOverlap="1" wp14:anchorId="7111D568" wp14:editId="35726B68">
            <wp:simplePos x="0" y="0"/>
            <wp:positionH relativeFrom="column">
              <wp:posOffset>4856480</wp:posOffset>
            </wp:positionH>
            <wp:positionV relativeFrom="paragraph">
              <wp:posOffset>3810</wp:posOffset>
            </wp:positionV>
            <wp:extent cx="1721485" cy="602615"/>
            <wp:effectExtent l="0" t="0" r="0" b="0"/>
            <wp:wrapThrough wrapText="bothSides">
              <wp:wrapPolygon edited="0">
                <wp:start x="0" y="0"/>
                <wp:lineTo x="0" y="21168"/>
                <wp:lineTo x="21273" y="21168"/>
                <wp:lineTo x="21273" y="0"/>
                <wp:lineTo x="0" y="0"/>
              </wp:wrapPolygon>
            </wp:wrapThrough>
            <wp:docPr id="3" name="image2.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close-up of a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485" cy="602615"/>
                    </a:xfrm>
                    <a:prstGeom prst="rect">
                      <a:avLst/>
                    </a:prstGeom>
                  </pic:spPr>
                </pic:pic>
              </a:graphicData>
            </a:graphic>
          </wp:anchor>
        </w:drawing>
      </w:r>
      <w:r w:rsidR="002B081F">
        <w:rPr>
          <w:noProof/>
          <w:position w:val="4"/>
          <w:sz w:val="20"/>
        </w:rPr>
        <w:drawing>
          <wp:inline distT="0" distB="0" distL="0" distR="0" wp14:anchorId="7B8C8794" wp14:editId="08DF316C">
            <wp:extent cx="1439904" cy="563879"/>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8" cstate="print"/>
                    <a:stretch>
                      <a:fillRect/>
                    </a:stretch>
                  </pic:blipFill>
                  <pic:spPr>
                    <a:xfrm>
                      <a:off x="0" y="0"/>
                      <a:ext cx="1439904" cy="563879"/>
                    </a:xfrm>
                    <a:prstGeom prst="rect">
                      <a:avLst/>
                    </a:prstGeom>
                  </pic:spPr>
                </pic:pic>
              </a:graphicData>
            </a:graphic>
          </wp:inline>
        </w:drawing>
      </w:r>
    </w:p>
    <w:p w14:paraId="3394C975" w14:textId="3D6F0E9B" w:rsidR="002B081F" w:rsidRDefault="002B081F" w:rsidP="002B081F"/>
    <w:p w14:paraId="4474AC42" w14:textId="2E9159C5" w:rsidR="001D4C35" w:rsidRDefault="00D84817">
      <w:pPr>
        <w:pStyle w:val="Heading1"/>
        <w:spacing w:before="50"/>
        <w:ind w:left="172"/>
      </w:pPr>
      <w:r>
        <w:rPr>
          <w:color w:val="78A12E"/>
        </w:rPr>
        <w:t>CRR 3 - Counterparty Credit Risk</w:t>
      </w:r>
    </w:p>
    <w:p w14:paraId="4474AC43" w14:textId="77777777" w:rsidR="001D4C35" w:rsidRDefault="00D65A23">
      <w:pPr>
        <w:pStyle w:val="Heading2"/>
        <w:spacing w:before="56"/>
        <w:ind w:left="172"/>
      </w:pPr>
      <w:r>
        <w:pict w14:anchorId="4474B033">
          <v:shape id="_x0000_s2134" style="position:absolute;left:0;text-align:left;margin-left:35.25pt;margin-top:18.75pt;width:509.25pt;height:.1pt;z-index:-251627520;mso-wrap-distance-left:0;mso-wrap-distance-right:0;mso-position-horizontal-relative:page" coordorigin="705,375" coordsize="10185,0" path="m705,375r10185,e" filled="f" strokeweight=".72pt">
            <v:path arrowok="t"/>
            <w10:wrap type="topAndBottom" anchorx="page"/>
          </v:shape>
        </w:pict>
      </w:r>
      <w:r w:rsidR="00D84817">
        <w:t>February 2022</w:t>
      </w:r>
    </w:p>
    <w:p w14:paraId="4474AC44" w14:textId="77777777" w:rsidR="001D4C35" w:rsidRDefault="00D84817">
      <w:pPr>
        <w:pStyle w:val="Heading3"/>
        <w:spacing w:before="247"/>
        <w:ind w:left="172"/>
      </w:pPr>
      <w:r>
        <w:rPr>
          <w:u w:val="single"/>
        </w:rPr>
        <w:t>Introduction</w:t>
      </w:r>
    </w:p>
    <w:p w14:paraId="4474AC45" w14:textId="77777777" w:rsidR="001D4C35" w:rsidRDefault="001D4C35">
      <w:pPr>
        <w:pStyle w:val="BodyText"/>
        <w:spacing w:before="7"/>
        <w:rPr>
          <w:b/>
          <w:sz w:val="18"/>
        </w:rPr>
      </w:pPr>
    </w:p>
    <w:p w14:paraId="4474AC46" w14:textId="77777777" w:rsidR="001D4C35" w:rsidRDefault="00D84817">
      <w:pPr>
        <w:pStyle w:val="BodyText"/>
        <w:spacing w:before="100" w:line="276" w:lineRule="auto"/>
        <w:ind w:left="172" w:right="148" w:hanging="1"/>
        <w:jc w:val="both"/>
      </w:pPr>
      <w:r>
        <w:t>This paper sets out the industry’s positions related to Counterparty Credit Risk (CCR). CCR</w:t>
      </w:r>
      <w:hyperlink w:anchor="_bookmark22" w:history="1">
        <w:r>
          <w:rPr>
            <w:position w:val="5"/>
            <w:sz w:val="14"/>
          </w:rPr>
          <w:t>1</w:t>
        </w:r>
      </w:hyperlink>
      <w:r>
        <w:rPr>
          <w:position w:val="5"/>
          <w:sz w:val="14"/>
        </w:rPr>
        <w:t xml:space="preserve"> </w:t>
      </w:r>
      <w:r>
        <w:t>is the risk that the</w:t>
      </w:r>
      <w:r>
        <w:rPr>
          <w:spacing w:val="-7"/>
        </w:rPr>
        <w:t xml:space="preserve"> </w:t>
      </w:r>
      <w:r>
        <w:t>counterparty</w:t>
      </w:r>
      <w:r>
        <w:rPr>
          <w:spacing w:val="-6"/>
        </w:rPr>
        <w:t xml:space="preserve"> </w:t>
      </w:r>
      <w:r>
        <w:t>to</w:t>
      </w:r>
      <w:r>
        <w:rPr>
          <w:spacing w:val="-8"/>
        </w:rPr>
        <w:t xml:space="preserve"> </w:t>
      </w:r>
      <w:r>
        <w:t>a</w:t>
      </w:r>
      <w:r>
        <w:rPr>
          <w:spacing w:val="-10"/>
        </w:rPr>
        <w:t xml:space="preserve"> </w:t>
      </w:r>
      <w:r>
        <w:t>transaction</w:t>
      </w:r>
      <w:r>
        <w:rPr>
          <w:spacing w:val="-6"/>
        </w:rPr>
        <w:t xml:space="preserve"> </w:t>
      </w:r>
      <w:r>
        <w:t>could</w:t>
      </w:r>
      <w:r>
        <w:rPr>
          <w:spacing w:val="-5"/>
        </w:rPr>
        <w:t xml:space="preserve"> </w:t>
      </w:r>
      <w:r>
        <w:t>default</w:t>
      </w:r>
      <w:r>
        <w:rPr>
          <w:spacing w:val="-5"/>
        </w:rPr>
        <w:t xml:space="preserve"> </w:t>
      </w:r>
      <w:r>
        <w:t>before</w:t>
      </w:r>
      <w:r>
        <w:rPr>
          <w:spacing w:val="-6"/>
        </w:rPr>
        <w:t xml:space="preserve"> </w:t>
      </w:r>
      <w:r>
        <w:t>the</w:t>
      </w:r>
      <w:r>
        <w:rPr>
          <w:spacing w:val="-6"/>
        </w:rPr>
        <w:t xml:space="preserve"> </w:t>
      </w:r>
      <w:r>
        <w:t>final</w:t>
      </w:r>
      <w:r>
        <w:rPr>
          <w:spacing w:val="-11"/>
        </w:rPr>
        <w:t xml:space="preserve"> </w:t>
      </w:r>
      <w:r>
        <w:t>settlement</w:t>
      </w:r>
      <w:r>
        <w:rPr>
          <w:spacing w:val="-6"/>
        </w:rPr>
        <w:t xml:space="preserve"> </w:t>
      </w:r>
      <w:r>
        <w:t>of</w:t>
      </w:r>
      <w:r>
        <w:rPr>
          <w:spacing w:val="-6"/>
        </w:rPr>
        <w:t xml:space="preserve"> </w:t>
      </w:r>
      <w:r>
        <w:t>the</w:t>
      </w:r>
      <w:r>
        <w:rPr>
          <w:spacing w:val="-10"/>
        </w:rPr>
        <w:t xml:space="preserve"> </w:t>
      </w:r>
      <w:r>
        <w:t>transaction's</w:t>
      </w:r>
      <w:r>
        <w:rPr>
          <w:spacing w:val="-5"/>
        </w:rPr>
        <w:t xml:space="preserve"> </w:t>
      </w:r>
      <w:r>
        <w:t>cash</w:t>
      </w:r>
      <w:r>
        <w:rPr>
          <w:spacing w:val="-8"/>
        </w:rPr>
        <w:t xml:space="preserve"> </w:t>
      </w:r>
      <w:r>
        <w:t>flows.</w:t>
      </w:r>
      <w:r>
        <w:rPr>
          <w:spacing w:val="-8"/>
        </w:rPr>
        <w:t xml:space="preserve"> </w:t>
      </w:r>
      <w:r>
        <w:t xml:space="preserve">An economic loss would occur if the transactions or portfolio of transactions with the counterparty </w:t>
      </w:r>
      <w:r>
        <w:rPr>
          <w:spacing w:val="-2"/>
        </w:rPr>
        <w:t xml:space="preserve">has </w:t>
      </w:r>
      <w:r>
        <w:t>a positive economic value at the time of default. Unlike a firm's exposure to credit risk through a loan, where the</w:t>
      </w:r>
      <w:r>
        <w:rPr>
          <w:spacing w:val="-10"/>
        </w:rPr>
        <w:t xml:space="preserve"> </w:t>
      </w:r>
      <w:r>
        <w:t>exposure</w:t>
      </w:r>
      <w:r>
        <w:rPr>
          <w:spacing w:val="-9"/>
        </w:rPr>
        <w:t xml:space="preserve"> </w:t>
      </w:r>
      <w:r>
        <w:t>to</w:t>
      </w:r>
      <w:r>
        <w:rPr>
          <w:spacing w:val="-12"/>
        </w:rPr>
        <w:t xml:space="preserve"> </w:t>
      </w:r>
      <w:r>
        <w:t>credit</w:t>
      </w:r>
      <w:r>
        <w:rPr>
          <w:spacing w:val="-8"/>
        </w:rPr>
        <w:t xml:space="preserve"> </w:t>
      </w:r>
      <w:r>
        <w:t>risk</w:t>
      </w:r>
      <w:r>
        <w:rPr>
          <w:spacing w:val="-9"/>
        </w:rPr>
        <w:t xml:space="preserve"> </w:t>
      </w:r>
      <w:r>
        <w:rPr>
          <w:spacing w:val="-3"/>
        </w:rPr>
        <w:t>is</w:t>
      </w:r>
      <w:r>
        <w:rPr>
          <w:spacing w:val="-9"/>
        </w:rPr>
        <w:t xml:space="preserve"> </w:t>
      </w:r>
      <w:r>
        <w:t>unilateral</w:t>
      </w:r>
      <w:r>
        <w:rPr>
          <w:spacing w:val="-10"/>
        </w:rPr>
        <w:t xml:space="preserve"> </w:t>
      </w:r>
      <w:r>
        <w:t>and</w:t>
      </w:r>
      <w:r>
        <w:rPr>
          <w:spacing w:val="-13"/>
        </w:rPr>
        <w:t xml:space="preserve"> </w:t>
      </w:r>
      <w:r>
        <w:t>only</w:t>
      </w:r>
      <w:r>
        <w:rPr>
          <w:spacing w:val="-9"/>
        </w:rPr>
        <w:t xml:space="preserve"> </w:t>
      </w:r>
      <w:r>
        <w:t>the</w:t>
      </w:r>
      <w:r>
        <w:rPr>
          <w:spacing w:val="-9"/>
        </w:rPr>
        <w:t xml:space="preserve"> </w:t>
      </w:r>
      <w:r>
        <w:t>lending</w:t>
      </w:r>
      <w:r>
        <w:rPr>
          <w:spacing w:val="-12"/>
        </w:rPr>
        <w:t xml:space="preserve"> </w:t>
      </w:r>
      <w:r>
        <w:t>bank</w:t>
      </w:r>
      <w:r>
        <w:rPr>
          <w:spacing w:val="-13"/>
        </w:rPr>
        <w:t xml:space="preserve"> </w:t>
      </w:r>
      <w:r>
        <w:t>faces</w:t>
      </w:r>
      <w:r>
        <w:rPr>
          <w:spacing w:val="-12"/>
        </w:rPr>
        <w:t xml:space="preserve"> </w:t>
      </w:r>
      <w:r>
        <w:t>the</w:t>
      </w:r>
      <w:r>
        <w:rPr>
          <w:spacing w:val="-10"/>
        </w:rPr>
        <w:t xml:space="preserve"> </w:t>
      </w:r>
      <w:r>
        <w:t>risk</w:t>
      </w:r>
      <w:r>
        <w:rPr>
          <w:spacing w:val="-9"/>
        </w:rPr>
        <w:t xml:space="preserve"> </w:t>
      </w:r>
      <w:r>
        <w:t>of</w:t>
      </w:r>
      <w:r>
        <w:rPr>
          <w:spacing w:val="-13"/>
        </w:rPr>
        <w:t xml:space="preserve"> </w:t>
      </w:r>
      <w:r>
        <w:t>loss,</w:t>
      </w:r>
      <w:r>
        <w:rPr>
          <w:spacing w:val="-16"/>
        </w:rPr>
        <w:t xml:space="preserve"> </w:t>
      </w:r>
      <w:r>
        <w:t>CCR</w:t>
      </w:r>
      <w:r>
        <w:rPr>
          <w:spacing w:val="-11"/>
        </w:rPr>
        <w:t xml:space="preserve"> </w:t>
      </w:r>
      <w:r>
        <w:t>creates</w:t>
      </w:r>
      <w:r>
        <w:rPr>
          <w:spacing w:val="-12"/>
        </w:rPr>
        <w:t xml:space="preserve"> </w:t>
      </w:r>
      <w:r>
        <w:t>a</w:t>
      </w:r>
      <w:r>
        <w:rPr>
          <w:spacing w:val="-10"/>
        </w:rPr>
        <w:t xml:space="preserve"> </w:t>
      </w:r>
      <w:r>
        <w:t>bilateral risk of loss: the market value of the transaction can be positive or negative to either counterparty to the transaction.</w:t>
      </w:r>
      <w:r>
        <w:rPr>
          <w:spacing w:val="-4"/>
        </w:rPr>
        <w:t xml:space="preserve"> </w:t>
      </w:r>
      <w:r>
        <w:t>The</w:t>
      </w:r>
      <w:r>
        <w:rPr>
          <w:spacing w:val="-2"/>
        </w:rPr>
        <w:t xml:space="preserve"> </w:t>
      </w:r>
      <w:r>
        <w:t>market</w:t>
      </w:r>
      <w:r>
        <w:rPr>
          <w:spacing w:val="-1"/>
        </w:rPr>
        <w:t xml:space="preserve"> </w:t>
      </w:r>
      <w:r>
        <w:t>value</w:t>
      </w:r>
      <w:r>
        <w:rPr>
          <w:spacing w:val="-2"/>
        </w:rPr>
        <w:t xml:space="preserve"> </w:t>
      </w:r>
      <w:r>
        <w:t>is</w:t>
      </w:r>
      <w:r>
        <w:rPr>
          <w:spacing w:val="-2"/>
        </w:rPr>
        <w:t xml:space="preserve"> </w:t>
      </w:r>
      <w:r>
        <w:t>uncertain</w:t>
      </w:r>
      <w:r>
        <w:rPr>
          <w:spacing w:val="-5"/>
        </w:rPr>
        <w:t xml:space="preserve"> </w:t>
      </w:r>
      <w:r>
        <w:t>and</w:t>
      </w:r>
      <w:r>
        <w:rPr>
          <w:spacing w:val="-1"/>
        </w:rPr>
        <w:t xml:space="preserve"> </w:t>
      </w:r>
      <w:r>
        <w:t>can</w:t>
      </w:r>
      <w:r>
        <w:rPr>
          <w:spacing w:val="-6"/>
        </w:rPr>
        <w:t xml:space="preserve"> </w:t>
      </w:r>
      <w:r>
        <w:t>vary</w:t>
      </w:r>
      <w:r>
        <w:rPr>
          <w:spacing w:val="-1"/>
        </w:rPr>
        <w:t xml:space="preserve"> </w:t>
      </w:r>
      <w:r>
        <w:t>over</w:t>
      </w:r>
      <w:r>
        <w:rPr>
          <w:spacing w:val="-2"/>
        </w:rPr>
        <w:t xml:space="preserve"> </w:t>
      </w:r>
      <w:r>
        <w:t>time</w:t>
      </w:r>
      <w:r>
        <w:rPr>
          <w:spacing w:val="-6"/>
        </w:rPr>
        <w:t xml:space="preserve"> </w:t>
      </w:r>
      <w:r>
        <w:t>with</w:t>
      </w:r>
      <w:r>
        <w:rPr>
          <w:spacing w:val="-4"/>
        </w:rPr>
        <w:t xml:space="preserve"> </w:t>
      </w:r>
      <w:r>
        <w:t>the</w:t>
      </w:r>
      <w:r>
        <w:rPr>
          <w:spacing w:val="-2"/>
        </w:rPr>
        <w:t xml:space="preserve"> </w:t>
      </w:r>
      <w:r>
        <w:t>movement</w:t>
      </w:r>
      <w:r>
        <w:rPr>
          <w:spacing w:val="-4"/>
        </w:rPr>
        <w:t xml:space="preserve"> </w:t>
      </w:r>
      <w:r>
        <w:t>of</w:t>
      </w:r>
      <w:r>
        <w:rPr>
          <w:spacing w:val="-2"/>
        </w:rPr>
        <w:t xml:space="preserve"> </w:t>
      </w:r>
      <w:r>
        <w:t>underlying</w:t>
      </w:r>
      <w:r>
        <w:rPr>
          <w:spacing w:val="-8"/>
        </w:rPr>
        <w:t xml:space="preserve"> </w:t>
      </w:r>
      <w:r>
        <w:t>market factors.</w:t>
      </w:r>
    </w:p>
    <w:p w14:paraId="4474AC47" w14:textId="77777777" w:rsidR="001D4C35" w:rsidRDefault="001D4C35">
      <w:pPr>
        <w:pStyle w:val="BodyText"/>
        <w:spacing w:before="1"/>
        <w:rPr>
          <w:sz w:val="24"/>
        </w:rPr>
      </w:pPr>
    </w:p>
    <w:p w14:paraId="4474AC48" w14:textId="77777777" w:rsidR="001D4C35" w:rsidRDefault="00D84817">
      <w:pPr>
        <w:pStyle w:val="BodyText"/>
        <w:spacing w:line="276" w:lineRule="auto"/>
        <w:ind w:left="171" w:right="149"/>
        <w:jc w:val="both"/>
      </w:pPr>
      <w:r>
        <w:t>Under the CRR framework, there are two main areas which continue to have a significant impact on banks’ capacity to maintain and develop hedging and market-capabilities services.</w:t>
      </w:r>
    </w:p>
    <w:p w14:paraId="4474AC49" w14:textId="77777777" w:rsidR="001D4C35" w:rsidRDefault="001D4C35">
      <w:pPr>
        <w:pStyle w:val="BodyText"/>
        <w:spacing w:before="9"/>
        <w:rPr>
          <w:sz w:val="23"/>
        </w:rPr>
      </w:pPr>
    </w:p>
    <w:p w14:paraId="4474AC4A" w14:textId="77777777" w:rsidR="001D4C35" w:rsidRDefault="00D84817">
      <w:pPr>
        <w:pStyle w:val="ListParagraph"/>
        <w:numPr>
          <w:ilvl w:val="1"/>
          <w:numId w:val="20"/>
        </w:numPr>
        <w:tabs>
          <w:tab w:val="left" w:pos="892"/>
        </w:tabs>
        <w:spacing w:line="276" w:lineRule="auto"/>
        <w:ind w:right="146" w:hanging="360"/>
      </w:pPr>
      <w:r>
        <w:t xml:space="preserve">The </w:t>
      </w:r>
      <w:proofErr w:type="spellStart"/>
      <w:r>
        <w:t>Standardised</w:t>
      </w:r>
      <w:proofErr w:type="spellEnd"/>
      <w:r>
        <w:t xml:space="preserve"> Approach for Counterparty Credit Risk (SA-CCR) was introduced as part of CRR 2 in June 2021, which has led to disproportionate increases in capital requirements for banks under the Standardized Approach and significantly increased hedging costs for end-users, mainly due to the alpha factor applied in the SA-CCR formula. Its impact is however not limited to </w:t>
      </w:r>
      <w:proofErr w:type="spellStart"/>
      <w:r>
        <w:t>standardised</w:t>
      </w:r>
      <w:proofErr w:type="spellEnd"/>
      <w:r>
        <w:t xml:space="preserve"> approach calculation for CCR risk weighted assets (RWAs) as it as affects many other parts of the prudential framework. In particular, it will affect all derivatives users, not just firms that only apply </w:t>
      </w:r>
      <w:proofErr w:type="spellStart"/>
      <w:r>
        <w:t>standardised</w:t>
      </w:r>
      <w:proofErr w:type="spellEnd"/>
      <w:r>
        <w:rPr>
          <w:spacing w:val="-10"/>
        </w:rPr>
        <w:t xml:space="preserve"> </w:t>
      </w:r>
      <w:r>
        <w:t>methodologies.</w:t>
      </w:r>
      <w:r>
        <w:rPr>
          <w:spacing w:val="-8"/>
        </w:rPr>
        <w:t xml:space="preserve"> </w:t>
      </w:r>
      <w:r>
        <w:t>Other</w:t>
      </w:r>
      <w:r>
        <w:rPr>
          <w:spacing w:val="-7"/>
        </w:rPr>
        <w:t xml:space="preserve"> </w:t>
      </w:r>
      <w:r>
        <w:t>impacts</w:t>
      </w:r>
      <w:r>
        <w:rPr>
          <w:spacing w:val="-9"/>
        </w:rPr>
        <w:t xml:space="preserve"> </w:t>
      </w:r>
      <w:r>
        <w:t>are</w:t>
      </w:r>
      <w:r>
        <w:rPr>
          <w:spacing w:val="-7"/>
        </w:rPr>
        <w:t xml:space="preserve"> </w:t>
      </w:r>
      <w:r>
        <w:t>to</w:t>
      </w:r>
      <w:r>
        <w:rPr>
          <w:spacing w:val="-12"/>
        </w:rPr>
        <w:t xml:space="preserve"> </w:t>
      </w:r>
      <w:r>
        <w:t>the</w:t>
      </w:r>
      <w:r>
        <w:rPr>
          <w:spacing w:val="-7"/>
        </w:rPr>
        <w:t xml:space="preserve"> </w:t>
      </w:r>
      <w:r>
        <w:t>leverage</w:t>
      </w:r>
      <w:r>
        <w:rPr>
          <w:spacing w:val="-7"/>
        </w:rPr>
        <w:t xml:space="preserve"> </w:t>
      </w:r>
      <w:r>
        <w:t>ratio</w:t>
      </w:r>
      <w:r>
        <w:rPr>
          <w:spacing w:val="-8"/>
        </w:rPr>
        <w:t xml:space="preserve"> </w:t>
      </w:r>
      <w:r>
        <w:t>and</w:t>
      </w:r>
      <w:r>
        <w:rPr>
          <w:spacing w:val="-6"/>
        </w:rPr>
        <w:t xml:space="preserve"> </w:t>
      </w:r>
      <w:r>
        <w:t>large</w:t>
      </w:r>
      <w:r>
        <w:rPr>
          <w:spacing w:val="-10"/>
        </w:rPr>
        <w:t xml:space="preserve"> </w:t>
      </w:r>
      <w:r>
        <w:t>exposure</w:t>
      </w:r>
      <w:r>
        <w:rPr>
          <w:spacing w:val="-11"/>
        </w:rPr>
        <w:t xml:space="preserve"> </w:t>
      </w:r>
      <w:r>
        <w:t>framework.</w:t>
      </w:r>
    </w:p>
    <w:p w14:paraId="4474AC4B" w14:textId="77777777" w:rsidR="001D4C35" w:rsidRDefault="00D84817">
      <w:pPr>
        <w:pStyle w:val="ListParagraph"/>
        <w:numPr>
          <w:ilvl w:val="1"/>
          <w:numId w:val="20"/>
        </w:numPr>
        <w:tabs>
          <w:tab w:val="left" w:pos="892"/>
        </w:tabs>
        <w:spacing w:line="276" w:lineRule="auto"/>
        <w:ind w:right="147" w:hanging="360"/>
      </w:pPr>
      <w:r>
        <w:t xml:space="preserve">Under CRR3, the </w:t>
      </w:r>
      <w:proofErr w:type="spellStart"/>
      <w:r>
        <w:t>Standardised</w:t>
      </w:r>
      <w:proofErr w:type="spellEnd"/>
      <w:r>
        <w:t xml:space="preserve"> Approach for Credit Risk (SA-CR) is of increasing relevance. SA-CR risk weights applies to both unfloored RWAs for non-IRB banks, and to the RWA output floor. For Securities Financing Transactions (SFTs), SA-CR risk weights are overly conservative and not commensurate to the low underlying risks as it does not reflect the short-term maturity and quality of collateral backing these transactions. SFTs allow investors and firms to use assets, mainly high- quality</w:t>
      </w:r>
      <w:r>
        <w:rPr>
          <w:spacing w:val="-3"/>
        </w:rPr>
        <w:t xml:space="preserve"> </w:t>
      </w:r>
      <w:r>
        <w:t>government</w:t>
      </w:r>
      <w:r>
        <w:rPr>
          <w:spacing w:val="-3"/>
        </w:rPr>
        <w:t xml:space="preserve"> </w:t>
      </w:r>
      <w:r>
        <w:t>bonds</w:t>
      </w:r>
      <w:r>
        <w:rPr>
          <w:spacing w:val="-6"/>
        </w:rPr>
        <w:t xml:space="preserve"> </w:t>
      </w:r>
      <w:r>
        <w:t>to</w:t>
      </w:r>
      <w:r>
        <w:rPr>
          <w:spacing w:val="-4"/>
        </w:rPr>
        <w:t xml:space="preserve"> </w:t>
      </w:r>
      <w:r>
        <w:t>secure</w:t>
      </w:r>
      <w:r>
        <w:rPr>
          <w:spacing w:val="-3"/>
        </w:rPr>
        <w:t xml:space="preserve"> </w:t>
      </w:r>
      <w:r>
        <w:t>funding</w:t>
      </w:r>
      <w:r>
        <w:rPr>
          <w:spacing w:val="-5"/>
        </w:rPr>
        <w:t xml:space="preserve"> </w:t>
      </w:r>
      <w:r>
        <w:t>for</w:t>
      </w:r>
      <w:r>
        <w:rPr>
          <w:spacing w:val="-3"/>
        </w:rPr>
        <w:t xml:space="preserve"> </w:t>
      </w:r>
      <w:r>
        <w:t>their</w:t>
      </w:r>
      <w:r>
        <w:rPr>
          <w:spacing w:val="-2"/>
        </w:rPr>
        <w:t xml:space="preserve"> </w:t>
      </w:r>
      <w:r>
        <w:t>activities.</w:t>
      </w:r>
      <w:r>
        <w:rPr>
          <w:spacing w:val="-9"/>
        </w:rPr>
        <w:t xml:space="preserve"> </w:t>
      </w:r>
      <w:r>
        <w:t>Unless</w:t>
      </w:r>
      <w:r>
        <w:rPr>
          <w:spacing w:val="-3"/>
        </w:rPr>
        <w:t xml:space="preserve"> </w:t>
      </w:r>
      <w:r>
        <w:t>the</w:t>
      </w:r>
      <w:r>
        <w:rPr>
          <w:spacing w:val="-2"/>
        </w:rPr>
        <w:t xml:space="preserve"> </w:t>
      </w:r>
      <w:r>
        <w:t>calibration</w:t>
      </w:r>
      <w:r>
        <w:rPr>
          <w:spacing w:val="-3"/>
        </w:rPr>
        <w:t xml:space="preserve"> </w:t>
      </w:r>
      <w:r>
        <w:t>is</w:t>
      </w:r>
      <w:r>
        <w:rPr>
          <w:spacing w:val="-3"/>
        </w:rPr>
        <w:t xml:space="preserve"> </w:t>
      </w:r>
      <w:r>
        <w:t>revised,</w:t>
      </w:r>
      <w:r>
        <w:rPr>
          <w:spacing w:val="-5"/>
        </w:rPr>
        <w:t xml:space="preserve"> </w:t>
      </w:r>
      <w:r>
        <w:t>the increased cost of SFTs that underpin the functioning of financial markets and the efficiency of EU sovereign debt markets will be negatively affected. Similarly for derivative contracts, SA-CR risk weights do not reflect that counterparty downgrade risk is already captured by the CVA risk framework and thus these risk weights should be adjusted</w:t>
      </w:r>
      <w:r>
        <w:rPr>
          <w:spacing w:val="-1"/>
        </w:rPr>
        <w:t xml:space="preserve"> </w:t>
      </w:r>
      <w:r>
        <w:t>accordingly.</w:t>
      </w:r>
    </w:p>
    <w:p w14:paraId="4474AC4C" w14:textId="77777777" w:rsidR="001D4C35" w:rsidRDefault="001D4C35">
      <w:pPr>
        <w:pStyle w:val="BodyText"/>
        <w:spacing w:before="1"/>
        <w:rPr>
          <w:sz w:val="24"/>
        </w:rPr>
      </w:pPr>
    </w:p>
    <w:p w14:paraId="4474AC4D" w14:textId="77777777" w:rsidR="001D4C35" w:rsidRDefault="00D84817">
      <w:pPr>
        <w:pStyle w:val="BodyText"/>
        <w:spacing w:line="276" w:lineRule="auto"/>
        <w:ind w:left="172" w:right="214"/>
        <w:jc w:val="both"/>
      </w:pPr>
      <w:r>
        <w:rPr>
          <w:u w:val="single"/>
        </w:rPr>
        <w:t>This paper will cover respectively two sections, the first will cover SA-CCR and the second will focus on the</w:t>
      </w:r>
      <w:r>
        <w:t xml:space="preserve"> </w:t>
      </w:r>
      <w:r>
        <w:rPr>
          <w:u w:val="single"/>
        </w:rPr>
        <w:t>SA-CR application to SFTs and derivative contracts</w:t>
      </w:r>
    </w:p>
    <w:p w14:paraId="4474AC4E" w14:textId="77777777" w:rsidR="001D4C35" w:rsidRDefault="001D4C35">
      <w:pPr>
        <w:pStyle w:val="BodyText"/>
        <w:spacing w:before="3"/>
        <w:rPr>
          <w:sz w:val="15"/>
        </w:rPr>
      </w:pPr>
    </w:p>
    <w:p w14:paraId="4474AC4F" w14:textId="77777777" w:rsidR="001D4C35" w:rsidRDefault="00D84817">
      <w:pPr>
        <w:pStyle w:val="ListParagraph"/>
        <w:numPr>
          <w:ilvl w:val="0"/>
          <w:numId w:val="19"/>
        </w:numPr>
        <w:tabs>
          <w:tab w:val="left" w:pos="924"/>
          <w:tab w:val="left" w:pos="925"/>
        </w:tabs>
        <w:spacing w:before="100"/>
        <w:jc w:val="left"/>
        <w:rPr>
          <w:rFonts w:ascii="Symbol" w:hAnsi="Symbol"/>
        </w:rPr>
      </w:pPr>
      <w:r>
        <w:t>The SA-CCR section with the key industry priorities can be found through pages 2 to</w:t>
      </w:r>
      <w:r>
        <w:rPr>
          <w:spacing w:val="-21"/>
        </w:rPr>
        <w:t xml:space="preserve"> </w:t>
      </w:r>
      <w:r>
        <w:t>5.</w:t>
      </w:r>
    </w:p>
    <w:p w14:paraId="4474AC50" w14:textId="77777777" w:rsidR="001D4C35" w:rsidRDefault="00D84817">
      <w:pPr>
        <w:pStyle w:val="ListParagraph"/>
        <w:numPr>
          <w:ilvl w:val="0"/>
          <w:numId w:val="19"/>
        </w:numPr>
        <w:tabs>
          <w:tab w:val="left" w:pos="924"/>
          <w:tab w:val="left" w:pos="925"/>
        </w:tabs>
        <w:spacing w:before="38"/>
        <w:jc w:val="left"/>
        <w:rPr>
          <w:rFonts w:ascii="Symbol" w:hAnsi="Symbol"/>
        </w:rPr>
      </w:pPr>
      <w:r>
        <w:t>The SA-CR section can be found through pages 6 to</w:t>
      </w:r>
      <w:r>
        <w:rPr>
          <w:spacing w:val="-9"/>
        </w:rPr>
        <w:t xml:space="preserve"> </w:t>
      </w:r>
      <w:r>
        <w:t>7.</w:t>
      </w:r>
    </w:p>
    <w:p w14:paraId="4474AC51" w14:textId="77777777" w:rsidR="001D4C35" w:rsidRDefault="00D84817">
      <w:pPr>
        <w:pStyle w:val="ListParagraph"/>
        <w:numPr>
          <w:ilvl w:val="0"/>
          <w:numId w:val="19"/>
        </w:numPr>
        <w:tabs>
          <w:tab w:val="left" w:pos="924"/>
          <w:tab w:val="left" w:pos="925"/>
        </w:tabs>
        <w:spacing w:before="38" w:line="273" w:lineRule="auto"/>
        <w:ind w:right="486" w:hanging="360"/>
        <w:jc w:val="left"/>
        <w:rPr>
          <w:rFonts w:ascii="Symbol" w:hAnsi="Symbol"/>
        </w:rPr>
      </w:pPr>
      <w:r>
        <w:t>We</w:t>
      </w:r>
      <w:r>
        <w:rPr>
          <w:spacing w:val="-3"/>
        </w:rPr>
        <w:t xml:space="preserve"> </w:t>
      </w:r>
      <w:r>
        <w:t>have</w:t>
      </w:r>
      <w:r>
        <w:rPr>
          <w:spacing w:val="-3"/>
        </w:rPr>
        <w:t xml:space="preserve"> </w:t>
      </w:r>
      <w:r>
        <w:t>also</w:t>
      </w:r>
      <w:r>
        <w:rPr>
          <w:spacing w:val="-4"/>
        </w:rPr>
        <w:t xml:space="preserve"> </w:t>
      </w:r>
      <w:r>
        <w:t>included</w:t>
      </w:r>
      <w:r>
        <w:rPr>
          <w:spacing w:val="-2"/>
        </w:rPr>
        <w:t xml:space="preserve"> </w:t>
      </w:r>
      <w:r>
        <w:t>additional</w:t>
      </w:r>
      <w:r>
        <w:rPr>
          <w:spacing w:val="-4"/>
        </w:rPr>
        <w:t xml:space="preserve"> </w:t>
      </w:r>
      <w:r>
        <w:t>recommendations</w:t>
      </w:r>
      <w:r>
        <w:rPr>
          <w:spacing w:val="-3"/>
        </w:rPr>
        <w:t xml:space="preserve"> </w:t>
      </w:r>
      <w:r>
        <w:t>related</w:t>
      </w:r>
      <w:r>
        <w:rPr>
          <w:spacing w:val="-1"/>
        </w:rPr>
        <w:t xml:space="preserve"> </w:t>
      </w:r>
      <w:r>
        <w:t>to</w:t>
      </w:r>
      <w:r>
        <w:rPr>
          <w:spacing w:val="-5"/>
        </w:rPr>
        <w:t xml:space="preserve"> </w:t>
      </w:r>
      <w:r>
        <w:t>SA-CCR</w:t>
      </w:r>
      <w:r>
        <w:rPr>
          <w:spacing w:val="-4"/>
        </w:rPr>
        <w:t xml:space="preserve"> </w:t>
      </w:r>
      <w:r>
        <w:t>as</w:t>
      </w:r>
      <w:r>
        <w:rPr>
          <w:spacing w:val="-3"/>
        </w:rPr>
        <w:t xml:space="preserve"> </w:t>
      </w:r>
      <w:r>
        <w:t>an</w:t>
      </w:r>
      <w:r>
        <w:rPr>
          <w:spacing w:val="-3"/>
        </w:rPr>
        <w:t xml:space="preserve"> </w:t>
      </w:r>
      <w:r>
        <w:t>annex</w:t>
      </w:r>
      <w:r>
        <w:rPr>
          <w:spacing w:val="-2"/>
        </w:rPr>
        <w:t xml:space="preserve"> </w:t>
      </w:r>
      <w:r>
        <w:t>which</w:t>
      </w:r>
      <w:r>
        <w:rPr>
          <w:spacing w:val="-4"/>
        </w:rPr>
        <w:t xml:space="preserve"> </w:t>
      </w:r>
      <w:r>
        <w:t>can</w:t>
      </w:r>
      <w:r>
        <w:rPr>
          <w:spacing w:val="-3"/>
        </w:rPr>
        <w:t xml:space="preserve"> </w:t>
      </w:r>
      <w:r>
        <w:t>be found on pages 8-13.</w:t>
      </w:r>
    </w:p>
    <w:p w14:paraId="4474AC52" w14:textId="77777777" w:rsidR="001D4C35" w:rsidRDefault="001D4C35">
      <w:pPr>
        <w:pStyle w:val="BodyText"/>
        <w:rPr>
          <w:sz w:val="20"/>
        </w:rPr>
      </w:pPr>
    </w:p>
    <w:p w14:paraId="4474AC53" w14:textId="77777777" w:rsidR="001D4C35" w:rsidRDefault="001D4C35">
      <w:pPr>
        <w:pStyle w:val="BodyText"/>
        <w:rPr>
          <w:sz w:val="20"/>
        </w:rPr>
      </w:pPr>
    </w:p>
    <w:p w14:paraId="4474AC54" w14:textId="77777777" w:rsidR="001D4C35" w:rsidRDefault="001D4C35">
      <w:pPr>
        <w:pStyle w:val="BodyText"/>
        <w:rPr>
          <w:sz w:val="20"/>
        </w:rPr>
      </w:pPr>
    </w:p>
    <w:p w14:paraId="4474AC55" w14:textId="77777777" w:rsidR="001D4C35" w:rsidRDefault="001D4C35">
      <w:pPr>
        <w:pStyle w:val="BodyText"/>
        <w:rPr>
          <w:sz w:val="20"/>
        </w:rPr>
      </w:pPr>
    </w:p>
    <w:p w14:paraId="4474AC56" w14:textId="77777777" w:rsidR="001D4C35" w:rsidRDefault="00D65A23">
      <w:pPr>
        <w:pStyle w:val="BodyText"/>
        <w:spacing w:before="5"/>
        <w:rPr>
          <w:sz w:val="23"/>
        </w:rPr>
      </w:pPr>
      <w:r>
        <w:pict w14:anchorId="4474B034">
          <v:shape id="_x0000_s2133" style="position:absolute;margin-left:44.2pt;margin-top:16pt;width:2in;height:.1pt;z-index:-251626496;mso-wrap-distance-left:0;mso-wrap-distance-right:0;mso-position-horizontal-relative:page" coordorigin="884,320" coordsize="2880,0" path="m884,320r2880,e" filled="f" strokeweight=".21131mm">
            <v:path arrowok="t"/>
            <w10:wrap type="topAndBottom" anchorx="page"/>
          </v:shape>
        </w:pict>
      </w:r>
    </w:p>
    <w:p w14:paraId="4474AC57" w14:textId="77777777" w:rsidR="001D4C35" w:rsidRDefault="00D84817">
      <w:pPr>
        <w:spacing w:before="71"/>
        <w:ind w:left="172"/>
        <w:rPr>
          <w:sz w:val="16"/>
        </w:rPr>
      </w:pPr>
      <w:bookmarkStart w:id="6" w:name="_bookmark22"/>
      <w:bookmarkEnd w:id="6"/>
      <w:r>
        <w:rPr>
          <w:position w:val="4"/>
          <w:sz w:val="10"/>
        </w:rPr>
        <w:lastRenderedPageBreak/>
        <w:t xml:space="preserve">1 </w:t>
      </w:r>
      <w:hyperlink r:id="rId9">
        <w:r>
          <w:rPr>
            <w:color w:val="0000FF"/>
            <w:sz w:val="16"/>
            <w:u w:val="single" w:color="0000FF"/>
          </w:rPr>
          <w:t>https://www.bis.org/basel_framework/chapter/CRE/50.htm</w:t>
        </w:r>
      </w:hyperlink>
    </w:p>
    <w:p w14:paraId="4474AC58" w14:textId="77777777" w:rsidR="001D4C35" w:rsidRDefault="001D4C35">
      <w:pPr>
        <w:rPr>
          <w:sz w:val="16"/>
        </w:rPr>
        <w:sectPr w:rsidR="001D4C35">
          <w:footerReference w:type="default" r:id="rId10"/>
          <w:pgSz w:w="11910" w:h="16840"/>
          <w:pgMar w:top="520" w:right="840" w:bottom="900" w:left="680" w:header="0" w:footer="704" w:gutter="0"/>
          <w:pgNumType w:start="1"/>
          <w:cols w:space="720"/>
        </w:sectPr>
      </w:pPr>
    </w:p>
    <w:p w14:paraId="4474AC59" w14:textId="77777777" w:rsidR="001D4C35" w:rsidRDefault="00D84817">
      <w:pPr>
        <w:tabs>
          <w:tab w:val="left" w:pos="7925"/>
        </w:tabs>
        <w:ind w:left="186"/>
        <w:rPr>
          <w:sz w:val="20"/>
        </w:rPr>
      </w:pPr>
      <w:r>
        <w:rPr>
          <w:noProof/>
          <w:position w:val="11"/>
          <w:sz w:val="20"/>
        </w:rPr>
        <w:lastRenderedPageBreak/>
        <w:drawing>
          <wp:inline distT="0" distB="0" distL="0" distR="0" wp14:anchorId="4474B035" wp14:editId="4474B036">
            <wp:extent cx="1679117" cy="442722"/>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37" wp14:editId="4474B038">
            <wp:extent cx="1427865" cy="572643"/>
            <wp:effectExtent l="0" t="0" r="0" b="0"/>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C5A" w14:textId="77777777" w:rsidR="001D4C35" w:rsidRDefault="001D4C35">
      <w:pPr>
        <w:pStyle w:val="BodyText"/>
        <w:rPr>
          <w:sz w:val="20"/>
        </w:rPr>
      </w:pPr>
    </w:p>
    <w:p w14:paraId="4474AC5B" w14:textId="77777777" w:rsidR="001D4C35" w:rsidRDefault="001D4C35">
      <w:pPr>
        <w:pStyle w:val="BodyText"/>
        <w:rPr>
          <w:sz w:val="20"/>
        </w:rPr>
      </w:pPr>
    </w:p>
    <w:p w14:paraId="4474AC5C" w14:textId="77777777" w:rsidR="001D4C35" w:rsidRDefault="001D4C35">
      <w:pPr>
        <w:pStyle w:val="BodyText"/>
        <w:spacing w:before="4"/>
        <w:rPr>
          <w:sz w:val="18"/>
        </w:rPr>
      </w:pPr>
    </w:p>
    <w:p w14:paraId="4474AC5D" w14:textId="77777777" w:rsidR="001D4C35" w:rsidRDefault="00D84817">
      <w:pPr>
        <w:spacing w:before="101"/>
        <w:ind w:left="531"/>
        <w:rPr>
          <w:b/>
        </w:rPr>
      </w:pPr>
      <w:bookmarkStart w:id="7" w:name="1._The_Standardised_Approach_for_Counter"/>
      <w:bookmarkEnd w:id="7"/>
      <w:r>
        <w:rPr>
          <w:b/>
          <w:color w:val="233E5F"/>
        </w:rPr>
        <w:t xml:space="preserve">1. The </w:t>
      </w:r>
      <w:proofErr w:type="spellStart"/>
      <w:r>
        <w:rPr>
          <w:b/>
          <w:color w:val="233E5F"/>
        </w:rPr>
        <w:t>Standardised</w:t>
      </w:r>
      <w:proofErr w:type="spellEnd"/>
      <w:r>
        <w:rPr>
          <w:b/>
          <w:color w:val="233E5F"/>
        </w:rPr>
        <w:t xml:space="preserve"> Approach for Counterparty Credit Risk (SA-CCR)</w:t>
      </w:r>
    </w:p>
    <w:p w14:paraId="4474AC5E" w14:textId="77777777" w:rsidR="001D4C35" w:rsidRDefault="001D4C35">
      <w:pPr>
        <w:pStyle w:val="BodyText"/>
        <w:spacing w:before="1"/>
        <w:rPr>
          <w:b/>
          <w:sz w:val="27"/>
        </w:rPr>
      </w:pPr>
    </w:p>
    <w:p w14:paraId="4474AC5F" w14:textId="77777777" w:rsidR="001D4C35" w:rsidRDefault="00D84817">
      <w:pPr>
        <w:pStyle w:val="BodyText"/>
        <w:spacing w:line="276" w:lineRule="auto"/>
        <w:ind w:left="171" w:right="147"/>
        <w:jc w:val="both"/>
      </w:pPr>
      <w:r>
        <w:t>The new Standardized Approach for Counterparty Credit Risk (SA-CCR), which replaced the Current Exposure Method (CEM) and the Standardized Method (SM), for the calculation of Counterparty Credit Risk (CCR)</w:t>
      </w:r>
      <w:hyperlink w:anchor="_bookmark23" w:history="1">
        <w:r>
          <w:rPr>
            <w:position w:val="5"/>
            <w:sz w:val="14"/>
          </w:rPr>
          <w:t>2</w:t>
        </w:r>
      </w:hyperlink>
      <w:r>
        <w:rPr>
          <w:position w:val="5"/>
          <w:sz w:val="14"/>
        </w:rPr>
        <w:t xml:space="preserve"> </w:t>
      </w:r>
      <w:r>
        <w:t>exposures arising from derivatives transactions, as part of the Regulation (EU) 2019/876 (“CRR2”)</w:t>
      </w:r>
      <w:hyperlink w:anchor="_bookmark24" w:history="1">
        <w:r>
          <w:rPr>
            <w:position w:val="5"/>
            <w:sz w:val="14"/>
          </w:rPr>
          <w:t>3</w:t>
        </w:r>
      </w:hyperlink>
      <w:r>
        <w:t>. While more risk-sensitive, SA-CCR, in its current design and calibration, leads to disproportionate increases in</w:t>
      </w:r>
      <w:r>
        <w:rPr>
          <w:spacing w:val="-11"/>
        </w:rPr>
        <w:t xml:space="preserve"> </w:t>
      </w:r>
      <w:r>
        <w:t>capital</w:t>
      </w:r>
      <w:r>
        <w:rPr>
          <w:spacing w:val="-12"/>
        </w:rPr>
        <w:t xml:space="preserve"> </w:t>
      </w:r>
      <w:r>
        <w:t>requirements</w:t>
      </w:r>
      <w:r>
        <w:rPr>
          <w:spacing w:val="-13"/>
        </w:rPr>
        <w:t xml:space="preserve"> </w:t>
      </w:r>
      <w:r>
        <w:t>for</w:t>
      </w:r>
      <w:r>
        <w:rPr>
          <w:spacing w:val="-11"/>
        </w:rPr>
        <w:t xml:space="preserve"> </w:t>
      </w:r>
      <w:r>
        <w:t>banks</w:t>
      </w:r>
      <w:hyperlink w:anchor="_bookmark25" w:history="1">
        <w:r>
          <w:rPr>
            <w:position w:val="5"/>
            <w:sz w:val="14"/>
          </w:rPr>
          <w:t>4</w:t>
        </w:r>
        <w:r>
          <w:rPr>
            <w:spacing w:val="4"/>
            <w:position w:val="5"/>
            <w:sz w:val="14"/>
          </w:rPr>
          <w:t xml:space="preserve"> </w:t>
        </w:r>
      </w:hyperlink>
      <w:r>
        <w:t>and</w:t>
      </w:r>
      <w:r>
        <w:rPr>
          <w:spacing w:val="-9"/>
        </w:rPr>
        <w:t xml:space="preserve"> </w:t>
      </w:r>
      <w:r>
        <w:t>significantly</w:t>
      </w:r>
      <w:r>
        <w:rPr>
          <w:spacing w:val="-11"/>
        </w:rPr>
        <w:t xml:space="preserve"> </w:t>
      </w:r>
      <w:r>
        <w:t>increased</w:t>
      </w:r>
      <w:r>
        <w:rPr>
          <w:spacing w:val="-10"/>
        </w:rPr>
        <w:t xml:space="preserve"> </w:t>
      </w:r>
      <w:r>
        <w:t>costs</w:t>
      </w:r>
      <w:r>
        <w:rPr>
          <w:spacing w:val="-10"/>
        </w:rPr>
        <w:t xml:space="preserve"> </w:t>
      </w:r>
      <w:r>
        <w:t>for</w:t>
      </w:r>
      <w:r>
        <w:rPr>
          <w:spacing w:val="-14"/>
        </w:rPr>
        <w:t xml:space="preserve"> </w:t>
      </w:r>
      <w:r>
        <w:t>end-users</w:t>
      </w:r>
      <w:r>
        <w:rPr>
          <w:spacing w:val="-10"/>
        </w:rPr>
        <w:t xml:space="preserve"> </w:t>
      </w:r>
      <w:r>
        <w:t>(e.g.</w:t>
      </w:r>
      <w:r>
        <w:rPr>
          <w:spacing w:val="-12"/>
        </w:rPr>
        <w:t xml:space="preserve"> </w:t>
      </w:r>
      <w:r>
        <w:t>corporates</w:t>
      </w:r>
      <w:r>
        <w:rPr>
          <w:spacing w:val="-10"/>
        </w:rPr>
        <w:t xml:space="preserve"> </w:t>
      </w:r>
      <w:r>
        <w:t>–</w:t>
      </w:r>
      <w:r>
        <w:rPr>
          <w:spacing w:val="-14"/>
        </w:rPr>
        <w:t xml:space="preserve"> </w:t>
      </w:r>
      <w:r>
        <w:t>including SMEs, pension funds, etc.) who typically use long dated non-cleared derivatives to hedge risk, and benefit less from the improvements, made through the introduction of SA-CCR, in capturing portfolio netting benefits.</w:t>
      </w:r>
    </w:p>
    <w:p w14:paraId="4474AC60" w14:textId="77777777" w:rsidR="001D4C35" w:rsidRDefault="001D4C35">
      <w:pPr>
        <w:pStyle w:val="BodyText"/>
        <w:spacing w:before="9"/>
        <w:rPr>
          <w:sz w:val="23"/>
        </w:rPr>
      </w:pPr>
    </w:p>
    <w:p w14:paraId="4474AC61" w14:textId="77777777" w:rsidR="001D4C35" w:rsidRDefault="00D84817">
      <w:pPr>
        <w:pStyle w:val="BodyText"/>
        <w:spacing w:line="276" w:lineRule="auto"/>
        <w:ind w:left="171" w:right="147"/>
        <w:jc w:val="both"/>
      </w:pPr>
      <w:r>
        <w:t>The importance of SA-CCR is not only in calculating capital requirements for CCR risk-weighted assets (RWAs). As of June 2021, SA-CCR is used in many areas across the prudential framework, such as for calculating capital requirements for CVA RWA (BA-CVA), for Large Exposures framework</w:t>
      </w:r>
      <w:hyperlink w:anchor="_bookmark26" w:history="1">
        <w:r>
          <w:rPr>
            <w:position w:val="5"/>
            <w:sz w:val="14"/>
          </w:rPr>
          <w:t>5</w:t>
        </w:r>
      </w:hyperlink>
      <w:r>
        <w:rPr>
          <w:position w:val="5"/>
          <w:sz w:val="14"/>
        </w:rPr>
        <w:t xml:space="preserve"> </w:t>
      </w:r>
      <w:r>
        <w:t>and for the Leverage Ratio. It affects all banks and users of derivatives, and the impact is not restricted to those that apply</w:t>
      </w:r>
      <w:r>
        <w:rPr>
          <w:spacing w:val="-10"/>
        </w:rPr>
        <w:t xml:space="preserve"> </w:t>
      </w:r>
      <w:r>
        <w:t>standardized</w:t>
      </w:r>
      <w:r>
        <w:rPr>
          <w:spacing w:val="-9"/>
        </w:rPr>
        <w:t xml:space="preserve"> </w:t>
      </w:r>
      <w:r>
        <w:t>methodologies</w:t>
      </w:r>
      <w:r>
        <w:rPr>
          <w:spacing w:val="-9"/>
        </w:rPr>
        <w:t xml:space="preserve"> </w:t>
      </w:r>
      <w:r>
        <w:t>only.</w:t>
      </w:r>
      <w:r>
        <w:rPr>
          <w:spacing w:val="-12"/>
        </w:rPr>
        <w:t xml:space="preserve"> </w:t>
      </w:r>
      <w:r>
        <w:t>This</w:t>
      </w:r>
      <w:r>
        <w:rPr>
          <w:spacing w:val="-9"/>
        </w:rPr>
        <w:t xml:space="preserve"> </w:t>
      </w:r>
      <w:r>
        <w:t>impact</w:t>
      </w:r>
      <w:r>
        <w:rPr>
          <w:spacing w:val="-9"/>
        </w:rPr>
        <w:t xml:space="preserve"> </w:t>
      </w:r>
      <w:r>
        <w:t>will</w:t>
      </w:r>
      <w:r>
        <w:rPr>
          <w:spacing w:val="-11"/>
        </w:rPr>
        <w:t xml:space="preserve"> </w:t>
      </w:r>
      <w:r>
        <w:t>become</w:t>
      </w:r>
      <w:r>
        <w:rPr>
          <w:spacing w:val="-10"/>
        </w:rPr>
        <w:t xml:space="preserve"> </w:t>
      </w:r>
      <w:r>
        <w:t>even</w:t>
      </w:r>
      <w:r>
        <w:rPr>
          <w:spacing w:val="-10"/>
        </w:rPr>
        <w:t xml:space="preserve"> </w:t>
      </w:r>
      <w:r>
        <w:t>more</w:t>
      </w:r>
      <w:r>
        <w:rPr>
          <w:spacing w:val="-10"/>
        </w:rPr>
        <w:t xml:space="preserve"> </w:t>
      </w:r>
      <w:r>
        <w:t>pronounced</w:t>
      </w:r>
      <w:r>
        <w:rPr>
          <w:spacing w:val="-9"/>
        </w:rPr>
        <w:t xml:space="preserve"> </w:t>
      </w:r>
      <w:r>
        <w:t>in</w:t>
      </w:r>
      <w:r>
        <w:rPr>
          <w:spacing w:val="-10"/>
        </w:rPr>
        <w:t xml:space="preserve"> </w:t>
      </w:r>
      <w:r>
        <w:t>CRR3,</w:t>
      </w:r>
      <w:r>
        <w:rPr>
          <w:spacing w:val="-8"/>
        </w:rPr>
        <w:t xml:space="preserve"> </w:t>
      </w:r>
      <w:r>
        <w:t>as</w:t>
      </w:r>
      <w:r>
        <w:rPr>
          <w:spacing w:val="-10"/>
        </w:rPr>
        <w:t xml:space="preserve"> </w:t>
      </w:r>
      <w:r>
        <w:t>SA-CCR will also contribute towards the calculation of the newly introduced RWA Output Floor</w:t>
      </w:r>
      <w:r>
        <w:rPr>
          <w:spacing w:val="-19"/>
        </w:rPr>
        <w:t xml:space="preserve"> </w:t>
      </w:r>
      <w:r>
        <w:t>(OF)</w:t>
      </w:r>
      <w:hyperlink w:anchor="_bookmark27" w:history="1">
        <w:r>
          <w:rPr>
            <w:position w:val="5"/>
            <w:sz w:val="14"/>
          </w:rPr>
          <w:t>6</w:t>
        </w:r>
      </w:hyperlink>
      <w:r>
        <w:t>.</w:t>
      </w:r>
    </w:p>
    <w:p w14:paraId="4474AC62" w14:textId="77777777" w:rsidR="001D4C35" w:rsidRDefault="001D4C35">
      <w:pPr>
        <w:pStyle w:val="BodyText"/>
        <w:spacing w:before="11"/>
        <w:rPr>
          <w:sz w:val="23"/>
        </w:rPr>
      </w:pPr>
    </w:p>
    <w:p w14:paraId="4474AC63" w14:textId="77777777" w:rsidR="001D4C35" w:rsidRDefault="00D84817">
      <w:pPr>
        <w:pStyle w:val="BodyText"/>
        <w:spacing w:line="276" w:lineRule="auto"/>
        <w:ind w:left="171" w:right="147" w:hanging="1"/>
        <w:jc w:val="both"/>
      </w:pPr>
      <w:r>
        <w:t xml:space="preserve">The Final Report </w:t>
      </w:r>
      <w:r>
        <w:rPr>
          <w:spacing w:val="-3"/>
        </w:rPr>
        <w:t xml:space="preserve">of </w:t>
      </w:r>
      <w:r>
        <w:t xml:space="preserve">the High-Level Forum </w:t>
      </w:r>
      <w:r>
        <w:rPr>
          <w:spacing w:val="-3"/>
        </w:rPr>
        <w:t xml:space="preserve">on </w:t>
      </w:r>
      <w:r>
        <w:t>the Capital Markets Union</w:t>
      </w:r>
      <w:hyperlink w:anchor="_bookmark28" w:history="1">
        <w:r>
          <w:rPr>
            <w:position w:val="5"/>
            <w:sz w:val="14"/>
          </w:rPr>
          <w:t>7</w:t>
        </w:r>
      </w:hyperlink>
      <w:r>
        <w:t xml:space="preserve">, noted that “SA-CCR will be used as the foundation of multiple calculations </w:t>
      </w:r>
      <w:r>
        <w:rPr>
          <w:spacing w:val="-2"/>
        </w:rPr>
        <w:t xml:space="preserve">within </w:t>
      </w:r>
      <w:r>
        <w:t>the capital framework of banks. An overly conservative SA- CCR would have a detrimental impact on the availability and cost of financial hedges to end-users</w:t>
      </w:r>
      <w:hyperlink w:anchor="_bookmark29" w:history="1">
        <w:r>
          <w:rPr>
            <w:position w:val="5"/>
            <w:sz w:val="14"/>
          </w:rPr>
          <w:t>8</w:t>
        </w:r>
      </w:hyperlink>
      <w:r>
        <w:t>.” This is particularly</w:t>
      </w:r>
      <w:r>
        <w:rPr>
          <w:spacing w:val="-13"/>
        </w:rPr>
        <w:t xml:space="preserve"> </w:t>
      </w:r>
      <w:proofErr w:type="spellStart"/>
      <w:r>
        <w:t>penalising</w:t>
      </w:r>
      <w:proofErr w:type="spellEnd"/>
      <w:r>
        <w:rPr>
          <w:spacing w:val="-15"/>
        </w:rPr>
        <w:t xml:space="preserve"> </w:t>
      </w:r>
      <w:r>
        <w:t>as</w:t>
      </w:r>
      <w:r>
        <w:rPr>
          <w:spacing w:val="-12"/>
        </w:rPr>
        <w:t xml:space="preserve"> </w:t>
      </w:r>
      <w:r>
        <w:t>it</w:t>
      </w:r>
      <w:r>
        <w:rPr>
          <w:spacing w:val="-13"/>
        </w:rPr>
        <w:t xml:space="preserve"> </w:t>
      </w:r>
      <w:r>
        <w:t>is</w:t>
      </w:r>
      <w:r>
        <w:rPr>
          <w:spacing w:val="-12"/>
        </w:rPr>
        <w:t xml:space="preserve"> </w:t>
      </w:r>
      <w:r>
        <w:t>crucial</w:t>
      </w:r>
      <w:r>
        <w:rPr>
          <w:spacing w:val="-14"/>
        </w:rPr>
        <w:t xml:space="preserve"> </w:t>
      </w:r>
      <w:r>
        <w:t>for</w:t>
      </w:r>
      <w:r>
        <w:rPr>
          <w:spacing w:val="-13"/>
        </w:rPr>
        <w:t xml:space="preserve"> </w:t>
      </w:r>
      <w:r>
        <w:t>banks</w:t>
      </w:r>
      <w:r>
        <w:rPr>
          <w:spacing w:val="-11"/>
        </w:rPr>
        <w:t xml:space="preserve"> </w:t>
      </w:r>
      <w:r>
        <w:t>to</w:t>
      </w:r>
      <w:r>
        <w:rPr>
          <w:spacing w:val="-15"/>
        </w:rPr>
        <w:t xml:space="preserve"> </w:t>
      </w:r>
      <w:r>
        <w:t>continue</w:t>
      </w:r>
      <w:r>
        <w:rPr>
          <w:spacing w:val="-13"/>
        </w:rPr>
        <w:t xml:space="preserve"> </w:t>
      </w:r>
      <w:r>
        <w:t>to</w:t>
      </w:r>
      <w:r>
        <w:rPr>
          <w:spacing w:val="-15"/>
        </w:rPr>
        <w:t xml:space="preserve"> </w:t>
      </w:r>
      <w:r>
        <w:t>support</w:t>
      </w:r>
      <w:r>
        <w:rPr>
          <w:spacing w:val="-13"/>
        </w:rPr>
        <w:t xml:space="preserve"> </w:t>
      </w:r>
      <w:r>
        <w:t>the</w:t>
      </w:r>
      <w:r>
        <w:rPr>
          <w:spacing w:val="-13"/>
        </w:rPr>
        <w:t xml:space="preserve"> </w:t>
      </w:r>
      <w:r>
        <w:t>real</w:t>
      </w:r>
      <w:r>
        <w:rPr>
          <w:spacing w:val="-14"/>
        </w:rPr>
        <w:t xml:space="preserve"> </w:t>
      </w:r>
      <w:r>
        <w:t>economy,</w:t>
      </w:r>
      <w:r>
        <w:rPr>
          <w:spacing w:val="-10"/>
        </w:rPr>
        <w:t xml:space="preserve"> </w:t>
      </w:r>
      <w:r>
        <w:t>whilst</w:t>
      </w:r>
      <w:r>
        <w:rPr>
          <w:spacing w:val="-13"/>
        </w:rPr>
        <w:t xml:space="preserve"> </w:t>
      </w:r>
      <w:r>
        <w:t>it</w:t>
      </w:r>
      <w:r>
        <w:rPr>
          <w:spacing w:val="-13"/>
        </w:rPr>
        <w:t xml:space="preserve"> </w:t>
      </w:r>
      <w:r>
        <w:t>is</w:t>
      </w:r>
      <w:r>
        <w:rPr>
          <w:spacing w:val="-12"/>
        </w:rPr>
        <w:t xml:space="preserve"> </w:t>
      </w:r>
      <w:r>
        <w:t>struggling to recover from the effects arising from the Covid-19</w:t>
      </w:r>
      <w:r>
        <w:rPr>
          <w:spacing w:val="-17"/>
        </w:rPr>
        <w:t xml:space="preserve"> </w:t>
      </w:r>
      <w:r>
        <w:t>pandemic.</w:t>
      </w:r>
    </w:p>
    <w:p w14:paraId="4474AC64" w14:textId="77777777" w:rsidR="001D4C35" w:rsidRDefault="001D4C35">
      <w:pPr>
        <w:pStyle w:val="BodyText"/>
        <w:rPr>
          <w:sz w:val="24"/>
        </w:rPr>
      </w:pPr>
    </w:p>
    <w:p w14:paraId="4474AC65" w14:textId="77777777" w:rsidR="001D4C35" w:rsidRDefault="00D84817">
      <w:pPr>
        <w:pStyle w:val="Heading3"/>
        <w:ind w:left="172"/>
        <w:jc w:val="both"/>
      </w:pPr>
      <w:r>
        <w:t>Alpha Factor</w:t>
      </w:r>
    </w:p>
    <w:p w14:paraId="4474AC66" w14:textId="77777777" w:rsidR="001D4C35" w:rsidRDefault="001D4C35">
      <w:pPr>
        <w:pStyle w:val="BodyText"/>
        <w:spacing w:before="1"/>
        <w:rPr>
          <w:b/>
          <w:sz w:val="27"/>
        </w:rPr>
      </w:pPr>
    </w:p>
    <w:p w14:paraId="4474AC67" w14:textId="77777777" w:rsidR="001D4C35" w:rsidRDefault="00D84817">
      <w:pPr>
        <w:pStyle w:val="BodyText"/>
        <w:spacing w:line="276" w:lineRule="auto"/>
        <w:ind w:left="171" w:right="146"/>
        <w:jc w:val="both"/>
      </w:pPr>
      <w:r>
        <w:t>Among the major reasons for the disproportionate impact of SA-CCR are its design and outdated calibration objectives, since the alpha factor of the formula, which increases exposures by 40%, was set at 1.4 in 2005 by</w:t>
      </w:r>
      <w:r>
        <w:rPr>
          <w:spacing w:val="-10"/>
        </w:rPr>
        <w:t xml:space="preserve"> </w:t>
      </w:r>
      <w:r>
        <w:t>the</w:t>
      </w:r>
      <w:r>
        <w:rPr>
          <w:spacing w:val="-9"/>
        </w:rPr>
        <w:t xml:space="preserve"> </w:t>
      </w:r>
      <w:r>
        <w:t>Basel</w:t>
      </w:r>
      <w:r>
        <w:rPr>
          <w:spacing w:val="-9"/>
        </w:rPr>
        <w:t xml:space="preserve"> </w:t>
      </w:r>
      <w:r>
        <w:t>Committee</w:t>
      </w:r>
      <w:r>
        <w:rPr>
          <w:spacing w:val="-13"/>
        </w:rPr>
        <w:t xml:space="preserve"> </w:t>
      </w:r>
      <w:r>
        <w:t>and</w:t>
      </w:r>
      <w:r>
        <w:rPr>
          <w:spacing w:val="-12"/>
        </w:rPr>
        <w:t xml:space="preserve"> </w:t>
      </w:r>
      <w:r>
        <w:t>was</w:t>
      </w:r>
      <w:r>
        <w:rPr>
          <w:spacing w:val="-9"/>
        </w:rPr>
        <w:t xml:space="preserve"> </w:t>
      </w:r>
      <w:r>
        <w:t>meant</w:t>
      </w:r>
      <w:r>
        <w:rPr>
          <w:spacing w:val="-12"/>
        </w:rPr>
        <w:t xml:space="preserve"> </w:t>
      </w:r>
      <w:r>
        <w:t>to</w:t>
      </w:r>
      <w:r>
        <w:rPr>
          <w:spacing w:val="-11"/>
        </w:rPr>
        <w:t xml:space="preserve"> </w:t>
      </w:r>
      <w:r>
        <w:t>be</w:t>
      </w:r>
      <w:r>
        <w:rPr>
          <w:spacing w:val="-9"/>
        </w:rPr>
        <w:t xml:space="preserve"> </w:t>
      </w:r>
      <w:r>
        <w:t>used</w:t>
      </w:r>
      <w:r>
        <w:rPr>
          <w:spacing w:val="-8"/>
        </w:rPr>
        <w:t xml:space="preserve"> </w:t>
      </w:r>
      <w:r>
        <w:t>to</w:t>
      </w:r>
      <w:r>
        <w:rPr>
          <w:spacing w:val="-11"/>
        </w:rPr>
        <w:t xml:space="preserve"> </w:t>
      </w:r>
      <w:r>
        <w:t>account</w:t>
      </w:r>
      <w:r>
        <w:rPr>
          <w:spacing w:val="-9"/>
        </w:rPr>
        <w:t xml:space="preserve"> </w:t>
      </w:r>
      <w:r>
        <w:t>for</w:t>
      </w:r>
      <w:r>
        <w:rPr>
          <w:spacing w:val="-9"/>
        </w:rPr>
        <w:t xml:space="preserve"> </w:t>
      </w:r>
      <w:r>
        <w:t>general</w:t>
      </w:r>
      <w:r>
        <w:rPr>
          <w:spacing w:val="-10"/>
        </w:rPr>
        <w:t xml:space="preserve"> </w:t>
      </w:r>
      <w:r>
        <w:t>wrong</w:t>
      </w:r>
      <w:r>
        <w:rPr>
          <w:spacing w:val="-15"/>
        </w:rPr>
        <w:t xml:space="preserve"> </w:t>
      </w:r>
      <w:r>
        <w:t>way</w:t>
      </w:r>
      <w:r>
        <w:rPr>
          <w:spacing w:val="-9"/>
        </w:rPr>
        <w:t xml:space="preserve"> </w:t>
      </w:r>
      <w:r>
        <w:t>risk</w:t>
      </w:r>
      <w:r>
        <w:rPr>
          <w:spacing w:val="-9"/>
        </w:rPr>
        <w:t xml:space="preserve"> </w:t>
      </w:r>
      <w:r>
        <w:t>and</w:t>
      </w:r>
      <w:r>
        <w:rPr>
          <w:spacing w:val="-8"/>
        </w:rPr>
        <w:t xml:space="preserve"> </w:t>
      </w:r>
      <w:r>
        <w:t>perceived</w:t>
      </w:r>
      <w:r>
        <w:rPr>
          <w:spacing w:val="-12"/>
        </w:rPr>
        <w:t xml:space="preserve"> </w:t>
      </w:r>
      <w:r>
        <w:t xml:space="preserve">flaws in internal models, not for </w:t>
      </w:r>
      <w:proofErr w:type="spellStart"/>
      <w:r>
        <w:t>standardised</w:t>
      </w:r>
      <w:proofErr w:type="spellEnd"/>
      <w:r>
        <w:rPr>
          <w:spacing w:val="-7"/>
        </w:rPr>
        <w:t xml:space="preserve"> </w:t>
      </w:r>
      <w:r>
        <w:t>approaches.</w:t>
      </w:r>
    </w:p>
    <w:p w14:paraId="4474AC68" w14:textId="77777777" w:rsidR="001D4C35" w:rsidRDefault="001D4C35">
      <w:pPr>
        <w:pStyle w:val="BodyText"/>
        <w:spacing w:before="8"/>
        <w:rPr>
          <w:sz w:val="23"/>
        </w:rPr>
      </w:pPr>
    </w:p>
    <w:p w14:paraId="4474AC69" w14:textId="77777777" w:rsidR="001D4C35" w:rsidRDefault="00D84817">
      <w:pPr>
        <w:pStyle w:val="BodyText"/>
        <w:spacing w:line="278" w:lineRule="auto"/>
        <w:ind w:left="171" w:right="148" w:hanging="1"/>
        <w:jc w:val="both"/>
      </w:pPr>
      <w:r>
        <w:t>We</w:t>
      </w:r>
      <w:r>
        <w:rPr>
          <w:spacing w:val="-11"/>
        </w:rPr>
        <w:t xml:space="preserve"> </w:t>
      </w:r>
      <w:r>
        <w:t>are</w:t>
      </w:r>
      <w:r>
        <w:rPr>
          <w:spacing w:val="-14"/>
        </w:rPr>
        <w:t xml:space="preserve"> </w:t>
      </w:r>
      <w:r>
        <w:t>supportive,</w:t>
      </w:r>
      <w:r>
        <w:rPr>
          <w:spacing w:val="-12"/>
        </w:rPr>
        <w:t xml:space="preserve"> </w:t>
      </w:r>
      <w:r>
        <w:t>therefore,</w:t>
      </w:r>
      <w:r>
        <w:rPr>
          <w:spacing w:val="-12"/>
        </w:rPr>
        <w:t xml:space="preserve"> </w:t>
      </w:r>
      <w:r>
        <w:t>of</w:t>
      </w:r>
      <w:r>
        <w:rPr>
          <w:spacing w:val="-14"/>
        </w:rPr>
        <w:t xml:space="preserve"> </w:t>
      </w:r>
      <w:r>
        <w:t>the</w:t>
      </w:r>
      <w:r>
        <w:rPr>
          <w:spacing w:val="-10"/>
        </w:rPr>
        <w:t xml:space="preserve"> </w:t>
      </w:r>
      <w:r>
        <w:t>Commission’s</w:t>
      </w:r>
      <w:r>
        <w:rPr>
          <w:spacing w:val="-10"/>
        </w:rPr>
        <w:t xml:space="preserve"> </w:t>
      </w:r>
      <w:r>
        <w:t>proposals</w:t>
      </w:r>
      <w:hyperlink w:anchor="_bookmark30" w:history="1">
        <w:r>
          <w:rPr>
            <w:position w:val="5"/>
            <w:sz w:val="14"/>
          </w:rPr>
          <w:t>[1]</w:t>
        </w:r>
        <w:r>
          <w:rPr>
            <w:spacing w:val="6"/>
            <w:position w:val="5"/>
            <w:sz w:val="14"/>
          </w:rPr>
          <w:t xml:space="preserve"> </w:t>
        </w:r>
      </w:hyperlink>
      <w:r>
        <w:t>to</w:t>
      </w:r>
      <w:r>
        <w:rPr>
          <w:spacing w:val="-12"/>
        </w:rPr>
        <w:t xml:space="preserve"> </w:t>
      </w:r>
      <w:r>
        <w:t>reduce</w:t>
      </w:r>
      <w:r>
        <w:rPr>
          <w:spacing w:val="-10"/>
        </w:rPr>
        <w:t xml:space="preserve"> </w:t>
      </w:r>
      <w:r>
        <w:t>the</w:t>
      </w:r>
      <w:r>
        <w:rPr>
          <w:spacing w:val="-11"/>
        </w:rPr>
        <w:t xml:space="preserve"> </w:t>
      </w:r>
      <w:r>
        <w:t>impact</w:t>
      </w:r>
      <w:r>
        <w:rPr>
          <w:spacing w:val="-9"/>
        </w:rPr>
        <w:t xml:space="preserve"> </w:t>
      </w:r>
      <w:r>
        <w:t>on</w:t>
      </w:r>
      <w:r>
        <w:rPr>
          <w:spacing w:val="-14"/>
        </w:rPr>
        <w:t xml:space="preserve"> </w:t>
      </w:r>
      <w:r>
        <w:t>the</w:t>
      </w:r>
      <w:r>
        <w:rPr>
          <w:spacing w:val="-10"/>
        </w:rPr>
        <w:t xml:space="preserve"> </w:t>
      </w:r>
      <w:r>
        <w:t>output</w:t>
      </w:r>
      <w:r>
        <w:rPr>
          <w:spacing w:val="-10"/>
        </w:rPr>
        <w:t xml:space="preserve"> </w:t>
      </w:r>
      <w:r>
        <w:t>floor</w:t>
      </w:r>
      <w:r>
        <w:rPr>
          <w:spacing w:val="-10"/>
        </w:rPr>
        <w:t xml:space="preserve"> </w:t>
      </w:r>
      <w:r>
        <w:t>RWA, per CRR Article 465(4), by resetting</w:t>
      </w:r>
      <w:r>
        <w:rPr>
          <w:spacing w:val="23"/>
        </w:rPr>
        <w:t xml:space="preserve"> </w:t>
      </w:r>
      <w:r>
        <w:t>the alpha factor to 1 for a transitional period until 31 December 2029,</w:t>
      </w:r>
    </w:p>
    <w:p w14:paraId="4474AC6A" w14:textId="77777777" w:rsidR="001D4C35" w:rsidRDefault="001D4C35">
      <w:pPr>
        <w:pStyle w:val="BodyText"/>
        <w:rPr>
          <w:sz w:val="20"/>
        </w:rPr>
      </w:pPr>
    </w:p>
    <w:p w14:paraId="4474AC6B" w14:textId="77777777" w:rsidR="001D4C35" w:rsidRDefault="001D4C35">
      <w:pPr>
        <w:pStyle w:val="BodyText"/>
        <w:rPr>
          <w:sz w:val="20"/>
        </w:rPr>
      </w:pPr>
    </w:p>
    <w:p w14:paraId="4474AC6C" w14:textId="77777777" w:rsidR="001D4C35" w:rsidRDefault="001D4C35">
      <w:pPr>
        <w:pStyle w:val="BodyText"/>
        <w:rPr>
          <w:sz w:val="20"/>
        </w:rPr>
      </w:pPr>
    </w:p>
    <w:p w14:paraId="4474AC6D" w14:textId="77777777" w:rsidR="001D4C35" w:rsidRDefault="00D65A23">
      <w:pPr>
        <w:pStyle w:val="BodyText"/>
        <w:spacing w:before="7"/>
        <w:rPr>
          <w:sz w:val="10"/>
        </w:rPr>
      </w:pPr>
      <w:r>
        <w:pict w14:anchorId="4474B039">
          <v:shape id="_x0000_s2132" style="position:absolute;margin-left:44.2pt;margin-top:8.5pt;width:2in;height:.1pt;z-index:-251625472;mso-wrap-distance-left:0;mso-wrap-distance-right:0;mso-position-horizontal-relative:page" coordorigin="884,170" coordsize="2880,0" path="m884,170r2880,e" filled="f" strokeweight=".21131mm">
            <v:path arrowok="t"/>
            <w10:wrap type="topAndBottom" anchorx="page"/>
          </v:shape>
        </w:pict>
      </w:r>
    </w:p>
    <w:p w14:paraId="4474AC6E" w14:textId="77777777" w:rsidR="001D4C35" w:rsidRDefault="00D84817">
      <w:pPr>
        <w:spacing w:before="75"/>
        <w:ind w:left="171"/>
        <w:rPr>
          <w:sz w:val="16"/>
        </w:rPr>
      </w:pPr>
      <w:bookmarkStart w:id="8" w:name="_bookmark23"/>
      <w:bookmarkEnd w:id="8"/>
      <w:r>
        <w:rPr>
          <w:position w:val="4"/>
          <w:sz w:val="10"/>
        </w:rPr>
        <w:t xml:space="preserve">2 </w:t>
      </w:r>
      <w:r>
        <w:rPr>
          <w:color w:val="202020"/>
          <w:sz w:val="16"/>
        </w:rPr>
        <w:t>Counterparty credit risk (CCR) is the risk that the counterparty to a transaction could default before the final settlement of the transaction's cash flows.</w:t>
      </w:r>
    </w:p>
    <w:p w14:paraId="4474AC6F" w14:textId="77777777" w:rsidR="001D4C35" w:rsidRDefault="00D84817">
      <w:pPr>
        <w:spacing w:line="184" w:lineRule="exact"/>
        <w:ind w:left="172"/>
        <w:rPr>
          <w:sz w:val="16"/>
        </w:rPr>
      </w:pPr>
      <w:bookmarkStart w:id="9" w:name="_bookmark24"/>
      <w:bookmarkEnd w:id="9"/>
      <w:r>
        <w:rPr>
          <w:position w:val="4"/>
          <w:sz w:val="10"/>
        </w:rPr>
        <w:t xml:space="preserve">3 </w:t>
      </w:r>
      <w:hyperlink r:id="rId13">
        <w:r>
          <w:rPr>
            <w:color w:val="0000FF"/>
            <w:sz w:val="16"/>
            <w:u w:val="single" w:color="0000FF"/>
          </w:rPr>
          <w:t>https://eur-lex.europa.eu/legal-content/EN/TXT/?uri=CELEX%3A32019R0876</w:t>
        </w:r>
      </w:hyperlink>
    </w:p>
    <w:p w14:paraId="4474AC70" w14:textId="77777777" w:rsidR="001D4C35" w:rsidRDefault="00D84817">
      <w:pPr>
        <w:ind w:left="171" w:right="283"/>
        <w:rPr>
          <w:sz w:val="16"/>
        </w:rPr>
      </w:pPr>
      <w:bookmarkStart w:id="10" w:name="_bookmark25"/>
      <w:bookmarkEnd w:id="10"/>
      <w:r>
        <w:rPr>
          <w:position w:val="4"/>
          <w:sz w:val="10"/>
        </w:rPr>
        <w:t xml:space="preserve">4 </w:t>
      </w:r>
      <w:r>
        <w:rPr>
          <w:sz w:val="16"/>
        </w:rPr>
        <w:t xml:space="preserve">According to ISDA-GFMA estimates, the exposure calculated under SA-CCR will be significantly higher than under both IMM (1.9 – 2.5 times higher) and CEM (2-4 times higher). This is before considering the impact of the Output floor. (See: </w:t>
      </w:r>
      <w:hyperlink r:id="rId14">
        <w:r>
          <w:rPr>
            <w:color w:val="0000FF"/>
            <w:sz w:val="16"/>
            <w:u w:val="single" w:color="0000FF"/>
          </w:rPr>
          <w:t>Link</w:t>
        </w:r>
      </w:hyperlink>
      <w:r>
        <w:rPr>
          <w:sz w:val="16"/>
        </w:rPr>
        <w:t>)</w:t>
      </w:r>
    </w:p>
    <w:p w14:paraId="4474AC71" w14:textId="77777777" w:rsidR="001D4C35" w:rsidRDefault="00D84817">
      <w:pPr>
        <w:spacing w:before="1"/>
        <w:ind w:left="172"/>
        <w:rPr>
          <w:sz w:val="16"/>
        </w:rPr>
      </w:pPr>
      <w:bookmarkStart w:id="11" w:name="_bookmark26"/>
      <w:bookmarkEnd w:id="11"/>
      <w:r>
        <w:rPr>
          <w:position w:val="4"/>
          <w:sz w:val="10"/>
        </w:rPr>
        <w:t xml:space="preserve">5 </w:t>
      </w:r>
      <w:hyperlink r:id="rId15">
        <w:r>
          <w:rPr>
            <w:color w:val="0000FF"/>
            <w:sz w:val="16"/>
            <w:u w:val="single" w:color="0000FF"/>
          </w:rPr>
          <w:t>https://www.bis.org/fsi/fsisummaries/largeexpos.pdf</w:t>
        </w:r>
      </w:hyperlink>
    </w:p>
    <w:p w14:paraId="4474AC72" w14:textId="77777777" w:rsidR="001D4C35" w:rsidRDefault="00D84817">
      <w:pPr>
        <w:ind w:left="172"/>
        <w:rPr>
          <w:sz w:val="16"/>
        </w:rPr>
      </w:pPr>
      <w:bookmarkStart w:id="12" w:name="_bookmark27"/>
      <w:bookmarkEnd w:id="12"/>
      <w:r>
        <w:rPr>
          <w:position w:val="4"/>
          <w:sz w:val="10"/>
        </w:rPr>
        <w:t xml:space="preserve">6 </w:t>
      </w:r>
      <w:r>
        <w:rPr>
          <w:sz w:val="16"/>
        </w:rPr>
        <w:t>Please refer to AFME’s dedicated position paper on the Output Floor.</w:t>
      </w:r>
    </w:p>
    <w:p w14:paraId="4474AC73" w14:textId="77777777" w:rsidR="001D4C35" w:rsidRDefault="00D84817">
      <w:pPr>
        <w:spacing w:before="1"/>
        <w:ind w:left="172"/>
        <w:rPr>
          <w:sz w:val="16"/>
        </w:rPr>
      </w:pPr>
      <w:bookmarkStart w:id="13" w:name="_bookmark28"/>
      <w:bookmarkEnd w:id="13"/>
      <w:r>
        <w:rPr>
          <w:position w:val="4"/>
          <w:sz w:val="10"/>
        </w:rPr>
        <w:t xml:space="preserve">7 </w:t>
      </w:r>
      <w:hyperlink r:id="rId16">
        <w:r>
          <w:rPr>
            <w:color w:val="0000FF"/>
            <w:sz w:val="16"/>
            <w:u w:val="single" w:color="0000FF"/>
          </w:rPr>
          <w:t>200610-cmu-high-level-forum-final-report_en.pdf (europa.eu)</w:t>
        </w:r>
      </w:hyperlink>
    </w:p>
    <w:p w14:paraId="4474AC74" w14:textId="77777777" w:rsidR="001D4C35" w:rsidRDefault="00D84817">
      <w:pPr>
        <w:ind w:left="172" w:right="283"/>
        <w:rPr>
          <w:sz w:val="16"/>
        </w:rPr>
      </w:pPr>
      <w:bookmarkStart w:id="14" w:name="_bookmark29"/>
      <w:bookmarkEnd w:id="14"/>
      <w:r>
        <w:rPr>
          <w:position w:val="4"/>
          <w:sz w:val="10"/>
        </w:rPr>
        <w:t xml:space="preserve">8 </w:t>
      </w:r>
      <w:r>
        <w:rPr>
          <w:sz w:val="16"/>
        </w:rPr>
        <w:t>SA-CCR would limit the ability of end-users to hedge risks, because the increased capital requirement of SA-CCR will constrain banks’ capacity to support their demand for derivative products at an acceptable cost. This is problematic because EU corporates typically use non-cleared derivatives to hedge their commercial risks, which entail the highest capital charge in SA-CCR. Yet, corporates do not have the complex collateral management systems to support margining, and they are not required to do so by the European Market Infrastructure Regulation (EMIR). Hence, end-users would be left with no affordable alternatives to hedge their structural commercial risks, which will affect their financial strengths and competitiveness.</w:t>
      </w:r>
    </w:p>
    <w:p w14:paraId="4474AC75" w14:textId="77777777" w:rsidR="001D4C35" w:rsidRDefault="00D84817">
      <w:pPr>
        <w:spacing w:line="186" w:lineRule="exact"/>
        <w:ind w:left="172"/>
        <w:rPr>
          <w:sz w:val="16"/>
        </w:rPr>
      </w:pPr>
      <w:bookmarkStart w:id="15" w:name="_bookmark30"/>
      <w:bookmarkEnd w:id="15"/>
      <w:r>
        <w:rPr>
          <w:position w:val="4"/>
          <w:sz w:val="10"/>
        </w:rPr>
        <w:t xml:space="preserve">[1] </w:t>
      </w:r>
      <w:hyperlink r:id="rId17">
        <w:r>
          <w:rPr>
            <w:color w:val="0000FF"/>
            <w:sz w:val="16"/>
            <w:u w:val="single" w:color="0000FF"/>
          </w:rPr>
          <w:t>https://ec.europa.eu/info/publications/211027-banking-package_en</w:t>
        </w:r>
      </w:hyperlink>
    </w:p>
    <w:p w14:paraId="4474AC76" w14:textId="77777777" w:rsidR="001D4C35" w:rsidRDefault="001D4C35">
      <w:pPr>
        <w:spacing w:line="186" w:lineRule="exact"/>
        <w:rPr>
          <w:sz w:val="16"/>
        </w:rPr>
        <w:sectPr w:rsidR="001D4C35">
          <w:pgSz w:w="11910" w:h="16840"/>
          <w:pgMar w:top="520" w:right="840" w:bottom="960" w:left="680" w:header="0" w:footer="704" w:gutter="0"/>
          <w:cols w:space="720"/>
        </w:sectPr>
      </w:pPr>
    </w:p>
    <w:p w14:paraId="4474AC77" w14:textId="77777777" w:rsidR="001D4C35" w:rsidRDefault="00D84817">
      <w:pPr>
        <w:tabs>
          <w:tab w:val="left" w:pos="7925"/>
        </w:tabs>
        <w:ind w:left="186"/>
        <w:rPr>
          <w:sz w:val="20"/>
        </w:rPr>
      </w:pPr>
      <w:r>
        <w:rPr>
          <w:noProof/>
          <w:position w:val="11"/>
          <w:sz w:val="20"/>
        </w:rPr>
        <w:lastRenderedPageBreak/>
        <w:drawing>
          <wp:inline distT="0" distB="0" distL="0" distR="0" wp14:anchorId="4474B03A" wp14:editId="4474B03B">
            <wp:extent cx="1679117" cy="442722"/>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3C" wp14:editId="4474B03D">
            <wp:extent cx="1427865" cy="572643"/>
            <wp:effectExtent l="0" t="0" r="0" b="0"/>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C78" w14:textId="77777777" w:rsidR="001D4C35" w:rsidRDefault="001D4C35">
      <w:pPr>
        <w:pStyle w:val="BodyText"/>
        <w:spacing w:before="3"/>
        <w:rPr>
          <w:sz w:val="9"/>
        </w:rPr>
      </w:pPr>
    </w:p>
    <w:p w14:paraId="4474AC79" w14:textId="77777777" w:rsidR="001D4C35" w:rsidRDefault="00D84817">
      <w:pPr>
        <w:pStyle w:val="BodyText"/>
        <w:spacing w:before="100" w:line="276" w:lineRule="auto"/>
        <w:ind w:left="172" w:right="147"/>
        <w:jc w:val="both"/>
        <w:rPr>
          <w:sz w:val="14"/>
        </w:rPr>
      </w:pPr>
      <w:r>
        <w:t>with</w:t>
      </w:r>
      <w:r>
        <w:rPr>
          <w:spacing w:val="-8"/>
        </w:rPr>
        <w:t xml:space="preserve"> </w:t>
      </w:r>
      <w:r>
        <w:t>the</w:t>
      </w:r>
      <w:r>
        <w:rPr>
          <w:spacing w:val="-5"/>
        </w:rPr>
        <w:t xml:space="preserve"> </w:t>
      </w:r>
      <w:r>
        <w:t>potential</w:t>
      </w:r>
      <w:r>
        <w:rPr>
          <w:spacing w:val="-6"/>
        </w:rPr>
        <w:t xml:space="preserve"> </w:t>
      </w:r>
      <w:r>
        <w:t>for</w:t>
      </w:r>
      <w:r>
        <w:rPr>
          <w:spacing w:val="-6"/>
        </w:rPr>
        <w:t xml:space="preserve"> </w:t>
      </w:r>
      <w:r>
        <w:t>this</w:t>
      </w:r>
      <w:r>
        <w:rPr>
          <w:spacing w:val="-4"/>
        </w:rPr>
        <w:t xml:space="preserve"> </w:t>
      </w:r>
      <w:r>
        <w:t>to</w:t>
      </w:r>
      <w:r>
        <w:rPr>
          <w:spacing w:val="-7"/>
        </w:rPr>
        <w:t xml:space="preserve"> </w:t>
      </w:r>
      <w:r>
        <w:t>be</w:t>
      </w:r>
      <w:r>
        <w:rPr>
          <w:spacing w:val="-6"/>
        </w:rPr>
        <w:t xml:space="preserve"> </w:t>
      </w:r>
      <w:r>
        <w:t>permanent,</w:t>
      </w:r>
      <w:r>
        <w:rPr>
          <w:spacing w:val="-7"/>
        </w:rPr>
        <w:t xml:space="preserve"> </w:t>
      </w:r>
      <w:r>
        <w:t>having</w:t>
      </w:r>
      <w:r>
        <w:rPr>
          <w:spacing w:val="-7"/>
        </w:rPr>
        <w:t xml:space="preserve"> </w:t>
      </w:r>
      <w:r>
        <w:t>also</w:t>
      </w:r>
      <w:r>
        <w:rPr>
          <w:spacing w:val="-7"/>
        </w:rPr>
        <w:t xml:space="preserve"> </w:t>
      </w:r>
      <w:r>
        <w:t>the</w:t>
      </w:r>
      <w:r>
        <w:rPr>
          <w:spacing w:val="-6"/>
        </w:rPr>
        <w:t xml:space="preserve"> </w:t>
      </w:r>
      <w:r>
        <w:t>benefit</w:t>
      </w:r>
      <w:r>
        <w:rPr>
          <w:spacing w:val="-4"/>
        </w:rPr>
        <w:t xml:space="preserve"> </w:t>
      </w:r>
      <w:r>
        <w:t>of</w:t>
      </w:r>
      <w:r>
        <w:rPr>
          <w:spacing w:val="-3"/>
        </w:rPr>
        <w:t xml:space="preserve"> </w:t>
      </w:r>
      <w:r>
        <w:t>the</w:t>
      </w:r>
      <w:r>
        <w:rPr>
          <w:spacing w:val="-6"/>
        </w:rPr>
        <w:t xml:space="preserve"> </w:t>
      </w:r>
      <w:r>
        <w:t>EBA</w:t>
      </w:r>
      <w:r>
        <w:rPr>
          <w:spacing w:val="-7"/>
        </w:rPr>
        <w:t xml:space="preserve"> </w:t>
      </w:r>
      <w:r>
        <w:t>report</w:t>
      </w:r>
      <w:r>
        <w:rPr>
          <w:spacing w:val="-4"/>
        </w:rPr>
        <w:t xml:space="preserve"> </w:t>
      </w:r>
      <w:r>
        <w:t>mandated</w:t>
      </w:r>
      <w:r>
        <w:rPr>
          <w:spacing w:val="-5"/>
        </w:rPr>
        <w:t xml:space="preserve"> </w:t>
      </w:r>
      <w:r>
        <w:t>by</w:t>
      </w:r>
      <w:r>
        <w:rPr>
          <w:spacing w:val="-5"/>
        </w:rPr>
        <w:t xml:space="preserve"> </w:t>
      </w:r>
      <w:r>
        <w:t>CRR2</w:t>
      </w:r>
      <w:r>
        <w:rPr>
          <w:spacing w:val="-8"/>
        </w:rPr>
        <w:t xml:space="preserve"> </w:t>
      </w:r>
      <w:r>
        <w:t>and due by June</w:t>
      </w:r>
      <w:r>
        <w:rPr>
          <w:spacing w:val="-1"/>
        </w:rPr>
        <w:t xml:space="preserve"> </w:t>
      </w:r>
      <w:r>
        <w:t>2023.</w:t>
      </w:r>
      <w:hyperlink w:anchor="_bookmark31" w:history="1">
        <w:r>
          <w:rPr>
            <w:position w:val="5"/>
            <w:sz w:val="14"/>
          </w:rPr>
          <w:t>[2]</w:t>
        </w:r>
      </w:hyperlink>
    </w:p>
    <w:p w14:paraId="4474AC7A" w14:textId="77777777" w:rsidR="001D4C35" w:rsidRDefault="001D4C35">
      <w:pPr>
        <w:pStyle w:val="BodyText"/>
        <w:spacing w:before="9"/>
        <w:rPr>
          <w:sz w:val="23"/>
        </w:rPr>
      </w:pPr>
    </w:p>
    <w:p w14:paraId="4474AC7B" w14:textId="77777777" w:rsidR="001D4C35" w:rsidRDefault="00D84817">
      <w:pPr>
        <w:pStyle w:val="BodyText"/>
        <w:spacing w:line="276" w:lineRule="auto"/>
        <w:ind w:left="172" w:right="146" w:hanging="1"/>
        <w:jc w:val="both"/>
      </w:pPr>
      <w:r>
        <w:t>However, the transitional measure only applies to the calculation of SA-CCR for the purposes of the output floor</w:t>
      </w:r>
      <w:r>
        <w:rPr>
          <w:spacing w:val="-3"/>
        </w:rPr>
        <w:t xml:space="preserve"> </w:t>
      </w:r>
      <w:r>
        <w:t>RWA,</w:t>
      </w:r>
      <w:r>
        <w:rPr>
          <w:spacing w:val="-5"/>
        </w:rPr>
        <w:t xml:space="preserve"> </w:t>
      </w:r>
      <w:r>
        <w:t>whilst</w:t>
      </w:r>
      <w:r>
        <w:rPr>
          <w:spacing w:val="-2"/>
        </w:rPr>
        <w:t xml:space="preserve"> </w:t>
      </w:r>
      <w:r>
        <w:t>no</w:t>
      </w:r>
      <w:r>
        <w:rPr>
          <w:spacing w:val="-4"/>
        </w:rPr>
        <w:t xml:space="preserve"> </w:t>
      </w:r>
      <w:r>
        <w:t>measures</w:t>
      </w:r>
      <w:r>
        <w:rPr>
          <w:spacing w:val="-7"/>
        </w:rPr>
        <w:t xml:space="preserve"> </w:t>
      </w:r>
      <w:r>
        <w:t>have</w:t>
      </w:r>
      <w:r>
        <w:rPr>
          <w:spacing w:val="-3"/>
        </w:rPr>
        <w:t xml:space="preserve"> </w:t>
      </w:r>
      <w:r>
        <w:t>been</w:t>
      </w:r>
      <w:r>
        <w:rPr>
          <w:spacing w:val="-3"/>
        </w:rPr>
        <w:t xml:space="preserve"> </w:t>
      </w:r>
      <w:r>
        <w:t>taken</w:t>
      </w:r>
      <w:r>
        <w:rPr>
          <w:spacing w:val="-2"/>
        </w:rPr>
        <w:t xml:space="preserve"> </w:t>
      </w:r>
      <w:r>
        <w:t>to</w:t>
      </w:r>
      <w:r>
        <w:rPr>
          <w:spacing w:val="-5"/>
        </w:rPr>
        <w:t xml:space="preserve"> </w:t>
      </w:r>
      <w:r>
        <w:t>address</w:t>
      </w:r>
      <w:r>
        <w:rPr>
          <w:spacing w:val="-3"/>
        </w:rPr>
        <w:t xml:space="preserve"> </w:t>
      </w:r>
      <w:r>
        <w:t>calibration</w:t>
      </w:r>
      <w:r>
        <w:rPr>
          <w:spacing w:val="-2"/>
        </w:rPr>
        <w:t xml:space="preserve"> </w:t>
      </w:r>
      <w:r>
        <w:t>issues</w:t>
      </w:r>
      <w:r>
        <w:rPr>
          <w:spacing w:val="-3"/>
        </w:rPr>
        <w:t xml:space="preserve"> </w:t>
      </w:r>
      <w:r>
        <w:t>when</w:t>
      </w:r>
      <w:r>
        <w:rPr>
          <w:spacing w:val="-2"/>
        </w:rPr>
        <w:t xml:space="preserve"> </w:t>
      </w:r>
      <w:r>
        <w:t>SA-CCR</w:t>
      </w:r>
      <w:r>
        <w:rPr>
          <w:spacing w:val="-5"/>
        </w:rPr>
        <w:t xml:space="preserve"> </w:t>
      </w:r>
      <w:r>
        <w:t>is</w:t>
      </w:r>
      <w:r>
        <w:rPr>
          <w:spacing w:val="-3"/>
        </w:rPr>
        <w:t xml:space="preserve"> </w:t>
      </w:r>
      <w:r>
        <w:t>applied</w:t>
      </w:r>
      <w:r>
        <w:rPr>
          <w:spacing w:val="-5"/>
        </w:rPr>
        <w:t xml:space="preserve"> </w:t>
      </w:r>
      <w:r>
        <w:t>under the</w:t>
      </w:r>
      <w:r>
        <w:rPr>
          <w:spacing w:val="-10"/>
        </w:rPr>
        <w:t xml:space="preserve"> </w:t>
      </w:r>
      <w:proofErr w:type="spellStart"/>
      <w:r>
        <w:t>Standardised</w:t>
      </w:r>
      <w:proofErr w:type="spellEnd"/>
      <w:r>
        <w:rPr>
          <w:spacing w:val="-9"/>
        </w:rPr>
        <w:t xml:space="preserve"> </w:t>
      </w:r>
      <w:r>
        <w:t>Approach</w:t>
      </w:r>
      <w:r>
        <w:rPr>
          <w:spacing w:val="-11"/>
        </w:rPr>
        <w:t xml:space="preserve"> </w:t>
      </w:r>
      <w:r>
        <w:t>(or</w:t>
      </w:r>
      <w:r>
        <w:rPr>
          <w:spacing w:val="-10"/>
        </w:rPr>
        <w:t xml:space="preserve"> </w:t>
      </w:r>
      <w:r>
        <w:t>unfloored</w:t>
      </w:r>
      <w:r>
        <w:rPr>
          <w:spacing w:val="-8"/>
        </w:rPr>
        <w:t xml:space="preserve"> </w:t>
      </w:r>
      <w:r>
        <w:t>capital</w:t>
      </w:r>
      <w:r>
        <w:rPr>
          <w:spacing w:val="-11"/>
        </w:rPr>
        <w:t xml:space="preserve"> </w:t>
      </w:r>
      <w:r>
        <w:t>risk</w:t>
      </w:r>
      <w:r>
        <w:rPr>
          <w:spacing w:val="-9"/>
        </w:rPr>
        <w:t xml:space="preserve"> </w:t>
      </w:r>
      <w:r>
        <w:t>framework),</w:t>
      </w:r>
      <w:r>
        <w:rPr>
          <w:spacing w:val="-12"/>
        </w:rPr>
        <w:t xml:space="preserve"> </w:t>
      </w:r>
      <w:r>
        <w:t>the</w:t>
      </w:r>
      <w:r>
        <w:rPr>
          <w:spacing w:val="-9"/>
        </w:rPr>
        <w:t xml:space="preserve"> </w:t>
      </w:r>
      <w:r>
        <w:t>Leverage</w:t>
      </w:r>
      <w:r>
        <w:rPr>
          <w:spacing w:val="-10"/>
        </w:rPr>
        <w:t xml:space="preserve"> </w:t>
      </w:r>
      <w:r>
        <w:t>ratio</w:t>
      </w:r>
      <w:r>
        <w:rPr>
          <w:spacing w:val="-11"/>
        </w:rPr>
        <w:t xml:space="preserve"> </w:t>
      </w:r>
      <w:r>
        <w:t>or</w:t>
      </w:r>
      <w:r>
        <w:rPr>
          <w:spacing w:val="-10"/>
        </w:rPr>
        <w:t xml:space="preserve"> </w:t>
      </w:r>
      <w:r>
        <w:t>the</w:t>
      </w:r>
      <w:r>
        <w:rPr>
          <w:spacing w:val="-9"/>
        </w:rPr>
        <w:t xml:space="preserve"> </w:t>
      </w:r>
      <w:r>
        <w:t>Large</w:t>
      </w:r>
      <w:r>
        <w:rPr>
          <w:spacing w:val="-10"/>
        </w:rPr>
        <w:t xml:space="preserve"> </w:t>
      </w:r>
      <w:r>
        <w:t>Exposures framework respectively even though there is a distinct impact in each of these</w:t>
      </w:r>
      <w:r>
        <w:rPr>
          <w:spacing w:val="-10"/>
        </w:rPr>
        <w:t xml:space="preserve"> </w:t>
      </w:r>
      <w:r>
        <w:t>areas:</w:t>
      </w:r>
    </w:p>
    <w:p w14:paraId="4474AC7C" w14:textId="77777777" w:rsidR="001D4C35" w:rsidRDefault="001D4C35">
      <w:pPr>
        <w:pStyle w:val="BodyText"/>
        <w:spacing w:before="7"/>
        <w:rPr>
          <w:sz w:val="23"/>
        </w:rPr>
      </w:pPr>
    </w:p>
    <w:p w14:paraId="4474AC7D" w14:textId="77777777" w:rsidR="001D4C35" w:rsidRDefault="00D84817">
      <w:pPr>
        <w:pStyle w:val="ListParagraph"/>
        <w:numPr>
          <w:ilvl w:val="0"/>
          <w:numId w:val="19"/>
        </w:numPr>
        <w:tabs>
          <w:tab w:val="left" w:pos="893"/>
        </w:tabs>
        <w:spacing w:before="1" w:line="276" w:lineRule="auto"/>
        <w:ind w:left="891" w:right="146" w:hanging="360"/>
        <w:rPr>
          <w:rFonts w:ascii="Symbol" w:hAnsi="Symbol"/>
        </w:rPr>
      </w:pPr>
      <w:proofErr w:type="spellStart"/>
      <w:r>
        <w:t>Standardised</w:t>
      </w:r>
      <w:proofErr w:type="spellEnd"/>
      <w:r>
        <w:t xml:space="preserve"> Approach (unfloored capital) RWAs: in its current design and calibration, will lead to disproportionate increases in capital requirements for banks and significantly increased costs for end-users (e.g., corporates – including SMEs, pension funds, etc.) which typically use non-cleared derivatives to hedge business</w:t>
      </w:r>
      <w:r>
        <w:rPr>
          <w:spacing w:val="-3"/>
        </w:rPr>
        <w:t xml:space="preserve"> </w:t>
      </w:r>
      <w:r>
        <w:t>risks;</w:t>
      </w:r>
    </w:p>
    <w:p w14:paraId="4474AC7E" w14:textId="77777777" w:rsidR="001D4C35" w:rsidRDefault="00D84817">
      <w:pPr>
        <w:pStyle w:val="ListParagraph"/>
        <w:numPr>
          <w:ilvl w:val="0"/>
          <w:numId w:val="19"/>
        </w:numPr>
        <w:tabs>
          <w:tab w:val="left" w:pos="892"/>
        </w:tabs>
        <w:spacing w:line="270" w:lineRule="exact"/>
        <w:ind w:left="891"/>
        <w:rPr>
          <w:rFonts w:ascii="Symbol" w:hAnsi="Symbol"/>
        </w:rPr>
      </w:pPr>
      <w:r>
        <w:t>Leverage</w:t>
      </w:r>
      <w:r>
        <w:rPr>
          <w:spacing w:val="-7"/>
        </w:rPr>
        <w:t xml:space="preserve"> </w:t>
      </w:r>
      <w:r>
        <w:t>Ratio:</w:t>
      </w:r>
      <w:r>
        <w:rPr>
          <w:spacing w:val="-9"/>
        </w:rPr>
        <w:t xml:space="preserve"> </w:t>
      </w:r>
      <w:r>
        <w:t>is</w:t>
      </w:r>
      <w:r>
        <w:rPr>
          <w:spacing w:val="-5"/>
        </w:rPr>
        <w:t xml:space="preserve"> </w:t>
      </w:r>
      <w:r>
        <w:t>becoming</w:t>
      </w:r>
      <w:r>
        <w:rPr>
          <w:spacing w:val="-8"/>
        </w:rPr>
        <w:t xml:space="preserve"> </w:t>
      </w:r>
      <w:r>
        <w:t>a</w:t>
      </w:r>
      <w:r>
        <w:rPr>
          <w:spacing w:val="-10"/>
        </w:rPr>
        <w:t xml:space="preserve"> </w:t>
      </w:r>
      <w:r>
        <w:t>more</w:t>
      </w:r>
      <w:r>
        <w:rPr>
          <w:spacing w:val="-6"/>
        </w:rPr>
        <w:t xml:space="preserve"> </w:t>
      </w:r>
      <w:r>
        <w:t>biting</w:t>
      </w:r>
      <w:r>
        <w:rPr>
          <w:spacing w:val="-8"/>
        </w:rPr>
        <w:t xml:space="preserve"> </w:t>
      </w:r>
      <w:r>
        <w:t>constraint</w:t>
      </w:r>
      <w:r>
        <w:rPr>
          <w:spacing w:val="-5"/>
        </w:rPr>
        <w:t xml:space="preserve"> </w:t>
      </w:r>
      <w:r>
        <w:t>given</w:t>
      </w:r>
      <w:r>
        <w:rPr>
          <w:spacing w:val="-10"/>
        </w:rPr>
        <w:t xml:space="preserve"> </w:t>
      </w:r>
      <w:r>
        <w:t>the</w:t>
      </w:r>
      <w:r>
        <w:rPr>
          <w:spacing w:val="-6"/>
        </w:rPr>
        <w:t xml:space="preserve"> </w:t>
      </w:r>
      <w:r>
        <w:t>addition</w:t>
      </w:r>
      <w:r>
        <w:rPr>
          <w:spacing w:val="-7"/>
        </w:rPr>
        <w:t xml:space="preserve"> </w:t>
      </w:r>
      <w:r>
        <w:rPr>
          <w:spacing w:val="-3"/>
        </w:rPr>
        <w:t>of</w:t>
      </w:r>
      <w:r>
        <w:rPr>
          <w:spacing w:val="-6"/>
        </w:rPr>
        <w:t xml:space="preserve"> </w:t>
      </w:r>
      <w:r>
        <w:t>the</w:t>
      </w:r>
      <w:r>
        <w:rPr>
          <w:spacing w:val="-10"/>
        </w:rPr>
        <w:t xml:space="preserve"> </w:t>
      </w:r>
      <w:r>
        <w:t>G-SIB</w:t>
      </w:r>
      <w:r>
        <w:rPr>
          <w:spacing w:val="-9"/>
        </w:rPr>
        <w:t xml:space="preserve"> </w:t>
      </w:r>
      <w:r>
        <w:t>surcharge,</w:t>
      </w:r>
      <w:r>
        <w:rPr>
          <w:spacing w:val="-8"/>
        </w:rPr>
        <w:t xml:space="preserve"> </w:t>
      </w:r>
      <w:r>
        <w:t>Pillar</w:t>
      </w:r>
    </w:p>
    <w:p w14:paraId="4474AC7F" w14:textId="77777777" w:rsidR="001D4C35" w:rsidRDefault="00D84817">
      <w:pPr>
        <w:pStyle w:val="BodyText"/>
        <w:spacing w:before="38" w:line="278" w:lineRule="auto"/>
        <w:ind w:left="891" w:right="147"/>
        <w:jc w:val="both"/>
      </w:pPr>
      <w:r>
        <w:t>2 requirements, Pillar 2 guidance, and notwithstanding the impact from its input into TLAC calibration. Therefore, the benefits of recalibrating alpha for the output floor may not be achieved if the exposure measure value used in the Leverage ratio is not consistent.</w:t>
      </w:r>
    </w:p>
    <w:p w14:paraId="4474AC80" w14:textId="77777777" w:rsidR="001D4C35" w:rsidRDefault="00D84817">
      <w:pPr>
        <w:pStyle w:val="ListParagraph"/>
        <w:numPr>
          <w:ilvl w:val="0"/>
          <w:numId w:val="19"/>
        </w:numPr>
        <w:tabs>
          <w:tab w:val="left" w:pos="893"/>
        </w:tabs>
        <w:spacing w:line="273" w:lineRule="auto"/>
        <w:ind w:left="892" w:right="148"/>
        <w:rPr>
          <w:rFonts w:ascii="Symbol" w:hAnsi="Symbol"/>
        </w:rPr>
      </w:pPr>
      <w:r>
        <w:t>Large Exposures framework: the intent of the Large Exposures framework is to measure the propensity</w:t>
      </w:r>
      <w:r>
        <w:rPr>
          <w:spacing w:val="-10"/>
        </w:rPr>
        <w:t xml:space="preserve"> </w:t>
      </w:r>
      <w:r>
        <w:t>for</w:t>
      </w:r>
      <w:r>
        <w:rPr>
          <w:spacing w:val="-10"/>
        </w:rPr>
        <w:t xml:space="preserve"> </w:t>
      </w:r>
      <w:r>
        <w:t>concentration.</w:t>
      </w:r>
      <w:r>
        <w:rPr>
          <w:spacing w:val="-11"/>
        </w:rPr>
        <w:t xml:space="preserve"> </w:t>
      </w:r>
      <w:r>
        <w:t>The</w:t>
      </w:r>
      <w:r>
        <w:rPr>
          <w:spacing w:val="-10"/>
        </w:rPr>
        <w:t xml:space="preserve"> </w:t>
      </w:r>
      <w:r>
        <w:t>increased</w:t>
      </w:r>
      <w:r>
        <w:rPr>
          <w:spacing w:val="-12"/>
        </w:rPr>
        <w:t xml:space="preserve"> </w:t>
      </w:r>
      <w:r>
        <w:t>exposure</w:t>
      </w:r>
      <w:r>
        <w:rPr>
          <w:spacing w:val="-10"/>
        </w:rPr>
        <w:t xml:space="preserve"> </w:t>
      </w:r>
      <w:r>
        <w:t>values</w:t>
      </w:r>
      <w:r>
        <w:rPr>
          <w:spacing w:val="-9"/>
        </w:rPr>
        <w:t xml:space="preserve"> </w:t>
      </w:r>
      <w:r>
        <w:t>will</w:t>
      </w:r>
      <w:r>
        <w:rPr>
          <w:spacing w:val="-10"/>
        </w:rPr>
        <w:t xml:space="preserve"> </w:t>
      </w:r>
      <w:r>
        <w:t>reduce</w:t>
      </w:r>
      <w:r>
        <w:rPr>
          <w:spacing w:val="-10"/>
        </w:rPr>
        <w:t xml:space="preserve"> </w:t>
      </w:r>
      <w:r>
        <w:t>capacity</w:t>
      </w:r>
      <w:r>
        <w:rPr>
          <w:spacing w:val="-9"/>
        </w:rPr>
        <w:t xml:space="preserve"> </w:t>
      </w:r>
      <w:r>
        <w:t>to</w:t>
      </w:r>
      <w:r>
        <w:rPr>
          <w:spacing w:val="-12"/>
        </w:rPr>
        <w:t xml:space="preserve"> </w:t>
      </w:r>
      <w:r>
        <w:t>provide</w:t>
      </w:r>
      <w:r>
        <w:rPr>
          <w:spacing w:val="-9"/>
        </w:rPr>
        <w:t xml:space="preserve"> </w:t>
      </w:r>
      <w:r>
        <w:t>hedging products to end-users, and hinder recovery from the ongoing covid</w:t>
      </w:r>
      <w:r>
        <w:rPr>
          <w:spacing w:val="-12"/>
        </w:rPr>
        <w:t xml:space="preserve"> </w:t>
      </w:r>
      <w:r>
        <w:t>crisis.</w:t>
      </w:r>
    </w:p>
    <w:p w14:paraId="4474AC81" w14:textId="77777777" w:rsidR="001D4C35" w:rsidRDefault="001D4C35">
      <w:pPr>
        <w:pStyle w:val="BodyText"/>
        <w:spacing w:before="8"/>
        <w:rPr>
          <w:sz w:val="23"/>
        </w:rPr>
      </w:pPr>
    </w:p>
    <w:p w14:paraId="4474AC82" w14:textId="77777777" w:rsidR="001D4C35" w:rsidRDefault="00D84817">
      <w:pPr>
        <w:pStyle w:val="BodyText"/>
        <w:spacing w:line="276" w:lineRule="auto"/>
        <w:ind w:left="172" w:right="146" w:hanging="1"/>
        <w:jc w:val="both"/>
      </w:pPr>
      <w:r>
        <w:t>As</w:t>
      </w:r>
      <w:r>
        <w:rPr>
          <w:spacing w:val="-10"/>
        </w:rPr>
        <w:t xml:space="preserve"> </w:t>
      </w:r>
      <w:r>
        <w:t>such,</w:t>
      </w:r>
      <w:r>
        <w:rPr>
          <w:spacing w:val="-11"/>
        </w:rPr>
        <w:t xml:space="preserve"> </w:t>
      </w:r>
      <w:r>
        <w:t>we</w:t>
      </w:r>
      <w:r>
        <w:rPr>
          <w:spacing w:val="-11"/>
        </w:rPr>
        <w:t xml:space="preserve"> </w:t>
      </w:r>
      <w:r>
        <w:t>believe</w:t>
      </w:r>
      <w:r>
        <w:rPr>
          <w:spacing w:val="-10"/>
        </w:rPr>
        <w:t xml:space="preserve"> </w:t>
      </w:r>
      <w:r>
        <w:t>the</w:t>
      </w:r>
      <w:r>
        <w:rPr>
          <w:spacing w:val="-10"/>
        </w:rPr>
        <w:t xml:space="preserve"> </w:t>
      </w:r>
      <w:r>
        <w:t>adjustment</w:t>
      </w:r>
      <w:r>
        <w:rPr>
          <w:spacing w:val="-10"/>
        </w:rPr>
        <w:t xml:space="preserve"> </w:t>
      </w:r>
      <w:r>
        <w:t>proposed</w:t>
      </w:r>
      <w:r>
        <w:rPr>
          <w:spacing w:val="-9"/>
        </w:rPr>
        <w:t xml:space="preserve"> </w:t>
      </w:r>
      <w:r>
        <w:t>for</w:t>
      </w:r>
      <w:r>
        <w:rPr>
          <w:spacing w:val="-10"/>
        </w:rPr>
        <w:t xml:space="preserve"> </w:t>
      </w:r>
      <w:r>
        <w:t>the</w:t>
      </w:r>
      <w:r>
        <w:rPr>
          <w:spacing w:val="-10"/>
        </w:rPr>
        <w:t xml:space="preserve"> </w:t>
      </w:r>
      <w:r>
        <w:t>RWA</w:t>
      </w:r>
      <w:r>
        <w:rPr>
          <w:spacing w:val="-12"/>
        </w:rPr>
        <w:t xml:space="preserve"> </w:t>
      </w:r>
      <w:r>
        <w:t>output</w:t>
      </w:r>
      <w:r>
        <w:rPr>
          <w:spacing w:val="-10"/>
        </w:rPr>
        <w:t xml:space="preserve"> </w:t>
      </w:r>
      <w:r>
        <w:t>floor,</w:t>
      </w:r>
      <w:r>
        <w:rPr>
          <w:spacing w:val="-12"/>
        </w:rPr>
        <w:t xml:space="preserve"> </w:t>
      </w:r>
      <w:r>
        <w:t>should</w:t>
      </w:r>
      <w:r>
        <w:rPr>
          <w:spacing w:val="-9"/>
        </w:rPr>
        <w:t xml:space="preserve"> </w:t>
      </w:r>
      <w:r>
        <w:t>be</w:t>
      </w:r>
      <w:r>
        <w:rPr>
          <w:spacing w:val="-10"/>
        </w:rPr>
        <w:t xml:space="preserve"> </w:t>
      </w:r>
      <w:r>
        <w:t>applied</w:t>
      </w:r>
      <w:r>
        <w:rPr>
          <w:spacing w:val="-9"/>
        </w:rPr>
        <w:t xml:space="preserve"> </w:t>
      </w:r>
      <w:r>
        <w:t>consistently</w:t>
      </w:r>
      <w:r>
        <w:rPr>
          <w:spacing w:val="-10"/>
        </w:rPr>
        <w:t xml:space="preserve"> </w:t>
      </w:r>
      <w:r>
        <w:t xml:space="preserve">across the prudential framework. A simple approach would be to re-calibrate the alpha factor to 1 in the </w:t>
      </w:r>
      <w:proofErr w:type="spellStart"/>
      <w:r>
        <w:t>standardised</w:t>
      </w:r>
      <w:proofErr w:type="spellEnd"/>
      <w:r>
        <w:t xml:space="preserve"> approach, as this would then feed into SA-CCR for all </w:t>
      </w:r>
      <w:proofErr w:type="spellStart"/>
      <w:r>
        <w:t>Standardised</w:t>
      </w:r>
      <w:proofErr w:type="spellEnd"/>
      <w:r>
        <w:t xml:space="preserve"> Approach calculations - i.e. Counterparty Credit Risk including the Leverage Ratio and Large Exposures framework - consistently with permanent application further considered as part of the EBA’s</w:t>
      </w:r>
      <w:r>
        <w:rPr>
          <w:spacing w:val="-6"/>
        </w:rPr>
        <w:t xml:space="preserve"> </w:t>
      </w:r>
      <w:r>
        <w:t>report.</w:t>
      </w:r>
    </w:p>
    <w:p w14:paraId="4474AC83" w14:textId="77777777" w:rsidR="001D4C35" w:rsidRDefault="001D4C35">
      <w:pPr>
        <w:pStyle w:val="BodyText"/>
        <w:spacing w:before="11"/>
        <w:rPr>
          <w:sz w:val="23"/>
        </w:rPr>
      </w:pPr>
    </w:p>
    <w:p w14:paraId="4474AC84" w14:textId="77777777" w:rsidR="001D4C35" w:rsidRDefault="00D84817">
      <w:pPr>
        <w:pStyle w:val="BodyText"/>
        <w:spacing w:line="276" w:lineRule="auto"/>
        <w:ind w:left="172" w:right="147"/>
        <w:jc w:val="both"/>
      </w:pPr>
      <w:r>
        <w:t>Given these impacts, the EBA review mandated under Article 514 should explicitly look at the issue of calibration of the alpha factor and its impact on firms’ and end-users’ hedging capacity, as well as the international developments, with the view of ensuring adequate competitiveness of EU Capital Markets.</w:t>
      </w:r>
    </w:p>
    <w:p w14:paraId="4474AC85" w14:textId="77777777" w:rsidR="001D4C35" w:rsidRDefault="001D4C35">
      <w:pPr>
        <w:pStyle w:val="BodyText"/>
        <w:spacing w:before="9"/>
        <w:rPr>
          <w:sz w:val="23"/>
        </w:rPr>
      </w:pPr>
    </w:p>
    <w:p w14:paraId="4474AC86" w14:textId="77777777" w:rsidR="001D4C35" w:rsidRDefault="00D84817">
      <w:pPr>
        <w:pStyle w:val="BodyText"/>
        <w:spacing w:line="276" w:lineRule="auto"/>
        <w:ind w:left="171" w:right="146"/>
        <w:jc w:val="both"/>
      </w:pPr>
      <w:r>
        <w:t>The question of recalibration of SA-CCR also calls for a broader review at the Basel Committee to ensure global consistency. In the US, the alpha factor has been recalibrated to 1 on a permanent basis in relation to exposures</w:t>
      </w:r>
      <w:r>
        <w:rPr>
          <w:spacing w:val="-10"/>
        </w:rPr>
        <w:t xml:space="preserve"> </w:t>
      </w:r>
      <w:r>
        <w:t>to</w:t>
      </w:r>
      <w:r>
        <w:rPr>
          <w:spacing w:val="-12"/>
        </w:rPr>
        <w:t xml:space="preserve"> </w:t>
      </w:r>
      <w:r>
        <w:t>commercial</w:t>
      </w:r>
      <w:r>
        <w:rPr>
          <w:spacing w:val="-11"/>
        </w:rPr>
        <w:t xml:space="preserve"> </w:t>
      </w:r>
      <w:r>
        <w:t>end-users</w:t>
      </w:r>
      <w:r>
        <w:rPr>
          <w:spacing w:val="-9"/>
        </w:rPr>
        <w:t xml:space="preserve"> </w:t>
      </w:r>
      <w:r>
        <w:t>and</w:t>
      </w:r>
      <w:r>
        <w:rPr>
          <w:spacing w:val="-10"/>
        </w:rPr>
        <w:t xml:space="preserve"> </w:t>
      </w:r>
      <w:r>
        <w:t>it</w:t>
      </w:r>
      <w:r>
        <w:rPr>
          <w:spacing w:val="-10"/>
        </w:rPr>
        <w:t xml:space="preserve"> </w:t>
      </w:r>
      <w:r>
        <w:t>was</w:t>
      </w:r>
      <w:r>
        <w:rPr>
          <w:spacing w:val="-9"/>
        </w:rPr>
        <w:t xml:space="preserve"> </w:t>
      </w:r>
      <w:r>
        <w:t>not</w:t>
      </w:r>
      <w:r>
        <w:rPr>
          <w:spacing w:val="-10"/>
        </w:rPr>
        <w:t xml:space="preserve"> </w:t>
      </w:r>
      <w:r>
        <w:t>limited</w:t>
      </w:r>
      <w:r>
        <w:rPr>
          <w:spacing w:val="-9"/>
        </w:rPr>
        <w:t xml:space="preserve"> </w:t>
      </w:r>
      <w:r>
        <w:t>to</w:t>
      </w:r>
      <w:r>
        <w:rPr>
          <w:spacing w:val="-13"/>
        </w:rPr>
        <w:t xml:space="preserve"> </w:t>
      </w:r>
      <w:r>
        <w:t>the</w:t>
      </w:r>
      <w:r>
        <w:rPr>
          <w:spacing w:val="-10"/>
        </w:rPr>
        <w:t xml:space="preserve"> </w:t>
      </w:r>
      <w:r>
        <w:t>RWA</w:t>
      </w:r>
      <w:r>
        <w:rPr>
          <w:spacing w:val="-12"/>
        </w:rPr>
        <w:t xml:space="preserve"> </w:t>
      </w:r>
      <w:r>
        <w:t>output</w:t>
      </w:r>
      <w:r>
        <w:rPr>
          <w:spacing w:val="-9"/>
        </w:rPr>
        <w:t xml:space="preserve"> </w:t>
      </w:r>
      <w:r>
        <w:t>floor</w:t>
      </w:r>
      <w:r>
        <w:rPr>
          <w:spacing w:val="-10"/>
        </w:rPr>
        <w:t xml:space="preserve"> </w:t>
      </w:r>
      <w:r>
        <w:t>application</w:t>
      </w:r>
      <w:r>
        <w:rPr>
          <w:spacing w:val="-10"/>
        </w:rPr>
        <w:t xml:space="preserve"> </w:t>
      </w:r>
      <w:r>
        <w:t>only.</w:t>
      </w:r>
      <w:r>
        <w:rPr>
          <w:spacing w:val="-13"/>
        </w:rPr>
        <w:t xml:space="preserve"> </w:t>
      </w:r>
      <w:r>
        <w:t>A</w:t>
      </w:r>
      <w:r>
        <w:rPr>
          <w:spacing w:val="-12"/>
        </w:rPr>
        <w:t xml:space="preserve"> </w:t>
      </w:r>
      <w:r>
        <w:t>review was</w:t>
      </w:r>
      <w:r>
        <w:rPr>
          <w:spacing w:val="-6"/>
        </w:rPr>
        <w:t xml:space="preserve"> </w:t>
      </w:r>
      <w:r>
        <w:t>also</w:t>
      </w:r>
      <w:r>
        <w:rPr>
          <w:spacing w:val="-7"/>
        </w:rPr>
        <w:t xml:space="preserve"> </w:t>
      </w:r>
      <w:r>
        <w:t>mandated</w:t>
      </w:r>
      <w:r>
        <w:rPr>
          <w:spacing w:val="-4"/>
        </w:rPr>
        <w:t xml:space="preserve"> </w:t>
      </w:r>
      <w:r>
        <w:t>in</w:t>
      </w:r>
      <w:r>
        <w:rPr>
          <w:spacing w:val="-5"/>
        </w:rPr>
        <w:t xml:space="preserve"> </w:t>
      </w:r>
      <w:r>
        <w:t>the</w:t>
      </w:r>
      <w:r>
        <w:rPr>
          <w:spacing w:val="-5"/>
        </w:rPr>
        <w:t xml:space="preserve"> </w:t>
      </w:r>
      <w:proofErr w:type="spellStart"/>
      <w:r>
        <w:t>Securitisation</w:t>
      </w:r>
      <w:proofErr w:type="spellEnd"/>
      <w:r>
        <w:rPr>
          <w:spacing w:val="-5"/>
        </w:rPr>
        <w:t xml:space="preserve"> </w:t>
      </w:r>
      <w:r>
        <w:t>Quick</w:t>
      </w:r>
      <w:r>
        <w:rPr>
          <w:spacing w:val="-5"/>
        </w:rPr>
        <w:t xml:space="preserve"> </w:t>
      </w:r>
      <w:r>
        <w:t>fix</w:t>
      </w:r>
      <w:r>
        <w:rPr>
          <w:spacing w:val="-4"/>
        </w:rPr>
        <w:t xml:space="preserve"> </w:t>
      </w:r>
      <w:r>
        <w:t>package</w:t>
      </w:r>
      <w:hyperlink w:anchor="_bookmark32" w:history="1">
        <w:r>
          <w:rPr>
            <w:position w:val="5"/>
            <w:sz w:val="14"/>
          </w:rPr>
          <w:t>9</w:t>
        </w:r>
        <w:r>
          <w:rPr>
            <w:spacing w:val="10"/>
            <w:position w:val="5"/>
            <w:sz w:val="14"/>
          </w:rPr>
          <w:t xml:space="preserve"> </w:t>
        </w:r>
      </w:hyperlink>
      <w:r>
        <w:t>for</w:t>
      </w:r>
      <w:r>
        <w:rPr>
          <w:spacing w:val="-5"/>
        </w:rPr>
        <w:t xml:space="preserve"> </w:t>
      </w:r>
      <w:r>
        <w:t>the</w:t>
      </w:r>
      <w:r>
        <w:rPr>
          <w:spacing w:val="-5"/>
        </w:rPr>
        <w:t xml:space="preserve"> </w:t>
      </w:r>
      <w:r>
        <w:t>Commission</w:t>
      </w:r>
      <w:r>
        <w:rPr>
          <w:spacing w:val="-5"/>
        </w:rPr>
        <w:t xml:space="preserve"> </w:t>
      </w:r>
      <w:r>
        <w:t>to</w:t>
      </w:r>
      <w:r>
        <w:rPr>
          <w:spacing w:val="-7"/>
        </w:rPr>
        <w:t xml:space="preserve"> </w:t>
      </w:r>
      <w:r>
        <w:t>review</w:t>
      </w:r>
      <w:r>
        <w:rPr>
          <w:spacing w:val="-4"/>
        </w:rPr>
        <w:t xml:space="preserve"> </w:t>
      </w:r>
      <w:r>
        <w:t>SA-CCR</w:t>
      </w:r>
      <w:r>
        <w:rPr>
          <w:spacing w:val="-7"/>
        </w:rPr>
        <w:t xml:space="preserve"> </w:t>
      </w:r>
      <w:r>
        <w:t>in</w:t>
      </w:r>
      <w:r>
        <w:rPr>
          <w:spacing w:val="-1"/>
        </w:rPr>
        <w:t xml:space="preserve"> </w:t>
      </w:r>
      <w:r>
        <w:t>order</w:t>
      </w:r>
      <w:r>
        <w:rPr>
          <w:spacing w:val="-5"/>
        </w:rPr>
        <w:t xml:space="preserve"> </w:t>
      </w:r>
      <w:r>
        <w:t xml:space="preserve">to ensure that EU corporates were able to hedge their  financial risks  in  the context  </w:t>
      </w:r>
      <w:r>
        <w:rPr>
          <w:spacing w:val="-3"/>
        </w:rPr>
        <w:t xml:space="preserve">of  </w:t>
      </w:r>
      <w:r>
        <w:t>the recovery  from  the Covid-19 pandemic and taking into account, among others, the international level playing</w:t>
      </w:r>
      <w:r>
        <w:rPr>
          <w:spacing w:val="-33"/>
        </w:rPr>
        <w:t xml:space="preserve"> </w:t>
      </w:r>
      <w:r>
        <w:t>field.</w:t>
      </w:r>
    </w:p>
    <w:p w14:paraId="4474AC87" w14:textId="77777777" w:rsidR="001D4C35" w:rsidRDefault="00D65A23">
      <w:pPr>
        <w:pStyle w:val="BodyText"/>
        <w:spacing w:before="9"/>
        <w:rPr>
          <w:sz w:val="20"/>
        </w:rPr>
      </w:pPr>
      <w:r>
        <w:pict w14:anchorId="4474B03E">
          <v:shapetype id="_x0000_t202" coordsize="21600,21600" o:spt="202" path="m,l,21600r21600,l21600,xe">
            <v:stroke joinstyle="miter"/>
            <v:path gradientshapeok="t" o:connecttype="rect"/>
          </v:shapetype>
          <v:shape id="_x0000_s2131" type="#_x0000_t202" style="position:absolute;margin-left:43.1pt;margin-top:14.65pt;width:495.6pt;height:59.6pt;z-index:-251624448;mso-wrap-distance-left:0;mso-wrap-distance-right:0;mso-position-horizontal-relative:page" fillcolor="#dbe4f0" strokeweight="1pt">
            <v:textbox inset="0,0,0,0">
              <w:txbxContent>
                <w:p w14:paraId="4474B108" w14:textId="77777777" w:rsidR="001D4C35" w:rsidRDefault="00D84817">
                  <w:pPr>
                    <w:spacing w:line="257" w:lineRule="exact"/>
                    <w:ind w:left="3886" w:right="3895"/>
                    <w:jc w:val="center"/>
                    <w:rPr>
                      <w:b/>
                    </w:rPr>
                  </w:pPr>
                  <w:r>
                    <w:rPr>
                      <w:b/>
                    </w:rPr>
                    <w:t>Recommendation(s)</w:t>
                  </w:r>
                </w:p>
                <w:p w14:paraId="4474B109" w14:textId="77777777" w:rsidR="001D4C35" w:rsidRDefault="001D4C35">
                  <w:pPr>
                    <w:pStyle w:val="BodyText"/>
                    <w:spacing w:before="1"/>
                    <w:rPr>
                      <w:b/>
                      <w:sz w:val="27"/>
                    </w:rPr>
                  </w:pPr>
                </w:p>
                <w:p w14:paraId="4474B10A" w14:textId="77777777" w:rsidR="001D4C35" w:rsidRDefault="00D84817">
                  <w:pPr>
                    <w:pStyle w:val="BodyText"/>
                    <w:spacing w:line="278" w:lineRule="auto"/>
                    <w:ind w:left="95"/>
                  </w:pPr>
                  <w:r>
                    <w:t>Re-calibrate alpha to 1 for all applications of SA-CCR: Counterparty credit risk under the Standardized Approach, Leverage Ratio and Large Exposure.</w:t>
                  </w:r>
                </w:p>
              </w:txbxContent>
            </v:textbox>
            <w10:wrap type="topAndBottom" anchorx="page"/>
          </v:shape>
        </w:pict>
      </w:r>
    </w:p>
    <w:p w14:paraId="4474AC88" w14:textId="77777777" w:rsidR="001D4C35" w:rsidRDefault="001D4C35">
      <w:pPr>
        <w:pStyle w:val="BodyText"/>
        <w:rPr>
          <w:sz w:val="20"/>
        </w:rPr>
      </w:pPr>
    </w:p>
    <w:p w14:paraId="4474AC89" w14:textId="77777777" w:rsidR="001D4C35" w:rsidRDefault="001D4C35">
      <w:pPr>
        <w:pStyle w:val="BodyText"/>
        <w:rPr>
          <w:sz w:val="20"/>
        </w:rPr>
      </w:pPr>
    </w:p>
    <w:p w14:paraId="4474AC8A" w14:textId="77777777" w:rsidR="001D4C35" w:rsidRDefault="001D4C35">
      <w:pPr>
        <w:pStyle w:val="BodyText"/>
        <w:rPr>
          <w:sz w:val="20"/>
        </w:rPr>
      </w:pPr>
    </w:p>
    <w:p w14:paraId="4474AC8B" w14:textId="77777777" w:rsidR="001D4C35" w:rsidRDefault="001D4C35">
      <w:pPr>
        <w:pStyle w:val="BodyText"/>
        <w:rPr>
          <w:sz w:val="20"/>
        </w:rPr>
      </w:pPr>
    </w:p>
    <w:p w14:paraId="4474AC8C" w14:textId="77777777" w:rsidR="001D4C35" w:rsidRDefault="00D65A23">
      <w:pPr>
        <w:pStyle w:val="BodyText"/>
        <w:spacing w:before="11"/>
        <w:rPr>
          <w:sz w:val="19"/>
        </w:rPr>
      </w:pPr>
      <w:r>
        <w:pict w14:anchorId="4474B03F">
          <v:shape id="_x0000_s2130" style="position:absolute;margin-left:44.2pt;margin-top:13.95pt;width:2in;height:.1pt;z-index:-251623424;mso-wrap-distance-left:0;mso-wrap-distance-right:0;mso-position-horizontal-relative:page" coordorigin="884,279" coordsize="2880,0" path="m884,279r2880,e" filled="f" strokeweight=".6pt">
            <v:path arrowok="t"/>
            <w10:wrap type="topAndBottom" anchorx="page"/>
          </v:shape>
        </w:pict>
      </w:r>
    </w:p>
    <w:p w14:paraId="4474AC8D" w14:textId="77777777" w:rsidR="001D4C35" w:rsidRDefault="00D84817">
      <w:pPr>
        <w:spacing w:before="76" w:line="237" w:lineRule="auto"/>
        <w:ind w:left="172" w:right="648"/>
        <w:rPr>
          <w:sz w:val="16"/>
        </w:rPr>
      </w:pPr>
      <w:bookmarkStart w:id="16" w:name="_bookmark31"/>
      <w:bookmarkEnd w:id="16"/>
      <w:r>
        <w:rPr>
          <w:position w:val="4"/>
          <w:sz w:val="10"/>
        </w:rPr>
        <w:t xml:space="preserve">[2] </w:t>
      </w:r>
      <w:r>
        <w:rPr>
          <w:sz w:val="16"/>
        </w:rPr>
        <w:t>CRR2 - Article 514 Method for the calculation of the exposure value of derivative transactions 1.EBA shall, by 28 June 2023, report to the Commission on the impact and the relative calibration of the approaches set out in Sections 3, 4 and 5 of Chapter 6 of Title II of Part Three to calculate the exposure values of derivative transactions.</w:t>
      </w:r>
    </w:p>
    <w:p w14:paraId="4474AC8E" w14:textId="77777777" w:rsidR="001D4C35" w:rsidRDefault="00D84817">
      <w:pPr>
        <w:spacing w:before="2"/>
        <w:ind w:left="172"/>
        <w:rPr>
          <w:sz w:val="16"/>
        </w:rPr>
      </w:pPr>
      <w:bookmarkStart w:id="17" w:name="_bookmark32"/>
      <w:bookmarkEnd w:id="17"/>
      <w:r>
        <w:rPr>
          <w:position w:val="4"/>
          <w:sz w:val="10"/>
        </w:rPr>
        <w:t xml:space="preserve">9 </w:t>
      </w:r>
      <w:r>
        <w:rPr>
          <w:sz w:val="16"/>
        </w:rPr>
        <w:t>https://eur-lex.europa.eu/legal-content/EN/TXT/HTML/?uri=OJ:L:2021:116:FULL&amp;from=EN</w:t>
      </w:r>
    </w:p>
    <w:p w14:paraId="4474AC8F" w14:textId="77777777" w:rsidR="001D4C35" w:rsidRDefault="001D4C35">
      <w:pPr>
        <w:rPr>
          <w:sz w:val="16"/>
        </w:rPr>
        <w:sectPr w:rsidR="001D4C35">
          <w:pgSz w:w="11910" w:h="16840"/>
          <w:pgMar w:top="520" w:right="840" w:bottom="900" w:left="680" w:header="0" w:footer="704" w:gutter="0"/>
          <w:cols w:space="720"/>
        </w:sectPr>
      </w:pPr>
    </w:p>
    <w:p w14:paraId="4474AC90" w14:textId="77777777" w:rsidR="001D4C35" w:rsidRDefault="00D84817">
      <w:pPr>
        <w:tabs>
          <w:tab w:val="left" w:pos="7925"/>
        </w:tabs>
        <w:ind w:left="186"/>
        <w:rPr>
          <w:sz w:val="20"/>
        </w:rPr>
      </w:pPr>
      <w:r>
        <w:rPr>
          <w:noProof/>
          <w:position w:val="11"/>
          <w:sz w:val="20"/>
        </w:rPr>
        <w:lastRenderedPageBreak/>
        <w:drawing>
          <wp:inline distT="0" distB="0" distL="0" distR="0" wp14:anchorId="4474B040" wp14:editId="4474B041">
            <wp:extent cx="1679117" cy="442722"/>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42" wp14:editId="4474B043">
            <wp:extent cx="1427865" cy="572643"/>
            <wp:effectExtent l="0" t="0" r="0" b="0"/>
            <wp:docPr id="2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C91" w14:textId="77777777" w:rsidR="001D4C35" w:rsidRDefault="001D4C35">
      <w:pPr>
        <w:pStyle w:val="BodyText"/>
        <w:spacing w:before="3"/>
        <w:rPr>
          <w:sz w:val="9"/>
        </w:rPr>
      </w:pPr>
    </w:p>
    <w:p w14:paraId="4474AC92" w14:textId="77777777" w:rsidR="001D4C35" w:rsidRDefault="00D84817">
      <w:pPr>
        <w:pStyle w:val="Heading3"/>
        <w:spacing w:before="100"/>
        <w:ind w:left="204"/>
      </w:pPr>
      <w:r>
        <w:t>Beyond Alpha</w:t>
      </w:r>
    </w:p>
    <w:p w14:paraId="4474AC93" w14:textId="77777777" w:rsidR="001D4C35" w:rsidRDefault="001D4C35">
      <w:pPr>
        <w:pStyle w:val="BodyText"/>
        <w:spacing w:before="1"/>
        <w:rPr>
          <w:b/>
          <w:sz w:val="27"/>
        </w:rPr>
      </w:pPr>
    </w:p>
    <w:p w14:paraId="4474AC94" w14:textId="77777777" w:rsidR="001D4C35" w:rsidRDefault="00D84817">
      <w:pPr>
        <w:spacing w:before="1"/>
        <w:ind w:left="204"/>
        <w:rPr>
          <w:b/>
        </w:rPr>
      </w:pPr>
      <w:r>
        <w:rPr>
          <w:b/>
          <w:u w:val="single"/>
        </w:rPr>
        <w:t>Credit Risk interlinkage: Transitional Arrangements for Unrated Corporates</w:t>
      </w:r>
    </w:p>
    <w:p w14:paraId="4474AC95" w14:textId="77777777" w:rsidR="001D4C35" w:rsidRDefault="001D4C35">
      <w:pPr>
        <w:pStyle w:val="BodyText"/>
        <w:spacing w:before="6"/>
        <w:rPr>
          <w:b/>
          <w:sz w:val="18"/>
        </w:rPr>
      </w:pPr>
    </w:p>
    <w:p w14:paraId="4474AC96" w14:textId="77777777" w:rsidR="001D4C35" w:rsidRDefault="00D84817">
      <w:pPr>
        <w:pStyle w:val="BodyText"/>
        <w:spacing w:before="101" w:line="276" w:lineRule="auto"/>
        <w:ind w:left="203" w:right="293"/>
        <w:jc w:val="both"/>
      </w:pPr>
      <w:r>
        <w:t>The Industry welcomes the proposed Article 465 which provides a transitional treatment lasting until 2032 for how to calculate exposures to unrated corporates under a “hybrid approach”</w:t>
      </w:r>
      <w:hyperlink w:anchor="_bookmark33" w:history="1">
        <w:r>
          <w:rPr>
            <w:position w:val="5"/>
            <w:sz w:val="14"/>
          </w:rPr>
          <w:t>10</w:t>
        </w:r>
      </w:hyperlink>
      <w:r>
        <w:t xml:space="preserve">, which will also feed into SA-CCR calculations of exposure values within the output floor. However, the issue of lack of ratings is not limited to banks which use models but also extends to banks that apply the </w:t>
      </w:r>
      <w:proofErr w:type="spellStart"/>
      <w:r>
        <w:t>standardised</w:t>
      </w:r>
      <w:proofErr w:type="spellEnd"/>
      <w:r>
        <w:t xml:space="preserve"> approach, especially with regard to investment grade corporates, which all banks are able to identify.</w:t>
      </w:r>
    </w:p>
    <w:p w14:paraId="4474AC97" w14:textId="77777777" w:rsidR="001D4C35" w:rsidRDefault="001D4C35">
      <w:pPr>
        <w:pStyle w:val="BodyText"/>
        <w:spacing w:before="10"/>
        <w:rPr>
          <w:sz w:val="23"/>
        </w:rPr>
      </w:pPr>
    </w:p>
    <w:p w14:paraId="4474AC98" w14:textId="77777777" w:rsidR="001D4C35" w:rsidRDefault="00D84817">
      <w:pPr>
        <w:pStyle w:val="BodyText"/>
        <w:spacing w:before="1" w:line="276" w:lineRule="auto"/>
        <w:ind w:left="203" w:right="291"/>
        <w:jc w:val="both"/>
      </w:pPr>
      <w:r>
        <w:t xml:space="preserve">Consequently, we propose commensurate treatment of unrated corporates should be extended to the calculation of </w:t>
      </w:r>
      <w:proofErr w:type="spellStart"/>
      <w:r>
        <w:t>standardised</w:t>
      </w:r>
      <w:proofErr w:type="spellEnd"/>
      <w:r>
        <w:t xml:space="preserve"> RWAs where it can be demonstrated that the corporate is investment grade. For instance, this could be achieved by allowing institutions to make use of the internally estimated Probability of Default (PDs) for those exposures for the purposes of both either the economic capital calculation or the accounting expected credit loss calculation</w:t>
      </w:r>
      <w:hyperlink w:anchor="_bookmark34" w:history="1">
        <w:r>
          <w:rPr>
            <w:position w:val="5"/>
            <w:sz w:val="14"/>
          </w:rPr>
          <w:t>11</w:t>
        </w:r>
      </w:hyperlink>
      <w:r>
        <w:t>. These metrics (PDs) follow existing EU regulations, are decoupled from the capital metrics, and are used by all institutions regardless of the approach they use and allow them to identify investment grade unrated corporates with the same level of guarantee as regulatory PDs</w:t>
      </w:r>
      <w:hyperlink w:anchor="_bookmark35" w:history="1">
        <w:r>
          <w:rPr>
            <w:position w:val="5"/>
            <w:sz w:val="14"/>
          </w:rPr>
          <w:t>12</w:t>
        </w:r>
      </w:hyperlink>
      <w:r>
        <w:t>. Such PDs should have followed the necessary internal validation, supervisory review and governance processes to ensure maximum rigor and compliance with the principles set out in the above-mentioned guidelines, including any necessary adjustments if needed in their operations. These PDs are calculated by counterparty and are widely used by banks. The proposed treatment would identify those counterparties with a PD&lt;0.5% and apply a RW of 65% to them.</w:t>
      </w:r>
    </w:p>
    <w:p w14:paraId="4474AC99" w14:textId="77777777" w:rsidR="001D4C35" w:rsidRDefault="001D4C35">
      <w:pPr>
        <w:pStyle w:val="BodyText"/>
        <w:spacing w:before="6"/>
        <w:rPr>
          <w:sz w:val="23"/>
        </w:rPr>
      </w:pPr>
    </w:p>
    <w:p w14:paraId="4474AC9A" w14:textId="77777777" w:rsidR="001D4C35" w:rsidRDefault="00D84817">
      <w:pPr>
        <w:pStyle w:val="BodyText"/>
        <w:spacing w:before="1" w:line="278" w:lineRule="auto"/>
        <w:ind w:left="203" w:right="291"/>
        <w:jc w:val="both"/>
      </w:pPr>
      <w:r>
        <w:t xml:space="preserve">In the same vein it should be noted that some advanced banks have entities within their group which use the </w:t>
      </w:r>
      <w:proofErr w:type="spellStart"/>
      <w:r>
        <w:t>standardised</w:t>
      </w:r>
      <w:proofErr w:type="spellEnd"/>
      <w:r>
        <w:t xml:space="preserve"> approach, in this instance such entities should be allowed to use the PDs within the group’s IRB entity to be able to apply the hybrid approach.</w:t>
      </w:r>
    </w:p>
    <w:p w14:paraId="4474AC9B" w14:textId="77777777" w:rsidR="001D4C35" w:rsidRDefault="00D65A23">
      <w:pPr>
        <w:pStyle w:val="BodyText"/>
        <w:spacing w:before="2"/>
        <w:rPr>
          <w:sz w:val="20"/>
        </w:rPr>
      </w:pPr>
      <w:r>
        <w:pict w14:anchorId="4474B044">
          <v:shape id="_x0000_s2129" type="#_x0000_t202" style="position:absolute;margin-left:42.8pt;margin-top:14pt;width:496pt;height:58.8pt;z-index:-251622400;mso-wrap-distance-left:0;mso-wrap-distance-right:0;mso-position-horizontal-relative:page" fillcolor="#dbe4f0" strokeweight=".4pt">
            <v:textbox inset="0,0,0,0">
              <w:txbxContent>
                <w:p w14:paraId="4474B10B" w14:textId="77777777" w:rsidR="001D4C35" w:rsidRDefault="00D84817">
                  <w:pPr>
                    <w:spacing w:line="257" w:lineRule="exact"/>
                    <w:ind w:left="3899" w:right="3903"/>
                    <w:jc w:val="center"/>
                    <w:rPr>
                      <w:b/>
                    </w:rPr>
                  </w:pPr>
                  <w:r>
                    <w:rPr>
                      <w:b/>
                    </w:rPr>
                    <w:t>Recommendation(s)</w:t>
                  </w:r>
                </w:p>
                <w:p w14:paraId="4474B10C" w14:textId="77777777" w:rsidR="001D4C35" w:rsidRDefault="001D4C35">
                  <w:pPr>
                    <w:pStyle w:val="BodyText"/>
                    <w:spacing w:before="5"/>
                    <w:rPr>
                      <w:b/>
                      <w:sz w:val="27"/>
                    </w:rPr>
                  </w:pPr>
                </w:p>
                <w:p w14:paraId="4474B10D" w14:textId="77777777" w:rsidR="001D4C35" w:rsidRDefault="00D84817">
                  <w:pPr>
                    <w:pStyle w:val="BodyText"/>
                    <w:spacing w:line="276" w:lineRule="auto"/>
                    <w:ind w:left="103"/>
                  </w:pPr>
                  <w:r>
                    <w:t xml:space="preserve">We propose commensurate treatment of unrated corporates should be extended to the </w:t>
                  </w:r>
                  <w:proofErr w:type="spellStart"/>
                  <w:r>
                    <w:t>standardised</w:t>
                  </w:r>
                  <w:proofErr w:type="spellEnd"/>
                  <w:r>
                    <w:t xml:space="preserve"> approach where it can be demonstrated that the corporate is investment grade</w:t>
                  </w:r>
                </w:p>
              </w:txbxContent>
            </v:textbox>
            <w10:wrap type="topAndBottom" anchorx="page"/>
          </v:shape>
        </w:pict>
      </w:r>
    </w:p>
    <w:p w14:paraId="4474AC9C" w14:textId="77777777" w:rsidR="001D4C35" w:rsidRDefault="001D4C35">
      <w:pPr>
        <w:pStyle w:val="BodyText"/>
        <w:spacing w:before="1"/>
        <w:rPr>
          <w:sz w:val="13"/>
        </w:rPr>
      </w:pPr>
    </w:p>
    <w:p w14:paraId="4474AC9D" w14:textId="77777777" w:rsidR="001D4C35" w:rsidRDefault="00D84817">
      <w:pPr>
        <w:pStyle w:val="Heading3"/>
        <w:spacing w:before="100"/>
        <w:ind w:left="172"/>
      </w:pPr>
      <w:r>
        <w:rPr>
          <w:u w:val="single"/>
        </w:rPr>
        <w:t>Design and calibration issues</w:t>
      </w:r>
    </w:p>
    <w:p w14:paraId="4474AC9E" w14:textId="77777777" w:rsidR="001D4C35" w:rsidRDefault="001D4C35">
      <w:pPr>
        <w:pStyle w:val="BodyText"/>
        <w:spacing w:before="7"/>
        <w:rPr>
          <w:b/>
          <w:sz w:val="18"/>
        </w:rPr>
      </w:pPr>
    </w:p>
    <w:p w14:paraId="4474AC9F" w14:textId="77777777" w:rsidR="001D4C35" w:rsidRDefault="00D84817">
      <w:pPr>
        <w:pStyle w:val="BodyText"/>
        <w:spacing w:before="100" w:line="278" w:lineRule="auto"/>
        <w:ind w:left="203"/>
      </w:pPr>
      <w:r>
        <w:t>SA-CCR retains a number of design and calibration issues beyond alpha factor recalibration that warrant attention. A more comprehensive review of SA-CCR should be conducted as part of the remaining CRR3</w:t>
      </w:r>
    </w:p>
    <w:p w14:paraId="4474ACA0" w14:textId="77777777" w:rsidR="001D4C35" w:rsidRDefault="00D65A23">
      <w:pPr>
        <w:pStyle w:val="BodyText"/>
        <w:spacing w:before="6"/>
      </w:pPr>
      <w:r>
        <w:pict w14:anchorId="4474B045">
          <v:shape id="_x0000_s2128" style="position:absolute;margin-left:44.2pt;margin-top:15.45pt;width:2in;height:.1pt;z-index:-251621376;mso-wrap-distance-left:0;mso-wrap-distance-right:0;mso-position-horizontal-relative:page" coordorigin="884,309" coordsize="2880,0" path="m884,309r2880,e" filled="f" strokeweight=".6pt">
            <v:path arrowok="t"/>
            <w10:wrap type="topAndBottom" anchorx="page"/>
          </v:shape>
        </w:pict>
      </w:r>
    </w:p>
    <w:p w14:paraId="4474ACA1" w14:textId="77777777" w:rsidR="001D4C35" w:rsidRDefault="00D84817">
      <w:pPr>
        <w:spacing w:before="71"/>
        <w:ind w:left="172" w:right="199"/>
        <w:rPr>
          <w:sz w:val="16"/>
        </w:rPr>
      </w:pPr>
      <w:bookmarkStart w:id="18" w:name="_bookmark33"/>
      <w:bookmarkEnd w:id="18"/>
      <w:r>
        <w:rPr>
          <w:position w:val="4"/>
          <w:sz w:val="10"/>
        </w:rPr>
        <w:t xml:space="preserve">10 </w:t>
      </w:r>
      <w:r>
        <w:rPr>
          <w:sz w:val="16"/>
        </w:rPr>
        <w:t xml:space="preserve">Under the ‘hybrid’ approach in article 465 (3) banks can apply a RW of 65% to corporates where the bank estimates the PD of those </w:t>
      </w:r>
      <w:proofErr w:type="spellStart"/>
      <w:r>
        <w:rPr>
          <w:sz w:val="16"/>
        </w:rPr>
        <w:t>exposures,is</w:t>
      </w:r>
      <w:proofErr w:type="spellEnd"/>
      <w:r>
        <w:rPr>
          <w:sz w:val="16"/>
        </w:rPr>
        <w:t xml:space="preserve"> no higher than 0,5 % under the IRB approach for the purpose of calculating the output floor.</w:t>
      </w:r>
    </w:p>
    <w:p w14:paraId="4474ACA2" w14:textId="77777777" w:rsidR="001D4C35" w:rsidRDefault="00D84817">
      <w:pPr>
        <w:spacing w:before="1"/>
        <w:ind w:left="172" w:right="431"/>
        <w:rPr>
          <w:sz w:val="16"/>
        </w:rPr>
      </w:pPr>
      <w:bookmarkStart w:id="19" w:name="_bookmark34"/>
      <w:bookmarkEnd w:id="19"/>
      <w:r>
        <w:rPr>
          <w:position w:val="4"/>
          <w:sz w:val="10"/>
        </w:rPr>
        <w:t xml:space="preserve">11 </w:t>
      </w:r>
      <w:r>
        <w:rPr>
          <w:sz w:val="16"/>
        </w:rPr>
        <w:t>Consistent with the ‘EU Guidelines for the estimation of risk parameters for the IRB approach’ or the ‘EU Guidelines for the credit institutions' credit risk management practices and accounting for expected credit losses’, respectively</w:t>
      </w:r>
    </w:p>
    <w:p w14:paraId="4474ACA3" w14:textId="77777777" w:rsidR="001D4C35" w:rsidRDefault="001D4C35">
      <w:pPr>
        <w:pStyle w:val="BodyText"/>
        <w:rPr>
          <w:sz w:val="9"/>
        </w:rPr>
      </w:pPr>
    </w:p>
    <w:p w14:paraId="4474ACA4" w14:textId="77777777" w:rsidR="001D4C35" w:rsidRDefault="00D84817">
      <w:pPr>
        <w:spacing w:before="100"/>
        <w:ind w:left="172"/>
        <w:rPr>
          <w:sz w:val="10"/>
        </w:rPr>
      </w:pPr>
      <w:bookmarkStart w:id="20" w:name="_bookmark35"/>
      <w:bookmarkEnd w:id="20"/>
      <w:r>
        <w:rPr>
          <w:sz w:val="10"/>
        </w:rPr>
        <w:t>12</w:t>
      </w:r>
    </w:p>
    <w:p w14:paraId="4474ACA5" w14:textId="77777777" w:rsidR="001D4C35" w:rsidRDefault="00D84817">
      <w:pPr>
        <w:pStyle w:val="ListParagraph"/>
        <w:numPr>
          <w:ilvl w:val="0"/>
          <w:numId w:val="19"/>
        </w:numPr>
        <w:tabs>
          <w:tab w:val="left" w:pos="892"/>
        </w:tabs>
        <w:spacing w:before="53" w:line="252" w:lineRule="auto"/>
        <w:ind w:left="891" w:right="145" w:hanging="360"/>
        <w:rPr>
          <w:rFonts w:ascii="Symbol" w:hAnsi="Symbol"/>
          <w:sz w:val="16"/>
        </w:rPr>
      </w:pPr>
      <w:r>
        <w:rPr>
          <w:b/>
          <w:sz w:val="16"/>
        </w:rPr>
        <w:t xml:space="preserve">PDs used for Provisions (under IFRS9): </w:t>
      </w:r>
      <w:r>
        <w:rPr>
          <w:sz w:val="16"/>
        </w:rPr>
        <w:t>They are calculated by all entities using common principles and rules which homogenize this measure across entities: the “EBA Guidelines on Credit institutions’ credit risk management practices and accounting for expected credit losses (2017)” (</w:t>
      </w:r>
      <w:hyperlink r:id="rId18">
        <w:r>
          <w:rPr>
            <w:color w:val="0000FF"/>
            <w:sz w:val="16"/>
            <w:u w:val="single" w:color="0000FF"/>
          </w:rPr>
          <w:t>Link</w:t>
        </w:r>
      </w:hyperlink>
      <w:r>
        <w:rPr>
          <w:sz w:val="16"/>
        </w:rPr>
        <w:t>). The reliability of these PDs is illustrated by the EBA Guidelines themselves, by giving then priority over ratings provided by credit rating</w:t>
      </w:r>
      <w:r>
        <w:rPr>
          <w:spacing w:val="-2"/>
          <w:sz w:val="16"/>
        </w:rPr>
        <w:t xml:space="preserve"> </w:t>
      </w:r>
      <w:r>
        <w:rPr>
          <w:sz w:val="16"/>
        </w:rPr>
        <w:t>agencies</w:t>
      </w:r>
    </w:p>
    <w:p w14:paraId="4474ACA6" w14:textId="77777777" w:rsidR="001D4C35" w:rsidRDefault="00D84817">
      <w:pPr>
        <w:pStyle w:val="ListParagraph"/>
        <w:numPr>
          <w:ilvl w:val="0"/>
          <w:numId w:val="19"/>
        </w:numPr>
        <w:tabs>
          <w:tab w:val="left" w:pos="892"/>
        </w:tabs>
        <w:spacing w:before="59" w:line="252" w:lineRule="auto"/>
        <w:ind w:left="891" w:right="148" w:hanging="360"/>
        <w:rPr>
          <w:rFonts w:ascii="Symbol" w:hAnsi="Symbol"/>
          <w:sz w:val="16"/>
        </w:rPr>
      </w:pPr>
      <w:r>
        <w:rPr>
          <w:b/>
          <w:sz w:val="16"/>
        </w:rPr>
        <w:t xml:space="preserve">PDs used for Economic Capital: </w:t>
      </w:r>
      <w:r>
        <w:rPr>
          <w:sz w:val="16"/>
        </w:rPr>
        <w:t>PDs used as risk parameters for Economic Capital are an alternative mechanism to identify investment grade unrated corporates provided that they meet minimum governance and robustness requirements. Such is the case of PDs used for Economic Capital that follow the “EBA Guidelines on PD estimation, LGD estimation and the treatment of defaulted exposures (2017)”</w:t>
      </w:r>
      <w:hyperlink r:id="rId19">
        <w:r>
          <w:rPr>
            <w:sz w:val="16"/>
          </w:rPr>
          <w:t xml:space="preserve"> (</w:t>
        </w:r>
        <w:r>
          <w:rPr>
            <w:color w:val="0000FF"/>
            <w:sz w:val="16"/>
            <w:u w:val="single" w:color="0000FF"/>
          </w:rPr>
          <w:t>Link</w:t>
        </w:r>
      </w:hyperlink>
      <w:r>
        <w:rPr>
          <w:sz w:val="16"/>
        </w:rPr>
        <w:t>).</w:t>
      </w:r>
    </w:p>
    <w:p w14:paraId="4474ACA7" w14:textId="77777777" w:rsidR="001D4C35" w:rsidRDefault="001D4C35">
      <w:pPr>
        <w:spacing w:line="252" w:lineRule="auto"/>
        <w:jc w:val="both"/>
        <w:rPr>
          <w:rFonts w:ascii="Symbol" w:hAnsi="Symbol"/>
          <w:sz w:val="16"/>
        </w:rPr>
        <w:sectPr w:rsidR="001D4C35">
          <w:pgSz w:w="11910" w:h="16840"/>
          <w:pgMar w:top="520" w:right="840" w:bottom="960" w:left="680" w:header="0" w:footer="704" w:gutter="0"/>
          <w:cols w:space="720"/>
        </w:sectPr>
      </w:pPr>
    </w:p>
    <w:p w14:paraId="4474ACA8" w14:textId="77777777" w:rsidR="001D4C35" w:rsidRDefault="00D84817">
      <w:pPr>
        <w:tabs>
          <w:tab w:val="left" w:pos="7925"/>
        </w:tabs>
        <w:ind w:left="186"/>
        <w:rPr>
          <w:sz w:val="20"/>
        </w:rPr>
      </w:pPr>
      <w:r>
        <w:rPr>
          <w:noProof/>
          <w:position w:val="11"/>
          <w:sz w:val="20"/>
        </w:rPr>
        <w:lastRenderedPageBreak/>
        <w:drawing>
          <wp:inline distT="0" distB="0" distL="0" distR="0" wp14:anchorId="4474B046" wp14:editId="4474B047">
            <wp:extent cx="1679117" cy="442722"/>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48" wp14:editId="4474B049">
            <wp:extent cx="1427865" cy="572643"/>
            <wp:effectExtent l="0" t="0" r="0" b="0"/>
            <wp:docPr id="2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CA9" w14:textId="77777777" w:rsidR="001D4C35" w:rsidRDefault="001D4C35">
      <w:pPr>
        <w:pStyle w:val="BodyText"/>
        <w:spacing w:before="3"/>
        <w:rPr>
          <w:sz w:val="9"/>
        </w:rPr>
      </w:pPr>
    </w:p>
    <w:p w14:paraId="4474ACAA" w14:textId="77777777" w:rsidR="001D4C35" w:rsidRDefault="00D84817">
      <w:pPr>
        <w:pStyle w:val="BodyText"/>
        <w:spacing w:before="100" w:line="276" w:lineRule="auto"/>
        <w:ind w:left="204" w:right="291"/>
        <w:jc w:val="both"/>
      </w:pPr>
      <w:r>
        <w:t>process, either directly through level 1 legislative change or via a delegated act following the EBA’s report mandated in CRR Article 514. Ideally a comprehensive review should also be pursued at the Basel level to ensure international consistency potentially through the BCBS Evaluation Task Force.</w:t>
      </w:r>
    </w:p>
    <w:p w14:paraId="4474ACAB" w14:textId="77777777" w:rsidR="001D4C35" w:rsidRDefault="001D4C35">
      <w:pPr>
        <w:pStyle w:val="BodyText"/>
        <w:spacing w:before="8"/>
        <w:rPr>
          <w:sz w:val="23"/>
        </w:rPr>
      </w:pPr>
    </w:p>
    <w:p w14:paraId="4474ACAC" w14:textId="77777777" w:rsidR="001D4C35" w:rsidRDefault="00D84817">
      <w:pPr>
        <w:pStyle w:val="BodyText"/>
        <w:spacing w:line="276" w:lineRule="auto"/>
        <w:ind w:left="203" w:right="296"/>
        <w:jc w:val="both"/>
      </w:pPr>
      <w:r>
        <w:t>The</w:t>
      </w:r>
      <w:r>
        <w:rPr>
          <w:spacing w:val="-3"/>
        </w:rPr>
        <w:t xml:space="preserve"> </w:t>
      </w:r>
      <w:r>
        <w:t>following</w:t>
      </w:r>
      <w:r>
        <w:rPr>
          <w:spacing w:val="-5"/>
        </w:rPr>
        <w:t xml:space="preserve"> </w:t>
      </w:r>
      <w:r>
        <w:t>are</w:t>
      </w:r>
      <w:r>
        <w:rPr>
          <w:spacing w:val="-2"/>
        </w:rPr>
        <w:t xml:space="preserve"> </w:t>
      </w:r>
      <w:r>
        <w:t>the</w:t>
      </w:r>
      <w:r>
        <w:rPr>
          <w:spacing w:val="-6"/>
        </w:rPr>
        <w:t xml:space="preserve"> </w:t>
      </w:r>
      <w:r>
        <w:t>priority</w:t>
      </w:r>
      <w:r>
        <w:rPr>
          <w:spacing w:val="-3"/>
        </w:rPr>
        <w:t xml:space="preserve"> </w:t>
      </w:r>
      <w:r>
        <w:t>topics</w:t>
      </w:r>
      <w:r>
        <w:rPr>
          <w:spacing w:val="-3"/>
        </w:rPr>
        <w:t xml:space="preserve"> </w:t>
      </w:r>
      <w:r>
        <w:t>contributing</w:t>
      </w:r>
      <w:r>
        <w:rPr>
          <w:spacing w:val="-4"/>
        </w:rPr>
        <w:t xml:space="preserve"> </w:t>
      </w:r>
      <w:r>
        <w:t>to</w:t>
      </w:r>
      <w:r>
        <w:rPr>
          <w:spacing w:val="-5"/>
        </w:rPr>
        <w:t xml:space="preserve"> </w:t>
      </w:r>
      <w:r>
        <w:t>the</w:t>
      </w:r>
      <w:r>
        <w:rPr>
          <w:spacing w:val="-2"/>
        </w:rPr>
        <w:t xml:space="preserve"> </w:t>
      </w:r>
      <w:r>
        <w:t>overly</w:t>
      </w:r>
      <w:r>
        <w:rPr>
          <w:spacing w:val="-3"/>
        </w:rPr>
        <w:t xml:space="preserve"> </w:t>
      </w:r>
      <w:r>
        <w:t>conservative</w:t>
      </w:r>
      <w:r>
        <w:rPr>
          <w:spacing w:val="-2"/>
        </w:rPr>
        <w:t xml:space="preserve"> </w:t>
      </w:r>
      <w:r>
        <w:t>calibration</w:t>
      </w:r>
      <w:r>
        <w:rPr>
          <w:spacing w:val="-3"/>
        </w:rPr>
        <w:t xml:space="preserve"> </w:t>
      </w:r>
      <w:r>
        <w:t>of</w:t>
      </w:r>
      <w:r>
        <w:rPr>
          <w:spacing w:val="-5"/>
        </w:rPr>
        <w:t xml:space="preserve"> </w:t>
      </w:r>
      <w:r>
        <w:t>SA-CCR</w:t>
      </w:r>
      <w:r>
        <w:rPr>
          <w:spacing w:val="-5"/>
        </w:rPr>
        <w:t xml:space="preserve"> </w:t>
      </w:r>
      <w:r>
        <w:t>beyond alpha:</w:t>
      </w:r>
    </w:p>
    <w:p w14:paraId="4474ACAD" w14:textId="77777777" w:rsidR="001D4C35" w:rsidRDefault="001D4C35">
      <w:pPr>
        <w:pStyle w:val="BodyText"/>
        <w:spacing w:before="9"/>
        <w:rPr>
          <w:sz w:val="23"/>
        </w:rPr>
      </w:pPr>
    </w:p>
    <w:p w14:paraId="4474ACAE" w14:textId="77777777" w:rsidR="001D4C35" w:rsidRDefault="00D84817">
      <w:pPr>
        <w:pStyle w:val="ListParagraph"/>
        <w:numPr>
          <w:ilvl w:val="0"/>
          <w:numId w:val="18"/>
        </w:numPr>
        <w:tabs>
          <w:tab w:val="left" w:pos="893"/>
        </w:tabs>
      </w:pPr>
      <w:r>
        <w:t>The use of internally calculated</w:t>
      </w:r>
      <w:r>
        <w:rPr>
          <w:spacing w:val="-4"/>
        </w:rPr>
        <w:t xml:space="preserve"> </w:t>
      </w:r>
      <w:r>
        <w:t>deltas</w:t>
      </w:r>
    </w:p>
    <w:p w14:paraId="4474ACAF" w14:textId="77777777" w:rsidR="001D4C35" w:rsidRDefault="00D84817">
      <w:pPr>
        <w:pStyle w:val="ListParagraph"/>
        <w:numPr>
          <w:ilvl w:val="0"/>
          <w:numId w:val="18"/>
        </w:numPr>
        <w:tabs>
          <w:tab w:val="left" w:pos="893"/>
        </w:tabs>
        <w:spacing w:before="38"/>
      </w:pPr>
      <w:r>
        <w:t>The recognition of diversification benefit between FX hedging</w:t>
      </w:r>
      <w:r>
        <w:rPr>
          <w:spacing w:val="-7"/>
        </w:rPr>
        <w:t xml:space="preserve"> </w:t>
      </w:r>
      <w:r>
        <w:t>sets</w:t>
      </w:r>
    </w:p>
    <w:p w14:paraId="4474ACB0" w14:textId="77777777" w:rsidR="001D4C35" w:rsidRDefault="00D84817">
      <w:pPr>
        <w:pStyle w:val="ListParagraph"/>
        <w:numPr>
          <w:ilvl w:val="0"/>
          <w:numId w:val="18"/>
        </w:numPr>
        <w:tabs>
          <w:tab w:val="left" w:pos="893"/>
        </w:tabs>
        <w:spacing w:before="42"/>
      </w:pPr>
      <w:r>
        <w:t>The recognition of initial</w:t>
      </w:r>
      <w:r>
        <w:rPr>
          <w:spacing w:val="-2"/>
        </w:rPr>
        <w:t xml:space="preserve"> </w:t>
      </w:r>
      <w:r>
        <w:t>margin</w:t>
      </w:r>
    </w:p>
    <w:p w14:paraId="4474ACB1" w14:textId="77777777" w:rsidR="001D4C35" w:rsidRDefault="001D4C35">
      <w:pPr>
        <w:pStyle w:val="BodyText"/>
        <w:spacing w:before="2"/>
        <w:rPr>
          <w:sz w:val="27"/>
        </w:rPr>
      </w:pPr>
    </w:p>
    <w:p w14:paraId="4474ACB2" w14:textId="77777777" w:rsidR="001D4C35" w:rsidRDefault="00D84817">
      <w:pPr>
        <w:pStyle w:val="BodyText"/>
        <w:ind w:left="172"/>
        <w:jc w:val="both"/>
      </w:pPr>
      <w:r>
        <w:t>Further details on these priority topics are provided below.</w:t>
      </w:r>
    </w:p>
    <w:p w14:paraId="4474ACB3" w14:textId="77777777" w:rsidR="001D4C35" w:rsidRDefault="001D4C35">
      <w:pPr>
        <w:pStyle w:val="BodyText"/>
        <w:spacing w:before="1"/>
        <w:rPr>
          <w:sz w:val="27"/>
        </w:rPr>
      </w:pPr>
    </w:p>
    <w:p w14:paraId="4474ACB4" w14:textId="77777777" w:rsidR="001D4C35" w:rsidRDefault="00D84817">
      <w:pPr>
        <w:ind w:left="172"/>
        <w:jc w:val="both"/>
        <w:rPr>
          <w:i/>
        </w:rPr>
      </w:pPr>
      <w:bookmarkStart w:id="21" w:name="Allow_firms_to_use_internally-calculated"/>
      <w:bookmarkEnd w:id="21"/>
      <w:r>
        <w:rPr>
          <w:i/>
          <w:color w:val="365F91"/>
        </w:rPr>
        <w:t>Allow firms to use internally-calculated deltas</w:t>
      </w:r>
    </w:p>
    <w:p w14:paraId="4474ACB5" w14:textId="77777777" w:rsidR="001D4C35" w:rsidRDefault="001D4C35">
      <w:pPr>
        <w:pStyle w:val="BodyText"/>
        <w:spacing w:before="2"/>
        <w:rPr>
          <w:i/>
          <w:sz w:val="27"/>
        </w:rPr>
      </w:pPr>
    </w:p>
    <w:p w14:paraId="4474ACB6" w14:textId="77777777" w:rsidR="001D4C35" w:rsidRDefault="00D84817">
      <w:pPr>
        <w:pStyle w:val="BodyText"/>
        <w:spacing w:line="276" w:lineRule="auto"/>
        <w:ind w:left="171" w:right="145"/>
        <w:jc w:val="both"/>
      </w:pPr>
      <w:r>
        <w:t>The SA-CCR addresses one of the main shortcomings of CEM by allowing firms to delta adjust the notional for non-linear derivatives. While the Industry welcomes the application of deltas, we are concerned by the requirement to use the Black-Scholes formula to calculate the deltas for certain types of options. Firms should be allowed to follow existing internal practices applicable to path-dependent options and other complex non-linear derivatives for which the Black-Scholes formula does not work. Use of such internal practices would be subject to a firm’s internal model governance framework and supervisory oversight.</w:t>
      </w:r>
    </w:p>
    <w:p w14:paraId="4474ACB7" w14:textId="77777777" w:rsidR="001D4C35" w:rsidRDefault="00D65A23">
      <w:pPr>
        <w:pStyle w:val="BodyText"/>
        <w:spacing w:before="8"/>
        <w:rPr>
          <w:sz w:val="20"/>
        </w:rPr>
      </w:pPr>
      <w:r>
        <w:pict w14:anchorId="4474B04A">
          <v:shape id="_x0000_s2127" type="#_x0000_t202" style="position:absolute;margin-left:42.8pt;margin-top:14.3pt;width:503.05pt;height:44pt;z-index:-251620352;mso-wrap-distance-left:0;mso-wrap-distance-right:0;mso-position-horizontal-relative:page" fillcolor="#dbe4f0" strokeweight=".14147mm">
            <v:textbox inset="0,0,0,0">
              <w:txbxContent>
                <w:p w14:paraId="4474B10E" w14:textId="77777777" w:rsidR="001D4C35" w:rsidRDefault="00D84817">
                  <w:pPr>
                    <w:spacing w:line="257" w:lineRule="exact"/>
                    <w:ind w:left="3971" w:right="3971"/>
                    <w:jc w:val="center"/>
                    <w:rPr>
                      <w:b/>
                    </w:rPr>
                  </w:pPr>
                  <w:r>
                    <w:rPr>
                      <w:b/>
                    </w:rPr>
                    <w:t>Recommendation(s)</w:t>
                  </w:r>
                </w:p>
                <w:p w14:paraId="4474B10F" w14:textId="77777777" w:rsidR="001D4C35" w:rsidRDefault="001D4C35">
                  <w:pPr>
                    <w:pStyle w:val="BodyText"/>
                    <w:spacing w:before="5"/>
                    <w:rPr>
                      <w:b/>
                      <w:sz w:val="27"/>
                    </w:rPr>
                  </w:pPr>
                </w:p>
                <w:p w14:paraId="4474B110" w14:textId="77777777" w:rsidR="001D4C35" w:rsidRDefault="00D84817">
                  <w:pPr>
                    <w:pStyle w:val="BodyText"/>
                    <w:ind w:left="103"/>
                  </w:pPr>
                  <w:r>
                    <w:t>Allow firms to use internally-calculated deltas.</w:t>
                  </w:r>
                </w:p>
              </w:txbxContent>
            </v:textbox>
            <w10:wrap type="topAndBottom" anchorx="page"/>
          </v:shape>
        </w:pict>
      </w:r>
    </w:p>
    <w:p w14:paraId="4474ACB8" w14:textId="77777777" w:rsidR="001D4C35" w:rsidRDefault="001D4C35">
      <w:pPr>
        <w:pStyle w:val="BodyText"/>
        <w:spacing w:before="1"/>
        <w:rPr>
          <w:sz w:val="13"/>
        </w:rPr>
      </w:pPr>
    </w:p>
    <w:p w14:paraId="4474ACB9" w14:textId="77777777" w:rsidR="001D4C35" w:rsidRDefault="00D84817">
      <w:pPr>
        <w:spacing w:before="100"/>
        <w:ind w:left="172"/>
        <w:jc w:val="both"/>
        <w:rPr>
          <w:i/>
        </w:rPr>
      </w:pPr>
      <w:bookmarkStart w:id="22" w:name="Recognise_diversification_benefit_across"/>
      <w:bookmarkEnd w:id="22"/>
      <w:proofErr w:type="spellStart"/>
      <w:r>
        <w:rPr>
          <w:i/>
          <w:color w:val="365F91"/>
        </w:rPr>
        <w:t>Recognise</w:t>
      </w:r>
      <w:proofErr w:type="spellEnd"/>
      <w:r>
        <w:rPr>
          <w:i/>
          <w:color w:val="365F91"/>
        </w:rPr>
        <w:t xml:space="preserve"> diversification benefit across hedging sets within an asset class</w:t>
      </w:r>
    </w:p>
    <w:p w14:paraId="4474ACBA" w14:textId="77777777" w:rsidR="001D4C35" w:rsidRDefault="001D4C35">
      <w:pPr>
        <w:pStyle w:val="BodyText"/>
        <w:spacing w:before="2"/>
        <w:rPr>
          <w:i/>
          <w:sz w:val="27"/>
        </w:rPr>
      </w:pPr>
    </w:p>
    <w:p w14:paraId="4474ACBB" w14:textId="77777777" w:rsidR="001D4C35" w:rsidRDefault="00D84817">
      <w:pPr>
        <w:pStyle w:val="BodyText"/>
        <w:spacing w:line="276" w:lineRule="auto"/>
        <w:ind w:left="171" w:right="144"/>
        <w:jc w:val="both"/>
      </w:pPr>
      <w:r>
        <w:t>SA-CCR does not reflect any diversification benefit across hedging sets within an asset class i.e. the positive exposure value of one hedging set cannot be offset with a negative exposure value of another hedging set. This</w:t>
      </w:r>
      <w:r>
        <w:rPr>
          <w:spacing w:val="-6"/>
        </w:rPr>
        <w:t xml:space="preserve"> </w:t>
      </w:r>
      <w:r>
        <w:t>is</w:t>
      </w:r>
      <w:r>
        <w:rPr>
          <w:spacing w:val="-5"/>
        </w:rPr>
        <w:t xml:space="preserve"> </w:t>
      </w:r>
      <w:r>
        <w:t>overly</w:t>
      </w:r>
      <w:r>
        <w:rPr>
          <w:spacing w:val="-6"/>
        </w:rPr>
        <w:t xml:space="preserve"> </w:t>
      </w:r>
      <w:r>
        <w:t>conservative</w:t>
      </w:r>
      <w:r>
        <w:rPr>
          <w:spacing w:val="-6"/>
        </w:rPr>
        <w:t xml:space="preserve"> </w:t>
      </w:r>
      <w:r>
        <w:t>and</w:t>
      </w:r>
      <w:r>
        <w:rPr>
          <w:spacing w:val="-5"/>
        </w:rPr>
        <w:t xml:space="preserve"> </w:t>
      </w:r>
      <w:r>
        <w:t>risk</w:t>
      </w:r>
      <w:r>
        <w:rPr>
          <w:spacing w:val="-6"/>
        </w:rPr>
        <w:t xml:space="preserve"> </w:t>
      </w:r>
      <w:r>
        <w:t>insensitive,</w:t>
      </w:r>
      <w:r>
        <w:rPr>
          <w:spacing w:val="-8"/>
        </w:rPr>
        <w:t xml:space="preserve"> </w:t>
      </w:r>
      <w:r>
        <w:t>and</w:t>
      </w:r>
      <w:r>
        <w:rPr>
          <w:spacing w:val="-5"/>
        </w:rPr>
        <w:t xml:space="preserve"> </w:t>
      </w:r>
      <w:r>
        <w:t>significantly</w:t>
      </w:r>
      <w:r>
        <w:rPr>
          <w:spacing w:val="-6"/>
        </w:rPr>
        <w:t xml:space="preserve"> </w:t>
      </w:r>
      <w:r>
        <w:t>overstates</w:t>
      </w:r>
      <w:r>
        <w:rPr>
          <w:spacing w:val="-5"/>
        </w:rPr>
        <w:t xml:space="preserve"> </w:t>
      </w:r>
      <w:r>
        <w:t>the</w:t>
      </w:r>
      <w:r>
        <w:rPr>
          <w:spacing w:val="-6"/>
        </w:rPr>
        <w:t xml:space="preserve"> </w:t>
      </w:r>
      <w:r>
        <w:t>exposure</w:t>
      </w:r>
      <w:r>
        <w:rPr>
          <w:spacing w:val="-6"/>
        </w:rPr>
        <w:t xml:space="preserve"> </w:t>
      </w:r>
      <w:r>
        <w:t>value</w:t>
      </w:r>
      <w:r>
        <w:rPr>
          <w:spacing w:val="-6"/>
        </w:rPr>
        <w:t xml:space="preserve"> </w:t>
      </w:r>
      <w:r>
        <w:t>compared</w:t>
      </w:r>
      <w:r>
        <w:rPr>
          <w:spacing w:val="-5"/>
        </w:rPr>
        <w:t xml:space="preserve"> </w:t>
      </w:r>
      <w:r>
        <w:t>to internal modelled approaches, where some degree of diversification is</w:t>
      </w:r>
      <w:r>
        <w:rPr>
          <w:spacing w:val="-10"/>
        </w:rPr>
        <w:t xml:space="preserve"> </w:t>
      </w:r>
      <w:r>
        <w:t>assumed.</w:t>
      </w:r>
    </w:p>
    <w:p w14:paraId="4474ACBC" w14:textId="77777777" w:rsidR="001D4C35" w:rsidRDefault="00D65A23">
      <w:pPr>
        <w:pStyle w:val="BodyText"/>
        <w:spacing w:before="9"/>
        <w:rPr>
          <w:sz w:val="20"/>
        </w:rPr>
      </w:pPr>
      <w:r>
        <w:pict w14:anchorId="4474B04B">
          <v:shape id="_x0000_s2126" type="#_x0000_t202" style="position:absolute;margin-left:42.8pt;margin-top:14.35pt;width:503.05pt;height:44pt;z-index:-251619328;mso-wrap-distance-left:0;mso-wrap-distance-right:0;mso-position-horizontal-relative:page" fillcolor="#dbe4f0" strokeweight=".14147mm">
            <v:textbox inset="0,0,0,0">
              <w:txbxContent>
                <w:p w14:paraId="4474B111" w14:textId="77777777" w:rsidR="001D4C35" w:rsidRDefault="00D84817">
                  <w:pPr>
                    <w:spacing w:before="3"/>
                    <w:ind w:left="3971" w:right="3971"/>
                    <w:jc w:val="center"/>
                    <w:rPr>
                      <w:b/>
                    </w:rPr>
                  </w:pPr>
                  <w:r>
                    <w:rPr>
                      <w:b/>
                    </w:rPr>
                    <w:t>Recommendation(s)</w:t>
                  </w:r>
                </w:p>
                <w:p w14:paraId="4474B112" w14:textId="77777777" w:rsidR="001D4C35" w:rsidRDefault="001D4C35">
                  <w:pPr>
                    <w:pStyle w:val="BodyText"/>
                    <w:spacing w:before="1"/>
                    <w:rPr>
                      <w:b/>
                      <w:sz w:val="27"/>
                    </w:rPr>
                  </w:pPr>
                </w:p>
                <w:p w14:paraId="4474B113" w14:textId="77777777" w:rsidR="001D4C35" w:rsidRDefault="00D84817">
                  <w:pPr>
                    <w:pStyle w:val="BodyText"/>
                    <w:ind w:left="103"/>
                  </w:pPr>
                  <w:r>
                    <w:t>Better recognition of diversification benefit across hedging sets within an asset class.</w:t>
                  </w:r>
                </w:p>
              </w:txbxContent>
            </v:textbox>
            <w10:wrap type="topAndBottom" anchorx="page"/>
          </v:shape>
        </w:pict>
      </w:r>
    </w:p>
    <w:p w14:paraId="4474ACBD" w14:textId="77777777" w:rsidR="001D4C35" w:rsidRDefault="001D4C35">
      <w:pPr>
        <w:pStyle w:val="BodyText"/>
        <w:spacing w:before="1"/>
        <w:rPr>
          <w:sz w:val="13"/>
        </w:rPr>
      </w:pPr>
    </w:p>
    <w:p w14:paraId="4474ACBE" w14:textId="77777777" w:rsidR="001D4C35" w:rsidRDefault="00D84817">
      <w:pPr>
        <w:spacing w:before="100"/>
        <w:ind w:left="172"/>
        <w:jc w:val="both"/>
        <w:rPr>
          <w:i/>
        </w:rPr>
      </w:pPr>
      <w:bookmarkStart w:id="23" w:name="Improve_recognition_of_initial_margin_in"/>
      <w:bookmarkEnd w:id="23"/>
      <w:r>
        <w:rPr>
          <w:i/>
          <w:color w:val="365F91"/>
        </w:rPr>
        <w:t>Improve recognition of initial margin in calculation of total exposure</w:t>
      </w:r>
    </w:p>
    <w:p w14:paraId="4474ACBF" w14:textId="77777777" w:rsidR="001D4C35" w:rsidRDefault="001D4C35">
      <w:pPr>
        <w:pStyle w:val="BodyText"/>
        <w:spacing w:before="2"/>
        <w:rPr>
          <w:i/>
          <w:sz w:val="27"/>
        </w:rPr>
      </w:pPr>
    </w:p>
    <w:p w14:paraId="4474ACC0" w14:textId="77777777" w:rsidR="001D4C35" w:rsidRDefault="00D65A23">
      <w:pPr>
        <w:pStyle w:val="BodyText"/>
        <w:spacing w:line="276" w:lineRule="auto"/>
        <w:ind w:left="172" w:right="146"/>
        <w:jc w:val="both"/>
      </w:pPr>
      <w:r>
        <w:pict w14:anchorId="4474B04C">
          <v:shape id="_x0000_s2125" type="#_x0000_t202" style="position:absolute;left:0;text-align:left;margin-left:42.8pt;margin-top:95.65pt;width:503.05pt;height:44pt;z-index:-251618304;mso-wrap-distance-left:0;mso-wrap-distance-right:0;mso-position-horizontal-relative:page" fillcolor="#dbe4f0" strokeweight=".14147mm">
            <v:textbox inset="0,0,0,0">
              <w:txbxContent>
                <w:p w14:paraId="4474B114" w14:textId="77777777" w:rsidR="001D4C35" w:rsidRDefault="00D84817">
                  <w:pPr>
                    <w:spacing w:line="257" w:lineRule="exact"/>
                    <w:ind w:left="3971" w:right="3971"/>
                    <w:jc w:val="center"/>
                    <w:rPr>
                      <w:b/>
                    </w:rPr>
                  </w:pPr>
                  <w:r>
                    <w:rPr>
                      <w:b/>
                    </w:rPr>
                    <w:t>Recommendation(s)</w:t>
                  </w:r>
                </w:p>
                <w:p w14:paraId="4474B115" w14:textId="77777777" w:rsidR="001D4C35" w:rsidRDefault="001D4C35">
                  <w:pPr>
                    <w:pStyle w:val="BodyText"/>
                    <w:spacing w:before="5"/>
                    <w:rPr>
                      <w:b/>
                      <w:sz w:val="27"/>
                    </w:rPr>
                  </w:pPr>
                </w:p>
                <w:p w14:paraId="4474B116" w14:textId="77777777" w:rsidR="001D4C35" w:rsidRDefault="00D84817">
                  <w:pPr>
                    <w:pStyle w:val="BodyText"/>
                    <w:ind w:left="103"/>
                  </w:pPr>
                  <w:r>
                    <w:t>Better recognition of initial margin (IM), to reflect its risk-reducing properties.</w:t>
                  </w:r>
                </w:p>
              </w:txbxContent>
            </v:textbox>
            <w10:wrap type="topAndBottom" anchorx="page"/>
          </v:shape>
        </w:pict>
      </w:r>
      <w:r w:rsidR="00D84817">
        <w:t xml:space="preserve">The benefit that initial margin provides to reduce derivatives exposure is not sufficiently </w:t>
      </w:r>
      <w:proofErr w:type="spellStart"/>
      <w:r w:rsidR="00D84817">
        <w:t>recognised</w:t>
      </w:r>
      <w:proofErr w:type="spellEnd"/>
      <w:r w:rsidR="00D84817">
        <w:t xml:space="preserve"> in the SA-CCR calculation of exposures. The methodology is very conservative and it leads to a disproportionate amount</w:t>
      </w:r>
      <w:r w:rsidR="00D84817">
        <w:rPr>
          <w:spacing w:val="-4"/>
        </w:rPr>
        <w:t xml:space="preserve"> </w:t>
      </w:r>
      <w:r w:rsidR="00D84817">
        <w:t>of</w:t>
      </w:r>
      <w:r w:rsidR="00D84817">
        <w:rPr>
          <w:spacing w:val="-5"/>
        </w:rPr>
        <w:t xml:space="preserve"> </w:t>
      </w:r>
      <w:r w:rsidR="00D84817">
        <w:t>initial</w:t>
      </w:r>
      <w:r w:rsidR="00D84817">
        <w:rPr>
          <w:spacing w:val="-6"/>
        </w:rPr>
        <w:t xml:space="preserve"> </w:t>
      </w:r>
      <w:r w:rsidR="00D84817">
        <w:t>margin</w:t>
      </w:r>
      <w:r w:rsidR="00D84817">
        <w:rPr>
          <w:spacing w:val="-5"/>
        </w:rPr>
        <w:t xml:space="preserve"> </w:t>
      </w:r>
      <w:r w:rsidR="00D84817">
        <w:t>needed</w:t>
      </w:r>
      <w:r w:rsidR="00D84817">
        <w:rPr>
          <w:spacing w:val="-4"/>
        </w:rPr>
        <w:t xml:space="preserve"> </w:t>
      </w:r>
      <w:r w:rsidR="00D84817">
        <w:t>to</w:t>
      </w:r>
      <w:r w:rsidR="00D84817">
        <w:rPr>
          <w:spacing w:val="-7"/>
        </w:rPr>
        <w:t xml:space="preserve"> </w:t>
      </w:r>
      <w:r w:rsidR="00D84817">
        <w:t>be</w:t>
      </w:r>
      <w:r w:rsidR="00D84817">
        <w:rPr>
          <w:spacing w:val="-5"/>
        </w:rPr>
        <w:t xml:space="preserve"> </w:t>
      </w:r>
      <w:r w:rsidR="00D84817">
        <w:t>posted</w:t>
      </w:r>
      <w:r w:rsidR="00D84817">
        <w:rPr>
          <w:spacing w:val="-4"/>
        </w:rPr>
        <w:t xml:space="preserve"> </w:t>
      </w:r>
      <w:r w:rsidR="00D84817">
        <w:t>to</w:t>
      </w:r>
      <w:r w:rsidR="00D84817">
        <w:rPr>
          <w:spacing w:val="-7"/>
        </w:rPr>
        <w:t xml:space="preserve"> </w:t>
      </w:r>
      <w:r w:rsidR="00D84817">
        <w:t>reduce</w:t>
      </w:r>
      <w:r w:rsidR="00D84817">
        <w:rPr>
          <w:spacing w:val="-5"/>
        </w:rPr>
        <w:t xml:space="preserve"> </w:t>
      </w:r>
      <w:r w:rsidR="00D84817">
        <w:t>the</w:t>
      </w:r>
      <w:r w:rsidR="00D84817">
        <w:rPr>
          <w:spacing w:val="-5"/>
        </w:rPr>
        <w:t xml:space="preserve"> </w:t>
      </w:r>
      <w:r w:rsidR="00D84817">
        <w:t>exposure.</w:t>
      </w:r>
      <w:r w:rsidR="00D84817">
        <w:rPr>
          <w:spacing w:val="-7"/>
        </w:rPr>
        <w:t xml:space="preserve"> </w:t>
      </w:r>
      <w:r w:rsidR="00D84817">
        <w:t>The</w:t>
      </w:r>
      <w:r w:rsidR="00D84817">
        <w:rPr>
          <w:spacing w:val="-5"/>
        </w:rPr>
        <w:t xml:space="preserve"> </w:t>
      </w:r>
      <w:r w:rsidR="00D84817">
        <w:t>lack</w:t>
      </w:r>
      <w:r w:rsidR="00D84817">
        <w:rPr>
          <w:spacing w:val="-4"/>
        </w:rPr>
        <w:t xml:space="preserve"> </w:t>
      </w:r>
      <w:r w:rsidR="00D84817">
        <w:t>of</w:t>
      </w:r>
      <w:r w:rsidR="00D84817">
        <w:rPr>
          <w:spacing w:val="-5"/>
        </w:rPr>
        <w:t xml:space="preserve"> </w:t>
      </w:r>
      <w:r w:rsidR="00D84817">
        <w:t>adequate</w:t>
      </w:r>
      <w:r w:rsidR="00D84817">
        <w:rPr>
          <w:spacing w:val="-5"/>
        </w:rPr>
        <w:t xml:space="preserve"> </w:t>
      </w:r>
      <w:r w:rsidR="00D84817">
        <w:t>recognition</w:t>
      </w:r>
      <w:r w:rsidR="00D84817">
        <w:rPr>
          <w:spacing w:val="-5"/>
        </w:rPr>
        <w:t xml:space="preserve"> </w:t>
      </w:r>
      <w:r w:rsidR="00D84817">
        <w:t>of</w:t>
      </w:r>
      <w:r w:rsidR="00D84817">
        <w:rPr>
          <w:spacing w:val="-5"/>
        </w:rPr>
        <w:t xml:space="preserve"> </w:t>
      </w:r>
      <w:r w:rsidR="00D84817">
        <w:t xml:space="preserve">IM results in overstated exposures and therefore unduly conservative capital requirements. Given the significant increase of IM in the financial system over the last years it is economically important that it appropriately </w:t>
      </w:r>
      <w:proofErr w:type="spellStart"/>
      <w:r w:rsidR="00D84817">
        <w:t>recognises</w:t>
      </w:r>
      <w:proofErr w:type="spellEnd"/>
      <w:r w:rsidR="00D84817">
        <w:t xml:space="preserve"> the reduction in counterparty credit</w:t>
      </w:r>
      <w:r w:rsidR="00D84817">
        <w:rPr>
          <w:spacing w:val="-5"/>
        </w:rPr>
        <w:t xml:space="preserve"> </w:t>
      </w:r>
      <w:r w:rsidR="00D84817">
        <w:t>risk.</w:t>
      </w:r>
    </w:p>
    <w:p w14:paraId="4474ACC1" w14:textId="77777777" w:rsidR="001D4C35" w:rsidRDefault="001D4C35">
      <w:pPr>
        <w:spacing w:line="276" w:lineRule="auto"/>
        <w:jc w:val="both"/>
        <w:sectPr w:rsidR="001D4C35">
          <w:pgSz w:w="11910" w:h="16840"/>
          <w:pgMar w:top="520" w:right="840" w:bottom="960" w:left="680" w:header="0" w:footer="704" w:gutter="0"/>
          <w:cols w:space="720"/>
        </w:sectPr>
      </w:pPr>
    </w:p>
    <w:p w14:paraId="4474ACC2" w14:textId="77777777" w:rsidR="001D4C35" w:rsidRDefault="00D84817">
      <w:pPr>
        <w:tabs>
          <w:tab w:val="left" w:pos="7925"/>
        </w:tabs>
        <w:ind w:left="186"/>
        <w:rPr>
          <w:sz w:val="20"/>
        </w:rPr>
      </w:pPr>
      <w:r>
        <w:rPr>
          <w:noProof/>
          <w:position w:val="11"/>
          <w:sz w:val="20"/>
        </w:rPr>
        <w:lastRenderedPageBreak/>
        <w:drawing>
          <wp:inline distT="0" distB="0" distL="0" distR="0" wp14:anchorId="4474B04D" wp14:editId="4474B04E">
            <wp:extent cx="1679117" cy="44272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4F" wp14:editId="4474B050">
            <wp:extent cx="1427865" cy="572643"/>
            <wp:effectExtent l="0" t="0" r="0" b="0"/>
            <wp:docPr id="3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CC3" w14:textId="77777777" w:rsidR="001D4C35" w:rsidRDefault="001D4C35">
      <w:pPr>
        <w:pStyle w:val="BodyText"/>
        <w:rPr>
          <w:sz w:val="20"/>
        </w:rPr>
      </w:pPr>
    </w:p>
    <w:p w14:paraId="4474ACC4" w14:textId="77777777" w:rsidR="001D4C35" w:rsidRDefault="001D4C35">
      <w:pPr>
        <w:pStyle w:val="BodyText"/>
        <w:rPr>
          <w:sz w:val="20"/>
        </w:rPr>
      </w:pPr>
    </w:p>
    <w:p w14:paraId="4474ACC5" w14:textId="77777777" w:rsidR="001D4C35" w:rsidRDefault="001D4C35">
      <w:pPr>
        <w:pStyle w:val="BodyText"/>
        <w:spacing w:before="4"/>
        <w:rPr>
          <w:sz w:val="18"/>
        </w:rPr>
      </w:pPr>
    </w:p>
    <w:p w14:paraId="4474ACC6" w14:textId="77777777" w:rsidR="001D4C35" w:rsidRDefault="00D84817">
      <w:pPr>
        <w:spacing w:before="101" w:line="276" w:lineRule="auto"/>
        <w:ind w:left="891" w:hanging="360"/>
        <w:rPr>
          <w:b/>
        </w:rPr>
      </w:pPr>
      <w:bookmarkStart w:id="24" w:name="2._Standardised_Approach_for_Credit_Risk"/>
      <w:bookmarkEnd w:id="24"/>
      <w:r>
        <w:rPr>
          <w:b/>
          <w:color w:val="233E5F"/>
        </w:rPr>
        <w:t xml:space="preserve">2. </w:t>
      </w:r>
      <w:proofErr w:type="spellStart"/>
      <w:r>
        <w:rPr>
          <w:b/>
          <w:color w:val="233E5F"/>
          <w:u w:val="single" w:color="233E5F"/>
        </w:rPr>
        <w:t>Standardised</w:t>
      </w:r>
      <w:proofErr w:type="spellEnd"/>
      <w:r>
        <w:rPr>
          <w:b/>
          <w:color w:val="233E5F"/>
          <w:u w:val="single" w:color="233E5F"/>
        </w:rPr>
        <w:t xml:space="preserve"> Approach for Credit Risk (SA-CR) and its application to Securities Financing Transactions and Derivative Contracts</w:t>
      </w:r>
    </w:p>
    <w:p w14:paraId="4474ACC7" w14:textId="77777777" w:rsidR="001D4C35" w:rsidRDefault="001D4C35">
      <w:pPr>
        <w:pStyle w:val="BodyText"/>
        <w:spacing w:before="2"/>
        <w:rPr>
          <w:b/>
          <w:sz w:val="15"/>
        </w:rPr>
      </w:pPr>
    </w:p>
    <w:p w14:paraId="4474ACC8" w14:textId="77777777" w:rsidR="001D4C35" w:rsidRDefault="00D84817">
      <w:pPr>
        <w:spacing w:before="101"/>
        <w:ind w:left="172"/>
        <w:rPr>
          <w:b/>
        </w:rPr>
      </w:pPr>
      <w:r>
        <w:rPr>
          <w:b/>
        </w:rPr>
        <w:t>Securities Financing Transactions</w:t>
      </w:r>
    </w:p>
    <w:p w14:paraId="4474ACC9" w14:textId="77777777" w:rsidR="001D4C35" w:rsidRDefault="001D4C35">
      <w:pPr>
        <w:pStyle w:val="BodyText"/>
        <w:spacing w:before="1"/>
        <w:rPr>
          <w:b/>
          <w:sz w:val="27"/>
        </w:rPr>
      </w:pPr>
    </w:p>
    <w:p w14:paraId="4474ACCA" w14:textId="77777777" w:rsidR="001D4C35" w:rsidRDefault="00D84817">
      <w:pPr>
        <w:pStyle w:val="BodyText"/>
        <w:spacing w:line="276" w:lineRule="auto"/>
        <w:ind w:left="171" w:right="145"/>
        <w:jc w:val="both"/>
      </w:pPr>
      <w:r>
        <w:t>One area where the revised framework results in a significant increase in capital requirements relates to SFTs.</w:t>
      </w:r>
      <w:r>
        <w:rPr>
          <w:spacing w:val="19"/>
        </w:rPr>
        <w:t xml:space="preserve"> </w:t>
      </w:r>
      <w:r>
        <w:t>Under</w:t>
      </w:r>
      <w:r>
        <w:rPr>
          <w:spacing w:val="-14"/>
        </w:rPr>
        <w:t xml:space="preserve"> </w:t>
      </w:r>
      <w:r>
        <w:t>the</w:t>
      </w:r>
      <w:r>
        <w:rPr>
          <w:spacing w:val="-13"/>
        </w:rPr>
        <w:t xml:space="preserve"> </w:t>
      </w:r>
      <w:r>
        <w:t>revised</w:t>
      </w:r>
      <w:r>
        <w:rPr>
          <w:spacing w:val="-17"/>
        </w:rPr>
        <w:t xml:space="preserve"> </w:t>
      </w:r>
      <w:r>
        <w:t>framework,</w:t>
      </w:r>
      <w:r>
        <w:rPr>
          <w:spacing w:val="-15"/>
        </w:rPr>
        <w:t xml:space="preserve"> </w:t>
      </w:r>
      <w:r>
        <w:t>there</w:t>
      </w:r>
      <w:r>
        <w:rPr>
          <w:spacing w:val="-14"/>
        </w:rPr>
        <w:t xml:space="preserve"> </w:t>
      </w:r>
      <w:r>
        <w:t>is</w:t>
      </w:r>
      <w:r>
        <w:rPr>
          <w:spacing w:val="-16"/>
        </w:rPr>
        <w:t xml:space="preserve"> </w:t>
      </w:r>
      <w:r>
        <w:t>no</w:t>
      </w:r>
      <w:r>
        <w:rPr>
          <w:spacing w:val="-15"/>
        </w:rPr>
        <w:t xml:space="preserve"> </w:t>
      </w:r>
      <w:r>
        <w:t>significant</w:t>
      </w:r>
      <w:r>
        <w:rPr>
          <w:spacing w:val="-13"/>
        </w:rPr>
        <w:t xml:space="preserve"> </w:t>
      </w:r>
      <w:r>
        <w:t>change</w:t>
      </w:r>
      <w:r>
        <w:rPr>
          <w:spacing w:val="-13"/>
        </w:rPr>
        <w:t xml:space="preserve"> </w:t>
      </w:r>
      <w:r>
        <w:t>to</w:t>
      </w:r>
      <w:r>
        <w:rPr>
          <w:spacing w:val="-16"/>
        </w:rPr>
        <w:t xml:space="preserve"> </w:t>
      </w:r>
      <w:r>
        <w:t>how</w:t>
      </w:r>
      <w:r>
        <w:rPr>
          <w:spacing w:val="-12"/>
        </w:rPr>
        <w:t xml:space="preserve"> </w:t>
      </w:r>
      <w:r>
        <w:t>the</w:t>
      </w:r>
      <w:r>
        <w:rPr>
          <w:spacing w:val="-14"/>
        </w:rPr>
        <w:t xml:space="preserve"> </w:t>
      </w:r>
      <w:r>
        <w:t>Internal</w:t>
      </w:r>
      <w:r>
        <w:rPr>
          <w:spacing w:val="-14"/>
        </w:rPr>
        <w:t xml:space="preserve"> </w:t>
      </w:r>
      <w:r>
        <w:t>Model</w:t>
      </w:r>
      <w:r>
        <w:rPr>
          <w:spacing w:val="-15"/>
        </w:rPr>
        <w:t xml:space="preserve"> </w:t>
      </w:r>
      <w:r>
        <w:t>Method</w:t>
      </w:r>
      <w:r>
        <w:rPr>
          <w:spacing w:val="-12"/>
        </w:rPr>
        <w:t xml:space="preserve"> </w:t>
      </w:r>
      <w:r>
        <w:t xml:space="preserve">(“IMM”) exposures and the IRB risk weights are calculated. However, the new standardized approach (“SA”) adds a significant level of conservatism by not recognizing the very short-term nature </w:t>
      </w:r>
      <w:r>
        <w:rPr>
          <w:spacing w:val="-3"/>
        </w:rPr>
        <w:t xml:space="preserve">of </w:t>
      </w:r>
      <w:r>
        <w:t>SFTs. The unintended impact of the floor could lead to an eight-fold increase in RWAs, thereby potentially rendering the SFT business uneconomical for the banks that are active in the wholesale market, of which SFTs form a very important component. Such an outcome could threaten liquidity benefits for all stakeholders, from issuers (higher cost) to end-investors (lesser</w:t>
      </w:r>
      <w:r>
        <w:rPr>
          <w:spacing w:val="-4"/>
        </w:rPr>
        <w:t xml:space="preserve"> </w:t>
      </w:r>
      <w:r>
        <w:t>liquidity).</w:t>
      </w:r>
    </w:p>
    <w:p w14:paraId="4474ACCB" w14:textId="77777777" w:rsidR="001D4C35" w:rsidRDefault="001D4C35">
      <w:pPr>
        <w:pStyle w:val="BodyText"/>
        <w:spacing w:before="9"/>
        <w:rPr>
          <w:sz w:val="23"/>
        </w:rPr>
      </w:pPr>
    </w:p>
    <w:p w14:paraId="4474ACCC" w14:textId="77777777" w:rsidR="001D4C35" w:rsidRDefault="00D84817">
      <w:pPr>
        <w:pStyle w:val="BodyText"/>
        <w:spacing w:line="276" w:lineRule="auto"/>
        <w:ind w:left="172" w:right="144"/>
        <w:jc w:val="both"/>
      </w:pPr>
      <w:r>
        <w:t>While</w:t>
      </w:r>
      <w:r>
        <w:rPr>
          <w:spacing w:val="-14"/>
        </w:rPr>
        <w:t xml:space="preserve"> </w:t>
      </w:r>
      <w:r>
        <w:t>the</w:t>
      </w:r>
      <w:r>
        <w:rPr>
          <w:spacing w:val="-13"/>
        </w:rPr>
        <w:t xml:space="preserve"> </w:t>
      </w:r>
      <w:r>
        <w:t>impact</w:t>
      </w:r>
      <w:r>
        <w:rPr>
          <w:spacing w:val="-12"/>
        </w:rPr>
        <w:t xml:space="preserve"> </w:t>
      </w:r>
      <w:r>
        <w:t>is</w:t>
      </w:r>
      <w:r>
        <w:rPr>
          <w:spacing w:val="-13"/>
        </w:rPr>
        <w:t xml:space="preserve"> </w:t>
      </w:r>
      <w:r>
        <w:t>SA</w:t>
      </w:r>
      <w:r>
        <w:rPr>
          <w:spacing w:val="-15"/>
        </w:rPr>
        <w:t xml:space="preserve"> </w:t>
      </w:r>
      <w:r>
        <w:t>specific</w:t>
      </w:r>
      <w:r>
        <w:rPr>
          <w:spacing w:val="-15"/>
        </w:rPr>
        <w:t xml:space="preserve"> </w:t>
      </w:r>
      <w:r>
        <w:t>and</w:t>
      </w:r>
      <w:r>
        <w:rPr>
          <w:spacing w:val="-13"/>
        </w:rPr>
        <w:t xml:space="preserve"> </w:t>
      </w:r>
      <w:r>
        <w:t>banks</w:t>
      </w:r>
      <w:r>
        <w:rPr>
          <w:spacing w:val="-12"/>
        </w:rPr>
        <w:t xml:space="preserve"> </w:t>
      </w:r>
      <w:r>
        <w:t>can</w:t>
      </w:r>
      <w:r>
        <w:rPr>
          <w:spacing w:val="-13"/>
        </w:rPr>
        <w:t xml:space="preserve"> </w:t>
      </w:r>
      <w:r>
        <w:t>still</w:t>
      </w:r>
      <w:r>
        <w:rPr>
          <w:spacing w:val="-14"/>
        </w:rPr>
        <w:t xml:space="preserve"> </w:t>
      </w:r>
      <w:r>
        <w:t>use</w:t>
      </w:r>
      <w:r>
        <w:rPr>
          <w:spacing w:val="-13"/>
        </w:rPr>
        <w:t xml:space="preserve"> </w:t>
      </w:r>
      <w:r>
        <w:t>models</w:t>
      </w:r>
      <w:r>
        <w:rPr>
          <w:spacing w:val="-17"/>
        </w:rPr>
        <w:t xml:space="preserve"> </w:t>
      </w:r>
      <w:r>
        <w:t>to</w:t>
      </w:r>
      <w:r>
        <w:rPr>
          <w:spacing w:val="-15"/>
        </w:rPr>
        <w:t xml:space="preserve"> </w:t>
      </w:r>
      <w:r>
        <w:t>better</w:t>
      </w:r>
      <w:r>
        <w:rPr>
          <w:spacing w:val="-13"/>
        </w:rPr>
        <w:t xml:space="preserve"> </w:t>
      </w:r>
      <w:r>
        <w:t>capture</w:t>
      </w:r>
      <w:r>
        <w:rPr>
          <w:spacing w:val="-13"/>
        </w:rPr>
        <w:t xml:space="preserve"> </w:t>
      </w:r>
      <w:r>
        <w:t>the</w:t>
      </w:r>
      <w:r>
        <w:rPr>
          <w:spacing w:val="-13"/>
        </w:rPr>
        <w:t xml:space="preserve"> </w:t>
      </w:r>
      <w:r>
        <w:t>underlying</w:t>
      </w:r>
      <w:r>
        <w:rPr>
          <w:spacing w:val="-15"/>
        </w:rPr>
        <w:t xml:space="preserve"> </w:t>
      </w:r>
      <w:r>
        <w:t>low</w:t>
      </w:r>
      <w:r>
        <w:rPr>
          <w:spacing w:val="-13"/>
        </w:rPr>
        <w:t xml:space="preserve"> </w:t>
      </w:r>
      <w:r>
        <w:t>risk</w:t>
      </w:r>
      <w:r>
        <w:rPr>
          <w:spacing w:val="-13"/>
        </w:rPr>
        <w:t xml:space="preserve"> </w:t>
      </w:r>
      <w:r>
        <w:t xml:space="preserve">profile of SFT transactions, the SA calibration will have a direct impact for all banks through the application </w:t>
      </w:r>
      <w:r>
        <w:rPr>
          <w:spacing w:val="-3"/>
        </w:rPr>
        <w:t xml:space="preserve">of </w:t>
      </w:r>
      <w:r>
        <w:t xml:space="preserve">the output floor. SFTs are short term positions. Based on ICMA European Repo Market Survey in November 2021, 93% of outstanding SFTs have maturities below six months and 85% below three months (see chart below). The short maturity is reflected in IRBA but not in SA except for counterparties that are banks, resulting in </w:t>
      </w:r>
      <w:proofErr w:type="spellStart"/>
      <w:r>
        <w:t>capitalising</w:t>
      </w:r>
      <w:proofErr w:type="spellEnd"/>
      <w:r>
        <w:t xml:space="preserve"> short-term secured transactions similarly to unsecured long-term transactions. Maturity</w:t>
      </w:r>
      <w:r>
        <w:rPr>
          <w:spacing w:val="-7"/>
        </w:rPr>
        <w:t xml:space="preserve"> </w:t>
      </w:r>
      <w:r>
        <w:t>is</w:t>
      </w:r>
      <w:r>
        <w:rPr>
          <w:spacing w:val="-5"/>
        </w:rPr>
        <w:t xml:space="preserve"> </w:t>
      </w:r>
      <w:r>
        <w:t>an</w:t>
      </w:r>
      <w:r>
        <w:rPr>
          <w:spacing w:val="-6"/>
        </w:rPr>
        <w:t xml:space="preserve"> </w:t>
      </w:r>
      <w:r>
        <w:t>objective</w:t>
      </w:r>
      <w:r>
        <w:rPr>
          <w:spacing w:val="-6"/>
        </w:rPr>
        <w:t xml:space="preserve"> </w:t>
      </w:r>
      <w:r>
        <w:t>risk</w:t>
      </w:r>
      <w:r>
        <w:rPr>
          <w:spacing w:val="-10"/>
        </w:rPr>
        <w:t xml:space="preserve"> </w:t>
      </w:r>
      <w:r>
        <w:t>parameter,</w:t>
      </w:r>
      <w:r>
        <w:rPr>
          <w:spacing w:val="-8"/>
        </w:rPr>
        <w:t xml:space="preserve"> </w:t>
      </w:r>
      <w:r>
        <w:t>not</w:t>
      </w:r>
      <w:r>
        <w:rPr>
          <w:spacing w:val="-9"/>
        </w:rPr>
        <w:t xml:space="preserve"> </w:t>
      </w:r>
      <w:r>
        <w:t>depending</w:t>
      </w:r>
      <w:r>
        <w:rPr>
          <w:spacing w:val="-9"/>
        </w:rPr>
        <w:t xml:space="preserve"> </w:t>
      </w:r>
      <w:r>
        <w:t>from</w:t>
      </w:r>
      <w:r>
        <w:rPr>
          <w:spacing w:val="-6"/>
        </w:rPr>
        <w:t xml:space="preserve"> </w:t>
      </w:r>
      <w:r>
        <w:t>internal</w:t>
      </w:r>
      <w:r>
        <w:rPr>
          <w:spacing w:val="-7"/>
        </w:rPr>
        <w:t xml:space="preserve"> </w:t>
      </w:r>
      <w:r>
        <w:t>models.</w:t>
      </w:r>
      <w:r>
        <w:rPr>
          <w:spacing w:val="-8"/>
        </w:rPr>
        <w:t xml:space="preserve"> </w:t>
      </w:r>
      <w:r>
        <w:t>Short</w:t>
      </w:r>
      <w:r>
        <w:rPr>
          <w:spacing w:val="-5"/>
        </w:rPr>
        <w:t xml:space="preserve"> </w:t>
      </w:r>
      <w:r>
        <w:t>maturities</w:t>
      </w:r>
      <w:r>
        <w:rPr>
          <w:spacing w:val="-6"/>
        </w:rPr>
        <w:t xml:space="preserve"> </w:t>
      </w:r>
      <w:r>
        <w:t>are</w:t>
      </w:r>
      <w:r>
        <w:rPr>
          <w:spacing w:val="-7"/>
        </w:rPr>
        <w:t xml:space="preserve"> </w:t>
      </w:r>
      <w:r>
        <w:t>taken</w:t>
      </w:r>
      <w:r>
        <w:rPr>
          <w:spacing w:val="-6"/>
        </w:rPr>
        <w:t xml:space="preserve"> </w:t>
      </w:r>
      <w:r>
        <w:t>into account</w:t>
      </w:r>
      <w:r>
        <w:rPr>
          <w:spacing w:val="-2"/>
        </w:rPr>
        <w:t xml:space="preserve"> </w:t>
      </w:r>
      <w:r>
        <w:t>in</w:t>
      </w:r>
      <w:r>
        <w:rPr>
          <w:spacing w:val="-2"/>
        </w:rPr>
        <w:t xml:space="preserve"> </w:t>
      </w:r>
      <w:r>
        <w:t>other</w:t>
      </w:r>
      <w:r>
        <w:rPr>
          <w:spacing w:val="-2"/>
        </w:rPr>
        <w:t xml:space="preserve"> </w:t>
      </w:r>
      <w:r>
        <w:t>aspects</w:t>
      </w:r>
      <w:r>
        <w:rPr>
          <w:spacing w:val="-2"/>
        </w:rPr>
        <w:t xml:space="preserve"> </w:t>
      </w:r>
      <w:r>
        <w:t>of</w:t>
      </w:r>
      <w:r>
        <w:rPr>
          <w:spacing w:val="-6"/>
        </w:rPr>
        <w:t xml:space="preserve"> </w:t>
      </w:r>
      <w:r>
        <w:t>the</w:t>
      </w:r>
      <w:r>
        <w:rPr>
          <w:spacing w:val="-2"/>
        </w:rPr>
        <w:t xml:space="preserve"> </w:t>
      </w:r>
      <w:r>
        <w:t>SA,</w:t>
      </w:r>
      <w:r>
        <w:rPr>
          <w:spacing w:val="-4"/>
        </w:rPr>
        <w:t xml:space="preserve"> </w:t>
      </w:r>
      <w:r>
        <w:t>and</w:t>
      </w:r>
      <w:r>
        <w:rPr>
          <w:spacing w:val="-1"/>
        </w:rPr>
        <w:t xml:space="preserve"> </w:t>
      </w:r>
      <w:r>
        <w:t>therefore,</w:t>
      </w:r>
      <w:r>
        <w:rPr>
          <w:spacing w:val="-4"/>
        </w:rPr>
        <w:t xml:space="preserve"> </w:t>
      </w:r>
      <w:r>
        <w:t>we</w:t>
      </w:r>
      <w:r>
        <w:rPr>
          <w:spacing w:val="-5"/>
        </w:rPr>
        <w:t xml:space="preserve"> </w:t>
      </w:r>
      <w:r>
        <w:t>strongly</w:t>
      </w:r>
      <w:r>
        <w:rPr>
          <w:spacing w:val="-2"/>
        </w:rPr>
        <w:t xml:space="preserve"> </w:t>
      </w:r>
      <w:r>
        <w:t>believe</w:t>
      </w:r>
      <w:r>
        <w:rPr>
          <w:spacing w:val="-6"/>
        </w:rPr>
        <w:t xml:space="preserve"> </w:t>
      </w:r>
      <w:r>
        <w:t>that</w:t>
      </w:r>
      <w:r>
        <w:rPr>
          <w:spacing w:val="-1"/>
        </w:rPr>
        <w:t xml:space="preserve"> </w:t>
      </w:r>
      <w:r>
        <w:t>SFTs</w:t>
      </w:r>
      <w:r>
        <w:rPr>
          <w:spacing w:val="-2"/>
        </w:rPr>
        <w:t xml:space="preserve"> </w:t>
      </w:r>
      <w:r>
        <w:t>should</w:t>
      </w:r>
      <w:r>
        <w:rPr>
          <w:spacing w:val="-5"/>
        </w:rPr>
        <w:t xml:space="preserve"> </w:t>
      </w:r>
      <w:r>
        <w:t>be</w:t>
      </w:r>
      <w:r>
        <w:rPr>
          <w:spacing w:val="-2"/>
        </w:rPr>
        <w:t xml:space="preserve"> </w:t>
      </w:r>
      <w:r>
        <w:t>allowed</w:t>
      </w:r>
      <w:r>
        <w:rPr>
          <w:spacing w:val="-5"/>
        </w:rPr>
        <w:t xml:space="preserve"> </w:t>
      </w:r>
      <w:r>
        <w:t>to</w:t>
      </w:r>
      <w:r>
        <w:rPr>
          <w:spacing w:val="-4"/>
        </w:rPr>
        <w:t xml:space="preserve"> </w:t>
      </w:r>
      <w:r>
        <w:t>benefit from these short term</w:t>
      </w:r>
      <w:r>
        <w:rPr>
          <w:spacing w:val="-5"/>
        </w:rPr>
        <w:t xml:space="preserve"> </w:t>
      </w:r>
      <w:r>
        <w:t>adjustments.</w:t>
      </w:r>
    </w:p>
    <w:p w14:paraId="4474ACCD" w14:textId="77777777" w:rsidR="001D4C35" w:rsidRDefault="001D4C35">
      <w:pPr>
        <w:pStyle w:val="BodyText"/>
        <w:rPr>
          <w:sz w:val="24"/>
        </w:rPr>
      </w:pPr>
    </w:p>
    <w:p w14:paraId="4474ACCE" w14:textId="77777777" w:rsidR="001D4C35" w:rsidRDefault="00D84817">
      <w:pPr>
        <w:pStyle w:val="BodyText"/>
        <w:spacing w:before="1"/>
        <w:ind w:left="172"/>
      </w:pPr>
      <w:r>
        <w:t>Graph 5: Maturity analysis of outstanding repo transactions</w:t>
      </w:r>
    </w:p>
    <w:p w14:paraId="4474ACCF" w14:textId="77777777" w:rsidR="001D4C35" w:rsidRDefault="001D4C35">
      <w:pPr>
        <w:pStyle w:val="BodyText"/>
        <w:rPr>
          <w:sz w:val="20"/>
        </w:rPr>
      </w:pPr>
    </w:p>
    <w:p w14:paraId="4474ACD0" w14:textId="77777777" w:rsidR="001D4C35" w:rsidRDefault="00D84817">
      <w:pPr>
        <w:pStyle w:val="BodyText"/>
        <w:spacing w:before="2"/>
        <w:rPr>
          <w:sz w:val="19"/>
        </w:rPr>
      </w:pPr>
      <w:r>
        <w:rPr>
          <w:noProof/>
        </w:rPr>
        <w:drawing>
          <wp:anchor distT="0" distB="0" distL="0" distR="0" simplePos="0" relativeHeight="40" behindDoc="0" locked="0" layoutInCell="1" allowOverlap="1" wp14:anchorId="4474B051" wp14:editId="4474B052">
            <wp:simplePos x="0" y="0"/>
            <wp:positionH relativeFrom="page">
              <wp:posOffset>1978004</wp:posOffset>
            </wp:positionH>
            <wp:positionV relativeFrom="paragraph">
              <wp:posOffset>167750</wp:posOffset>
            </wp:positionV>
            <wp:extent cx="3052153" cy="1594961"/>
            <wp:effectExtent l="0" t="0" r="0" b="0"/>
            <wp:wrapTopAndBottom/>
            <wp:docPr id="35" name="image7.jpeg" descr="Graphical user interface, applicatio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jpeg"/>
                    <pic:cNvPicPr/>
                  </pic:nvPicPr>
                  <pic:blipFill>
                    <a:blip r:embed="rId20" cstate="print"/>
                    <a:stretch>
                      <a:fillRect/>
                    </a:stretch>
                  </pic:blipFill>
                  <pic:spPr>
                    <a:xfrm>
                      <a:off x="0" y="0"/>
                      <a:ext cx="3052153" cy="1594961"/>
                    </a:xfrm>
                    <a:prstGeom prst="rect">
                      <a:avLst/>
                    </a:prstGeom>
                  </pic:spPr>
                </pic:pic>
              </a:graphicData>
            </a:graphic>
          </wp:anchor>
        </w:drawing>
      </w:r>
    </w:p>
    <w:p w14:paraId="4474ACD1" w14:textId="77777777" w:rsidR="001D4C35" w:rsidRDefault="001D4C35">
      <w:pPr>
        <w:pStyle w:val="BodyText"/>
        <w:rPr>
          <w:sz w:val="26"/>
        </w:rPr>
      </w:pPr>
    </w:p>
    <w:p w14:paraId="4474ACD2" w14:textId="77777777" w:rsidR="001D4C35" w:rsidRDefault="00D84817">
      <w:pPr>
        <w:spacing w:before="174"/>
        <w:ind w:left="172"/>
        <w:rPr>
          <w:i/>
        </w:rPr>
      </w:pPr>
      <w:r>
        <w:rPr>
          <w:i/>
        </w:rPr>
        <w:t>Source: ICMA, European Repo Market Survey, November 2021</w:t>
      </w:r>
    </w:p>
    <w:p w14:paraId="4474ACD3" w14:textId="77777777" w:rsidR="001D4C35" w:rsidRDefault="001D4C35">
      <w:pPr>
        <w:pStyle w:val="BodyText"/>
        <w:rPr>
          <w:i/>
          <w:sz w:val="26"/>
        </w:rPr>
      </w:pPr>
    </w:p>
    <w:p w14:paraId="4474ACD4" w14:textId="77777777" w:rsidR="001D4C35" w:rsidRDefault="001D4C35">
      <w:pPr>
        <w:pStyle w:val="BodyText"/>
        <w:rPr>
          <w:i/>
          <w:sz w:val="26"/>
        </w:rPr>
      </w:pPr>
    </w:p>
    <w:p w14:paraId="4474ACD5" w14:textId="77777777" w:rsidR="001D4C35" w:rsidRDefault="001D4C35">
      <w:pPr>
        <w:pStyle w:val="BodyText"/>
        <w:spacing w:before="2"/>
        <w:rPr>
          <w:i/>
          <w:sz w:val="24"/>
        </w:rPr>
      </w:pPr>
    </w:p>
    <w:p w14:paraId="4474ACD6" w14:textId="77777777" w:rsidR="001D4C35" w:rsidRDefault="00D84817">
      <w:pPr>
        <w:pStyle w:val="BodyText"/>
        <w:spacing w:before="1" w:line="276" w:lineRule="auto"/>
        <w:ind w:left="171" w:right="144"/>
        <w:jc w:val="both"/>
      </w:pPr>
      <w:r>
        <w:t>Furthermore,</w:t>
      </w:r>
      <w:r>
        <w:rPr>
          <w:spacing w:val="-13"/>
        </w:rPr>
        <w:t xml:space="preserve"> </w:t>
      </w:r>
      <w:r>
        <w:t>implementing</w:t>
      </w:r>
      <w:r>
        <w:rPr>
          <w:spacing w:val="-12"/>
        </w:rPr>
        <w:t xml:space="preserve"> </w:t>
      </w:r>
      <w:r>
        <w:t>the</w:t>
      </w:r>
      <w:r>
        <w:rPr>
          <w:spacing w:val="-10"/>
        </w:rPr>
        <w:t xml:space="preserve"> </w:t>
      </w:r>
      <w:r>
        <w:t>SA</w:t>
      </w:r>
      <w:r>
        <w:rPr>
          <w:spacing w:val="-12"/>
        </w:rPr>
        <w:t xml:space="preserve"> </w:t>
      </w:r>
      <w:r>
        <w:t>risk</w:t>
      </w:r>
      <w:r>
        <w:rPr>
          <w:spacing w:val="-11"/>
        </w:rPr>
        <w:t xml:space="preserve"> </w:t>
      </w:r>
      <w:r>
        <w:t>weighting</w:t>
      </w:r>
      <w:r>
        <w:rPr>
          <w:spacing w:val="-12"/>
        </w:rPr>
        <w:t xml:space="preserve"> </w:t>
      </w:r>
      <w:r>
        <w:t>rules</w:t>
      </w:r>
      <w:r>
        <w:rPr>
          <w:spacing w:val="-9"/>
        </w:rPr>
        <w:t xml:space="preserve"> </w:t>
      </w:r>
      <w:r>
        <w:t>without</w:t>
      </w:r>
      <w:r>
        <w:rPr>
          <w:spacing w:val="-11"/>
        </w:rPr>
        <w:t xml:space="preserve"> </w:t>
      </w:r>
      <w:r>
        <w:t>a</w:t>
      </w:r>
      <w:r>
        <w:rPr>
          <w:spacing w:val="-10"/>
        </w:rPr>
        <w:t xml:space="preserve"> </w:t>
      </w:r>
      <w:r>
        <w:t>sensible</w:t>
      </w:r>
      <w:r>
        <w:rPr>
          <w:spacing w:val="-10"/>
        </w:rPr>
        <w:t xml:space="preserve"> </w:t>
      </w:r>
      <w:r>
        <w:t>maturity</w:t>
      </w:r>
      <w:r>
        <w:rPr>
          <w:spacing w:val="-11"/>
        </w:rPr>
        <w:t xml:space="preserve"> </w:t>
      </w:r>
      <w:r>
        <w:t>adjustment</w:t>
      </w:r>
      <w:r>
        <w:rPr>
          <w:spacing w:val="-14"/>
        </w:rPr>
        <w:t xml:space="preserve"> </w:t>
      </w:r>
      <w:r>
        <w:t>for</w:t>
      </w:r>
      <w:r>
        <w:rPr>
          <w:spacing w:val="-10"/>
        </w:rPr>
        <w:t xml:space="preserve"> </w:t>
      </w:r>
      <w:r>
        <w:t>repo-like transactions</w:t>
      </w:r>
      <w:r>
        <w:rPr>
          <w:spacing w:val="-7"/>
        </w:rPr>
        <w:t xml:space="preserve"> </w:t>
      </w:r>
      <w:r>
        <w:t>will</w:t>
      </w:r>
      <w:r>
        <w:rPr>
          <w:spacing w:val="-8"/>
        </w:rPr>
        <w:t xml:space="preserve"> </w:t>
      </w:r>
      <w:r>
        <w:t>undermine</w:t>
      </w:r>
      <w:r>
        <w:rPr>
          <w:spacing w:val="-7"/>
        </w:rPr>
        <w:t xml:space="preserve"> </w:t>
      </w:r>
      <w:r>
        <w:t>the</w:t>
      </w:r>
      <w:r>
        <w:rPr>
          <w:spacing w:val="-7"/>
        </w:rPr>
        <w:t xml:space="preserve"> </w:t>
      </w:r>
      <w:r>
        <w:t>existing</w:t>
      </w:r>
      <w:r>
        <w:rPr>
          <w:spacing w:val="-9"/>
        </w:rPr>
        <w:t xml:space="preserve"> </w:t>
      </w:r>
      <w:r>
        <w:t>measures</w:t>
      </w:r>
      <w:r>
        <w:rPr>
          <w:spacing w:val="-10"/>
        </w:rPr>
        <w:t xml:space="preserve"> </w:t>
      </w:r>
      <w:r>
        <w:t>that</w:t>
      </w:r>
      <w:r>
        <w:rPr>
          <w:spacing w:val="-7"/>
        </w:rPr>
        <w:t xml:space="preserve"> </w:t>
      </w:r>
      <w:r>
        <w:t>target</w:t>
      </w:r>
      <w:r>
        <w:rPr>
          <w:spacing w:val="-7"/>
        </w:rPr>
        <w:t xml:space="preserve"> </w:t>
      </w:r>
      <w:r>
        <w:t>facilitation</w:t>
      </w:r>
      <w:r>
        <w:rPr>
          <w:spacing w:val="-7"/>
        </w:rPr>
        <w:t xml:space="preserve"> </w:t>
      </w:r>
      <w:r>
        <w:t>of</w:t>
      </w:r>
      <w:r>
        <w:rPr>
          <w:spacing w:val="-7"/>
        </w:rPr>
        <w:t xml:space="preserve"> </w:t>
      </w:r>
      <w:r>
        <w:t>market-making</w:t>
      </w:r>
      <w:r>
        <w:rPr>
          <w:spacing w:val="-8"/>
        </w:rPr>
        <w:t xml:space="preserve"> </w:t>
      </w:r>
      <w:r>
        <w:t>in</w:t>
      </w:r>
      <w:r>
        <w:rPr>
          <w:spacing w:val="-7"/>
        </w:rPr>
        <w:t xml:space="preserve"> </w:t>
      </w:r>
      <w:r>
        <w:t>other</w:t>
      </w:r>
      <w:r>
        <w:rPr>
          <w:spacing w:val="-7"/>
        </w:rPr>
        <w:t xml:space="preserve"> </w:t>
      </w:r>
      <w:r>
        <w:t>parts</w:t>
      </w:r>
      <w:r>
        <w:rPr>
          <w:spacing w:val="-7"/>
        </w:rPr>
        <w:t xml:space="preserve"> </w:t>
      </w:r>
      <w:r>
        <w:rPr>
          <w:spacing w:val="-3"/>
        </w:rPr>
        <w:t xml:space="preserve">of </w:t>
      </w:r>
      <w:r>
        <w:t>EU prudential regulation, whether on Net Stable Funding ratio (NSFR) and Liquidity Coverage Ratio (LCR). Notably:</w:t>
      </w:r>
    </w:p>
    <w:p w14:paraId="4474ACD7" w14:textId="77777777" w:rsidR="001D4C35" w:rsidRDefault="001D4C35">
      <w:pPr>
        <w:spacing w:line="276" w:lineRule="auto"/>
        <w:jc w:val="both"/>
        <w:sectPr w:rsidR="001D4C35">
          <w:pgSz w:w="11910" w:h="16840"/>
          <w:pgMar w:top="520" w:right="840" w:bottom="960" w:left="680" w:header="0" w:footer="704" w:gutter="0"/>
          <w:cols w:space="720"/>
        </w:sectPr>
      </w:pPr>
    </w:p>
    <w:p w14:paraId="4474ACD8" w14:textId="77777777" w:rsidR="001D4C35" w:rsidRDefault="00D84817">
      <w:pPr>
        <w:tabs>
          <w:tab w:val="left" w:pos="7925"/>
        </w:tabs>
        <w:ind w:left="186"/>
        <w:rPr>
          <w:sz w:val="20"/>
        </w:rPr>
      </w:pPr>
      <w:r>
        <w:rPr>
          <w:noProof/>
          <w:position w:val="11"/>
          <w:sz w:val="20"/>
        </w:rPr>
        <w:lastRenderedPageBreak/>
        <w:drawing>
          <wp:inline distT="0" distB="0" distL="0" distR="0" wp14:anchorId="4474B053" wp14:editId="4474B054">
            <wp:extent cx="1679117" cy="442722"/>
            <wp:effectExtent l="0" t="0" r="0" b="0"/>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55" wp14:editId="4474B056">
            <wp:extent cx="1427865" cy="572643"/>
            <wp:effectExtent l="0" t="0" r="0" b="0"/>
            <wp:docPr id="3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CD9" w14:textId="77777777" w:rsidR="001D4C35" w:rsidRDefault="001D4C35">
      <w:pPr>
        <w:pStyle w:val="BodyText"/>
        <w:spacing w:before="3"/>
        <w:rPr>
          <w:sz w:val="9"/>
        </w:rPr>
      </w:pPr>
    </w:p>
    <w:p w14:paraId="4474ACDA" w14:textId="77777777" w:rsidR="001D4C35" w:rsidRDefault="00D84817">
      <w:pPr>
        <w:pStyle w:val="ListParagraph"/>
        <w:numPr>
          <w:ilvl w:val="0"/>
          <w:numId w:val="17"/>
        </w:numPr>
        <w:tabs>
          <w:tab w:val="left" w:pos="532"/>
          <w:tab w:val="left" w:pos="533"/>
        </w:tabs>
        <w:spacing w:before="100" w:line="273" w:lineRule="auto"/>
        <w:ind w:right="412"/>
        <w:jc w:val="left"/>
      </w:pPr>
      <w:r>
        <w:t xml:space="preserve">LCR: no LCR cost when Level 1 HQLA are used as an SFT collateral. On the contrary, </w:t>
      </w:r>
      <w:proofErr w:type="spellStart"/>
      <w:r>
        <w:t>monetising</w:t>
      </w:r>
      <w:proofErr w:type="spellEnd"/>
      <w:r>
        <w:t xml:space="preserve"> High Quality Liquid Assets (HQLA) often depends on ability to repo the</w:t>
      </w:r>
      <w:r>
        <w:rPr>
          <w:spacing w:val="-11"/>
        </w:rPr>
        <w:t xml:space="preserve"> </w:t>
      </w:r>
      <w:r>
        <w:t>securities.</w:t>
      </w:r>
    </w:p>
    <w:p w14:paraId="4474ACDB" w14:textId="77777777" w:rsidR="001D4C35" w:rsidRDefault="001D4C35">
      <w:pPr>
        <w:pStyle w:val="BodyText"/>
        <w:rPr>
          <w:sz w:val="24"/>
        </w:rPr>
      </w:pPr>
    </w:p>
    <w:p w14:paraId="4474ACDC" w14:textId="77777777" w:rsidR="001D4C35" w:rsidRDefault="00D84817">
      <w:pPr>
        <w:pStyle w:val="ListParagraph"/>
        <w:numPr>
          <w:ilvl w:val="0"/>
          <w:numId w:val="17"/>
        </w:numPr>
        <w:tabs>
          <w:tab w:val="left" w:pos="532"/>
          <w:tab w:val="left" w:pos="533"/>
        </w:tabs>
        <w:spacing w:before="1"/>
        <w:jc w:val="left"/>
      </w:pPr>
      <w:r>
        <w:t>NSFR:</w:t>
      </w:r>
    </w:p>
    <w:p w14:paraId="4474ACDD" w14:textId="77777777" w:rsidR="001D4C35" w:rsidRDefault="001D4C35">
      <w:pPr>
        <w:pStyle w:val="BodyText"/>
        <w:spacing w:before="1"/>
        <w:rPr>
          <w:sz w:val="27"/>
        </w:rPr>
      </w:pPr>
    </w:p>
    <w:p w14:paraId="4474ACDE" w14:textId="77777777" w:rsidR="001D4C35" w:rsidRDefault="00D84817">
      <w:pPr>
        <w:pStyle w:val="ListParagraph"/>
        <w:numPr>
          <w:ilvl w:val="1"/>
          <w:numId w:val="17"/>
        </w:numPr>
        <w:tabs>
          <w:tab w:val="left" w:pos="891"/>
          <w:tab w:val="left" w:pos="893"/>
        </w:tabs>
        <w:ind w:left="892" w:hanging="361"/>
        <w:jc w:val="left"/>
      </w:pPr>
      <w:r>
        <w:t xml:space="preserve">SFTs generate no regulatory </w:t>
      </w:r>
      <w:r>
        <w:rPr>
          <w:i/>
        </w:rPr>
        <w:t xml:space="preserve">Required Stable Funding </w:t>
      </w:r>
      <w:r>
        <w:t>if backed by HQLA Level 1</w:t>
      </w:r>
      <w:r>
        <w:rPr>
          <w:spacing w:val="-19"/>
        </w:rPr>
        <w:t xml:space="preserve"> </w:t>
      </w:r>
      <w:r>
        <w:t>collateral</w:t>
      </w:r>
    </w:p>
    <w:p w14:paraId="4474ACDF" w14:textId="77777777" w:rsidR="001D4C35" w:rsidRDefault="00D84817">
      <w:pPr>
        <w:pStyle w:val="ListParagraph"/>
        <w:numPr>
          <w:ilvl w:val="1"/>
          <w:numId w:val="17"/>
        </w:numPr>
        <w:tabs>
          <w:tab w:val="left" w:pos="891"/>
          <w:tab w:val="left" w:pos="893"/>
        </w:tabs>
        <w:spacing w:before="21"/>
        <w:ind w:left="892" w:hanging="361"/>
        <w:jc w:val="left"/>
      </w:pPr>
      <w:r>
        <w:t>Beyond six-month maturity, SFTs are subject to a 50% Required Stable Funding</w:t>
      </w:r>
      <w:r>
        <w:rPr>
          <w:spacing w:val="-18"/>
        </w:rPr>
        <w:t xml:space="preserve"> </w:t>
      </w:r>
      <w:r>
        <w:t>ratio.</w:t>
      </w:r>
    </w:p>
    <w:p w14:paraId="4474ACE0" w14:textId="77777777" w:rsidR="001D4C35" w:rsidRDefault="001D4C35">
      <w:pPr>
        <w:pStyle w:val="BodyText"/>
        <w:spacing w:before="8"/>
        <w:rPr>
          <w:sz w:val="25"/>
        </w:rPr>
      </w:pPr>
    </w:p>
    <w:p w14:paraId="4474ACE1" w14:textId="77777777" w:rsidR="001D4C35" w:rsidRDefault="00D84817">
      <w:pPr>
        <w:pStyle w:val="BodyText"/>
        <w:spacing w:line="278" w:lineRule="auto"/>
        <w:ind w:left="171" w:right="146"/>
        <w:jc w:val="both"/>
      </w:pPr>
      <w:r>
        <w:t>Such measures would fail to reach their goals if liquidity in HQLA assets is undermined by such a punitive capital treatment in the credit risk framework, forcing market-makers to possibly restrict their inventories and therefore the liquidity they can provide to the market.</w:t>
      </w:r>
    </w:p>
    <w:p w14:paraId="4474ACE2" w14:textId="77777777" w:rsidR="001D4C35" w:rsidRDefault="001D4C35">
      <w:pPr>
        <w:pStyle w:val="BodyText"/>
        <w:spacing w:before="4"/>
        <w:rPr>
          <w:sz w:val="23"/>
        </w:rPr>
      </w:pPr>
    </w:p>
    <w:p w14:paraId="4474ACE3" w14:textId="77777777" w:rsidR="001D4C35" w:rsidRDefault="00D84817">
      <w:pPr>
        <w:pStyle w:val="Heading3"/>
        <w:ind w:left="171"/>
      </w:pPr>
      <w:r>
        <w:t>Derivatives</w:t>
      </w:r>
    </w:p>
    <w:p w14:paraId="4474ACE4" w14:textId="77777777" w:rsidR="001D4C35" w:rsidRDefault="001D4C35">
      <w:pPr>
        <w:pStyle w:val="BodyText"/>
        <w:spacing w:before="2"/>
        <w:rPr>
          <w:b/>
          <w:sz w:val="27"/>
        </w:rPr>
      </w:pPr>
    </w:p>
    <w:p w14:paraId="4474ACE5" w14:textId="77777777" w:rsidR="001D4C35" w:rsidRDefault="00D84817">
      <w:pPr>
        <w:pStyle w:val="BodyText"/>
        <w:spacing w:line="276" w:lineRule="auto"/>
        <w:ind w:left="171" w:right="148"/>
        <w:jc w:val="both"/>
      </w:pPr>
      <w:r>
        <w:t>For derivative contracts, the calibration of SA-CR risk weights do not account for the fact that the counterparty’s downgrade risk is already captured by the CVA risk framework.</w:t>
      </w:r>
    </w:p>
    <w:p w14:paraId="4474ACE6" w14:textId="77777777" w:rsidR="001D4C35" w:rsidRDefault="001D4C35">
      <w:pPr>
        <w:pStyle w:val="BodyText"/>
        <w:spacing w:before="9"/>
        <w:rPr>
          <w:sz w:val="23"/>
        </w:rPr>
      </w:pPr>
    </w:p>
    <w:p w14:paraId="4474ACE7" w14:textId="77777777" w:rsidR="001D4C35" w:rsidRDefault="00D84817">
      <w:pPr>
        <w:pStyle w:val="BodyText"/>
        <w:spacing w:line="276" w:lineRule="auto"/>
        <w:ind w:left="171" w:right="148" w:hanging="1"/>
        <w:jc w:val="both"/>
      </w:pPr>
      <w:r>
        <w:t>The flat calibration of SA-CR risk weights embeds in its horizon the downgrade risk of the associated counterparties</w:t>
      </w:r>
      <w:r>
        <w:rPr>
          <w:spacing w:val="-6"/>
        </w:rPr>
        <w:t xml:space="preserve"> </w:t>
      </w:r>
      <w:r>
        <w:t>and</w:t>
      </w:r>
      <w:r>
        <w:rPr>
          <w:spacing w:val="-5"/>
        </w:rPr>
        <w:t xml:space="preserve"> </w:t>
      </w:r>
      <w:r>
        <w:t>therefore</w:t>
      </w:r>
      <w:r>
        <w:rPr>
          <w:spacing w:val="-6"/>
        </w:rPr>
        <w:t xml:space="preserve"> </w:t>
      </w:r>
      <w:r>
        <w:t>overlaps</w:t>
      </w:r>
      <w:r>
        <w:rPr>
          <w:spacing w:val="-5"/>
        </w:rPr>
        <w:t xml:space="preserve"> </w:t>
      </w:r>
      <w:r>
        <w:t>with</w:t>
      </w:r>
      <w:r>
        <w:rPr>
          <w:spacing w:val="-12"/>
        </w:rPr>
        <w:t xml:space="preserve"> </w:t>
      </w:r>
      <w:r>
        <w:t>the</w:t>
      </w:r>
      <w:r>
        <w:rPr>
          <w:spacing w:val="-6"/>
        </w:rPr>
        <w:t xml:space="preserve"> </w:t>
      </w:r>
      <w:proofErr w:type="spellStart"/>
      <w:r>
        <w:t>capitalisation</w:t>
      </w:r>
      <w:proofErr w:type="spellEnd"/>
      <w:r>
        <w:rPr>
          <w:spacing w:val="-6"/>
        </w:rPr>
        <w:t xml:space="preserve"> </w:t>
      </w:r>
      <w:r>
        <w:t>of</w:t>
      </w:r>
      <w:r>
        <w:rPr>
          <w:spacing w:val="-6"/>
        </w:rPr>
        <w:t xml:space="preserve"> </w:t>
      </w:r>
      <w:r>
        <w:t>downgrade</w:t>
      </w:r>
      <w:r>
        <w:rPr>
          <w:spacing w:val="-6"/>
        </w:rPr>
        <w:t xml:space="preserve"> </w:t>
      </w:r>
      <w:r>
        <w:t>risk</w:t>
      </w:r>
      <w:r>
        <w:rPr>
          <w:spacing w:val="-6"/>
        </w:rPr>
        <w:t xml:space="preserve"> </w:t>
      </w:r>
      <w:r>
        <w:t>for</w:t>
      </w:r>
      <w:r>
        <w:rPr>
          <w:spacing w:val="-10"/>
        </w:rPr>
        <w:t xml:space="preserve"> </w:t>
      </w:r>
      <w:r>
        <w:t>positions</w:t>
      </w:r>
      <w:r>
        <w:rPr>
          <w:spacing w:val="-5"/>
        </w:rPr>
        <w:t xml:space="preserve"> </w:t>
      </w:r>
      <w:r>
        <w:t>in</w:t>
      </w:r>
      <w:r>
        <w:rPr>
          <w:spacing w:val="-6"/>
        </w:rPr>
        <w:t xml:space="preserve"> </w:t>
      </w:r>
      <w:r>
        <w:t>scope</w:t>
      </w:r>
      <w:r>
        <w:rPr>
          <w:spacing w:val="-6"/>
        </w:rPr>
        <w:t xml:space="preserve"> </w:t>
      </w:r>
      <w:r>
        <w:t>of</w:t>
      </w:r>
      <w:r>
        <w:rPr>
          <w:spacing w:val="-6"/>
        </w:rPr>
        <w:t xml:space="preserve"> </w:t>
      </w:r>
      <w:r>
        <w:t>the CVA</w:t>
      </w:r>
      <w:r>
        <w:rPr>
          <w:spacing w:val="-4"/>
        </w:rPr>
        <w:t xml:space="preserve"> </w:t>
      </w:r>
      <w:r>
        <w:t>risk</w:t>
      </w:r>
      <w:r>
        <w:rPr>
          <w:spacing w:val="-1"/>
        </w:rPr>
        <w:t xml:space="preserve"> </w:t>
      </w:r>
      <w:r>
        <w:t>framework.</w:t>
      </w:r>
      <w:r>
        <w:rPr>
          <w:spacing w:val="-3"/>
        </w:rPr>
        <w:t xml:space="preserve"> </w:t>
      </w:r>
      <w:r>
        <w:t>Under</w:t>
      </w:r>
      <w:r>
        <w:rPr>
          <w:spacing w:val="-5"/>
        </w:rPr>
        <w:t xml:space="preserve"> </w:t>
      </w:r>
      <w:r>
        <w:t>the</w:t>
      </w:r>
      <w:r>
        <w:rPr>
          <w:spacing w:val="-2"/>
        </w:rPr>
        <w:t xml:space="preserve"> </w:t>
      </w:r>
      <w:r>
        <w:t>CRR3</w:t>
      </w:r>
      <w:r>
        <w:rPr>
          <w:spacing w:val="-4"/>
        </w:rPr>
        <w:t xml:space="preserve"> </w:t>
      </w:r>
      <w:r>
        <w:t>proposal,</w:t>
      </w:r>
      <w:r>
        <w:rPr>
          <w:spacing w:val="-3"/>
        </w:rPr>
        <w:t xml:space="preserve"> </w:t>
      </w:r>
      <w:r>
        <w:t>Article</w:t>
      </w:r>
      <w:r>
        <w:rPr>
          <w:spacing w:val="-2"/>
        </w:rPr>
        <w:t xml:space="preserve"> </w:t>
      </w:r>
      <w:r>
        <w:t>162(2)(</w:t>
      </w:r>
      <w:proofErr w:type="spellStart"/>
      <w:r>
        <w:t>i</w:t>
      </w:r>
      <w:proofErr w:type="spellEnd"/>
      <w:r>
        <w:t>)</w:t>
      </w:r>
      <w:r>
        <w:rPr>
          <w:spacing w:val="-2"/>
        </w:rPr>
        <w:t xml:space="preserve"> </w:t>
      </w:r>
      <w:r>
        <w:t>allows</w:t>
      </w:r>
      <w:r>
        <w:rPr>
          <w:spacing w:val="-1"/>
        </w:rPr>
        <w:t xml:space="preserve"> </w:t>
      </w:r>
      <w:r>
        <w:t>banks</w:t>
      </w:r>
      <w:r>
        <w:rPr>
          <w:spacing w:val="-1"/>
        </w:rPr>
        <w:t xml:space="preserve"> </w:t>
      </w:r>
      <w:r>
        <w:t>to</w:t>
      </w:r>
      <w:r>
        <w:rPr>
          <w:spacing w:val="-4"/>
        </w:rPr>
        <w:t xml:space="preserve"> </w:t>
      </w:r>
      <w:r>
        <w:t>cap</w:t>
      </w:r>
      <w:r>
        <w:rPr>
          <w:spacing w:val="-4"/>
        </w:rPr>
        <w:t xml:space="preserve"> </w:t>
      </w:r>
      <w:r>
        <w:t>the</w:t>
      </w:r>
      <w:r>
        <w:rPr>
          <w:spacing w:val="-1"/>
        </w:rPr>
        <w:t xml:space="preserve"> </w:t>
      </w:r>
      <w:r>
        <w:t>M</w:t>
      </w:r>
      <w:r>
        <w:rPr>
          <w:spacing w:val="-2"/>
        </w:rPr>
        <w:t xml:space="preserve"> </w:t>
      </w:r>
      <w:r>
        <w:t>factor</w:t>
      </w:r>
      <w:r>
        <w:rPr>
          <w:spacing w:val="-2"/>
        </w:rPr>
        <w:t xml:space="preserve"> </w:t>
      </w:r>
      <w:r>
        <w:t>in</w:t>
      </w:r>
      <w:r>
        <w:rPr>
          <w:spacing w:val="-1"/>
        </w:rPr>
        <w:t xml:space="preserve"> </w:t>
      </w:r>
      <w:r>
        <w:t>the</w:t>
      </w:r>
      <w:r>
        <w:rPr>
          <w:spacing w:val="-1"/>
        </w:rPr>
        <w:t xml:space="preserve"> </w:t>
      </w:r>
      <w:r>
        <w:t>IRB risk weight formula with the effect of eliminating the double counting of downgrade risk between CCR and CVA risk RWAs. A similar adjustment is not being proposed for the SA-CR</w:t>
      </w:r>
      <w:r>
        <w:rPr>
          <w:spacing w:val="-17"/>
        </w:rPr>
        <w:t xml:space="preserve"> </w:t>
      </w:r>
      <w:r>
        <w:t>method.</w:t>
      </w:r>
    </w:p>
    <w:p w14:paraId="4474ACE8" w14:textId="77777777" w:rsidR="001D4C35" w:rsidRDefault="001D4C35">
      <w:pPr>
        <w:pStyle w:val="BodyText"/>
        <w:spacing w:before="11"/>
        <w:rPr>
          <w:sz w:val="23"/>
        </w:rPr>
      </w:pPr>
    </w:p>
    <w:p w14:paraId="4474ACE9" w14:textId="77777777" w:rsidR="001D4C35" w:rsidRDefault="00D84817">
      <w:pPr>
        <w:pStyle w:val="BodyText"/>
        <w:spacing w:line="276" w:lineRule="auto"/>
        <w:ind w:left="171" w:right="156"/>
        <w:jc w:val="both"/>
      </w:pPr>
      <w:r>
        <w:t>To avoid impacting the cost of derivative contracts and users’ ability to afford them, SA-CR risk weights should be adjusted accordingly.</w:t>
      </w:r>
    </w:p>
    <w:p w14:paraId="4474ACEA" w14:textId="77777777" w:rsidR="001D4C35" w:rsidRDefault="00D65A23">
      <w:pPr>
        <w:pStyle w:val="BodyText"/>
        <w:spacing w:before="7"/>
        <w:rPr>
          <w:sz w:val="20"/>
        </w:rPr>
      </w:pPr>
      <w:r>
        <w:pict w14:anchorId="4474B057">
          <v:shape id="_x0000_s2124" type="#_x0000_t202" style="position:absolute;margin-left:42.8pt;margin-top:14.25pt;width:503.05pt;height:235.6pt;z-index:-251616256;mso-wrap-distance-left:0;mso-wrap-distance-right:0;mso-position-horizontal-relative:page" fillcolor="#dbe4f0" strokeweight=".14147mm">
            <v:textbox inset="0,0,0,0">
              <w:txbxContent>
                <w:p w14:paraId="4474B117" w14:textId="77777777" w:rsidR="001D4C35" w:rsidRDefault="00D84817">
                  <w:pPr>
                    <w:spacing w:before="3"/>
                    <w:ind w:left="3971" w:right="3971"/>
                    <w:jc w:val="center"/>
                    <w:rPr>
                      <w:b/>
                    </w:rPr>
                  </w:pPr>
                  <w:r>
                    <w:rPr>
                      <w:b/>
                    </w:rPr>
                    <w:t>Recommendation(s)</w:t>
                  </w:r>
                </w:p>
                <w:p w14:paraId="4474B118" w14:textId="77777777" w:rsidR="001D4C35" w:rsidRDefault="001D4C35">
                  <w:pPr>
                    <w:pStyle w:val="BodyText"/>
                    <w:spacing w:before="1"/>
                    <w:rPr>
                      <w:b/>
                      <w:sz w:val="27"/>
                    </w:rPr>
                  </w:pPr>
                </w:p>
                <w:p w14:paraId="4474B119" w14:textId="77777777" w:rsidR="001D4C35" w:rsidRDefault="00D84817">
                  <w:pPr>
                    <w:pStyle w:val="BodyText"/>
                    <w:numPr>
                      <w:ilvl w:val="0"/>
                      <w:numId w:val="16"/>
                    </w:numPr>
                    <w:tabs>
                      <w:tab w:val="left" w:pos="824"/>
                      <w:tab w:val="left" w:pos="825"/>
                    </w:tabs>
                    <w:spacing w:line="273" w:lineRule="auto"/>
                    <w:ind w:left="823" w:right="188" w:hanging="360"/>
                  </w:pPr>
                  <w:r>
                    <w:t>Amend</w:t>
                  </w:r>
                  <w:r>
                    <w:rPr>
                      <w:spacing w:val="-2"/>
                    </w:rPr>
                    <w:t xml:space="preserve"> </w:t>
                  </w:r>
                  <w:r>
                    <w:t>the</w:t>
                  </w:r>
                  <w:r>
                    <w:rPr>
                      <w:spacing w:val="-3"/>
                    </w:rPr>
                    <w:t xml:space="preserve"> </w:t>
                  </w:r>
                  <w:r>
                    <w:t>SA-CR</w:t>
                  </w:r>
                  <w:r>
                    <w:rPr>
                      <w:spacing w:val="-5"/>
                    </w:rPr>
                    <w:t xml:space="preserve"> </w:t>
                  </w:r>
                  <w:r>
                    <w:t>treatment</w:t>
                  </w:r>
                  <w:r>
                    <w:rPr>
                      <w:spacing w:val="-2"/>
                    </w:rPr>
                    <w:t xml:space="preserve"> </w:t>
                  </w:r>
                  <w:r>
                    <w:t>of</w:t>
                  </w:r>
                  <w:r>
                    <w:rPr>
                      <w:spacing w:val="-3"/>
                    </w:rPr>
                    <w:t xml:space="preserve"> </w:t>
                  </w:r>
                  <w:r>
                    <w:t>SFTs</w:t>
                  </w:r>
                  <w:r>
                    <w:rPr>
                      <w:spacing w:val="-3"/>
                    </w:rPr>
                    <w:t xml:space="preserve"> </w:t>
                  </w:r>
                  <w:r>
                    <w:t>by</w:t>
                  </w:r>
                  <w:r>
                    <w:rPr>
                      <w:spacing w:val="-3"/>
                    </w:rPr>
                    <w:t xml:space="preserve"> </w:t>
                  </w:r>
                  <w:r>
                    <w:t>introducing</w:t>
                  </w:r>
                  <w:r>
                    <w:rPr>
                      <w:spacing w:val="-4"/>
                    </w:rPr>
                    <w:t xml:space="preserve"> </w:t>
                  </w:r>
                  <w:r>
                    <w:t>a</w:t>
                  </w:r>
                  <w:r>
                    <w:rPr>
                      <w:spacing w:val="-3"/>
                    </w:rPr>
                    <w:t xml:space="preserve"> </w:t>
                  </w:r>
                  <w:r>
                    <w:t>short-term</w:t>
                  </w:r>
                  <w:r>
                    <w:rPr>
                      <w:spacing w:val="-3"/>
                    </w:rPr>
                    <w:t xml:space="preserve"> </w:t>
                  </w:r>
                  <w:r>
                    <w:t>maturity</w:t>
                  </w:r>
                  <w:r>
                    <w:rPr>
                      <w:spacing w:val="-3"/>
                    </w:rPr>
                    <w:t xml:space="preserve"> </w:t>
                  </w:r>
                  <w:r>
                    <w:t>adjustment.</w:t>
                  </w:r>
                  <w:r>
                    <w:rPr>
                      <w:spacing w:val="-8"/>
                    </w:rPr>
                    <w:t xml:space="preserve"> </w:t>
                  </w:r>
                  <w:r>
                    <w:t>The</w:t>
                  </w:r>
                  <w:r>
                    <w:rPr>
                      <w:spacing w:val="-3"/>
                    </w:rPr>
                    <w:t xml:space="preserve"> </w:t>
                  </w:r>
                  <w:r>
                    <w:t>CRR3 proposal already assigns lower risk weights for selected short-term</w:t>
                  </w:r>
                  <w:r>
                    <w:rPr>
                      <w:spacing w:val="-7"/>
                    </w:rPr>
                    <w:t xml:space="preserve"> </w:t>
                  </w:r>
                  <w:r>
                    <w:t>exposures:</w:t>
                  </w:r>
                </w:p>
                <w:p w14:paraId="4474B11A" w14:textId="77777777" w:rsidR="001D4C35" w:rsidRDefault="00D84817">
                  <w:pPr>
                    <w:pStyle w:val="BodyText"/>
                    <w:numPr>
                      <w:ilvl w:val="1"/>
                      <w:numId w:val="16"/>
                    </w:numPr>
                    <w:tabs>
                      <w:tab w:val="left" w:pos="1183"/>
                      <w:tab w:val="left" w:pos="1184"/>
                    </w:tabs>
                    <w:spacing w:before="2" w:line="276" w:lineRule="auto"/>
                    <w:ind w:left="1183" w:right="393"/>
                  </w:pPr>
                  <w:r>
                    <w:t>In the Standardized Approach, specific short-term RW exist for exposures to “institutions”, externally rated (Art 120 – Table 4) or unrated (Art 121 – Table 5), below 3 months for all exposures, and below 6 months for exposures related to “the movements of goods across national borders”, i.e. trade</w:t>
                  </w:r>
                  <w:r>
                    <w:rPr>
                      <w:spacing w:val="-6"/>
                    </w:rPr>
                    <w:t xml:space="preserve"> </w:t>
                  </w:r>
                  <w:r>
                    <w:t>finance</w:t>
                  </w:r>
                </w:p>
                <w:p w14:paraId="4474B11B" w14:textId="77777777" w:rsidR="001D4C35" w:rsidRDefault="00D84817">
                  <w:pPr>
                    <w:pStyle w:val="BodyText"/>
                    <w:numPr>
                      <w:ilvl w:val="1"/>
                      <w:numId w:val="16"/>
                    </w:numPr>
                    <w:tabs>
                      <w:tab w:val="left" w:pos="1183"/>
                      <w:tab w:val="left" w:pos="1184"/>
                    </w:tabs>
                    <w:spacing w:before="2" w:line="276" w:lineRule="auto"/>
                    <w:ind w:left="1183" w:right="379"/>
                  </w:pPr>
                  <w:r>
                    <w:t xml:space="preserve">In the IRB-Foundation Approach, a 6 months maturity applies for SFTs, instead </w:t>
                  </w:r>
                  <w:r>
                    <w:rPr>
                      <w:spacing w:val="-3"/>
                    </w:rPr>
                    <w:t xml:space="preserve">of </w:t>
                  </w:r>
                  <w:r>
                    <w:t>the fixed 2.5y maturity for all other exposures (Art</w:t>
                  </w:r>
                  <w:r>
                    <w:rPr>
                      <w:spacing w:val="-1"/>
                    </w:rPr>
                    <w:t xml:space="preserve"> </w:t>
                  </w:r>
                  <w:r>
                    <w:rPr>
                      <w:spacing w:val="-3"/>
                    </w:rPr>
                    <w:t>162)</w:t>
                  </w:r>
                </w:p>
                <w:p w14:paraId="4474B11C" w14:textId="77777777" w:rsidR="001D4C35" w:rsidRDefault="001D4C35">
                  <w:pPr>
                    <w:pStyle w:val="BodyText"/>
                    <w:rPr>
                      <w:sz w:val="26"/>
                    </w:rPr>
                  </w:pPr>
                </w:p>
                <w:p w14:paraId="4474B11D" w14:textId="77777777" w:rsidR="001D4C35" w:rsidRDefault="001D4C35">
                  <w:pPr>
                    <w:pStyle w:val="BodyText"/>
                    <w:rPr>
                      <w:sz w:val="26"/>
                    </w:rPr>
                  </w:pPr>
                </w:p>
                <w:p w14:paraId="4474B11E" w14:textId="77777777" w:rsidR="001D4C35" w:rsidRDefault="001D4C35">
                  <w:pPr>
                    <w:pStyle w:val="BodyText"/>
                    <w:spacing w:before="10"/>
                    <w:rPr>
                      <w:sz w:val="20"/>
                    </w:rPr>
                  </w:pPr>
                </w:p>
                <w:p w14:paraId="4474B11F" w14:textId="77777777" w:rsidR="001D4C35" w:rsidRDefault="00D84817">
                  <w:pPr>
                    <w:pStyle w:val="BodyText"/>
                    <w:numPr>
                      <w:ilvl w:val="0"/>
                      <w:numId w:val="16"/>
                    </w:numPr>
                    <w:tabs>
                      <w:tab w:val="left" w:pos="824"/>
                      <w:tab w:val="left" w:pos="825"/>
                    </w:tabs>
                    <w:spacing w:line="278" w:lineRule="auto"/>
                    <w:ind w:left="823" w:right="614" w:hanging="360"/>
                  </w:pPr>
                  <w:r>
                    <w:t>When applied to derivative positions, SA-CR risk weights should be adjusted accordingly for positions in the scope of the CVA risk</w:t>
                  </w:r>
                  <w:r>
                    <w:rPr>
                      <w:spacing w:val="-7"/>
                    </w:rPr>
                    <w:t xml:space="preserve"> </w:t>
                  </w:r>
                  <w:r>
                    <w:t>framework.</w:t>
                  </w:r>
                </w:p>
              </w:txbxContent>
            </v:textbox>
            <w10:wrap type="topAndBottom" anchorx="page"/>
          </v:shape>
        </w:pict>
      </w:r>
    </w:p>
    <w:p w14:paraId="4474ACEB" w14:textId="77777777" w:rsidR="001D4C35" w:rsidRDefault="001D4C35">
      <w:pPr>
        <w:rPr>
          <w:sz w:val="20"/>
        </w:rPr>
        <w:sectPr w:rsidR="001D4C35">
          <w:pgSz w:w="11910" w:h="16840"/>
          <w:pgMar w:top="520" w:right="840" w:bottom="960" w:left="680" w:header="0" w:footer="704" w:gutter="0"/>
          <w:cols w:space="720"/>
        </w:sectPr>
      </w:pPr>
    </w:p>
    <w:p w14:paraId="4474ACEC" w14:textId="77777777" w:rsidR="001D4C35" w:rsidRDefault="00D84817">
      <w:pPr>
        <w:tabs>
          <w:tab w:val="left" w:pos="7925"/>
        </w:tabs>
        <w:ind w:left="186"/>
        <w:rPr>
          <w:sz w:val="20"/>
        </w:rPr>
      </w:pPr>
      <w:r>
        <w:rPr>
          <w:noProof/>
          <w:position w:val="11"/>
          <w:sz w:val="20"/>
        </w:rPr>
        <w:lastRenderedPageBreak/>
        <w:drawing>
          <wp:inline distT="0" distB="0" distL="0" distR="0" wp14:anchorId="4474B058" wp14:editId="4474B059">
            <wp:extent cx="1679117" cy="442722"/>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5A" wp14:editId="4474B05B">
            <wp:extent cx="1427865" cy="572643"/>
            <wp:effectExtent l="0" t="0" r="0" b="0"/>
            <wp:docPr id="4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CED" w14:textId="77777777" w:rsidR="001D4C35" w:rsidRDefault="001D4C35">
      <w:pPr>
        <w:pStyle w:val="BodyText"/>
        <w:spacing w:before="3"/>
        <w:rPr>
          <w:sz w:val="9"/>
        </w:rPr>
      </w:pPr>
    </w:p>
    <w:p w14:paraId="4474ACEE" w14:textId="77777777" w:rsidR="001D4C35" w:rsidRDefault="00D84817">
      <w:pPr>
        <w:pStyle w:val="Heading3"/>
        <w:spacing w:before="100"/>
        <w:ind w:left="172"/>
      </w:pPr>
      <w:r>
        <w:rPr>
          <w:u w:val="single"/>
        </w:rPr>
        <w:t>Annex : Other SA-CCR Recommendations</w:t>
      </w:r>
    </w:p>
    <w:p w14:paraId="4474ACEF" w14:textId="77777777" w:rsidR="001D4C35" w:rsidRDefault="001D4C35">
      <w:pPr>
        <w:pStyle w:val="BodyText"/>
        <w:spacing w:before="7"/>
        <w:rPr>
          <w:b/>
          <w:sz w:val="18"/>
        </w:rPr>
      </w:pPr>
    </w:p>
    <w:p w14:paraId="4474ACF0" w14:textId="77777777" w:rsidR="001D4C35" w:rsidRDefault="00D84817">
      <w:pPr>
        <w:spacing w:before="100"/>
        <w:ind w:left="172"/>
        <w:jc w:val="both"/>
        <w:rPr>
          <w:i/>
        </w:rPr>
      </w:pPr>
      <w:bookmarkStart w:id="25" w:name="Increase_flexibility_in_certain_parts_of"/>
      <w:bookmarkEnd w:id="25"/>
      <w:r>
        <w:rPr>
          <w:i/>
          <w:color w:val="365F91"/>
        </w:rPr>
        <w:t>Increase flexibility in certain parts of the methodology, such as allowing index decomposition</w:t>
      </w:r>
    </w:p>
    <w:p w14:paraId="4474ACF1" w14:textId="77777777" w:rsidR="001D4C35" w:rsidRDefault="001D4C35">
      <w:pPr>
        <w:pStyle w:val="BodyText"/>
        <w:spacing w:before="1"/>
        <w:rPr>
          <w:i/>
          <w:sz w:val="27"/>
        </w:rPr>
      </w:pPr>
    </w:p>
    <w:p w14:paraId="4474ACF2" w14:textId="77777777" w:rsidR="001D4C35" w:rsidRDefault="00D84817">
      <w:pPr>
        <w:pStyle w:val="BodyText"/>
        <w:spacing w:before="1" w:line="276" w:lineRule="auto"/>
        <w:ind w:left="171" w:right="147"/>
        <w:jc w:val="both"/>
      </w:pPr>
      <w:r>
        <w:t xml:space="preserve">Firms should be allowed to use a look-through approach to decompose indices within credit, equity and commodity asset classes to more accurately reflect the exposure of highly correlated long and short positions. The hedging set amount for equity and credit derivative contracts requires a firm to differentiate between index and single name underliers for the purposes </w:t>
      </w:r>
      <w:r>
        <w:rPr>
          <w:spacing w:val="-3"/>
        </w:rPr>
        <w:t xml:space="preserve">of </w:t>
      </w:r>
      <w:r>
        <w:t>different supervisory factors, option volatilities and correlation parameters. With respect to commodity indices, a firm would have to select a single</w:t>
      </w:r>
      <w:r>
        <w:rPr>
          <w:spacing w:val="-7"/>
        </w:rPr>
        <w:t xml:space="preserve"> </w:t>
      </w:r>
      <w:r>
        <w:t>supervisory</w:t>
      </w:r>
      <w:r>
        <w:rPr>
          <w:spacing w:val="-10"/>
        </w:rPr>
        <w:t xml:space="preserve"> </w:t>
      </w:r>
      <w:r>
        <w:t>factor</w:t>
      </w:r>
      <w:r>
        <w:rPr>
          <w:spacing w:val="-10"/>
        </w:rPr>
        <w:t xml:space="preserve"> </w:t>
      </w:r>
      <w:r>
        <w:t>to</w:t>
      </w:r>
      <w:r>
        <w:rPr>
          <w:spacing w:val="-8"/>
        </w:rPr>
        <w:t xml:space="preserve"> </w:t>
      </w:r>
      <w:r>
        <w:t>the</w:t>
      </w:r>
      <w:r>
        <w:rPr>
          <w:spacing w:val="-6"/>
        </w:rPr>
        <w:t xml:space="preserve"> </w:t>
      </w:r>
      <w:r>
        <w:t>index</w:t>
      </w:r>
      <w:r>
        <w:rPr>
          <w:spacing w:val="-6"/>
        </w:rPr>
        <w:t xml:space="preserve"> </w:t>
      </w:r>
      <w:r>
        <w:t>and</w:t>
      </w:r>
      <w:r>
        <w:rPr>
          <w:spacing w:val="-9"/>
        </w:rPr>
        <w:t xml:space="preserve"> </w:t>
      </w:r>
      <w:r>
        <w:t>treat</w:t>
      </w:r>
      <w:r>
        <w:rPr>
          <w:spacing w:val="-6"/>
        </w:rPr>
        <w:t xml:space="preserve"> </w:t>
      </w:r>
      <w:r>
        <w:t>it</w:t>
      </w:r>
      <w:r>
        <w:rPr>
          <w:spacing w:val="-6"/>
        </w:rPr>
        <w:t xml:space="preserve"> </w:t>
      </w:r>
      <w:r>
        <w:t>as</w:t>
      </w:r>
      <w:r>
        <w:rPr>
          <w:spacing w:val="-5"/>
        </w:rPr>
        <w:t xml:space="preserve"> </w:t>
      </w:r>
      <w:r>
        <w:t>a</w:t>
      </w:r>
      <w:r>
        <w:rPr>
          <w:spacing w:val="-10"/>
        </w:rPr>
        <w:t xml:space="preserve"> </w:t>
      </w:r>
      <w:r>
        <w:t>single</w:t>
      </w:r>
      <w:r>
        <w:rPr>
          <w:spacing w:val="-7"/>
        </w:rPr>
        <w:t xml:space="preserve"> </w:t>
      </w:r>
      <w:r>
        <w:t>commodity</w:t>
      </w:r>
      <w:r>
        <w:rPr>
          <w:spacing w:val="-6"/>
        </w:rPr>
        <w:t xml:space="preserve"> </w:t>
      </w:r>
      <w:r>
        <w:t>sub-class</w:t>
      </w:r>
      <w:r>
        <w:rPr>
          <w:spacing w:val="-5"/>
        </w:rPr>
        <w:t xml:space="preserve"> </w:t>
      </w:r>
      <w:r>
        <w:t>as</w:t>
      </w:r>
      <w:r>
        <w:rPr>
          <w:spacing w:val="-6"/>
        </w:rPr>
        <w:t xml:space="preserve"> </w:t>
      </w:r>
      <w:r>
        <w:t>opposed</w:t>
      </w:r>
      <w:r>
        <w:rPr>
          <w:spacing w:val="-9"/>
        </w:rPr>
        <w:t xml:space="preserve"> </w:t>
      </w:r>
      <w:r>
        <w:t>to</w:t>
      </w:r>
      <w:r>
        <w:rPr>
          <w:spacing w:val="-8"/>
        </w:rPr>
        <w:t xml:space="preserve"> </w:t>
      </w:r>
      <w:r>
        <w:t>a</w:t>
      </w:r>
      <w:r>
        <w:rPr>
          <w:spacing w:val="-10"/>
        </w:rPr>
        <w:t xml:space="preserve"> </w:t>
      </w:r>
      <w:r>
        <w:t>diversified index. As a result, firms are unable to decompose an index into its underlying components as they do for other capital requirements (e.g. in the FRTB under the Basel</w:t>
      </w:r>
      <w:r>
        <w:rPr>
          <w:spacing w:val="-7"/>
        </w:rPr>
        <w:t xml:space="preserve"> </w:t>
      </w:r>
      <w:r>
        <w:t>standards)</w:t>
      </w:r>
      <w:hyperlink w:anchor="_bookmark36" w:history="1">
        <w:r>
          <w:rPr>
            <w:position w:val="5"/>
            <w:sz w:val="14"/>
          </w:rPr>
          <w:t>13</w:t>
        </w:r>
      </w:hyperlink>
      <w:r>
        <w:t>.</w:t>
      </w:r>
    </w:p>
    <w:p w14:paraId="4474ACF3" w14:textId="77777777" w:rsidR="001D4C35" w:rsidRDefault="001D4C35">
      <w:pPr>
        <w:pStyle w:val="BodyText"/>
        <w:spacing w:before="9"/>
        <w:rPr>
          <w:sz w:val="23"/>
        </w:rPr>
      </w:pPr>
    </w:p>
    <w:p w14:paraId="4474ACF4" w14:textId="77777777" w:rsidR="001D4C35" w:rsidRDefault="00D84817">
      <w:pPr>
        <w:pStyle w:val="BodyText"/>
        <w:spacing w:line="276" w:lineRule="auto"/>
        <w:ind w:left="171" w:right="146"/>
        <w:jc w:val="both"/>
      </w:pPr>
      <w:r>
        <w:t xml:space="preserve">The option to use a look-through approach to decompose credit, equity or commodity derivatives referencing an index into single-name derivatives each referencing one component of the index </w:t>
      </w:r>
      <w:proofErr w:type="spellStart"/>
      <w:r>
        <w:t>recognises</w:t>
      </w:r>
      <w:proofErr w:type="spellEnd"/>
      <w:r>
        <w:t xml:space="preserve"> the</w:t>
      </w:r>
      <w:r>
        <w:rPr>
          <w:spacing w:val="-11"/>
        </w:rPr>
        <w:t xml:space="preserve"> </w:t>
      </w:r>
      <w:r>
        <w:t>hedging</w:t>
      </w:r>
      <w:r>
        <w:rPr>
          <w:spacing w:val="-12"/>
        </w:rPr>
        <w:t xml:space="preserve"> </w:t>
      </w:r>
      <w:r>
        <w:t>benefit</w:t>
      </w:r>
      <w:r>
        <w:rPr>
          <w:spacing w:val="-9"/>
        </w:rPr>
        <w:t xml:space="preserve"> </w:t>
      </w:r>
      <w:r>
        <w:t>provided</w:t>
      </w:r>
      <w:r>
        <w:rPr>
          <w:spacing w:val="-10"/>
        </w:rPr>
        <w:t xml:space="preserve"> </w:t>
      </w:r>
      <w:r>
        <w:rPr>
          <w:spacing w:val="-3"/>
        </w:rPr>
        <w:t>by</w:t>
      </w:r>
      <w:r>
        <w:rPr>
          <w:spacing w:val="-10"/>
        </w:rPr>
        <w:t xml:space="preserve"> </w:t>
      </w:r>
      <w:r>
        <w:t>the</w:t>
      </w:r>
      <w:r>
        <w:rPr>
          <w:spacing w:val="-10"/>
        </w:rPr>
        <w:t xml:space="preserve"> </w:t>
      </w:r>
      <w:r>
        <w:t>component</w:t>
      </w:r>
      <w:r>
        <w:rPr>
          <w:spacing w:val="-10"/>
        </w:rPr>
        <w:t xml:space="preserve"> </w:t>
      </w:r>
      <w:r>
        <w:t>of</w:t>
      </w:r>
      <w:r>
        <w:rPr>
          <w:spacing w:val="-9"/>
        </w:rPr>
        <w:t xml:space="preserve"> </w:t>
      </w:r>
      <w:r>
        <w:t>an</w:t>
      </w:r>
      <w:r>
        <w:rPr>
          <w:spacing w:val="-10"/>
        </w:rPr>
        <w:t xml:space="preserve"> </w:t>
      </w:r>
      <w:r>
        <w:t>index</w:t>
      </w:r>
      <w:r>
        <w:rPr>
          <w:spacing w:val="-10"/>
        </w:rPr>
        <w:t xml:space="preserve"> </w:t>
      </w:r>
      <w:r>
        <w:t>and</w:t>
      </w:r>
      <w:r>
        <w:rPr>
          <w:spacing w:val="-13"/>
        </w:rPr>
        <w:t xml:space="preserve"> </w:t>
      </w:r>
      <w:r>
        <w:t>provides</w:t>
      </w:r>
      <w:r>
        <w:rPr>
          <w:spacing w:val="-9"/>
        </w:rPr>
        <w:t xml:space="preserve"> </w:t>
      </w:r>
      <w:r>
        <w:t>enhanced</w:t>
      </w:r>
      <w:r>
        <w:rPr>
          <w:spacing w:val="-10"/>
        </w:rPr>
        <w:t xml:space="preserve"> </w:t>
      </w:r>
      <w:r>
        <w:t>risk</w:t>
      </w:r>
      <w:r>
        <w:rPr>
          <w:spacing w:val="-14"/>
        </w:rPr>
        <w:t xml:space="preserve"> </w:t>
      </w:r>
      <w:r>
        <w:t>sensitivity</w:t>
      </w:r>
      <w:r>
        <w:rPr>
          <w:spacing w:val="-10"/>
        </w:rPr>
        <w:t xml:space="preserve"> </w:t>
      </w:r>
      <w:r>
        <w:t>to</w:t>
      </w:r>
      <w:r>
        <w:rPr>
          <w:spacing w:val="-12"/>
        </w:rPr>
        <w:t xml:space="preserve"> </w:t>
      </w:r>
      <w:r>
        <w:t>SA-CCR framework.</w:t>
      </w:r>
    </w:p>
    <w:p w14:paraId="4474ACF5" w14:textId="77777777" w:rsidR="001D4C35" w:rsidRDefault="001D4C35">
      <w:pPr>
        <w:pStyle w:val="BodyText"/>
        <w:rPr>
          <w:sz w:val="24"/>
        </w:rPr>
      </w:pPr>
    </w:p>
    <w:p w14:paraId="4474ACF6" w14:textId="77777777" w:rsidR="001D4C35" w:rsidRDefault="00D84817">
      <w:pPr>
        <w:pStyle w:val="BodyText"/>
        <w:spacing w:line="276" w:lineRule="auto"/>
        <w:ind w:left="171" w:right="146"/>
        <w:jc w:val="both"/>
      </w:pPr>
      <w:r>
        <w:t>The</w:t>
      </w:r>
      <w:r>
        <w:rPr>
          <w:spacing w:val="-12"/>
        </w:rPr>
        <w:t xml:space="preserve"> </w:t>
      </w:r>
      <w:r>
        <w:t>decomposition</w:t>
      </w:r>
      <w:r>
        <w:rPr>
          <w:spacing w:val="-11"/>
        </w:rPr>
        <w:t xml:space="preserve"> </w:t>
      </w:r>
      <w:r>
        <w:t>of</w:t>
      </w:r>
      <w:r>
        <w:rPr>
          <w:spacing w:val="-10"/>
        </w:rPr>
        <w:t xml:space="preserve"> </w:t>
      </w:r>
      <w:r>
        <w:t>indices</w:t>
      </w:r>
      <w:r>
        <w:rPr>
          <w:spacing w:val="-10"/>
        </w:rPr>
        <w:t xml:space="preserve"> </w:t>
      </w:r>
      <w:r>
        <w:t>for</w:t>
      </w:r>
      <w:r>
        <w:rPr>
          <w:spacing w:val="-15"/>
        </w:rPr>
        <w:t xml:space="preserve"> </w:t>
      </w:r>
      <w:r>
        <w:t>the</w:t>
      </w:r>
      <w:r>
        <w:rPr>
          <w:spacing w:val="-12"/>
        </w:rPr>
        <w:t xml:space="preserve"> </w:t>
      </w:r>
      <w:r>
        <w:t>purpose</w:t>
      </w:r>
      <w:r>
        <w:rPr>
          <w:spacing w:val="-11"/>
        </w:rPr>
        <w:t xml:space="preserve"> </w:t>
      </w:r>
      <w:r>
        <w:t>of</w:t>
      </w:r>
      <w:r>
        <w:rPr>
          <w:spacing w:val="-10"/>
        </w:rPr>
        <w:t xml:space="preserve"> </w:t>
      </w:r>
      <w:r>
        <w:t>calculating</w:t>
      </w:r>
      <w:r>
        <w:rPr>
          <w:spacing w:val="-13"/>
        </w:rPr>
        <w:t xml:space="preserve"> </w:t>
      </w:r>
      <w:r>
        <w:t>capital</w:t>
      </w:r>
      <w:r>
        <w:rPr>
          <w:spacing w:val="-12"/>
        </w:rPr>
        <w:t xml:space="preserve"> </w:t>
      </w:r>
      <w:r>
        <w:t>requirements</w:t>
      </w:r>
      <w:r>
        <w:rPr>
          <w:spacing w:val="-14"/>
        </w:rPr>
        <w:t xml:space="preserve"> </w:t>
      </w:r>
      <w:r>
        <w:t>is</w:t>
      </w:r>
      <w:r>
        <w:rPr>
          <w:spacing w:val="-10"/>
        </w:rPr>
        <w:t xml:space="preserve"> </w:t>
      </w:r>
      <w:r>
        <w:t>a</w:t>
      </w:r>
      <w:r>
        <w:rPr>
          <w:spacing w:val="-15"/>
        </w:rPr>
        <w:t xml:space="preserve"> </w:t>
      </w:r>
      <w:r>
        <w:t>well</w:t>
      </w:r>
      <w:r>
        <w:rPr>
          <w:spacing w:val="-12"/>
        </w:rPr>
        <w:t xml:space="preserve"> </w:t>
      </w:r>
      <w:r>
        <w:t>embedded</w:t>
      </w:r>
      <w:r>
        <w:rPr>
          <w:spacing w:val="-14"/>
        </w:rPr>
        <w:t xml:space="preserve"> </w:t>
      </w:r>
      <w:r>
        <w:t>practice for firms that is already required or permitted in other parts of the prudential framework. Therefore the Industry would support EU policymakers providing for an option to decompose equity, credit and commodity</w:t>
      </w:r>
      <w:r>
        <w:rPr>
          <w:spacing w:val="-11"/>
        </w:rPr>
        <w:t xml:space="preserve"> </w:t>
      </w:r>
      <w:r>
        <w:t>indices</w:t>
      </w:r>
      <w:r>
        <w:rPr>
          <w:spacing w:val="-14"/>
        </w:rPr>
        <w:t xml:space="preserve"> </w:t>
      </w:r>
      <w:r>
        <w:t>within</w:t>
      </w:r>
      <w:r>
        <w:rPr>
          <w:spacing w:val="-10"/>
        </w:rPr>
        <w:t xml:space="preserve"> </w:t>
      </w:r>
      <w:r>
        <w:t>SA-CCR,</w:t>
      </w:r>
      <w:r>
        <w:rPr>
          <w:spacing w:val="-13"/>
        </w:rPr>
        <w:t xml:space="preserve"> </w:t>
      </w:r>
      <w:r>
        <w:t>should</w:t>
      </w:r>
      <w:r>
        <w:rPr>
          <w:spacing w:val="-10"/>
        </w:rPr>
        <w:t xml:space="preserve"> </w:t>
      </w:r>
      <w:r>
        <w:t>firms</w:t>
      </w:r>
      <w:r>
        <w:rPr>
          <w:spacing w:val="-10"/>
        </w:rPr>
        <w:t xml:space="preserve"> </w:t>
      </w:r>
      <w:r>
        <w:t>be</w:t>
      </w:r>
      <w:r>
        <w:rPr>
          <w:spacing w:val="-10"/>
        </w:rPr>
        <w:t xml:space="preserve"> </w:t>
      </w:r>
      <w:r>
        <w:t>able</w:t>
      </w:r>
      <w:r>
        <w:rPr>
          <w:spacing w:val="-11"/>
        </w:rPr>
        <w:t xml:space="preserve"> </w:t>
      </w:r>
      <w:r>
        <w:t>to</w:t>
      </w:r>
      <w:r>
        <w:rPr>
          <w:spacing w:val="-13"/>
        </w:rPr>
        <w:t xml:space="preserve"> </w:t>
      </w:r>
      <w:r>
        <w:t>carry</w:t>
      </w:r>
      <w:r>
        <w:rPr>
          <w:spacing w:val="-10"/>
        </w:rPr>
        <w:t xml:space="preserve"> </w:t>
      </w:r>
      <w:r>
        <w:t>out</w:t>
      </w:r>
      <w:r>
        <w:rPr>
          <w:spacing w:val="-11"/>
        </w:rPr>
        <w:t xml:space="preserve"> </w:t>
      </w:r>
      <w:r>
        <w:t>such</w:t>
      </w:r>
      <w:r>
        <w:rPr>
          <w:spacing w:val="-13"/>
        </w:rPr>
        <w:t xml:space="preserve"> </w:t>
      </w:r>
      <w:r>
        <w:t>decompositions.</w:t>
      </w:r>
      <w:r>
        <w:rPr>
          <w:spacing w:val="-12"/>
        </w:rPr>
        <w:t xml:space="preserve"> </w:t>
      </w:r>
      <w:r>
        <w:t>This</w:t>
      </w:r>
      <w:r>
        <w:rPr>
          <w:spacing w:val="-10"/>
        </w:rPr>
        <w:t xml:space="preserve"> </w:t>
      </w:r>
      <w:r>
        <w:t>approach</w:t>
      </w:r>
      <w:r>
        <w:rPr>
          <w:spacing w:val="-13"/>
        </w:rPr>
        <w:t xml:space="preserve"> </w:t>
      </w:r>
      <w:r>
        <w:t>will more appropriately represent the risk and will better align with the FRTB. It will also match the approach chosen by US</w:t>
      </w:r>
      <w:r>
        <w:rPr>
          <w:spacing w:val="-3"/>
        </w:rPr>
        <w:t xml:space="preserve"> </w:t>
      </w:r>
      <w:r>
        <w:t>regulators.</w:t>
      </w:r>
    </w:p>
    <w:p w14:paraId="4474ACF7" w14:textId="77777777" w:rsidR="001D4C35" w:rsidRDefault="00D65A23">
      <w:pPr>
        <w:pStyle w:val="BodyText"/>
        <w:spacing w:before="8"/>
        <w:rPr>
          <w:sz w:val="20"/>
        </w:rPr>
      </w:pPr>
      <w:r>
        <w:pict w14:anchorId="4474B05C">
          <v:shape id="_x0000_s2123" type="#_x0000_t202" style="position:absolute;margin-left:42.8pt;margin-top:14.3pt;width:503.05pt;height:73.6pt;z-index:-251615232;mso-wrap-distance-left:0;mso-wrap-distance-right:0;mso-position-horizontal-relative:page" fillcolor="#dbe4f0" strokeweight=".14147mm">
            <v:textbox inset="0,0,0,0">
              <w:txbxContent>
                <w:p w14:paraId="4474B120" w14:textId="77777777" w:rsidR="001D4C35" w:rsidRDefault="00D84817">
                  <w:pPr>
                    <w:spacing w:line="257" w:lineRule="exact"/>
                    <w:ind w:left="3971" w:right="3971"/>
                    <w:jc w:val="center"/>
                    <w:rPr>
                      <w:b/>
                    </w:rPr>
                  </w:pPr>
                  <w:r>
                    <w:rPr>
                      <w:b/>
                    </w:rPr>
                    <w:t>Recommendation(s)</w:t>
                  </w:r>
                </w:p>
                <w:p w14:paraId="4474B121" w14:textId="77777777" w:rsidR="001D4C35" w:rsidRDefault="001D4C35">
                  <w:pPr>
                    <w:pStyle w:val="BodyText"/>
                    <w:spacing w:before="1"/>
                    <w:rPr>
                      <w:b/>
                      <w:sz w:val="27"/>
                    </w:rPr>
                  </w:pPr>
                </w:p>
                <w:p w14:paraId="4474B122" w14:textId="77777777" w:rsidR="001D4C35" w:rsidRDefault="00D84817">
                  <w:pPr>
                    <w:pStyle w:val="BodyText"/>
                    <w:spacing w:line="278" w:lineRule="auto"/>
                    <w:ind w:left="103" w:right="98"/>
                    <w:jc w:val="both"/>
                  </w:pPr>
                  <w:r>
                    <w:t>Allow</w:t>
                  </w:r>
                  <w:r>
                    <w:rPr>
                      <w:spacing w:val="-5"/>
                    </w:rPr>
                    <w:t xml:space="preserve"> </w:t>
                  </w:r>
                  <w:r>
                    <w:t>firms</w:t>
                  </w:r>
                  <w:r>
                    <w:rPr>
                      <w:spacing w:val="-5"/>
                    </w:rPr>
                    <w:t xml:space="preserve"> </w:t>
                  </w:r>
                  <w:r>
                    <w:t>to</w:t>
                  </w:r>
                  <w:r>
                    <w:rPr>
                      <w:spacing w:val="-8"/>
                    </w:rPr>
                    <w:t xml:space="preserve"> </w:t>
                  </w:r>
                  <w:r>
                    <w:t>use</w:t>
                  </w:r>
                  <w:r>
                    <w:rPr>
                      <w:spacing w:val="-6"/>
                    </w:rPr>
                    <w:t xml:space="preserve"> </w:t>
                  </w:r>
                  <w:r>
                    <w:t>a</w:t>
                  </w:r>
                  <w:r>
                    <w:rPr>
                      <w:spacing w:val="-6"/>
                    </w:rPr>
                    <w:t xml:space="preserve"> </w:t>
                  </w:r>
                  <w:r>
                    <w:t>look-through</w:t>
                  </w:r>
                  <w:r>
                    <w:rPr>
                      <w:spacing w:val="-4"/>
                    </w:rPr>
                    <w:t xml:space="preserve"> </w:t>
                  </w:r>
                  <w:r>
                    <w:t>approach</w:t>
                  </w:r>
                  <w:r>
                    <w:rPr>
                      <w:spacing w:val="-7"/>
                    </w:rPr>
                    <w:t xml:space="preserve"> </w:t>
                  </w:r>
                  <w:r>
                    <w:t>to</w:t>
                  </w:r>
                  <w:r>
                    <w:rPr>
                      <w:spacing w:val="-8"/>
                    </w:rPr>
                    <w:t xml:space="preserve"> </w:t>
                  </w:r>
                  <w:r>
                    <w:t>decompose</w:t>
                  </w:r>
                  <w:r>
                    <w:rPr>
                      <w:spacing w:val="-6"/>
                    </w:rPr>
                    <w:t xml:space="preserve"> </w:t>
                  </w:r>
                  <w:r>
                    <w:t>multi-underlying</w:t>
                  </w:r>
                  <w:r>
                    <w:rPr>
                      <w:spacing w:val="-8"/>
                    </w:rPr>
                    <w:t xml:space="preserve"> </w:t>
                  </w:r>
                  <w:r>
                    <w:t>credit,</w:t>
                  </w:r>
                  <w:r>
                    <w:rPr>
                      <w:spacing w:val="-8"/>
                    </w:rPr>
                    <w:t xml:space="preserve"> </w:t>
                  </w:r>
                  <w:r>
                    <w:t>equity</w:t>
                  </w:r>
                  <w:r>
                    <w:rPr>
                      <w:spacing w:val="-5"/>
                    </w:rPr>
                    <w:t xml:space="preserve"> </w:t>
                  </w:r>
                  <w:r>
                    <w:t>and</w:t>
                  </w:r>
                  <w:r>
                    <w:rPr>
                      <w:spacing w:val="-5"/>
                    </w:rPr>
                    <w:t xml:space="preserve"> </w:t>
                  </w:r>
                  <w:r>
                    <w:t>commodity derivatives into their single-name derivative constituents to improve recognition of hedging / offsetting benefits and hence better reflect the risk associated with</w:t>
                  </w:r>
                  <w:r>
                    <w:rPr>
                      <w:spacing w:val="-5"/>
                    </w:rPr>
                    <w:t xml:space="preserve"> </w:t>
                  </w:r>
                  <w:r>
                    <w:t>transactions.</w:t>
                  </w:r>
                </w:p>
              </w:txbxContent>
            </v:textbox>
            <w10:wrap type="topAndBottom" anchorx="page"/>
          </v:shape>
        </w:pict>
      </w:r>
    </w:p>
    <w:p w14:paraId="4474ACF8" w14:textId="77777777" w:rsidR="001D4C35" w:rsidRDefault="001D4C35">
      <w:pPr>
        <w:pStyle w:val="BodyText"/>
        <w:spacing w:before="1"/>
        <w:rPr>
          <w:sz w:val="13"/>
        </w:rPr>
      </w:pPr>
    </w:p>
    <w:p w14:paraId="4474ACF9" w14:textId="77777777" w:rsidR="001D4C35" w:rsidRDefault="00D84817">
      <w:pPr>
        <w:spacing w:before="100"/>
        <w:ind w:left="219"/>
        <w:jc w:val="both"/>
        <w:rPr>
          <w:i/>
        </w:rPr>
      </w:pPr>
      <w:bookmarkStart w:id="26" w:name="Align_with_Basel_standards_on_the_treatm"/>
      <w:bookmarkEnd w:id="26"/>
      <w:r>
        <w:rPr>
          <w:i/>
          <w:color w:val="365F91"/>
        </w:rPr>
        <w:t>Align with Basel standards on the treatment of liquidation period for un-margined netting sets</w:t>
      </w:r>
    </w:p>
    <w:p w14:paraId="4474ACFA" w14:textId="77777777" w:rsidR="001D4C35" w:rsidRDefault="001D4C35">
      <w:pPr>
        <w:pStyle w:val="BodyText"/>
        <w:spacing w:before="2"/>
        <w:rPr>
          <w:i/>
          <w:sz w:val="27"/>
        </w:rPr>
      </w:pPr>
    </w:p>
    <w:p w14:paraId="4474ACFB" w14:textId="77777777" w:rsidR="001D4C35" w:rsidRDefault="00D84817">
      <w:pPr>
        <w:pStyle w:val="BodyText"/>
        <w:spacing w:line="276" w:lineRule="auto"/>
        <w:ind w:left="171" w:right="147"/>
        <w:jc w:val="both"/>
      </w:pPr>
      <w:r>
        <w:t>Article 276(3)(a) requires firms to apply a 1-year liquidation period to all unmargined netting sets for the calculation of collateral haircuts, irrespective of the maturity of the transactions in the netting set. This diverges with Basel FAQ CRE52.10</w:t>
      </w:r>
      <w:hyperlink w:anchor="_bookmark37" w:history="1">
        <w:r>
          <w:rPr>
            <w:position w:val="5"/>
            <w:sz w:val="14"/>
          </w:rPr>
          <w:t>14</w:t>
        </w:r>
      </w:hyperlink>
      <w:r>
        <w:t>, which takes into consideration maturity by requiring the liquidation period to be the maturity of the longest transaction in the netting set, capped at 250 days. The proposed treatment unduly penalizes netting sets with short maturities and unreasonably undermines the risk mitigation effect received from eligible collateral. It also adversely impacts the regulatory capital benefit arising from market developments in Settle-To-Market (STM), under which the variation margin is treated as cash settlement rather than collateralization and leads to a shorter, i.e., 1 day, trade maturity.</w:t>
      </w:r>
    </w:p>
    <w:p w14:paraId="4474ACFC" w14:textId="77777777" w:rsidR="001D4C35" w:rsidRDefault="001D4C35">
      <w:pPr>
        <w:pStyle w:val="BodyText"/>
        <w:rPr>
          <w:sz w:val="20"/>
        </w:rPr>
      </w:pPr>
    </w:p>
    <w:p w14:paraId="4474ACFD" w14:textId="77777777" w:rsidR="001D4C35" w:rsidRDefault="001D4C35">
      <w:pPr>
        <w:pStyle w:val="BodyText"/>
        <w:rPr>
          <w:sz w:val="20"/>
        </w:rPr>
      </w:pPr>
    </w:p>
    <w:p w14:paraId="4474ACFE" w14:textId="77777777" w:rsidR="001D4C35" w:rsidRDefault="001D4C35">
      <w:pPr>
        <w:pStyle w:val="BodyText"/>
        <w:rPr>
          <w:sz w:val="20"/>
        </w:rPr>
      </w:pPr>
    </w:p>
    <w:p w14:paraId="4474ACFF" w14:textId="77777777" w:rsidR="001D4C35" w:rsidRDefault="001D4C35">
      <w:pPr>
        <w:pStyle w:val="BodyText"/>
        <w:rPr>
          <w:sz w:val="20"/>
        </w:rPr>
      </w:pPr>
    </w:p>
    <w:p w14:paraId="4474AD00" w14:textId="77777777" w:rsidR="001D4C35" w:rsidRDefault="001D4C35">
      <w:pPr>
        <w:pStyle w:val="BodyText"/>
        <w:rPr>
          <w:sz w:val="20"/>
        </w:rPr>
      </w:pPr>
    </w:p>
    <w:p w14:paraId="4474AD01" w14:textId="77777777" w:rsidR="001D4C35" w:rsidRDefault="00D65A23">
      <w:pPr>
        <w:pStyle w:val="BodyText"/>
        <w:spacing w:before="11"/>
        <w:rPr>
          <w:sz w:val="24"/>
        </w:rPr>
      </w:pPr>
      <w:r>
        <w:pict w14:anchorId="4474B05D">
          <v:shape id="_x0000_s2122" style="position:absolute;margin-left:44.2pt;margin-top:16.9pt;width:2in;height:.1pt;z-index:-251614208;mso-wrap-distance-left:0;mso-wrap-distance-right:0;mso-position-horizontal-relative:page" coordorigin="884,338" coordsize="2880,0" path="m884,338r2880,e" filled="f" strokeweight=".21131mm">
            <v:path arrowok="t"/>
            <w10:wrap type="topAndBottom" anchorx="page"/>
          </v:shape>
        </w:pict>
      </w:r>
    </w:p>
    <w:p w14:paraId="4474AD02" w14:textId="77777777" w:rsidR="001D4C35" w:rsidRDefault="00D84817">
      <w:pPr>
        <w:spacing w:before="71"/>
        <w:ind w:left="171" w:right="431"/>
        <w:rPr>
          <w:sz w:val="16"/>
        </w:rPr>
      </w:pPr>
      <w:bookmarkStart w:id="27" w:name="_bookmark36"/>
      <w:bookmarkEnd w:id="27"/>
      <w:r>
        <w:rPr>
          <w:position w:val="4"/>
          <w:sz w:val="10"/>
        </w:rPr>
        <w:t xml:space="preserve">13 </w:t>
      </w:r>
      <w:r>
        <w:rPr>
          <w:sz w:val="16"/>
        </w:rPr>
        <w:t xml:space="preserve">MAR21.31 (Treatment of index instruments and multi-underlying options) </w:t>
      </w:r>
      <w:hyperlink r:id="rId21">
        <w:r>
          <w:rPr>
            <w:color w:val="0000FF"/>
            <w:spacing w:val="-1"/>
            <w:sz w:val="16"/>
            <w:u w:val="single" w:color="0000FF"/>
          </w:rPr>
          <w:t>https://www.bis.org/basel_framework/chapter/MAR/21.htm?inforce=20230101&amp;published=20200327#paragraph_MAR_21_20230101_21_31</w:t>
        </w:r>
      </w:hyperlink>
      <w:bookmarkStart w:id="28" w:name="_bookmark37"/>
      <w:bookmarkEnd w:id="28"/>
      <w:r>
        <w:rPr>
          <w:color w:val="0000FF"/>
          <w:spacing w:val="-1"/>
          <w:sz w:val="16"/>
        </w:rPr>
        <w:t xml:space="preserve"> </w:t>
      </w:r>
      <w:r>
        <w:rPr>
          <w:position w:val="4"/>
          <w:sz w:val="10"/>
        </w:rPr>
        <w:t>14</w:t>
      </w:r>
      <w:r>
        <w:rPr>
          <w:spacing w:val="13"/>
          <w:position w:val="4"/>
          <w:sz w:val="10"/>
        </w:rPr>
        <w:t xml:space="preserve"> </w:t>
      </w:r>
      <w:hyperlink r:id="rId22">
        <w:r>
          <w:rPr>
            <w:color w:val="0000FF"/>
            <w:sz w:val="16"/>
            <w:u w:val="single" w:color="0000FF"/>
          </w:rPr>
          <w:t>https://www.bis.org/basel_framework/chapter/CRE/52.htm</w:t>
        </w:r>
      </w:hyperlink>
    </w:p>
    <w:p w14:paraId="4474AD03" w14:textId="77777777" w:rsidR="001D4C35" w:rsidRDefault="001D4C35">
      <w:pPr>
        <w:rPr>
          <w:sz w:val="16"/>
        </w:rPr>
        <w:sectPr w:rsidR="001D4C35">
          <w:pgSz w:w="11910" w:h="16840"/>
          <w:pgMar w:top="520" w:right="840" w:bottom="900" w:left="680" w:header="0" w:footer="704" w:gutter="0"/>
          <w:cols w:space="720"/>
        </w:sectPr>
      </w:pPr>
    </w:p>
    <w:p w14:paraId="4474AD04" w14:textId="77777777" w:rsidR="001D4C35" w:rsidRDefault="00D84817">
      <w:pPr>
        <w:tabs>
          <w:tab w:val="left" w:pos="7925"/>
        </w:tabs>
        <w:ind w:left="186"/>
        <w:rPr>
          <w:sz w:val="20"/>
        </w:rPr>
      </w:pPr>
      <w:r>
        <w:rPr>
          <w:noProof/>
          <w:position w:val="11"/>
          <w:sz w:val="20"/>
        </w:rPr>
        <w:lastRenderedPageBreak/>
        <w:drawing>
          <wp:inline distT="0" distB="0" distL="0" distR="0" wp14:anchorId="4474B05E" wp14:editId="4474B05F">
            <wp:extent cx="1679117" cy="442722"/>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60" wp14:editId="4474B061">
            <wp:extent cx="1427865" cy="572643"/>
            <wp:effectExtent l="0" t="0" r="0" b="0"/>
            <wp:docPr id="4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D05" w14:textId="77777777" w:rsidR="001D4C35" w:rsidRDefault="001D4C35">
      <w:pPr>
        <w:pStyle w:val="BodyText"/>
        <w:spacing w:before="3"/>
        <w:rPr>
          <w:sz w:val="9"/>
        </w:rPr>
      </w:pPr>
    </w:p>
    <w:p w14:paraId="4474AD06" w14:textId="77777777" w:rsidR="001D4C35" w:rsidRDefault="00D84817">
      <w:pPr>
        <w:pStyle w:val="BodyText"/>
        <w:spacing w:before="100" w:line="276" w:lineRule="auto"/>
        <w:ind w:left="172" w:right="147"/>
        <w:jc w:val="both"/>
      </w:pPr>
      <w:r>
        <w:t xml:space="preserve">Under the current EU standard, the value </w:t>
      </w:r>
      <w:r>
        <w:rPr>
          <w:spacing w:val="-3"/>
        </w:rPr>
        <w:t xml:space="preserve">of </w:t>
      </w:r>
      <w:r>
        <w:t>cash and securities collateral received for these transactions is reduced</w:t>
      </w:r>
      <w:r>
        <w:rPr>
          <w:spacing w:val="-13"/>
        </w:rPr>
        <w:t xml:space="preserve"> </w:t>
      </w:r>
      <w:r>
        <w:t>by</w:t>
      </w:r>
      <w:r>
        <w:rPr>
          <w:spacing w:val="-14"/>
        </w:rPr>
        <w:t xml:space="preserve"> </w:t>
      </w:r>
      <w:r>
        <w:t>a</w:t>
      </w:r>
      <w:r>
        <w:rPr>
          <w:spacing w:val="-13"/>
        </w:rPr>
        <w:t xml:space="preserve"> </w:t>
      </w:r>
      <w:r>
        <w:t>factor</w:t>
      </w:r>
      <w:r>
        <w:rPr>
          <w:spacing w:val="-14"/>
        </w:rPr>
        <w:t xml:space="preserve"> </w:t>
      </w:r>
      <w:r>
        <w:t>of</w:t>
      </w:r>
      <w:r>
        <w:rPr>
          <w:spacing w:val="-14"/>
        </w:rPr>
        <w:t xml:space="preserve"> </w:t>
      </w:r>
      <w:r>
        <w:t>5</w:t>
      </w:r>
      <w:r>
        <w:rPr>
          <w:spacing w:val="-16"/>
        </w:rPr>
        <w:t xml:space="preserve"> </w:t>
      </w:r>
      <w:r>
        <w:t>times</w:t>
      </w:r>
      <w:r>
        <w:rPr>
          <w:spacing w:val="-17"/>
        </w:rPr>
        <w:t xml:space="preserve"> </w:t>
      </w:r>
      <w:r>
        <w:t>more</w:t>
      </w:r>
      <w:r>
        <w:rPr>
          <w:spacing w:val="-13"/>
        </w:rPr>
        <w:t xml:space="preserve"> </w:t>
      </w:r>
      <w:r>
        <w:t>(√250/10)</w:t>
      </w:r>
      <w:r>
        <w:rPr>
          <w:spacing w:val="-15"/>
        </w:rPr>
        <w:t xml:space="preserve"> </w:t>
      </w:r>
      <w:r>
        <w:t>than</w:t>
      </w:r>
      <w:r>
        <w:rPr>
          <w:spacing w:val="-14"/>
        </w:rPr>
        <w:t xml:space="preserve"> </w:t>
      </w:r>
      <w:r>
        <w:t>required</w:t>
      </w:r>
      <w:r>
        <w:rPr>
          <w:spacing w:val="-12"/>
        </w:rPr>
        <w:t xml:space="preserve"> </w:t>
      </w:r>
      <w:r>
        <w:t>under</w:t>
      </w:r>
      <w:r>
        <w:rPr>
          <w:spacing w:val="-14"/>
        </w:rPr>
        <w:t xml:space="preserve"> </w:t>
      </w:r>
      <w:r>
        <w:t>global</w:t>
      </w:r>
      <w:r>
        <w:rPr>
          <w:spacing w:val="-14"/>
        </w:rPr>
        <w:t xml:space="preserve"> </w:t>
      </w:r>
      <w:r>
        <w:t>standards.</w:t>
      </w:r>
      <w:r>
        <w:rPr>
          <w:spacing w:val="-16"/>
        </w:rPr>
        <w:t xml:space="preserve"> </w:t>
      </w:r>
      <w:r>
        <w:t>Therefore,</w:t>
      </w:r>
      <w:r>
        <w:rPr>
          <w:spacing w:val="-16"/>
        </w:rPr>
        <w:t xml:space="preserve"> </w:t>
      </w:r>
      <w:r>
        <w:t>the</w:t>
      </w:r>
      <w:r>
        <w:rPr>
          <w:spacing w:val="-13"/>
        </w:rPr>
        <w:t xml:space="preserve"> </w:t>
      </w:r>
      <w:r>
        <w:t>Industry recommends that the EU implementation should align with Basel</w:t>
      </w:r>
      <w:r>
        <w:rPr>
          <w:spacing w:val="-11"/>
        </w:rPr>
        <w:t xml:space="preserve"> </w:t>
      </w:r>
      <w:r>
        <w:t>standards.</w:t>
      </w:r>
    </w:p>
    <w:p w14:paraId="4474AD07" w14:textId="77777777" w:rsidR="001D4C35" w:rsidRDefault="001D4C35">
      <w:pPr>
        <w:pStyle w:val="BodyText"/>
        <w:spacing w:before="8"/>
        <w:rPr>
          <w:sz w:val="23"/>
        </w:rPr>
      </w:pPr>
    </w:p>
    <w:p w14:paraId="4474AD08" w14:textId="77777777" w:rsidR="001D4C35" w:rsidRDefault="00D84817">
      <w:pPr>
        <w:pStyle w:val="BodyText"/>
        <w:ind w:left="172"/>
        <w:jc w:val="both"/>
      </w:pPr>
      <w:r>
        <w:t>It is suggested to allow firms to apply a lower liquidation period that</w:t>
      </w:r>
      <w:r>
        <w:rPr>
          <w:spacing w:val="-32"/>
        </w:rPr>
        <w:t xml:space="preserve"> </w:t>
      </w:r>
      <w:r>
        <w:t>equals:</w:t>
      </w:r>
    </w:p>
    <w:p w14:paraId="4474AD09" w14:textId="77777777" w:rsidR="001D4C35" w:rsidRDefault="001D4C35">
      <w:pPr>
        <w:pStyle w:val="BodyText"/>
        <w:spacing w:before="2"/>
        <w:rPr>
          <w:sz w:val="27"/>
        </w:rPr>
      </w:pPr>
    </w:p>
    <w:p w14:paraId="4474AD0A" w14:textId="77777777" w:rsidR="001D4C35" w:rsidRDefault="00D84817">
      <w:pPr>
        <w:pStyle w:val="ListParagraph"/>
        <w:numPr>
          <w:ilvl w:val="1"/>
          <w:numId w:val="17"/>
        </w:numPr>
        <w:tabs>
          <w:tab w:val="left" w:pos="891"/>
          <w:tab w:val="left" w:pos="892"/>
        </w:tabs>
        <w:spacing w:line="259" w:lineRule="auto"/>
        <w:ind w:right="150"/>
        <w:jc w:val="left"/>
      </w:pPr>
      <w:r>
        <w:t>Maturity (“M” as defined in Article 279c for Maturity Factor) floored at 10 business day, when the longest maturity of the trades in the netting set is less than 1</w:t>
      </w:r>
      <w:r>
        <w:rPr>
          <w:spacing w:val="-13"/>
        </w:rPr>
        <w:t xml:space="preserve"> </w:t>
      </w:r>
      <w:r>
        <w:t>year;</w:t>
      </w:r>
    </w:p>
    <w:p w14:paraId="4474AD0B" w14:textId="77777777" w:rsidR="001D4C35" w:rsidRDefault="00D84817">
      <w:pPr>
        <w:pStyle w:val="ListParagraph"/>
        <w:numPr>
          <w:ilvl w:val="1"/>
          <w:numId w:val="17"/>
        </w:numPr>
        <w:tabs>
          <w:tab w:val="left" w:pos="891"/>
          <w:tab w:val="left" w:pos="892"/>
        </w:tabs>
        <w:spacing w:before="17"/>
        <w:ind w:hanging="361"/>
        <w:jc w:val="left"/>
      </w:pPr>
      <w:r>
        <w:t>1 year, when the longest maturity of the trades in the netting set is more than 1</w:t>
      </w:r>
      <w:r>
        <w:rPr>
          <w:spacing w:val="-22"/>
        </w:rPr>
        <w:t xml:space="preserve"> </w:t>
      </w:r>
      <w:r>
        <w:t>year.</w:t>
      </w:r>
    </w:p>
    <w:p w14:paraId="4474AD0C" w14:textId="77777777" w:rsidR="001D4C35" w:rsidRDefault="001D4C35">
      <w:pPr>
        <w:pStyle w:val="BodyText"/>
        <w:rPr>
          <w:sz w:val="26"/>
        </w:rPr>
      </w:pPr>
    </w:p>
    <w:p w14:paraId="4474AD0D" w14:textId="77777777" w:rsidR="001D4C35" w:rsidRDefault="00D84817">
      <w:pPr>
        <w:pStyle w:val="BodyText"/>
        <w:ind w:left="171"/>
        <w:jc w:val="both"/>
      </w:pPr>
      <w:r>
        <w:t>This proposal is aligned with the determination of the Maturity Factor for unmargined netting sets.</w:t>
      </w:r>
    </w:p>
    <w:p w14:paraId="4474AD0E" w14:textId="77777777" w:rsidR="001D4C35" w:rsidRDefault="00D65A23">
      <w:pPr>
        <w:pStyle w:val="BodyText"/>
        <w:spacing w:before="11"/>
        <w:rPr>
          <w:sz w:val="23"/>
        </w:rPr>
      </w:pPr>
      <w:r>
        <w:pict w14:anchorId="4474B062">
          <v:shape id="_x0000_s2121" type="#_x0000_t202" style="position:absolute;margin-left:42.8pt;margin-top:16.2pt;width:503.05pt;height:118.2pt;z-index:-251613184;mso-wrap-distance-left:0;mso-wrap-distance-right:0;mso-position-horizontal-relative:page" fillcolor="#dbe4f0" strokeweight=".14147mm">
            <v:textbox inset="0,0,0,0">
              <w:txbxContent>
                <w:p w14:paraId="4474B123" w14:textId="77777777" w:rsidR="001D4C35" w:rsidRDefault="00D84817">
                  <w:pPr>
                    <w:spacing w:line="257" w:lineRule="exact"/>
                    <w:ind w:left="3971" w:right="3971"/>
                    <w:jc w:val="center"/>
                    <w:rPr>
                      <w:b/>
                    </w:rPr>
                  </w:pPr>
                  <w:r>
                    <w:rPr>
                      <w:b/>
                    </w:rPr>
                    <w:t>Recommendation(s)</w:t>
                  </w:r>
                </w:p>
                <w:p w14:paraId="4474B124" w14:textId="77777777" w:rsidR="001D4C35" w:rsidRDefault="001D4C35">
                  <w:pPr>
                    <w:pStyle w:val="BodyText"/>
                    <w:spacing w:before="1"/>
                    <w:rPr>
                      <w:b/>
                      <w:sz w:val="27"/>
                    </w:rPr>
                  </w:pPr>
                </w:p>
                <w:p w14:paraId="4474B125" w14:textId="77777777" w:rsidR="001D4C35" w:rsidRDefault="00D84817">
                  <w:pPr>
                    <w:spacing w:line="276" w:lineRule="auto"/>
                    <w:ind w:left="103" w:right="102"/>
                    <w:jc w:val="both"/>
                  </w:pPr>
                  <w:r>
                    <w:t>Consider amending Article 276(3)(a) to read: ‘</w:t>
                  </w:r>
                  <w:r>
                    <w:rPr>
                      <w:i/>
                    </w:rPr>
                    <w:t>the remaining maturity of the longest transaction in the netting set, capped at 250 business days and floored at 10 business days, for the netting sets referred to in Article 275(1)</w:t>
                  </w:r>
                  <w:r>
                    <w:t>’ and adding the following: ‘W</w:t>
                  </w:r>
                  <w:r>
                    <w:rPr>
                      <w:i/>
                    </w:rPr>
                    <w:t>here a transaction is structured to settle outstanding exposure following specified payment dates and where the terms are reset so that the market value of the transaction is</w:t>
                  </w:r>
                  <w:r>
                    <w:rPr>
                      <w:i/>
                      <w:spacing w:val="-4"/>
                    </w:rPr>
                    <w:t xml:space="preserve"> </w:t>
                  </w:r>
                  <w:r>
                    <w:rPr>
                      <w:i/>
                    </w:rPr>
                    <w:t>zero</w:t>
                  </w:r>
                  <w:r>
                    <w:rPr>
                      <w:i/>
                      <w:spacing w:val="-2"/>
                    </w:rPr>
                    <w:t xml:space="preserve"> </w:t>
                  </w:r>
                  <w:r>
                    <w:rPr>
                      <w:i/>
                    </w:rPr>
                    <w:t>on</w:t>
                  </w:r>
                  <w:r>
                    <w:rPr>
                      <w:i/>
                      <w:spacing w:val="-5"/>
                    </w:rPr>
                    <w:t xml:space="preserve"> </w:t>
                  </w:r>
                  <w:r>
                    <w:rPr>
                      <w:i/>
                    </w:rPr>
                    <w:t>those</w:t>
                  </w:r>
                  <w:r>
                    <w:rPr>
                      <w:i/>
                      <w:spacing w:val="-4"/>
                    </w:rPr>
                    <w:t xml:space="preserve"> </w:t>
                  </w:r>
                  <w:r>
                    <w:rPr>
                      <w:i/>
                    </w:rPr>
                    <w:t>specified</w:t>
                  </w:r>
                  <w:r>
                    <w:rPr>
                      <w:i/>
                      <w:spacing w:val="-2"/>
                    </w:rPr>
                    <w:t xml:space="preserve"> </w:t>
                  </w:r>
                  <w:r>
                    <w:rPr>
                      <w:i/>
                    </w:rPr>
                    <w:t>dates,</w:t>
                  </w:r>
                  <w:r>
                    <w:rPr>
                      <w:i/>
                      <w:spacing w:val="-3"/>
                    </w:rPr>
                    <w:t xml:space="preserve"> </w:t>
                  </w:r>
                  <w:r>
                    <w:rPr>
                      <w:i/>
                    </w:rPr>
                    <w:t>the</w:t>
                  </w:r>
                  <w:r>
                    <w:rPr>
                      <w:i/>
                      <w:spacing w:val="-5"/>
                    </w:rPr>
                    <w:t xml:space="preserve"> </w:t>
                  </w:r>
                  <w:r>
                    <w:rPr>
                      <w:i/>
                    </w:rPr>
                    <w:t>remaining</w:t>
                  </w:r>
                  <w:r>
                    <w:rPr>
                      <w:i/>
                      <w:spacing w:val="-2"/>
                    </w:rPr>
                    <w:t xml:space="preserve"> </w:t>
                  </w:r>
                  <w:r>
                    <w:rPr>
                      <w:i/>
                    </w:rPr>
                    <w:t>maturity</w:t>
                  </w:r>
                  <w:r>
                    <w:rPr>
                      <w:i/>
                      <w:spacing w:val="-4"/>
                    </w:rPr>
                    <w:t xml:space="preserve"> </w:t>
                  </w:r>
                  <w:r>
                    <w:rPr>
                      <w:i/>
                    </w:rPr>
                    <w:t>of</w:t>
                  </w:r>
                  <w:r>
                    <w:rPr>
                      <w:i/>
                      <w:spacing w:val="-4"/>
                    </w:rPr>
                    <w:t xml:space="preserve"> </w:t>
                  </w:r>
                  <w:r>
                    <w:rPr>
                      <w:i/>
                    </w:rPr>
                    <w:t>the</w:t>
                  </w:r>
                  <w:r>
                    <w:rPr>
                      <w:i/>
                      <w:spacing w:val="-4"/>
                    </w:rPr>
                    <w:t xml:space="preserve"> </w:t>
                  </w:r>
                  <w:r>
                    <w:rPr>
                      <w:i/>
                    </w:rPr>
                    <w:t>transaction</w:t>
                  </w:r>
                  <w:r>
                    <w:rPr>
                      <w:i/>
                      <w:spacing w:val="-5"/>
                    </w:rPr>
                    <w:t xml:space="preserve"> </w:t>
                  </w:r>
                  <w:r>
                    <w:rPr>
                      <w:i/>
                    </w:rPr>
                    <w:t>shall</w:t>
                  </w:r>
                  <w:r>
                    <w:rPr>
                      <w:i/>
                      <w:spacing w:val="-2"/>
                    </w:rPr>
                    <w:t xml:space="preserve"> </w:t>
                  </w:r>
                  <w:r>
                    <w:rPr>
                      <w:i/>
                    </w:rPr>
                    <w:t>be</w:t>
                  </w:r>
                  <w:r>
                    <w:rPr>
                      <w:i/>
                      <w:spacing w:val="-5"/>
                    </w:rPr>
                    <w:t xml:space="preserve"> </w:t>
                  </w:r>
                  <w:r>
                    <w:rPr>
                      <w:i/>
                    </w:rPr>
                    <w:t>equal</w:t>
                  </w:r>
                  <w:r>
                    <w:rPr>
                      <w:i/>
                      <w:spacing w:val="-2"/>
                    </w:rPr>
                    <w:t xml:space="preserve"> </w:t>
                  </w:r>
                  <w:r>
                    <w:rPr>
                      <w:i/>
                    </w:rPr>
                    <w:t>to</w:t>
                  </w:r>
                  <w:r>
                    <w:rPr>
                      <w:i/>
                      <w:spacing w:val="-2"/>
                    </w:rPr>
                    <w:t xml:space="preserve"> </w:t>
                  </w:r>
                  <w:r>
                    <w:rPr>
                      <w:i/>
                    </w:rPr>
                    <w:t>the</w:t>
                  </w:r>
                  <w:r>
                    <w:rPr>
                      <w:i/>
                      <w:spacing w:val="-5"/>
                    </w:rPr>
                    <w:t xml:space="preserve"> </w:t>
                  </w:r>
                  <w:r>
                    <w:rPr>
                      <w:i/>
                    </w:rPr>
                    <w:t>time</w:t>
                  </w:r>
                  <w:r>
                    <w:rPr>
                      <w:i/>
                      <w:spacing w:val="-4"/>
                    </w:rPr>
                    <w:t xml:space="preserve"> </w:t>
                  </w:r>
                  <w:r>
                    <w:rPr>
                      <w:i/>
                    </w:rPr>
                    <w:t>until</w:t>
                  </w:r>
                  <w:r>
                    <w:rPr>
                      <w:i/>
                      <w:spacing w:val="-2"/>
                    </w:rPr>
                    <w:t xml:space="preserve"> </w:t>
                  </w:r>
                  <w:r>
                    <w:rPr>
                      <w:i/>
                    </w:rPr>
                    <w:t>the next reset</w:t>
                  </w:r>
                  <w:r>
                    <w:rPr>
                      <w:i/>
                      <w:spacing w:val="-3"/>
                    </w:rPr>
                    <w:t xml:space="preserve"> </w:t>
                  </w:r>
                  <w:r>
                    <w:rPr>
                      <w:i/>
                    </w:rPr>
                    <w:t>date</w:t>
                  </w:r>
                  <w:r>
                    <w:t>’.</w:t>
                  </w:r>
                </w:p>
              </w:txbxContent>
            </v:textbox>
            <w10:wrap type="topAndBottom" anchorx="page"/>
          </v:shape>
        </w:pict>
      </w:r>
    </w:p>
    <w:p w14:paraId="4474AD0F" w14:textId="77777777" w:rsidR="001D4C35" w:rsidRDefault="001D4C35">
      <w:pPr>
        <w:pStyle w:val="BodyText"/>
        <w:spacing w:before="1"/>
        <w:rPr>
          <w:sz w:val="13"/>
        </w:rPr>
      </w:pPr>
    </w:p>
    <w:p w14:paraId="4474AD10" w14:textId="77777777" w:rsidR="001D4C35" w:rsidRDefault="00D84817">
      <w:pPr>
        <w:spacing w:before="100"/>
        <w:ind w:left="172"/>
        <w:jc w:val="both"/>
        <w:rPr>
          <w:i/>
        </w:rPr>
      </w:pPr>
      <w:bookmarkStart w:id="29" w:name="Supervisory_Delta:_Provide_methodology_t"/>
      <w:bookmarkEnd w:id="29"/>
      <w:r>
        <w:rPr>
          <w:i/>
          <w:color w:val="365F91"/>
        </w:rPr>
        <w:t xml:space="preserve">Supervisory Delta: Provide methodology to deal with negative </w:t>
      </w:r>
      <w:proofErr w:type="spellStart"/>
      <w:r>
        <w:rPr>
          <w:i/>
          <w:color w:val="365F91"/>
        </w:rPr>
        <w:t>underlyings</w:t>
      </w:r>
      <w:proofErr w:type="spellEnd"/>
      <w:r>
        <w:rPr>
          <w:i/>
          <w:color w:val="365F91"/>
        </w:rPr>
        <w:t xml:space="preserve"> across all asset classes</w:t>
      </w:r>
    </w:p>
    <w:p w14:paraId="4474AD11" w14:textId="77777777" w:rsidR="001D4C35" w:rsidRDefault="001D4C35">
      <w:pPr>
        <w:pStyle w:val="BodyText"/>
        <w:spacing w:before="2"/>
        <w:rPr>
          <w:i/>
          <w:sz w:val="27"/>
        </w:rPr>
      </w:pPr>
    </w:p>
    <w:p w14:paraId="4474AD12" w14:textId="77777777" w:rsidR="001D4C35" w:rsidRDefault="00D84817">
      <w:pPr>
        <w:pStyle w:val="BodyText"/>
        <w:spacing w:line="276" w:lineRule="auto"/>
        <w:ind w:left="171" w:right="143"/>
        <w:jc w:val="both"/>
      </w:pPr>
      <w:r>
        <w:t>The shift parameter in the Supervisory Delta formula was introduced to accommodate negative interest rates. However, this fix is limited to interest rate options. The underlying assumption is that in other risk classes (e.g. equities and commodities), prices should always be positive. That is, however, not always the case. For example, on April 20th, 2020, the WTI futures contract turned negative. While this was a very unusual circumstance, it is common to trade commodity spread options (e.g. Brent vs WTI or WTI Houston vs WTI Midland) where the underlying spread can be negative. Another common example include options on</w:t>
      </w:r>
      <w:r>
        <w:rPr>
          <w:spacing w:val="-11"/>
        </w:rPr>
        <w:t xml:space="preserve"> </w:t>
      </w:r>
      <w:r>
        <w:t>the</w:t>
      </w:r>
      <w:r>
        <w:rPr>
          <w:spacing w:val="-10"/>
        </w:rPr>
        <w:t xml:space="preserve"> </w:t>
      </w:r>
      <w:r>
        <w:t>difference</w:t>
      </w:r>
      <w:r>
        <w:rPr>
          <w:spacing w:val="-10"/>
        </w:rPr>
        <w:t xml:space="preserve"> </w:t>
      </w:r>
      <w:r>
        <w:t>in</w:t>
      </w:r>
      <w:r>
        <w:rPr>
          <w:spacing w:val="-10"/>
        </w:rPr>
        <w:t xml:space="preserve"> </w:t>
      </w:r>
      <w:r>
        <w:t>performance</w:t>
      </w:r>
      <w:r>
        <w:rPr>
          <w:spacing w:val="-10"/>
        </w:rPr>
        <w:t xml:space="preserve"> </w:t>
      </w:r>
      <w:r>
        <w:t>across</w:t>
      </w:r>
      <w:r>
        <w:rPr>
          <w:spacing w:val="-9"/>
        </w:rPr>
        <w:t xml:space="preserve"> </w:t>
      </w:r>
      <w:r>
        <w:t>two</w:t>
      </w:r>
      <w:r>
        <w:rPr>
          <w:spacing w:val="-12"/>
        </w:rPr>
        <w:t xml:space="preserve"> </w:t>
      </w:r>
      <w:r>
        <w:t>equity</w:t>
      </w:r>
      <w:r>
        <w:rPr>
          <w:spacing w:val="-10"/>
        </w:rPr>
        <w:t xml:space="preserve"> </w:t>
      </w:r>
      <w:r>
        <w:t>indices</w:t>
      </w:r>
      <w:r>
        <w:rPr>
          <w:spacing w:val="-9"/>
        </w:rPr>
        <w:t xml:space="preserve"> </w:t>
      </w:r>
      <w:r>
        <w:t>which,</w:t>
      </w:r>
      <w:r>
        <w:rPr>
          <w:spacing w:val="-8"/>
        </w:rPr>
        <w:t xml:space="preserve"> </w:t>
      </w:r>
      <w:r>
        <w:t>by</w:t>
      </w:r>
      <w:r>
        <w:rPr>
          <w:spacing w:val="-10"/>
        </w:rPr>
        <w:t xml:space="preserve"> </w:t>
      </w:r>
      <w:r>
        <w:t>design,</w:t>
      </w:r>
      <w:r>
        <w:rPr>
          <w:spacing w:val="-12"/>
        </w:rPr>
        <w:t xml:space="preserve"> </w:t>
      </w:r>
      <w:r>
        <w:t>can</w:t>
      </w:r>
      <w:r>
        <w:rPr>
          <w:spacing w:val="-10"/>
        </w:rPr>
        <w:t xml:space="preserve"> </w:t>
      </w:r>
      <w:r>
        <w:t>be</w:t>
      </w:r>
      <w:r>
        <w:rPr>
          <w:spacing w:val="-10"/>
        </w:rPr>
        <w:t xml:space="preserve"> </w:t>
      </w:r>
      <w:r>
        <w:t>negative.</w:t>
      </w:r>
      <w:r>
        <w:rPr>
          <w:spacing w:val="-12"/>
        </w:rPr>
        <w:t xml:space="preserve"> </w:t>
      </w:r>
      <w:r>
        <w:t>At</w:t>
      </w:r>
      <w:r>
        <w:rPr>
          <w:spacing w:val="-9"/>
        </w:rPr>
        <w:t xml:space="preserve"> </w:t>
      </w:r>
      <w:r>
        <w:t>the</w:t>
      </w:r>
      <w:r>
        <w:rPr>
          <w:spacing w:val="-11"/>
        </w:rPr>
        <w:t xml:space="preserve"> </w:t>
      </w:r>
      <w:r>
        <w:t>moment, firms have to use a default mechanism to handle such situations. The Industry suggests the following alternatives to address this</w:t>
      </w:r>
      <w:r>
        <w:rPr>
          <w:spacing w:val="-6"/>
        </w:rPr>
        <w:t xml:space="preserve"> </w:t>
      </w:r>
      <w:r>
        <w:t>issue:</w:t>
      </w:r>
    </w:p>
    <w:p w14:paraId="4474AD13" w14:textId="77777777" w:rsidR="001D4C35" w:rsidRDefault="001D4C35">
      <w:pPr>
        <w:pStyle w:val="BodyText"/>
        <w:spacing w:before="8"/>
        <w:rPr>
          <w:sz w:val="23"/>
        </w:rPr>
      </w:pPr>
    </w:p>
    <w:p w14:paraId="4474AD14" w14:textId="77777777" w:rsidR="001D4C35" w:rsidRDefault="00D84817">
      <w:pPr>
        <w:pStyle w:val="ListParagraph"/>
        <w:numPr>
          <w:ilvl w:val="0"/>
          <w:numId w:val="17"/>
        </w:numPr>
        <w:tabs>
          <w:tab w:val="left" w:pos="533"/>
        </w:tabs>
        <w:spacing w:line="276" w:lineRule="auto"/>
        <w:ind w:right="146"/>
      </w:pPr>
      <w:r>
        <w:t>The preferred method is for the Industry to expand the shift parameter application to all asset classes. In this case, the shift parameter could be kept at 0.1% or a higher value given that the underlying are price-based as opposed to</w:t>
      </w:r>
      <w:r>
        <w:rPr>
          <w:spacing w:val="-1"/>
        </w:rPr>
        <w:t xml:space="preserve"> </w:t>
      </w:r>
      <w:r>
        <w:t>yield-based.</w:t>
      </w:r>
    </w:p>
    <w:p w14:paraId="4474AD15" w14:textId="77777777" w:rsidR="001D4C35" w:rsidRDefault="00D84817">
      <w:pPr>
        <w:pStyle w:val="ListParagraph"/>
        <w:numPr>
          <w:ilvl w:val="0"/>
          <w:numId w:val="17"/>
        </w:numPr>
        <w:tabs>
          <w:tab w:val="left" w:pos="533"/>
        </w:tabs>
        <w:spacing w:line="276" w:lineRule="auto"/>
        <w:ind w:right="145"/>
      </w:pPr>
      <w:r>
        <w:t>A more simplistic and less preferred method would be to set the Supervisory Delta for all call options to 0, long put options to -1, and short put options to 1. The underlying assumption is that the strikes are positive and therefore anything close to 0 or less is out of the money for a call option or deeply in the money for a put option.</w:t>
      </w:r>
    </w:p>
    <w:p w14:paraId="4474AD16" w14:textId="77777777" w:rsidR="001D4C35" w:rsidRDefault="00D65A23">
      <w:pPr>
        <w:pStyle w:val="BodyText"/>
        <w:spacing w:before="4"/>
        <w:rPr>
          <w:sz w:val="20"/>
        </w:rPr>
      </w:pPr>
      <w:r>
        <w:pict w14:anchorId="4474B063">
          <v:shape id="_x0000_s2120" type="#_x0000_t202" style="position:absolute;margin-left:42.8pt;margin-top:14.1pt;width:503.05pt;height:59pt;z-index:-251612160;mso-wrap-distance-left:0;mso-wrap-distance-right:0;mso-position-horizontal-relative:page" fillcolor="#dbe4f0" strokeweight=".14147mm">
            <v:textbox inset="0,0,0,0">
              <w:txbxContent>
                <w:p w14:paraId="4474B126" w14:textId="77777777" w:rsidR="001D4C35" w:rsidRDefault="00D84817">
                  <w:pPr>
                    <w:spacing w:before="3"/>
                    <w:ind w:left="3971" w:right="3971"/>
                    <w:jc w:val="center"/>
                    <w:rPr>
                      <w:b/>
                    </w:rPr>
                  </w:pPr>
                  <w:r>
                    <w:rPr>
                      <w:b/>
                    </w:rPr>
                    <w:t>Recommendation(s)</w:t>
                  </w:r>
                </w:p>
                <w:p w14:paraId="4474B127" w14:textId="77777777" w:rsidR="001D4C35" w:rsidRDefault="001D4C35">
                  <w:pPr>
                    <w:pStyle w:val="BodyText"/>
                    <w:spacing w:before="1"/>
                    <w:rPr>
                      <w:b/>
                      <w:sz w:val="27"/>
                    </w:rPr>
                  </w:pPr>
                </w:p>
                <w:p w14:paraId="4474B128" w14:textId="77777777" w:rsidR="001D4C35" w:rsidRDefault="00D84817">
                  <w:pPr>
                    <w:pStyle w:val="BodyText"/>
                    <w:ind w:left="103"/>
                  </w:pPr>
                  <w:r>
                    <w:t>Use of the lambda (λ) parameter to accommodate negative prices should be allowed for all asset classes</w:t>
                  </w:r>
                </w:p>
                <w:p w14:paraId="4474B129" w14:textId="77777777" w:rsidR="001D4C35" w:rsidRDefault="00D84817">
                  <w:pPr>
                    <w:pStyle w:val="BodyText"/>
                    <w:spacing w:before="38"/>
                    <w:ind w:left="103"/>
                  </w:pPr>
                  <w:r>
                    <w:t>not just interest rates.</w:t>
                  </w:r>
                </w:p>
              </w:txbxContent>
            </v:textbox>
            <w10:wrap type="topAndBottom" anchorx="page"/>
          </v:shape>
        </w:pict>
      </w:r>
    </w:p>
    <w:p w14:paraId="4474AD17" w14:textId="77777777" w:rsidR="001D4C35" w:rsidRDefault="001D4C35">
      <w:pPr>
        <w:rPr>
          <w:sz w:val="20"/>
        </w:rPr>
        <w:sectPr w:rsidR="001D4C35">
          <w:pgSz w:w="11910" w:h="16840"/>
          <w:pgMar w:top="520" w:right="840" w:bottom="960" w:left="680" w:header="0" w:footer="704" w:gutter="0"/>
          <w:cols w:space="720"/>
        </w:sectPr>
      </w:pPr>
    </w:p>
    <w:p w14:paraId="4474AD18" w14:textId="77777777" w:rsidR="001D4C35" w:rsidRDefault="00D84817">
      <w:pPr>
        <w:tabs>
          <w:tab w:val="left" w:pos="7925"/>
        </w:tabs>
        <w:ind w:left="186"/>
        <w:rPr>
          <w:sz w:val="20"/>
        </w:rPr>
      </w:pPr>
      <w:r>
        <w:rPr>
          <w:noProof/>
          <w:position w:val="11"/>
          <w:sz w:val="20"/>
        </w:rPr>
        <w:lastRenderedPageBreak/>
        <w:drawing>
          <wp:inline distT="0" distB="0" distL="0" distR="0" wp14:anchorId="4474B064" wp14:editId="4474B065">
            <wp:extent cx="1679117" cy="442722"/>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66" wp14:editId="4474B067">
            <wp:extent cx="1427865" cy="572643"/>
            <wp:effectExtent l="0" t="0" r="0" b="0"/>
            <wp:docPr id="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D19" w14:textId="77777777" w:rsidR="001D4C35" w:rsidRDefault="001D4C35">
      <w:pPr>
        <w:pStyle w:val="BodyText"/>
        <w:spacing w:before="3"/>
        <w:rPr>
          <w:sz w:val="9"/>
        </w:rPr>
      </w:pPr>
    </w:p>
    <w:p w14:paraId="4474AD1A" w14:textId="77777777" w:rsidR="001D4C35" w:rsidRDefault="00D84817">
      <w:pPr>
        <w:spacing w:before="100"/>
        <w:ind w:left="172"/>
        <w:jc w:val="both"/>
        <w:rPr>
          <w:i/>
        </w:rPr>
      </w:pPr>
      <w:bookmarkStart w:id="30" w:name="Adjusted_Notional_Amount"/>
      <w:bookmarkEnd w:id="30"/>
      <w:r>
        <w:rPr>
          <w:i/>
          <w:color w:val="365F91"/>
        </w:rPr>
        <w:t>Adjusted Notional Amount</w:t>
      </w:r>
    </w:p>
    <w:p w14:paraId="4474AD1B" w14:textId="77777777" w:rsidR="001D4C35" w:rsidRDefault="001D4C35">
      <w:pPr>
        <w:pStyle w:val="BodyText"/>
        <w:spacing w:before="1"/>
        <w:rPr>
          <w:i/>
          <w:sz w:val="27"/>
        </w:rPr>
      </w:pPr>
    </w:p>
    <w:p w14:paraId="4474AD1C" w14:textId="77777777" w:rsidR="001D4C35" w:rsidRDefault="00D84817">
      <w:pPr>
        <w:pStyle w:val="BodyText"/>
        <w:spacing w:before="1" w:line="276" w:lineRule="auto"/>
        <w:ind w:left="171" w:right="150"/>
        <w:jc w:val="both"/>
      </w:pPr>
      <w:r>
        <w:t>As a general principle, it is important to align the notional definition of a derivative contract with the firm’s actual closeout risk. While standard notional definitions may produce reasonably accurate exposure estimates for the majority of derivatives, this would not always be the case. For some derivatives, it is impossible to accurately calculate exposure using standard notional definitions.</w:t>
      </w:r>
    </w:p>
    <w:p w14:paraId="4474AD1D" w14:textId="77777777" w:rsidR="001D4C35" w:rsidRDefault="00D65A23">
      <w:pPr>
        <w:pStyle w:val="BodyText"/>
        <w:spacing w:before="5"/>
        <w:rPr>
          <w:sz w:val="20"/>
        </w:rPr>
      </w:pPr>
      <w:r>
        <w:pict w14:anchorId="4474B068">
          <v:shape id="_x0000_s2119" type="#_x0000_t202" style="position:absolute;margin-left:42.8pt;margin-top:14.1pt;width:503.05pt;height:73.8pt;z-index:-251611136;mso-wrap-distance-left:0;mso-wrap-distance-right:0;mso-position-horizontal-relative:page" fillcolor="#dbe4f0" strokeweight=".14147mm">
            <v:textbox inset="0,0,0,0">
              <w:txbxContent>
                <w:p w14:paraId="4474B12A" w14:textId="77777777" w:rsidR="001D4C35" w:rsidRDefault="00D84817">
                  <w:pPr>
                    <w:spacing w:before="3"/>
                    <w:ind w:left="3971" w:right="3971"/>
                    <w:jc w:val="center"/>
                    <w:rPr>
                      <w:b/>
                    </w:rPr>
                  </w:pPr>
                  <w:r>
                    <w:rPr>
                      <w:b/>
                    </w:rPr>
                    <w:t>Recommendation(s)</w:t>
                  </w:r>
                </w:p>
                <w:p w14:paraId="4474B12B" w14:textId="77777777" w:rsidR="001D4C35" w:rsidRDefault="001D4C35">
                  <w:pPr>
                    <w:pStyle w:val="BodyText"/>
                    <w:spacing w:before="1"/>
                    <w:rPr>
                      <w:b/>
                      <w:sz w:val="27"/>
                    </w:rPr>
                  </w:pPr>
                </w:p>
                <w:p w14:paraId="4474B12C" w14:textId="77777777" w:rsidR="001D4C35" w:rsidRDefault="00D84817">
                  <w:pPr>
                    <w:pStyle w:val="BodyText"/>
                    <w:spacing w:line="276" w:lineRule="auto"/>
                    <w:ind w:left="103" w:right="103"/>
                    <w:jc w:val="both"/>
                  </w:pPr>
                  <w:r>
                    <w:t>Firms should be allowed to use internal definitions in cases where the rules are not prescriptive subject to internal governance practices and consultation with, and oversight from, their onsite supervisory teams.</w:t>
                  </w:r>
                </w:p>
              </w:txbxContent>
            </v:textbox>
            <w10:wrap type="topAndBottom" anchorx="page"/>
          </v:shape>
        </w:pict>
      </w:r>
    </w:p>
    <w:p w14:paraId="4474AD1E" w14:textId="77777777" w:rsidR="001D4C35" w:rsidRDefault="001D4C35">
      <w:pPr>
        <w:pStyle w:val="BodyText"/>
        <w:spacing w:before="1"/>
        <w:rPr>
          <w:sz w:val="13"/>
        </w:rPr>
      </w:pPr>
    </w:p>
    <w:p w14:paraId="4474AD1F" w14:textId="77777777" w:rsidR="001D4C35" w:rsidRDefault="00D84817">
      <w:pPr>
        <w:spacing w:before="100"/>
        <w:ind w:left="172"/>
        <w:jc w:val="both"/>
        <w:rPr>
          <w:i/>
        </w:rPr>
      </w:pPr>
      <w:bookmarkStart w:id="31" w:name="Leverage_Ratio_–_NICA_calculation"/>
      <w:bookmarkEnd w:id="31"/>
      <w:r>
        <w:rPr>
          <w:i/>
          <w:color w:val="365F91"/>
        </w:rPr>
        <w:t>Leverage Ratio – NICA calculation</w:t>
      </w:r>
    </w:p>
    <w:p w14:paraId="4474AD20" w14:textId="77777777" w:rsidR="001D4C35" w:rsidRDefault="001D4C35">
      <w:pPr>
        <w:pStyle w:val="BodyText"/>
        <w:spacing w:before="2"/>
        <w:rPr>
          <w:i/>
          <w:sz w:val="27"/>
        </w:rPr>
      </w:pPr>
    </w:p>
    <w:p w14:paraId="4474AD21" w14:textId="77777777" w:rsidR="001D4C35" w:rsidRDefault="00D84817">
      <w:pPr>
        <w:pStyle w:val="BodyText"/>
        <w:spacing w:line="276" w:lineRule="auto"/>
        <w:ind w:left="172" w:right="149"/>
        <w:jc w:val="both"/>
      </w:pPr>
      <w:r>
        <w:t>Non-segregated</w:t>
      </w:r>
      <w:r>
        <w:rPr>
          <w:spacing w:val="28"/>
        </w:rPr>
        <w:t xml:space="preserve"> </w:t>
      </w:r>
      <w:r>
        <w:t>collateral</w:t>
      </w:r>
      <w:r>
        <w:rPr>
          <w:spacing w:val="-11"/>
        </w:rPr>
        <w:t xml:space="preserve"> </w:t>
      </w:r>
      <w:r>
        <w:t>posted</w:t>
      </w:r>
      <w:r>
        <w:rPr>
          <w:spacing w:val="-9"/>
        </w:rPr>
        <w:t xml:space="preserve"> </w:t>
      </w:r>
      <w:r>
        <w:t>and</w:t>
      </w:r>
      <w:r>
        <w:rPr>
          <w:spacing w:val="-10"/>
        </w:rPr>
        <w:t xml:space="preserve"> </w:t>
      </w:r>
      <w:r>
        <w:t>included</w:t>
      </w:r>
      <w:r>
        <w:rPr>
          <w:spacing w:val="-9"/>
        </w:rPr>
        <w:t xml:space="preserve"> </w:t>
      </w:r>
      <w:r>
        <w:t>in</w:t>
      </w:r>
      <w:r>
        <w:rPr>
          <w:spacing w:val="-10"/>
        </w:rPr>
        <w:t xml:space="preserve"> </w:t>
      </w:r>
      <w:r>
        <w:t>the</w:t>
      </w:r>
      <w:r>
        <w:rPr>
          <w:spacing w:val="-11"/>
        </w:rPr>
        <w:t xml:space="preserve"> </w:t>
      </w:r>
      <w:r>
        <w:t>definition</w:t>
      </w:r>
      <w:r>
        <w:rPr>
          <w:spacing w:val="-10"/>
        </w:rPr>
        <w:t xml:space="preserve"> </w:t>
      </w:r>
      <w:r>
        <w:t>of</w:t>
      </w:r>
      <w:r>
        <w:rPr>
          <w:spacing w:val="-10"/>
        </w:rPr>
        <w:t xml:space="preserve"> </w:t>
      </w:r>
      <w:r>
        <w:t>the</w:t>
      </w:r>
      <w:r>
        <w:rPr>
          <w:spacing w:val="-10"/>
        </w:rPr>
        <w:t xml:space="preserve"> </w:t>
      </w:r>
      <w:r>
        <w:t>NICA</w:t>
      </w:r>
      <w:r>
        <w:rPr>
          <w:spacing w:val="-13"/>
        </w:rPr>
        <w:t xml:space="preserve"> </w:t>
      </w:r>
      <w:r>
        <w:t>are</w:t>
      </w:r>
      <w:r>
        <w:rPr>
          <w:spacing w:val="-10"/>
        </w:rPr>
        <w:t xml:space="preserve"> </w:t>
      </w:r>
      <w:r>
        <w:t>already</w:t>
      </w:r>
      <w:r>
        <w:rPr>
          <w:spacing w:val="-14"/>
        </w:rPr>
        <w:t xml:space="preserve"> </w:t>
      </w:r>
      <w:r>
        <w:t>included</w:t>
      </w:r>
      <w:r>
        <w:rPr>
          <w:spacing w:val="-9"/>
        </w:rPr>
        <w:t xml:space="preserve"> </w:t>
      </w:r>
      <w:r>
        <w:t>in</w:t>
      </w:r>
      <w:r>
        <w:rPr>
          <w:spacing w:val="-11"/>
        </w:rPr>
        <w:t xml:space="preserve"> </w:t>
      </w:r>
      <w:r>
        <w:t>the</w:t>
      </w:r>
      <w:r>
        <w:rPr>
          <w:spacing w:val="-10"/>
        </w:rPr>
        <w:t xml:space="preserve"> </w:t>
      </w:r>
      <w:r>
        <w:t>other assets exposure for the leverage calculation. Institutions should not be penalized by counting this collateral a second time in the calculation of the exposure value of</w:t>
      </w:r>
      <w:r>
        <w:rPr>
          <w:spacing w:val="-7"/>
        </w:rPr>
        <w:t xml:space="preserve"> </w:t>
      </w:r>
      <w:r>
        <w:t>derivatives.</w:t>
      </w:r>
    </w:p>
    <w:p w14:paraId="4474AD22" w14:textId="77777777" w:rsidR="001D4C35" w:rsidRDefault="00D65A23">
      <w:pPr>
        <w:pStyle w:val="BodyText"/>
        <w:spacing w:before="5"/>
        <w:rPr>
          <w:sz w:val="20"/>
        </w:rPr>
      </w:pPr>
      <w:r>
        <w:pict w14:anchorId="4474B069">
          <v:shape id="_x0000_s2118" type="#_x0000_t202" style="position:absolute;margin-left:42.8pt;margin-top:14.15pt;width:503.05pt;height:116.6pt;z-index:-251610112;mso-wrap-distance-left:0;mso-wrap-distance-right:0;mso-position-horizontal-relative:page" fillcolor="#dbe4f0" strokeweight=".14147mm">
            <v:textbox inset="0,0,0,0">
              <w:txbxContent>
                <w:p w14:paraId="4474B12D" w14:textId="77777777" w:rsidR="001D4C35" w:rsidRDefault="00D84817">
                  <w:pPr>
                    <w:spacing w:before="3"/>
                    <w:ind w:left="3971" w:right="3971"/>
                    <w:jc w:val="center"/>
                    <w:rPr>
                      <w:b/>
                    </w:rPr>
                  </w:pPr>
                  <w:r>
                    <w:rPr>
                      <w:b/>
                    </w:rPr>
                    <w:t>Recommendation(s)</w:t>
                  </w:r>
                </w:p>
                <w:p w14:paraId="4474B12E" w14:textId="77777777" w:rsidR="001D4C35" w:rsidRDefault="001D4C35">
                  <w:pPr>
                    <w:pStyle w:val="BodyText"/>
                    <w:spacing w:before="1"/>
                    <w:rPr>
                      <w:b/>
                      <w:sz w:val="27"/>
                    </w:rPr>
                  </w:pPr>
                </w:p>
                <w:p w14:paraId="4474B12F" w14:textId="77777777" w:rsidR="001D4C35" w:rsidRDefault="00D84817">
                  <w:pPr>
                    <w:pStyle w:val="BodyText"/>
                    <w:ind w:left="103"/>
                  </w:pPr>
                  <w:r>
                    <w:t>Consider amending Article 429c(4) to read:</w:t>
                  </w:r>
                </w:p>
                <w:p w14:paraId="4474B130" w14:textId="77777777" w:rsidR="001D4C35" w:rsidRDefault="001D4C35">
                  <w:pPr>
                    <w:pStyle w:val="BodyText"/>
                    <w:spacing w:before="2"/>
                    <w:rPr>
                      <w:sz w:val="27"/>
                    </w:rPr>
                  </w:pPr>
                </w:p>
                <w:p w14:paraId="4474B131" w14:textId="77777777" w:rsidR="001D4C35" w:rsidRDefault="00D84817">
                  <w:pPr>
                    <w:pStyle w:val="BodyText"/>
                    <w:spacing w:line="276" w:lineRule="auto"/>
                    <w:ind w:left="103"/>
                  </w:pPr>
                  <w:r>
                    <w:t>‘4. For the purposes of paragraph 1 of this Article, institutions shall not include collateral received or posted in the calculation of NICA as defined in Article 272, point (12a).’</w:t>
                  </w:r>
                </w:p>
                <w:p w14:paraId="4474B132" w14:textId="77777777" w:rsidR="001D4C35" w:rsidRDefault="001D4C35">
                  <w:pPr>
                    <w:pStyle w:val="BodyText"/>
                    <w:spacing w:before="1"/>
                    <w:rPr>
                      <w:sz w:val="24"/>
                    </w:rPr>
                  </w:pPr>
                </w:p>
                <w:p w14:paraId="4474B133" w14:textId="77777777" w:rsidR="001D4C35" w:rsidRDefault="00D84817">
                  <w:pPr>
                    <w:pStyle w:val="BodyText"/>
                    <w:ind w:left="103"/>
                  </w:pPr>
                  <w:r>
                    <w:t>This amendment is consistent with the Basel framework LEV30.16</w:t>
                  </w:r>
                </w:p>
              </w:txbxContent>
            </v:textbox>
            <w10:wrap type="topAndBottom" anchorx="page"/>
          </v:shape>
        </w:pict>
      </w:r>
    </w:p>
    <w:p w14:paraId="4474AD23" w14:textId="77777777" w:rsidR="001D4C35" w:rsidRDefault="001D4C35">
      <w:pPr>
        <w:pStyle w:val="BodyText"/>
        <w:spacing w:before="1"/>
        <w:rPr>
          <w:sz w:val="13"/>
        </w:rPr>
      </w:pPr>
    </w:p>
    <w:p w14:paraId="4474AD24" w14:textId="77777777" w:rsidR="001D4C35" w:rsidRDefault="00D84817">
      <w:pPr>
        <w:spacing w:before="100"/>
        <w:ind w:left="172"/>
        <w:jc w:val="both"/>
        <w:rPr>
          <w:i/>
        </w:rPr>
      </w:pPr>
      <w:bookmarkStart w:id="32" w:name="Margin_in_Transit"/>
      <w:bookmarkEnd w:id="32"/>
      <w:r>
        <w:rPr>
          <w:i/>
          <w:color w:val="365F91"/>
        </w:rPr>
        <w:t>Margin in Transit</w:t>
      </w:r>
    </w:p>
    <w:p w14:paraId="4474AD25" w14:textId="77777777" w:rsidR="001D4C35" w:rsidRDefault="001D4C35">
      <w:pPr>
        <w:pStyle w:val="BodyText"/>
        <w:spacing w:before="2"/>
        <w:rPr>
          <w:i/>
          <w:sz w:val="27"/>
        </w:rPr>
      </w:pPr>
    </w:p>
    <w:p w14:paraId="4474AD26" w14:textId="77777777" w:rsidR="001D4C35" w:rsidRDefault="00D84817">
      <w:pPr>
        <w:pStyle w:val="BodyText"/>
        <w:spacing w:line="276" w:lineRule="auto"/>
        <w:ind w:left="172" w:right="146"/>
        <w:jc w:val="both"/>
      </w:pPr>
      <w:r>
        <w:t>Under the current capital rules, firms are only allowed to reduce their credit risk exposures for derivatives by</w:t>
      </w:r>
      <w:r>
        <w:rPr>
          <w:spacing w:val="-11"/>
        </w:rPr>
        <w:t xml:space="preserve"> </w:t>
      </w:r>
      <w:r>
        <w:t>the</w:t>
      </w:r>
      <w:r>
        <w:rPr>
          <w:spacing w:val="-11"/>
        </w:rPr>
        <w:t xml:space="preserve"> </w:t>
      </w:r>
      <w:r>
        <w:t>amount</w:t>
      </w:r>
      <w:r>
        <w:rPr>
          <w:spacing w:val="-9"/>
        </w:rPr>
        <w:t xml:space="preserve"> </w:t>
      </w:r>
      <w:r>
        <w:t>of</w:t>
      </w:r>
      <w:r>
        <w:rPr>
          <w:spacing w:val="-15"/>
        </w:rPr>
        <w:t xml:space="preserve"> </w:t>
      </w:r>
      <w:r>
        <w:t>any</w:t>
      </w:r>
      <w:r>
        <w:rPr>
          <w:spacing w:val="-10"/>
        </w:rPr>
        <w:t xml:space="preserve"> </w:t>
      </w:r>
      <w:r>
        <w:t>eligible</w:t>
      </w:r>
      <w:r>
        <w:rPr>
          <w:spacing w:val="-11"/>
        </w:rPr>
        <w:t xml:space="preserve"> </w:t>
      </w:r>
      <w:r>
        <w:t>variation</w:t>
      </w:r>
      <w:r>
        <w:rPr>
          <w:spacing w:val="-11"/>
        </w:rPr>
        <w:t xml:space="preserve"> </w:t>
      </w:r>
      <w:r>
        <w:t>margin</w:t>
      </w:r>
      <w:r>
        <w:rPr>
          <w:spacing w:val="-10"/>
        </w:rPr>
        <w:t xml:space="preserve"> </w:t>
      </w:r>
      <w:r>
        <w:t>(VM)</w:t>
      </w:r>
      <w:r>
        <w:rPr>
          <w:spacing w:val="-12"/>
        </w:rPr>
        <w:t xml:space="preserve"> </w:t>
      </w:r>
      <w:r>
        <w:t>received</w:t>
      </w:r>
      <w:r>
        <w:rPr>
          <w:spacing w:val="-9"/>
        </w:rPr>
        <w:t xml:space="preserve"> </w:t>
      </w:r>
      <w:r>
        <w:t>by</w:t>
      </w:r>
      <w:r>
        <w:rPr>
          <w:spacing w:val="-15"/>
        </w:rPr>
        <w:t xml:space="preserve"> </w:t>
      </w:r>
      <w:r>
        <w:t>the</w:t>
      </w:r>
      <w:r>
        <w:rPr>
          <w:spacing w:val="-10"/>
        </w:rPr>
        <w:t xml:space="preserve"> </w:t>
      </w:r>
      <w:r>
        <w:t>firm.</w:t>
      </w:r>
      <w:r>
        <w:rPr>
          <w:spacing w:val="-17"/>
        </w:rPr>
        <w:t xml:space="preserve"> </w:t>
      </w:r>
      <w:r>
        <w:t>This</w:t>
      </w:r>
      <w:r>
        <w:rPr>
          <w:spacing w:val="-9"/>
        </w:rPr>
        <w:t xml:space="preserve"> </w:t>
      </w:r>
      <w:r>
        <w:t>frequently</w:t>
      </w:r>
      <w:r>
        <w:rPr>
          <w:spacing w:val="-11"/>
        </w:rPr>
        <w:t xml:space="preserve"> </w:t>
      </w:r>
      <w:r>
        <w:t>results</w:t>
      </w:r>
      <w:r>
        <w:rPr>
          <w:spacing w:val="-9"/>
        </w:rPr>
        <w:t xml:space="preserve"> </w:t>
      </w:r>
      <w:r>
        <w:t>in</w:t>
      </w:r>
      <w:r>
        <w:rPr>
          <w:spacing w:val="-11"/>
        </w:rPr>
        <w:t xml:space="preserve"> </w:t>
      </w:r>
      <w:r>
        <w:t>increased exposures</w:t>
      </w:r>
      <w:r>
        <w:rPr>
          <w:spacing w:val="-7"/>
        </w:rPr>
        <w:t xml:space="preserve"> </w:t>
      </w:r>
      <w:r>
        <w:t>to</w:t>
      </w:r>
      <w:r>
        <w:rPr>
          <w:spacing w:val="-9"/>
        </w:rPr>
        <w:t xml:space="preserve"> </w:t>
      </w:r>
      <w:r>
        <w:t>counterparties</w:t>
      </w:r>
      <w:r>
        <w:rPr>
          <w:spacing w:val="-6"/>
        </w:rPr>
        <w:t xml:space="preserve"> </w:t>
      </w:r>
      <w:r>
        <w:t>because</w:t>
      </w:r>
      <w:r>
        <w:rPr>
          <w:spacing w:val="-7"/>
        </w:rPr>
        <w:t xml:space="preserve"> </w:t>
      </w:r>
      <w:r>
        <w:t>of</w:t>
      </w:r>
      <w:r>
        <w:rPr>
          <w:spacing w:val="-7"/>
        </w:rPr>
        <w:t xml:space="preserve"> </w:t>
      </w:r>
      <w:r>
        <w:t>timing</w:t>
      </w:r>
      <w:r>
        <w:rPr>
          <w:spacing w:val="-9"/>
        </w:rPr>
        <w:t xml:space="preserve"> </w:t>
      </w:r>
      <w:r>
        <w:t>differences</w:t>
      </w:r>
      <w:r>
        <w:rPr>
          <w:spacing w:val="-6"/>
        </w:rPr>
        <w:t xml:space="preserve"> </w:t>
      </w:r>
      <w:r>
        <w:t>between</w:t>
      </w:r>
      <w:r>
        <w:rPr>
          <w:spacing w:val="-7"/>
        </w:rPr>
        <w:t xml:space="preserve"> </w:t>
      </w:r>
      <w:r>
        <w:t>a</w:t>
      </w:r>
      <w:r>
        <w:rPr>
          <w:spacing w:val="-7"/>
        </w:rPr>
        <w:t xml:space="preserve"> </w:t>
      </w:r>
      <w:r>
        <w:t>margin</w:t>
      </w:r>
      <w:r>
        <w:rPr>
          <w:spacing w:val="-7"/>
        </w:rPr>
        <w:t xml:space="preserve"> </w:t>
      </w:r>
      <w:r>
        <w:t>call</w:t>
      </w:r>
      <w:r>
        <w:rPr>
          <w:spacing w:val="-8"/>
        </w:rPr>
        <w:t xml:space="preserve"> </w:t>
      </w:r>
      <w:r>
        <w:t>and</w:t>
      </w:r>
      <w:r>
        <w:rPr>
          <w:spacing w:val="-10"/>
        </w:rPr>
        <w:t xml:space="preserve"> </w:t>
      </w:r>
      <w:r>
        <w:t>the</w:t>
      </w:r>
      <w:r>
        <w:rPr>
          <w:spacing w:val="-7"/>
        </w:rPr>
        <w:t xml:space="preserve"> </w:t>
      </w:r>
      <w:r>
        <w:t>receipt</w:t>
      </w:r>
      <w:r>
        <w:rPr>
          <w:spacing w:val="-6"/>
        </w:rPr>
        <w:t xml:space="preserve"> </w:t>
      </w:r>
      <w:r>
        <w:t>of</w:t>
      </w:r>
      <w:r>
        <w:rPr>
          <w:spacing w:val="-8"/>
        </w:rPr>
        <w:t xml:space="preserve"> </w:t>
      </w:r>
      <w:r>
        <w:t xml:space="preserve">variation margin, which is generally on a T+1 basis. Under the capital rules, VM received on T+1 cannot be used to offset derivatives exposures calculated </w:t>
      </w:r>
      <w:r>
        <w:rPr>
          <w:spacing w:val="-3"/>
        </w:rPr>
        <w:t xml:space="preserve">on </w:t>
      </w:r>
      <w:r>
        <w:t>day T+0 even though firms fully expect the collateral to be received on T+1. This timing issue can result in significant increases in capital charges for firms in periods of stress and high volatility when trade values can move sharply. Most recently, this has been observed last year as a result of increased market volatility in response to the COVID-19</w:t>
      </w:r>
      <w:r>
        <w:rPr>
          <w:spacing w:val="-14"/>
        </w:rPr>
        <w:t xml:space="preserve"> </w:t>
      </w:r>
      <w:r>
        <w:t>pandemic.</w:t>
      </w:r>
    </w:p>
    <w:p w14:paraId="4474AD27" w14:textId="77777777" w:rsidR="001D4C35" w:rsidRDefault="001D4C35">
      <w:pPr>
        <w:pStyle w:val="BodyText"/>
        <w:spacing w:before="1"/>
        <w:rPr>
          <w:sz w:val="24"/>
        </w:rPr>
      </w:pPr>
    </w:p>
    <w:p w14:paraId="4474AD28" w14:textId="77777777" w:rsidR="001D4C35" w:rsidRDefault="00D84817">
      <w:pPr>
        <w:pStyle w:val="BodyText"/>
        <w:spacing w:line="276" w:lineRule="auto"/>
        <w:ind w:left="171" w:right="147"/>
        <w:jc w:val="both"/>
      </w:pPr>
      <w:r>
        <w:t>This timing issue can result in procyclicality whereby capital increases cause client facilitation to become more expensive precisely when liquidity is required. Under both the IMM and the SA-CCR, the calculated exposure at default (EAD) represents an expected exposure measure. In this regard, it should be noted that over time the non-zero current exposures resulting from timing differences should be on average zero. Therefore, removing these timing differences by allowing firms to reflect collateral that has been called but not yet settled should be allowed as it is consistent with an expected exposure measure as long as there is no underlying margin dispute.</w:t>
      </w:r>
    </w:p>
    <w:p w14:paraId="4474AD29" w14:textId="77777777" w:rsidR="001D4C35" w:rsidRDefault="001D4C35">
      <w:pPr>
        <w:spacing w:line="276" w:lineRule="auto"/>
        <w:jc w:val="both"/>
        <w:sectPr w:rsidR="001D4C35">
          <w:pgSz w:w="11910" w:h="16840"/>
          <w:pgMar w:top="520" w:right="840" w:bottom="960" w:left="680" w:header="0" w:footer="704" w:gutter="0"/>
          <w:cols w:space="720"/>
        </w:sectPr>
      </w:pPr>
    </w:p>
    <w:p w14:paraId="4474AD2A" w14:textId="77777777" w:rsidR="001D4C35" w:rsidRDefault="00D84817">
      <w:pPr>
        <w:tabs>
          <w:tab w:val="left" w:pos="7925"/>
        </w:tabs>
        <w:ind w:left="186"/>
        <w:rPr>
          <w:sz w:val="20"/>
        </w:rPr>
      </w:pPr>
      <w:r>
        <w:rPr>
          <w:noProof/>
          <w:position w:val="11"/>
          <w:sz w:val="20"/>
        </w:rPr>
        <w:lastRenderedPageBreak/>
        <w:drawing>
          <wp:inline distT="0" distB="0" distL="0" distR="0" wp14:anchorId="4474B06A" wp14:editId="4474B06B">
            <wp:extent cx="1679117" cy="442722"/>
            <wp:effectExtent l="0" t="0" r="0" b="0"/>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6C" wp14:editId="4474B06D">
            <wp:extent cx="1427865" cy="572643"/>
            <wp:effectExtent l="0" t="0" r="0" b="0"/>
            <wp:docPr id="5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D2B" w14:textId="77777777" w:rsidR="001D4C35" w:rsidRDefault="001D4C35">
      <w:pPr>
        <w:pStyle w:val="BodyText"/>
        <w:spacing w:before="3"/>
        <w:rPr>
          <w:sz w:val="9"/>
        </w:rPr>
      </w:pPr>
    </w:p>
    <w:p w14:paraId="4474AD2C" w14:textId="77777777" w:rsidR="001D4C35" w:rsidRDefault="00D84817">
      <w:pPr>
        <w:pStyle w:val="BodyText"/>
        <w:spacing w:before="100" w:line="276" w:lineRule="auto"/>
        <w:ind w:left="172" w:right="148"/>
        <w:jc w:val="both"/>
      </w:pPr>
      <w:r>
        <w:t>In order to prevent increased capital charges for the firms due to these timing differences and to align more closely with an expected exposure measure, the Industry proposes that firms should be allowed to reflect the VM that is received and posted on a T+1 basis under both SA-CCR and IMM. This change will reduce unwarranted volatility in exposures and RWA, because of collateral shortfalls as a result of ordinary settlement cycle.</w:t>
      </w:r>
    </w:p>
    <w:p w14:paraId="4474AD2D" w14:textId="77777777" w:rsidR="001D4C35" w:rsidRDefault="00D65A23">
      <w:pPr>
        <w:pStyle w:val="BodyText"/>
        <w:spacing w:before="4"/>
        <w:rPr>
          <w:sz w:val="20"/>
        </w:rPr>
      </w:pPr>
      <w:r>
        <w:pict w14:anchorId="4474B06E">
          <v:shape id="_x0000_s2117" type="#_x0000_t202" style="position:absolute;margin-left:42.8pt;margin-top:14.1pt;width:503.05pt;height:73.8pt;z-index:-251609088;mso-wrap-distance-left:0;mso-wrap-distance-right:0;mso-position-horizontal-relative:page" fillcolor="#dbe4f0" strokeweight=".14147mm">
            <v:textbox inset="0,0,0,0">
              <w:txbxContent>
                <w:p w14:paraId="4474B134" w14:textId="77777777" w:rsidR="001D4C35" w:rsidRDefault="00D84817">
                  <w:pPr>
                    <w:spacing w:before="3"/>
                    <w:ind w:left="3971" w:right="3971"/>
                    <w:jc w:val="center"/>
                    <w:rPr>
                      <w:b/>
                    </w:rPr>
                  </w:pPr>
                  <w:r>
                    <w:rPr>
                      <w:b/>
                    </w:rPr>
                    <w:t>Recommendation(s)</w:t>
                  </w:r>
                </w:p>
                <w:p w14:paraId="4474B135" w14:textId="77777777" w:rsidR="001D4C35" w:rsidRDefault="001D4C35">
                  <w:pPr>
                    <w:pStyle w:val="BodyText"/>
                    <w:spacing w:before="1"/>
                    <w:rPr>
                      <w:b/>
                      <w:sz w:val="27"/>
                    </w:rPr>
                  </w:pPr>
                </w:p>
                <w:p w14:paraId="4474B136" w14:textId="77777777" w:rsidR="001D4C35" w:rsidRDefault="00D84817">
                  <w:pPr>
                    <w:pStyle w:val="BodyText"/>
                    <w:spacing w:line="276" w:lineRule="auto"/>
                    <w:ind w:left="103" w:right="98"/>
                    <w:jc w:val="both"/>
                  </w:pPr>
                  <w:r>
                    <w:t>Margin in transit rules allowed under IMM should be extended for their use under SA-CCR to ensure consistent treatment of collateral under both approaches. That is, firms should be allowed to reflect the VM that is received and posted on a T+1 basis under both SA-CCR and IMM.</w:t>
                  </w:r>
                </w:p>
              </w:txbxContent>
            </v:textbox>
            <w10:wrap type="topAndBottom" anchorx="page"/>
          </v:shape>
        </w:pict>
      </w:r>
    </w:p>
    <w:p w14:paraId="4474AD2E" w14:textId="77777777" w:rsidR="001D4C35" w:rsidRDefault="001D4C35">
      <w:pPr>
        <w:pStyle w:val="BodyText"/>
        <w:spacing w:before="1"/>
        <w:rPr>
          <w:sz w:val="13"/>
        </w:rPr>
      </w:pPr>
    </w:p>
    <w:p w14:paraId="4474AD2F" w14:textId="77777777" w:rsidR="001D4C35" w:rsidRDefault="00D84817">
      <w:pPr>
        <w:spacing w:before="100"/>
        <w:ind w:left="172"/>
        <w:jc w:val="both"/>
        <w:rPr>
          <w:i/>
        </w:rPr>
      </w:pPr>
      <w:bookmarkStart w:id="33" w:name="Supervisory_Factors"/>
      <w:bookmarkEnd w:id="33"/>
      <w:r>
        <w:rPr>
          <w:i/>
          <w:color w:val="365F91"/>
        </w:rPr>
        <w:t>Supervisory</w:t>
      </w:r>
      <w:r>
        <w:rPr>
          <w:i/>
          <w:color w:val="365F91"/>
          <w:spacing w:val="-12"/>
        </w:rPr>
        <w:t xml:space="preserve"> </w:t>
      </w:r>
      <w:r>
        <w:rPr>
          <w:i/>
          <w:color w:val="365F91"/>
        </w:rPr>
        <w:t>Factors</w:t>
      </w:r>
    </w:p>
    <w:p w14:paraId="4474AD30" w14:textId="77777777" w:rsidR="001D4C35" w:rsidRDefault="001D4C35">
      <w:pPr>
        <w:pStyle w:val="BodyText"/>
        <w:spacing w:before="2"/>
        <w:rPr>
          <w:i/>
          <w:sz w:val="27"/>
        </w:rPr>
      </w:pPr>
    </w:p>
    <w:p w14:paraId="4474AD31" w14:textId="77777777" w:rsidR="001D4C35" w:rsidRDefault="00D84817">
      <w:pPr>
        <w:pStyle w:val="BodyText"/>
        <w:spacing w:line="276" w:lineRule="auto"/>
        <w:ind w:left="171" w:right="147"/>
        <w:jc w:val="both"/>
      </w:pPr>
      <w:r>
        <w:t>The EC should revisit the supervisory factors set by the BCBS for all asset classes, as they seem to be calibrated to higher volatilities than can be justified by historical data. The Industry urges the regulators to consider observed volatilities during periods of varying market stress and recalibrate the supervisory factors</w:t>
      </w:r>
      <w:r>
        <w:rPr>
          <w:spacing w:val="-1"/>
        </w:rPr>
        <w:t xml:space="preserve"> </w:t>
      </w:r>
      <w:r>
        <w:t>accordingly.</w:t>
      </w:r>
    </w:p>
    <w:p w14:paraId="4474AD32" w14:textId="77777777" w:rsidR="001D4C35" w:rsidRDefault="00D65A23">
      <w:pPr>
        <w:pStyle w:val="BodyText"/>
        <w:spacing w:before="9"/>
        <w:rPr>
          <w:sz w:val="20"/>
        </w:rPr>
      </w:pPr>
      <w:r>
        <w:pict w14:anchorId="4474B06F">
          <v:shape id="_x0000_s2116" type="#_x0000_t202" style="position:absolute;margin-left:42.8pt;margin-top:14.35pt;width:503.05pt;height:44pt;z-index:-251608064;mso-wrap-distance-left:0;mso-wrap-distance-right:0;mso-position-horizontal-relative:page" fillcolor="#dbe4f0" strokeweight=".14147mm">
            <v:textbox inset="0,0,0,0">
              <w:txbxContent>
                <w:p w14:paraId="4474B137" w14:textId="77777777" w:rsidR="001D4C35" w:rsidRDefault="00D84817">
                  <w:pPr>
                    <w:spacing w:line="257" w:lineRule="exact"/>
                    <w:ind w:left="3971" w:right="3971"/>
                    <w:jc w:val="center"/>
                    <w:rPr>
                      <w:b/>
                    </w:rPr>
                  </w:pPr>
                  <w:r>
                    <w:rPr>
                      <w:b/>
                    </w:rPr>
                    <w:t>Recommendation(s)</w:t>
                  </w:r>
                </w:p>
                <w:p w14:paraId="4474B138" w14:textId="77777777" w:rsidR="001D4C35" w:rsidRDefault="001D4C35">
                  <w:pPr>
                    <w:pStyle w:val="BodyText"/>
                    <w:spacing w:before="1"/>
                    <w:rPr>
                      <w:b/>
                      <w:sz w:val="27"/>
                    </w:rPr>
                  </w:pPr>
                </w:p>
                <w:p w14:paraId="4474B139" w14:textId="77777777" w:rsidR="001D4C35" w:rsidRDefault="00D84817">
                  <w:pPr>
                    <w:pStyle w:val="BodyText"/>
                    <w:ind w:left="103"/>
                  </w:pPr>
                  <w:r>
                    <w:t>Revisit supervisory factors for all asset classes.</w:t>
                  </w:r>
                </w:p>
              </w:txbxContent>
            </v:textbox>
            <w10:wrap type="topAndBottom" anchorx="page"/>
          </v:shape>
        </w:pict>
      </w:r>
    </w:p>
    <w:p w14:paraId="4474AD33" w14:textId="77777777" w:rsidR="001D4C35" w:rsidRDefault="001D4C35">
      <w:pPr>
        <w:pStyle w:val="BodyText"/>
        <w:spacing w:before="1"/>
        <w:rPr>
          <w:sz w:val="13"/>
        </w:rPr>
      </w:pPr>
    </w:p>
    <w:p w14:paraId="4474AD34" w14:textId="77777777" w:rsidR="001D4C35" w:rsidRDefault="00D84817">
      <w:pPr>
        <w:spacing w:before="100"/>
        <w:ind w:left="172"/>
        <w:jc w:val="both"/>
        <w:rPr>
          <w:i/>
        </w:rPr>
      </w:pPr>
      <w:bookmarkStart w:id="34" w:name="Net_cash_flows_to_single_amount_per_curr"/>
      <w:bookmarkEnd w:id="34"/>
      <w:r>
        <w:rPr>
          <w:i/>
          <w:color w:val="365F91"/>
        </w:rPr>
        <w:t>Net cash flows to single amount per currency</w:t>
      </w:r>
    </w:p>
    <w:p w14:paraId="4474AD35" w14:textId="77777777" w:rsidR="001D4C35" w:rsidRDefault="001D4C35">
      <w:pPr>
        <w:pStyle w:val="BodyText"/>
        <w:spacing w:before="2"/>
        <w:rPr>
          <w:i/>
          <w:sz w:val="27"/>
        </w:rPr>
      </w:pPr>
    </w:p>
    <w:p w14:paraId="4474AD36" w14:textId="77777777" w:rsidR="001D4C35" w:rsidRDefault="00D84817">
      <w:pPr>
        <w:pStyle w:val="BodyText"/>
        <w:spacing w:line="276" w:lineRule="auto"/>
        <w:ind w:left="171" w:right="147"/>
        <w:jc w:val="both"/>
      </w:pPr>
      <w:r>
        <w:t>In</w:t>
      </w:r>
      <w:r>
        <w:rPr>
          <w:spacing w:val="-7"/>
        </w:rPr>
        <w:t xml:space="preserve"> </w:t>
      </w:r>
      <w:r>
        <w:t>terms</w:t>
      </w:r>
      <w:r>
        <w:rPr>
          <w:spacing w:val="-5"/>
        </w:rPr>
        <w:t xml:space="preserve"> </w:t>
      </w:r>
      <w:r>
        <w:t>of</w:t>
      </w:r>
      <w:r>
        <w:rPr>
          <w:spacing w:val="-6"/>
        </w:rPr>
        <w:t xml:space="preserve"> </w:t>
      </w:r>
      <w:r>
        <w:t>FX</w:t>
      </w:r>
      <w:r>
        <w:rPr>
          <w:spacing w:val="-9"/>
        </w:rPr>
        <w:t xml:space="preserve"> </w:t>
      </w:r>
      <w:r>
        <w:t>transactions,</w:t>
      </w:r>
      <w:r>
        <w:rPr>
          <w:spacing w:val="-7"/>
        </w:rPr>
        <w:t xml:space="preserve"> </w:t>
      </w:r>
      <w:r>
        <w:t>SA-CCR</w:t>
      </w:r>
      <w:r>
        <w:rPr>
          <w:spacing w:val="-7"/>
        </w:rPr>
        <w:t xml:space="preserve"> </w:t>
      </w:r>
      <w:r>
        <w:t>calculates</w:t>
      </w:r>
      <w:r>
        <w:rPr>
          <w:spacing w:val="-6"/>
        </w:rPr>
        <w:t xml:space="preserve"> </w:t>
      </w:r>
      <w:r>
        <w:t>RWAs</w:t>
      </w:r>
      <w:r>
        <w:rPr>
          <w:spacing w:val="-5"/>
        </w:rPr>
        <w:t xml:space="preserve"> </w:t>
      </w:r>
      <w:r>
        <w:t>linked</w:t>
      </w:r>
      <w:r>
        <w:rPr>
          <w:spacing w:val="-5"/>
        </w:rPr>
        <w:t xml:space="preserve"> </w:t>
      </w:r>
      <w:r>
        <w:t>to</w:t>
      </w:r>
      <w:r>
        <w:rPr>
          <w:spacing w:val="-8"/>
        </w:rPr>
        <w:t xml:space="preserve"> </w:t>
      </w:r>
      <w:r>
        <w:t>distinct</w:t>
      </w:r>
      <w:r>
        <w:rPr>
          <w:spacing w:val="-5"/>
        </w:rPr>
        <w:t xml:space="preserve"> </w:t>
      </w:r>
      <w:r>
        <w:t>currency</w:t>
      </w:r>
      <w:r>
        <w:rPr>
          <w:spacing w:val="-6"/>
        </w:rPr>
        <w:t xml:space="preserve"> </w:t>
      </w:r>
      <w:r>
        <w:t>pairs</w:t>
      </w:r>
      <w:r>
        <w:rPr>
          <w:spacing w:val="-5"/>
        </w:rPr>
        <w:t xml:space="preserve"> </w:t>
      </w:r>
      <w:r>
        <w:t>(e.g.</w:t>
      </w:r>
      <w:r>
        <w:rPr>
          <w:spacing w:val="-8"/>
        </w:rPr>
        <w:t xml:space="preserve"> </w:t>
      </w:r>
      <w:r>
        <w:t>EUR/USD),</w:t>
      </w:r>
      <w:r>
        <w:rPr>
          <w:spacing w:val="-8"/>
        </w:rPr>
        <w:t xml:space="preserve"> </w:t>
      </w:r>
      <w:r>
        <w:t xml:space="preserve">which means that multiple exposure values could be calculated across multiple pairs separately. Nonetheless, if considered together, the exposure value would have been zero. This issue would be resolved if firms were allowed to net exposures by currency instead of currency pair. SA-CCR should allow for netting by currency (excluding settlement currency) instead </w:t>
      </w:r>
      <w:r>
        <w:rPr>
          <w:spacing w:val="-3"/>
        </w:rPr>
        <w:t xml:space="preserve">of </w:t>
      </w:r>
      <w:r>
        <w:t>currency pair but only if this is combined with a correlation parameter to aggregate currency exposures or if only the maximum of the net long and net short exposures by currency are included in the add-on</w:t>
      </w:r>
      <w:r>
        <w:rPr>
          <w:spacing w:val="-5"/>
        </w:rPr>
        <w:t xml:space="preserve"> </w:t>
      </w:r>
      <w:r>
        <w:t>calculation.</w:t>
      </w:r>
    </w:p>
    <w:p w14:paraId="4474AD37" w14:textId="77777777" w:rsidR="001D4C35" w:rsidRDefault="00D65A23">
      <w:pPr>
        <w:pStyle w:val="BodyText"/>
        <w:spacing w:before="7"/>
        <w:rPr>
          <w:sz w:val="20"/>
        </w:rPr>
      </w:pPr>
      <w:r>
        <w:pict w14:anchorId="4474B070">
          <v:shape id="_x0000_s2115" type="#_x0000_t202" style="position:absolute;margin-left:42.8pt;margin-top:14.25pt;width:503.05pt;height:73.8pt;z-index:-251607040;mso-wrap-distance-left:0;mso-wrap-distance-right:0;mso-position-horizontal-relative:page" fillcolor="#dbe4f0" strokeweight=".14147mm">
            <v:textbox inset="0,0,0,0">
              <w:txbxContent>
                <w:p w14:paraId="4474B13A" w14:textId="77777777" w:rsidR="001D4C35" w:rsidRDefault="00D84817">
                  <w:pPr>
                    <w:spacing w:before="3"/>
                    <w:ind w:left="3971" w:right="3971"/>
                    <w:jc w:val="center"/>
                    <w:rPr>
                      <w:b/>
                    </w:rPr>
                  </w:pPr>
                  <w:r>
                    <w:rPr>
                      <w:b/>
                    </w:rPr>
                    <w:t>Recommendation(s)</w:t>
                  </w:r>
                </w:p>
                <w:p w14:paraId="4474B13B" w14:textId="77777777" w:rsidR="001D4C35" w:rsidRDefault="001D4C35">
                  <w:pPr>
                    <w:pStyle w:val="BodyText"/>
                    <w:spacing w:before="1"/>
                    <w:rPr>
                      <w:b/>
                      <w:sz w:val="27"/>
                    </w:rPr>
                  </w:pPr>
                </w:p>
                <w:p w14:paraId="4474B13C" w14:textId="77777777" w:rsidR="001D4C35" w:rsidRDefault="00D84817">
                  <w:pPr>
                    <w:pStyle w:val="BodyText"/>
                    <w:spacing w:line="276" w:lineRule="auto"/>
                    <w:ind w:left="103" w:right="99"/>
                    <w:jc w:val="both"/>
                  </w:pPr>
                  <w:r>
                    <w:t>Allow for netting by currency (excluding settlement currency) instead of currency pair, but only if this is combined with a correlation parameter to aggregate currency exposures or if on the maximum of the net long and net short exposures by currency are included in the add-on calculation.</w:t>
                  </w:r>
                </w:p>
              </w:txbxContent>
            </v:textbox>
            <w10:wrap type="topAndBottom" anchorx="page"/>
          </v:shape>
        </w:pict>
      </w:r>
    </w:p>
    <w:p w14:paraId="4474AD38" w14:textId="77777777" w:rsidR="001D4C35" w:rsidRDefault="001D4C35">
      <w:pPr>
        <w:pStyle w:val="BodyText"/>
        <w:spacing w:before="1"/>
        <w:rPr>
          <w:sz w:val="13"/>
        </w:rPr>
      </w:pPr>
    </w:p>
    <w:p w14:paraId="4474AD39" w14:textId="77777777" w:rsidR="001D4C35" w:rsidRDefault="00D84817">
      <w:pPr>
        <w:spacing w:before="100"/>
        <w:ind w:left="172"/>
        <w:rPr>
          <w:i/>
        </w:rPr>
      </w:pPr>
      <w:bookmarkStart w:id="35" w:name="Mandatory_Use_of_SA-CCR_in_the_Large_Exp"/>
      <w:bookmarkEnd w:id="35"/>
      <w:r>
        <w:rPr>
          <w:i/>
          <w:color w:val="365F91"/>
        </w:rPr>
        <w:t>Mandatory Use of SA-CCR in the Large Exposures framework</w:t>
      </w:r>
    </w:p>
    <w:p w14:paraId="4474AD3A" w14:textId="77777777" w:rsidR="001D4C35" w:rsidRDefault="001D4C35">
      <w:pPr>
        <w:pStyle w:val="BodyText"/>
        <w:spacing w:before="2"/>
        <w:rPr>
          <w:i/>
          <w:sz w:val="27"/>
        </w:rPr>
      </w:pPr>
    </w:p>
    <w:p w14:paraId="4474AD3B" w14:textId="77777777" w:rsidR="001D4C35" w:rsidRDefault="00D84817">
      <w:pPr>
        <w:pStyle w:val="BodyText"/>
        <w:spacing w:line="276" w:lineRule="auto"/>
        <w:ind w:left="171" w:right="199"/>
      </w:pPr>
      <w:r>
        <w:t xml:space="preserve">The introduction of SA-CCR not only affects the calculation of capital requirements for CCR, it will also be used in many other areas across the prudential framework, such as for calculating capital requirements for CVA risk, the exposure measure in the Large Exposures framework (replacing the IMM), for the Leverage Ratio, and for the forthcoming capital Output Floor requirement the </w:t>
      </w:r>
      <w:proofErr w:type="spellStart"/>
      <w:r>
        <w:t>Finalised</w:t>
      </w:r>
      <w:proofErr w:type="spellEnd"/>
      <w:r>
        <w:t xml:space="preserve"> Basel package.</w:t>
      </w:r>
    </w:p>
    <w:p w14:paraId="4474AD3C" w14:textId="77777777" w:rsidR="001D4C35" w:rsidRDefault="001D4C35">
      <w:pPr>
        <w:pStyle w:val="BodyText"/>
        <w:spacing w:before="11"/>
        <w:rPr>
          <w:sz w:val="23"/>
        </w:rPr>
      </w:pPr>
    </w:p>
    <w:p w14:paraId="4474AD3D" w14:textId="77777777" w:rsidR="001D4C35" w:rsidRDefault="00D84817">
      <w:pPr>
        <w:pStyle w:val="BodyText"/>
        <w:spacing w:line="276" w:lineRule="auto"/>
        <w:ind w:left="171" w:right="142"/>
      </w:pPr>
      <w:r>
        <w:t>Thus it will affect all firms, regardless of their current model approvals and users of derivatives. The impact to firms and the distortion versus risk calculated under previous methods are likely to be significant.</w:t>
      </w:r>
    </w:p>
    <w:p w14:paraId="4474AD3E" w14:textId="77777777" w:rsidR="001D4C35" w:rsidRDefault="001D4C35">
      <w:pPr>
        <w:spacing w:line="276" w:lineRule="auto"/>
        <w:sectPr w:rsidR="001D4C35">
          <w:pgSz w:w="11910" w:h="16840"/>
          <w:pgMar w:top="520" w:right="840" w:bottom="960" w:left="680" w:header="0" w:footer="704" w:gutter="0"/>
          <w:cols w:space="720"/>
        </w:sectPr>
      </w:pPr>
    </w:p>
    <w:p w14:paraId="4474AD3F" w14:textId="77777777" w:rsidR="001D4C35" w:rsidRDefault="00D84817">
      <w:pPr>
        <w:tabs>
          <w:tab w:val="left" w:pos="7925"/>
        </w:tabs>
        <w:ind w:left="186"/>
        <w:rPr>
          <w:sz w:val="20"/>
        </w:rPr>
      </w:pPr>
      <w:r>
        <w:rPr>
          <w:noProof/>
          <w:position w:val="11"/>
          <w:sz w:val="20"/>
        </w:rPr>
        <w:lastRenderedPageBreak/>
        <w:drawing>
          <wp:inline distT="0" distB="0" distL="0" distR="0" wp14:anchorId="4474B071" wp14:editId="4474B072">
            <wp:extent cx="1679117" cy="442722"/>
            <wp:effectExtent l="0" t="0" r="0" b="0"/>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73" wp14:editId="4474B074">
            <wp:extent cx="1427865" cy="572643"/>
            <wp:effectExtent l="0" t="0" r="0" b="0"/>
            <wp:docPr id="5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D40" w14:textId="77777777" w:rsidR="001D4C35" w:rsidRDefault="001D4C35">
      <w:pPr>
        <w:pStyle w:val="BodyText"/>
        <w:spacing w:before="3"/>
        <w:rPr>
          <w:sz w:val="9"/>
        </w:rPr>
      </w:pPr>
    </w:p>
    <w:p w14:paraId="4474AD41" w14:textId="77777777" w:rsidR="001D4C35" w:rsidRDefault="00D84817">
      <w:pPr>
        <w:pStyle w:val="BodyText"/>
        <w:spacing w:before="100" w:line="276" w:lineRule="auto"/>
        <w:ind w:left="172"/>
      </w:pPr>
      <w:r>
        <w:t>Therefore, in the Industry’s view, the significance of this change on a standalone basis warrants further review</w:t>
      </w:r>
    </w:p>
    <w:p w14:paraId="4474AD42" w14:textId="77777777" w:rsidR="001D4C35" w:rsidRDefault="001D4C35">
      <w:pPr>
        <w:pStyle w:val="BodyText"/>
        <w:spacing w:before="9"/>
        <w:rPr>
          <w:sz w:val="23"/>
        </w:rPr>
      </w:pPr>
    </w:p>
    <w:p w14:paraId="4474AD43" w14:textId="77777777" w:rsidR="001D4C35" w:rsidRDefault="00D84817">
      <w:pPr>
        <w:pStyle w:val="BodyText"/>
        <w:spacing w:line="276" w:lineRule="auto"/>
        <w:ind w:left="172" w:right="295"/>
        <w:jc w:val="both"/>
      </w:pPr>
      <w:r>
        <w:t xml:space="preserve">With specific reference to the Large Exposures framework, it should also be noted that in the US implementation of SA-CCR, US Agencies have retained the use of IMM in the Single Counterparty Credit Limit (SCCL) rule because the available </w:t>
      </w:r>
      <w:proofErr w:type="spellStart"/>
      <w:r>
        <w:t>standardised</w:t>
      </w:r>
      <w:proofErr w:type="spellEnd"/>
      <w:r>
        <w:t xml:space="preserve"> approaches were not deemed to be adequate replacements.</w:t>
      </w:r>
    </w:p>
    <w:p w14:paraId="4474AD44" w14:textId="77777777" w:rsidR="001D4C35" w:rsidRDefault="00D65A23">
      <w:pPr>
        <w:pStyle w:val="BodyText"/>
        <w:spacing w:before="5"/>
        <w:rPr>
          <w:sz w:val="20"/>
        </w:rPr>
      </w:pPr>
      <w:r>
        <w:pict w14:anchorId="4474B075">
          <v:shape id="_x0000_s2114" type="#_x0000_t202" style="position:absolute;margin-left:42.8pt;margin-top:14.15pt;width:467.6pt;height:52pt;z-index:-251606016;mso-wrap-distance-left:0;mso-wrap-distance-right:0;mso-position-horizontal-relative:page" fillcolor="#dbe4f0" strokeweight=".4pt">
            <v:textbox inset="0,0,0,0">
              <w:txbxContent>
                <w:p w14:paraId="4474B13D" w14:textId="77777777" w:rsidR="001D4C35" w:rsidRDefault="00D84817">
                  <w:pPr>
                    <w:spacing w:before="3"/>
                    <w:ind w:left="3615" w:right="3619"/>
                    <w:jc w:val="center"/>
                    <w:rPr>
                      <w:b/>
                    </w:rPr>
                  </w:pPr>
                  <w:r>
                    <w:rPr>
                      <w:b/>
                    </w:rPr>
                    <w:t>Recommendation(s)</w:t>
                  </w:r>
                </w:p>
                <w:p w14:paraId="4474B13E" w14:textId="77777777" w:rsidR="001D4C35" w:rsidRDefault="001D4C35">
                  <w:pPr>
                    <w:pStyle w:val="BodyText"/>
                    <w:rPr>
                      <w:b/>
                    </w:rPr>
                  </w:pPr>
                </w:p>
                <w:p w14:paraId="4474B13F" w14:textId="77777777" w:rsidR="001D4C35" w:rsidRDefault="00D84817">
                  <w:pPr>
                    <w:pStyle w:val="BodyText"/>
                    <w:ind w:left="104"/>
                  </w:pPr>
                  <w:r>
                    <w:t>Permit IMM banks to use their internal models to calculate Large Exposures requirements.</w:t>
                  </w:r>
                </w:p>
              </w:txbxContent>
            </v:textbox>
            <w10:wrap type="topAndBottom" anchorx="page"/>
          </v:shape>
        </w:pict>
      </w:r>
    </w:p>
    <w:p w14:paraId="4474AD45" w14:textId="77777777" w:rsidR="001D4C35" w:rsidRDefault="001D4C35">
      <w:pPr>
        <w:pStyle w:val="BodyText"/>
        <w:spacing w:before="1"/>
        <w:rPr>
          <w:sz w:val="13"/>
        </w:rPr>
      </w:pPr>
    </w:p>
    <w:p w14:paraId="4474AD46" w14:textId="77777777" w:rsidR="001D4C35" w:rsidRDefault="00D84817">
      <w:pPr>
        <w:spacing w:before="100"/>
        <w:ind w:left="172"/>
        <w:jc w:val="both"/>
        <w:rPr>
          <w:i/>
        </w:rPr>
      </w:pPr>
      <w:bookmarkStart w:id="36" w:name="Multiple_netting_sets_subject_to_one_mar"/>
      <w:bookmarkEnd w:id="36"/>
      <w:r>
        <w:rPr>
          <w:i/>
          <w:color w:val="365F91"/>
        </w:rPr>
        <w:t>Multiple netting sets subject to one margin agreement</w:t>
      </w:r>
    </w:p>
    <w:p w14:paraId="4474AD47" w14:textId="77777777" w:rsidR="001D4C35" w:rsidRDefault="001D4C35">
      <w:pPr>
        <w:pStyle w:val="BodyText"/>
        <w:spacing w:before="6"/>
        <w:rPr>
          <w:i/>
          <w:sz w:val="27"/>
        </w:rPr>
      </w:pPr>
    </w:p>
    <w:p w14:paraId="4474AD48" w14:textId="77777777" w:rsidR="001D4C35" w:rsidRDefault="00D84817">
      <w:pPr>
        <w:pStyle w:val="BodyText"/>
        <w:spacing w:line="276" w:lineRule="auto"/>
        <w:ind w:left="172" w:right="154"/>
        <w:jc w:val="both"/>
      </w:pPr>
      <w:r>
        <w:t>Under the CRR capital rules, when multiple netting sets are jointly margined then Article 278(2) requires firms to calculate the Potential Future Exposure (PFE) by using the unmargined methodology.</w:t>
      </w:r>
    </w:p>
    <w:p w14:paraId="4474AD49" w14:textId="77777777" w:rsidR="001D4C35" w:rsidRDefault="001D4C35">
      <w:pPr>
        <w:pStyle w:val="BodyText"/>
        <w:spacing w:before="9"/>
        <w:rPr>
          <w:sz w:val="23"/>
        </w:rPr>
      </w:pPr>
    </w:p>
    <w:p w14:paraId="4474AD4A" w14:textId="77777777" w:rsidR="001D4C35" w:rsidRDefault="00D84817">
      <w:pPr>
        <w:pStyle w:val="BodyText"/>
        <w:spacing w:line="276" w:lineRule="auto"/>
        <w:ind w:left="171" w:right="147"/>
        <w:jc w:val="both"/>
      </w:pPr>
      <w:r>
        <w:t>According to CRR Art. 272 (4), individual transactions not subject to a bilateral netting under section 7 are treated “as its own netting set”. An example of such transactions can occur when entered into one with a branch</w:t>
      </w:r>
      <w:r>
        <w:rPr>
          <w:spacing w:val="-9"/>
        </w:rPr>
        <w:t xml:space="preserve"> </w:t>
      </w:r>
      <w:r>
        <w:t>of</w:t>
      </w:r>
      <w:r>
        <w:rPr>
          <w:spacing w:val="-6"/>
        </w:rPr>
        <w:t xml:space="preserve"> </w:t>
      </w:r>
      <w:r>
        <w:t>a</w:t>
      </w:r>
      <w:r>
        <w:rPr>
          <w:spacing w:val="-6"/>
        </w:rPr>
        <w:t xml:space="preserve"> </w:t>
      </w:r>
      <w:r>
        <w:t>counterparty</w:t>
      </w:r>
      <w:r>
        <w:rPr>
          <w:spacing w:val="-6"/>
        </w:rPr>
        <w:t xml:space="preserve"> </w:t>
      </w:r>
      <w:r>
        <w:t>in</w:t>
      </w:r>
      <w:r>
        <w:rPr>
          <w:spacing w:val="-7"/>
        </w:rPr>
        <w:t xml:space="preserve"> </w:t>
      </w:r>
      <w:r>
        <w:t>a</w:t>
      </w:r>
      <w:r>
        <w:rPr>
          <w:spacing w:val="-6"/>
        </w:rPr>
        <w:t xml:space="preserve"> </w:t>
      </w:r>
      <w:r>
        <w:t>non-netting</w:t>
      </w:r>
      <w:r>
        <w:rPr>
          <w:spacing w:val="-8"/>
        </w:rPr>
        <w:t xml:space="preserve"> </w:t>
      </w:r>
      <w:r>
        <w:t>jurisdiction.</w:t>
      </w:r>
      <w:r>
        <w:rPr>
          <w:spacing w:val="-8"/>
        </w:rPr>
        <w:t xml:space="preserve"> </w:t>
      </w:r>
      <w:r>
        <w:t>As</w:t>
      </w:r>
      <w:r>
        <w:rPr>
          <w:spacing w:val="-6"/>
        </w:rPr>
        <w:t xml:space="preserve"> </w:t>
      </w:r>
      <w:r>
        <w:t>a</w:t>
      </w:r>
      <w:r>
        <w:rPr>
          <w:spacing w:val="-7"/>
        </w:rPr>
        <w:t xml:space="preserve"> </w:t>
      </w:r>
      <w:r>
        <w:t>result,</w:t>
      </w:r>
      <w:r>
        <w:rPr>
          <w:spacing w:val="-8"/>
        </w:rPr>
        <w:t xml:space="preserve"> </w:t>
      </w:r>
      <w:r>
        <w:t>the</w:t>
      </w:r>
      <w:r>
        <w:rPr>
          <w:spacing w:val="-6"/>
        </w:rPr>
        <w:t xml:space="preserve"> </w:t>
      </w:r>
      <w:r>
        <w:t>rule</w:t>
      </w:r>
      <w:r>
        <w:rPr>
          <w:spacing w:val="-10"/>
        </w:rPr>
        <w:t xml:space="preserve"> </w:t>
      </w:r>
      <w:r>
        <w:t>for</w:t>
      </w:r>
      <w:r>
        <w:rPr>
          <w:spacing w:val="-6"/>
        </w:rPr>
        <w:t xml:space="preserve"> </w:t>
      </w:r>
      <w:r>
        <w:t>unmargined</w:t>
      </w:r>
      <w:r>
        <w:rPr>
          <w:spacing w:val="-6"/>
        </w:rPr>
        <w:t xml:space="preserve"> </w:t>
      </w:r>
      <w:r>
        <w:t>PFE</w:t>
      </w:r>
      <w:r>
        <w:rPr>
          <w:spacing w:val="-5"/>
        </w:rPr>
        <w:t xml:space="preserve"> </w:t>
      </w:r>
      <w:r>
        <w:t>methodology could be interpreted such that it also captures cases where an individual non-nettable transaction (not qualifying under section 7) is jointly margined with a large regulatory netting set (qualifying under section 7).</w:t>
      </w:r>
    </w:p>
    <w:p w14:paraId="4474AD4B" w14:textId="77777777" w:rsidR="001D4C35" w:rsidRDefault="001D4C35">
      <w:pPr>
        <w:pStyle w:val="BodyText"/>
        <w:spacing w:before="10"/>
        <w:rPr>
          <w:sz w:val="23"/>
        </w:rPr>
      </w:pPr>
    </w:p>
    <w:p w14:paraId="4474AD4C" w14:textId="77777777" w:rsidR="001D4C35" w:rsidRDefault="00D84817">
      <w:pPr>
        <w:pStyle w:val="BodyText"/>
        <w:spacing w:line="276" w:lineRule="auto"/>
        <w:ind w:left="171" w:right="147"/>
        <w:jc w:val="both"/>
      </w:pPr>
      <w:r>
        <w:t>The Industry’s proposal to amendment Article 278(2) ensures that the unmargined PFE methodology is applied only in case multiple netting sets (each of which qualify as per section 7) are jointly margined. The margined PFE methodology can however still be applied if there is only one netting set qualifying as per section 7 and some trades facing e.g. a branch in specific non-netting jurisdictions which do not qualify as per section 7.</w:t>
      </w:r>
    </w:p>
    <w:p w14:paraId="4474AD4D" w14:textId="77777777" w:rsidR="001D4C35" w:rsidRDefault="00D65A23">
      <w:pPr>
        <w:pStyle w:val="BodyText"/>
        <w:spacing w:before="7"/>
        <w:rPr>
          <w:sz w:val="11"/>
        </w:rPr>
      </w:pPr>
      <w:r>
        <w:pict w14:anchorId="4474B076">
          <v:shape id="_x0000_s2113" type="#_x0000_t202" style="position:absolute;margin-left:43.15pt;margin-top:9.2pt;width:501.35pt;height:96.5pt;z-index:-251604992;mso-wrap-distance-left:0;mso-wrap-distance-right:0;mso-position-horizontal-relative:page" fillcolor="#dbe4f0">
            <v:textbox inset="0,0,0,0">
              <w:txbxContent>
                <w:p w14:paraId="4474B140" w14:textId="77777777" w:rsidR="001D4C35" w:rsidRDefault="00D84817">
                  <w:pPr>
                    <w:spacing w:before="70"/>
                    <w:ind w:left="3948" w:right="3953"/>
                    <w:jc w:val="center"/>
                    <w:rPr>
                      <w:b/>
                    </w:rPr>
                  </w:pPr>
                  <w:r>
                    <w:rPr>
                      <w:b/>
                    </w:rPr>
                    <w:t>Recommendation(s)</w:t>
                  </w:r>
                </w:p>
                <w:p w14:paraId="4474B141" w14:textId="77777777" w:rsidR="001D4C35" w:rsidRDefault="001D4C35">
                  <w:pPr>
                    <w:pStyle w:val="BodyText"/>
                    <w:spacing w:before="2"/>
                    <w:rPr>
                      <w:b/>
                      <w:sz w:val="27"/>
                    </w:rPr>
                  </w:pPr>
                </w:p>
                <w:p w14:paraId="4474B142" w14:textId="77777777" w:rsidR="001D4C35" w:rsidRDefault="00D84817">
                  <w:pPr>
                    <w:pStyle w:val="BodyText"/>
                    <w:spacing w:line="276" w:lineRule="auto"/>
                    <w:ind w:left="141" w:right="148"/>
                  </w:pPr>
                  <w:r>
                    <w:t>Consider amending Article 278(2) to read: ‘The potential future exposure of multiple netting sets as per section 7 that are subject to one margin agreement, as referred in Article 275(3), shall be calculated as the sum of the potential future exposures of all the individual netting sets as if they were not subject to any form of a margin agreement’.</w:t>
                  </w:r>
                </w:p>
              </w:txbxContent>
            </v:textbox>
            <w10:wrap type="topAndBottom" anchorx="page"/>
          </v:shape>
        </w:pict>
      </w:r>
    </w:p>
    <w:p w14:paraId="4474AD4E" w14:textId="77777777" w:rsidR="001D4C35" w:rsidRDefault="00D84817">
      <w:pPr>
        <w:spacing w:before="54"/>
        <w:ind w:left="171"/>
        <w:jc w:val="both"/>
        <w:rPr>
          <w:i/>
        </w:rPr>
      </w:pPr>
      <w:bookmarkStart w:id="37" w:name="Treatment_of_volatility_transactions"/>
      <w:bookmarkEnd w:id="37"/>
      <w:r>
        <w:rPr>
          <w:i/>
          <w:color w:val="365F91"/>
        </w:rPr>
        <w:t>Treatment of volatility transactions</w:t>
      </w:r>
    </w:p>
    <w:p w14:paraId="4474AD4F" w14:textId="77777777" w:rsidR="001D4C35" w:rsidRDefault="001D4C35">
      <w:pPr>
        <w:pStyle w:val="BodyText"/>
        <w:spacing w:before="1"/>
        <w:rPr>
          <w:i/>
          <w:sz w:val="27"/>
        </w:rPr>
      </w:pPr>
    </w:p>
    <w:p w14:paraId="4474AD50" w14:textId="77777777" w:rsidR="001D4C35" w:rsidRDefault="00D84817">
      <w:pPr>
        <w:pStyle w:val="BodyText"/>
        <w:spacing w:line="276" w:lineRule="auto"/>
        <w:ind w:left="171" w:right="145"/>
        <w:jc w:val="both"/>
      </w:pPr>
      <w:r>
        <w:t xml:space="preserve">Article 277a (2) seems to indicate that there should be a distinct hedging set for each volatility risk driver (i.e. one distinct for each distinct equity). The Basel text as per CRE52.47 states that “Derivatives that reference the volatility of a risk factor (volatility transactions) must be treated within separate hedging sets within the corresponding asset class. Volatility hedging sets must follow the same hedging set construction outlined in CRE52.45 (for example, all equity volatility transactions form a single hedging set). Examples of volatility transactions include variance and volatility swaps, options on </w:t>
      </w:r>
      <w:proofErr w:type="spellStart"/>
      <w:r>
        <w:t>realised</w:t>
      </w:r>
      <w:proofErr w:type="spellEnd"/>
      <w:r>
        <w:t xml:space="preserve"> or implied volatility. For hedging</w:t>
      </w:r>
      <w:r>
        <w:rPr>
          <w:spacing w:val="-13"/>
        </w:rPr>
        <w:t xml:space="preserve"> </w:t>
      </w:r>
      <w:r>
        <w:t>sets</w:t>
      </w:r>
      <w:r>
        <w:rPr>
          <w:spacing w:val="-9"/>
        </w:rPr>
        <w:t xml:space="preserve"> </w:t>
      </w:r>
      <w:r>
        <w:t>consisting</w:t>
      </w:r>
      <w:r>
        <w:rPr>
          <w:spacing w:val="-13"/>
        </w:rPr>
        <w:t xml:space="preserve"> </w:t>
      </w:r>
      <w:r>
        <w:t>of</w:t>
      </w:r>
      <w:r>
        <w:rPr>
          <w:spacing w:val="-9"/>
        </w:rPr>
        <w:t xml:space="preserve"> </w:t>
      </w:r>
      <w:r>
        <w:t>volatility</w:t>
      </w:r>
      <w:r>
        <w:rPr>
          <w:spacing w:val="-11"/>
        </w:rPr>
        <w:t xml:space="preserve"> </w:t>
      </w:r>
      <w:r>
        <w:t>transactions,</w:t>
      </w:r>
      <w:r>
        <w:rPr>
          <w:spacing w:val="-12"/>
        </w:rPr>
        <w:t xml:space="preserve"> </w:t>
      </w:r>
      <w:r>
        <w:t>the</w:t>
      </w:r>
      <w:r>
        <w:rPr>
          <w:spacing w:val="-10"/>
        </w:rPr>
        <w:t xml:space="preserve"> </w:t>
      </w:r>
      <w:r>
        <w:t>supervisory</w:t>
      </w:r>
      <w:r>
        <w:rPr>
          <w:spacing w:val="-11"/>
        </w:rPr>
        <w:t xml:space="preserve"> </w:t>
      </w:r>
      <w:r>
        <w:t>factor</w:t>
      </w:r>
      <w:r>
        <w:rPr>
          <w:spacing w:val="-14"/>
        </w:rPr>
        <w:t xml:space="preserve"> </w:t>
      </w:r>
      <w:r>
        <w:t>applicable</w:t>
      </w:r>
      <w:r>
        <w:rPr>
          <w:spacing w:val="-14"/>
        </w:rPr>
        <w:t xml:space="preserve"> </w:t>
      </w:r>
      <w:r>
        <w:t>to</w:t>
      </w:r>
      <w:r>
        <w:rPr>
          <w:spacing w:val="-12"/>
        </w:rPr>
        <w:t xml:space="preserve"> </w:t>
      </w:r>
      <w:r>
        <w:t>a</w:t>
      </w:r>
      <w:r>
        <w:rPr>
          <w:spacing w:val="-11"/>
        </w:rPr>
        <w:t xml:space="preserve"> </w:t>
      </w:r>
      <w:r>
        <w:t>given</w:t>
      </w:r>
      <w:r>
        <w:rPr>
          <w:spacing w:val="-10"/>
        </w:rPr>
        <w:t xml:space="preserve"> </w:t>
      </w:r>
      <w:r>
        <w:t>asset</w:t>
      </w:r>
      <w:r>
        <w:rPr>
          <w:spacing w:val="-10"/>
        </w:rPr>
        <w:t xml:space="preserve"> </w:t>
      </w:r>
      <w:r>
        <w:t>class</w:t>
      </w:r>
      <w:r>
        <w:rPr>
          <w:spacing w:val="-9"/>
        </w:rPr>
        <w:t xml:space="preserve"> </w:t>
      </w:r>
      <w:r>
        <w:t>must be multiplied by a factor of five”.</w:t>
      </w:r>
    </w:p>
    <w:p w14:paraId="4474AD51" w14:textId="77777777" w:rsidR="001D4C35" w:rsidRDefault="001D4C35">
      <w:pPr>
        <w:spacing w:line="276" w:lineRule="auto"/>
        <w:jc w:val="both"/>
        <w:sectPr w:rsidR="001D4C35">
          <w:pgSz w:w="11910" w:h="16840"/>
          <w:pgMar w:top="520" w:right="840" w:bottom="960" w:left="680" w:header="0" w:footer="704" w:gutter="0"/>
          <w:cols w:space="720"/>
        </w:sectPr>
      </w:pPr>
    </w:p>
    <w:p w14:paraId="4474AD52" w14:textId="77777777" w:rsidR="001D4C35" w:rsidRDefault="00D84817">
      <w:pPr>
        <w:tabs>
          <w:tab w:val="left" w:pos="7925"/>
        </w:tabs>
        <w:ind w:left="186"/>
        <w:rPr>
          <w:sz w:val="20"/>
        </w:rPr>
      </w:pPr>
      <w:r>
        <w:rPr>
          <w:noProof/>
          <w:position w:val="11"/>
          <w:sz w:val="20"/>
        </w:rPr>
        <w:lastRenderedPageBreak/>
        <w:drawing>
          <wp:inline distT="0" distB="0" distL="0" distR="0" wp14:anchorId="4474B077" wp14:editId="4474B078">
            <wp:extent cx="1679117" cy="442722"/>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79" wp14:editId="4474B07A">
            <wp:extent cx="1427865" cy="572643"/>
            <wp:effectExtent l="0" t="0" r="0" b="0"/>
            <wp:docPr id="6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D53" w14:textId="77777777" w:rsidR="001D4C35" w:rsidRDefault="001D4C35">
      <w:pPr>
        <w:pStyle w:val="BodyText"/>
        <w:spacing w:before="3"/>
        <w:rPr>
          <w:sz w:val="9"/>
        </w:rPr>
      </w:pPr>
    </w:p>
    <w:p w14:paraId="4474AD54" w14:textId="77777777" w:rsidR="001D4C35" w:rsidRDefault="00D84817">
      <w:pPr>
        <w:pStyle w:val="BodyText"/>
        <w:spacing w:before="100"/>
        <w:ind w:left="172"/>
      </w:pPr>
      <w:r>
        <w:t>The industry proposes an alignment of the European (CRR) with the Basel text for assigning hedging sets.</w:t>
      </w:r>
    </w:p>
    <w:p w14:paraId="4474AD55" w14:textId="77777777" w:rsidR="001D4C35" w:rsidRDefault="00D65A23">
      <w:pPr>
        <w:pStyle w:val="BodyText"/>
        <w:spacing w:before="1"/>
        <w:rPr>
          <w:sz w:val="15"/>
        </w:rPr>
      </w:pPr>
      <w:r>
        <w:pict w14:anchorId="4474B07B">
          <v:shape id="_x0000_s2112" type="#_x0000_t202" style="position:absolute;margin-left:42.5pt;margin-top:11.25pt;width:501.5pt;height:83pt;z-index:-251603968;mso-wrap-distance-left:0;mso-wrap-distance-right:0;mso-position-horizontal-relative:page" fillcolor="#dbe4f0">
            <v:textbox inset="0,0,0,0">
              <w:txbxContent>
                <w:p w14:paraId="4474B143" w14:textId="77777777" w:rsidR="001D4C35" w:rsidRDefault="00D84817">
                  <w:pPr>
                    <w:spacing w:before="70"/>
                    <w:ind w:left="3949" w:right="3955"/>
                    <w:jc w:val="center"/>
                    <w:rPr>
                      <w:b/>
                    </w:rPr>
                  </w:pPr>
                  <w:r>
                    <w:rPr>
                      <w:b/>
                    </w:rPr>
                    <w:t>Recommendation(s)</w:t>
                  </w:r>
                </w:p>
                <w:p w14:paraId="4474B144" w14:textId="77777777" w:rsidR="001D4C35" w:rsidRDefault="001D4C35">
                  <w:pPr>
                    <w:pStyle w:val="BodyText"/>
                    <w:spacing w:before="1"/>
                    <w:rPr>
                      <w:b/>
                      <w:sz w:val="27"/>
                    </w:rPr>
                  </w:pPr>
                </w:p>
                <w:p w14:paraId="4474B145" w14:textId="77777777" w:rsidR="001D4C35" w:rsidRDefault="00D84817">
                  <w:pPr>
                    <w:pStyle w:val="BodyText"/>
                    <w:spacing w:before="1" w:line="276" w:lineRule="auto"/>
                    <w:ind w:left="142" w:right="310"/>
                  </w:pPr>
                  <w:r>
                    <w:t>Consider amending Article 277a (2) to read: ‘For the purposes of point (a) of the first subparagraph of this paragraph, institutions shall assign transactions to a separate hedging set of the relevant risk category following the same hedging set construction outlined in paragraph 1’.</w:t>
                  </w:r>
                </w:p>
              </w:txbxContent>
            </v:textbox>
            <w10:wrap type="topAndBottom" anchorx="page"/>
          </v:shape>
        </w:pict>
      </w:r>
    </w:p>
    <w:p w14:paraId="4474AD56" w14:textId="77777777" w:rsidR="001D4C35" w:rsidRDefault="00D84817">
      <w:pPr>
        <w:spacing w:before="52"/>
        <w:ind w:left="172"/>
        <w:rPr>
          <w:i/>
        </w:rPr>
      </w:pPr>
      <w:bookmarkStart w:id="38" w:name="Recognition_and_treatment_of_collateral"/>
      <w:bookmarkEnd w:id="38"/>
      <w:r>
        <w:rPr>
          <w:i/>
          <w:color w:val="365F91"/>
        </w:rPr>
        <w:t>Recognition and treatment of collateral</w:t>
      </w:r>
    </w:p>
    <w:p w14:paraId="4474AD57" w14:textId="77777777" w:rsidR="001D4C35" w:rsidRDefault="001D4C35">
      <w:pPr>
        <w:pStyle w:val="BodyText"/>
        <w:spacing w:before="2"/>
        <w:rPr>
          <w:i/>
          <w:sz w:val="27"/>
        </w:rPr>
      </w:pPr>
    </w:p>
    <w:p w14:paraId="4474AD58" w14:textId="77777777" w:rsidR="001D4C35" w:rsidRDefault="00D84817">
      <w:pPr>
        <w:pStyle w:val="BodyText"/>
        <w:spacing w:line="278" w:lineRule="auto"/>
        <w:ind w:left="172"/>
      </w:pPr>
      <w:r>
        <w:t>Under the current capital rules, the following assets are eligible as potential credit risk mitigants for derivatives exposures:</w:t>
      </w:r>
    </w:p>
    <w:p w14:paraId="4474AD59" w14:textId="77777777" w:rsidR="001D4C35" w:rsidRDefault="001D4C35">
      <w:pPr>
        <w:pStyle w:val="BodyText"/>
        <w:spacing w:before="8"/>
        <w:rPr>
          <w:sz w:val="23"/>
        </w:rPr>
      </w:pPr>
    </w:p>
    <w:p w14:paraId="4474AD5A" w14:textId="77777777" w:rsidR="001D4C35" w:rsidRDefault="00D84817">
      <w:pPr>
        <w:pStyle w:val="ListParagraph"/>
        <w:numPr>
          <w:ilvl w:val="0"/>
          <w:numId w:val="15"/>
        </w:numPr>
        <w:tabs>
          <w:tab w:val="left" w:pos="891"/>
          <w:tab w:val="left" w:pos="892"/>
        </w:tabs>
        <w:ind w:hanging="361"/>
        <w:jc w:val="left"/>
      </w:pPr>
      <w:r>
        <w:t>Assets listed in CRR Article 197 (Eligibility of collateral under all approaches and</w:t>
      </w:r>
      <w:r>
        <w:rPr>
          <w:spacing w:val="-18"/>
        </w:rPr>
        <w:t xml:space="preserve"> </w:t>
      </w:r>
      <w:r>
        <w:t>methods);</w:t>
      </w:r>
    </w:p>
    <w:p w14:paraId="4474AD5B" w14:textId="77777777" w:rsidR="001D4C35" w:rsidRDefault="00D84817">
      <w:pPr>
        <w:pStyle w:val="ListParagraph"/>
        <w:numPr>
          <w:ilvl w:val="0"/>
          <w:numId w:val="15"/>
        </w:numPr>
        <w:tabs>
          <w:tab w:val="left" w:pos="892"/>
        </w:tabs>
        <w:spacing w:before="38" w:line="276" w:lineRule="auto"/>
        <w:ind w:right="151"/>
      </w:pPr>
      <w:r>
        <w:t>Assets</w:t>
      </w:r>
      <w:r>
        <w:rPr>
          <w:spacing w:val="-5"/>
        </w:rPr>
        <w:t xml:space="preserve"> </w:t>
      </w:r>
      <w:r>
        <w:t>eligible</w:t>
      </w:r>
      <w:r>
        <w:rPr>
          <w:spacing w:val="-5"/>
        </w:rPr>
        <w:t xml:space="preserve"> </w:t>
      </w:r>
      <w:r>
        <w:t>under</w:t>
      </w:r>
      <w:r>
        <w:rPr>
          <w:spacing w:val="-6"/>
        </w:rPr>
        <w:t xml:space="preserve"> </w:t>
      </w:r>
      <w:r>
        <w:t>CRR</w:t>
      </w:r>
      <w:r>
        <w:rPr>
          <w:spacing w:val="-7"/>
        </w:rPr>
        <w:t xml:space="preserve"> </w:t>
      </w:r>
      <w:r>
        <w:t>Article</w:t>
      </w:r>
      <w:r>
        <w:rPr>
          <w:spacing w:val="-5"/>
        </w:rPr>
        <w:t xml:space="preserve"> </w:t>
      </w:r>
      <w:r>
        <w:t>299,</w:t>
      </w:r>
      <w:r>
        <w:rPr>
          <w:spacing w:val="-4"/>
        </w:rPr>
        <w:t xml:space="preserve"> </w:t>
      </w:r>
      <w:r>
        <w:t>if</w:t>
      </w:r>
      <w:r>
        <w:rPr>
          <w:spacing w:val="-5"/>
        </w:rPr>
        <w:t xml:space="preserve"> </w:t>
      </w:r>
      <w:r>
        <w:t>the</w:t>
      </w:r>
      <w:r>
        <w:rPr>
          <w:spacing w:val="-1"/>
        </w:rPr>
        <w:t xml:space="preserve"> </w:t>
      </w:r>
      <w:r>
        <w:t>derivative</w:t>
      </w:r>
      <w:r>
        <w:rPr>
          <w:spacing w:val="-6"/>
        </w:rPr>
        <w:t xml:space="preserve"> </w:t>
      </w:r>
      <w:r>
        <w:t>is</w:t>
      </w:r>
      <w:r>
        <w:rPr>
          <w:spacing w:val="-4"/>
        </w:rPr>
        <w:t xml:space="preserve"> </w:t>
      </w:r>
      <w:r>
        <w:t>in</w:t>
      </w:r>
      <w:r>
        <w:rPr>
          <w:spacing w:val="-5"/>
        </w:rPr>
        <w:t xml:space="preserve"> </w:t>
      </w:r>
      <w:r>
        <w:t>the</w:t>
      </w:r>
      <w:r>
        <w:rPr>
          <w:spacing w:val="-6"/>
        </w:rPr>
        <w:t xml:space="preserve"> </w:t>
      </w:r>
      <w:r>
        <w:t>prudential</w:t>
      </w:r>
      <w:r>
        <w:rPr>
          <w:spacing w:val="-6"/>
        </w:rPr>
        <w:t xml:space="preserve"> </w:t>
      </w:r>
      <w:r>
        <w:t>Trading</w:t>
      </w:r>
      <w:r>
        <w:rPr>
          <w:spacing w:val="-7"/>
        </w:rPr>
        <w:t xml:space="preserve"> </w:t>
      </w:r>
      <w:r>
        <w:t>Book</w:t>
      </w:r>
      <w:r>
        <w:rPr>
          <w:spacing w:val="-10"/>
        </w:rPr>
        <w:t xml:space="preserve"> </w:t>
      </w:r>
      <w:r>
        <w:t>(Article</w:t>
      </w:r>
      <w:r>
        <w:rPr>
          <w:spacing w:val="-5"/>
        </w:rPr>
        <w:t xml:space="preserve"> </w:t>
      </w:r>
      <w:r>
        <w:t>276 (1)</w:t>
      </w:r>
      <w:r>
        <w:rPr>
          <w:spacing w:val="-2"/>
        </w:rPr>
        <w:t xml:space="preserve"> </w:t>
      </w:r>
      <w:r>
        <w:t>(a)).</w:t>
      </w:r>
    </w:p>
    <w:p w14:paraId="4474AD5C" w14:textId="77777777" w:rsidR="001D4C35" w:rsidRDefault="001D4C35">
      <w:pPr>
        <w:pStyle w:val="BodyText"/>
        <w:spacing w:before="9"/>
        <w:rPr>
          <w:sz w:val="23"/>
        </w:rPr>
      </w:pPr>
    </w:p>
    <w:p w14:paraId="4474AD5D" w14:textId="77777777" w:rsidR="001D4C35" w:rsidRDefault="00D84817">
      <w:pPr>
        <w:pStyle w:val="BodyText"/>
        <w:spacing w:line="276" w:lineRule="auto"/>
        <w:ind w:left="171"/>
      </w:pPr>
      <w:r>
        <w:t>The Industry proposes to enlarge the eligible collateral assets to CRR Article 198 (additional eligibility of collateral under the Financial Collateral Comprehensive Method (FCCM)).</w:t>
      </w:r>
    </w:p>
    <w:p w14:paraId="4474AD5E" w14:textId="77777777" w:rsidR="001D4C35" w:rsidRDefault="001D4C35">
      <w:pPr>
        <w:pStyle w:val="BodyText"/>
        <w:spacing w:before="9"/>
        <w:rPr>
          <w:sz w:val="23"/>
        </w:rPr>
      </w:pPr>
    </w:p>
    <w:p w14:paraId="4474AD5F" w14:textId="77777777" w:rsidR="001D4C35" w:rsidRDefault="00D84817">
      <w:pPr>
        <w:pStyle w:val="ListParagraph"/>
        <w:numPr>
          <w:ilvl w:val="0"/>
          <w:numId w:val="15"/>
        </w:numPr>
        <w:tabs>
          <w:tab w:val="left" w:pos="892"/>
        </w:tabs>
        <w:spacing w:line="276" w:lineRule="auto"/>
        <w:ind w:right="147"/>
      </w:pPr>
      <w:r>
        <w:t>The</w:t>
      </w:r>
      <w:r>
        <w:rPr>
          <w:spacing w:val="-12"/>
        </w:rPr>
        <w:t xml:space="preserve"> </w:t>
      </w:r>
      <w:proofErr w:type="spellStart"/>
      <w:r>
        <w:t>standardised</w:t>
      </w:r>
      <w:proofErr w:type="spellEnd"/>
      <w:r>
        <w:rPr>
          <w:spacing w:val="-10"/>
        </w:rPr>
        <w:t xml:space="preserve"> </w:t>
      </w:r>
      <w:r>
        <w:t>approach</w:t>
      </w:r>
      <w:r>
        <w:rPr>
          <w:spacing w:val="-13"/>
        </w:rPr>
        <w:t xml:space="preserve"> </w:t>
      </w:r>
      <w:r>
        <w:t>SA-CCR</w:t>
      </w:r>
      <w:r>
        <w:rPr>
          <w:spacing w:val="-13"/>
        </w:rPr>
        <w:t xml:space="preserve"> </w:t>
      </w:r>
      <w:r>
        <w:t>applies</w:t>
      </w:r>
      <w:r>
        <w:rPr>
          <w:spacing w:val="-17"/>
        </w:rPr>
        <w:t xml:space="preserve"> </w:t>
      </w:r>
      <w:r>
        <w:t>a</w:t>
      </w:r>
      <w:r>
        <w:rPr>
          <w:spacing w:val="-11"/>
        </w:rPr>
        <w:t xml:space="preserve"> </w:t>
      </w:r>
      <w:r>
        <w:t>haircut</w:t>
      </w:r>
      <w:r>
        <w:rPr>
          <w:spacing w:val="-11"/>
        </w:rPr>
        <w:t xml:space="preserve"> </w:t>
      </w:r>
      <w:r>
        <w:t>method</w:t>
      </w:r>
      <w:r>
        <w:rPr>
          <w:spacing w:val="-10"/>
        </w:rPr>
        <w:t xml:space="preserve"> </w:t>
      </w:r>
      <w:r>
        <w:t>when</w:t>
      </w:r>
      <w:r>
        <w:rPr>
          <w:spacing w:val="-11"/>
        </w:rPr>
        <w:t xml:space="preserve"> </w:t>
      </w:r>
      <w:r>
        <w:t>valuing</w:t>
      </w:r>
      <w:r>
        <w:rPr>
          <w:spacing w:val="-13"/>
        </w:rPr>
        <w:t xml:space="preserve"> </w:t>
      </w:r>
      <w:r>
        <w:t>financial</w:t>
      </w:r>
      <w:r>
        <w:rPr>
          <w:spacing w:val="-12"/>
        </w:rPr>
        <w:t xml:space="preserve"> </w:t>
      </w:r>
      <w:r>
        <w:t>collateral.</w:t>
      </w:r>
      <w:r>
        <w:rPr>
          <w:spacing w:val="-17"/>
        </w:rPr>
        <w:t xml:space="preserve"> </w:t>
      </w:r>
      <w:r>
        <w:t>Those haircuts</w:t>
      </w:r>
      <w:r>
        <w:rPr>
          <w:spacing w:val="-5"/>
        </w:rPr>
        <w:t xml:space="preserve"> </w:t>
      </w:r>
      <w:r>
        <w:t>are</w:t>
      </w:r>
      <w:r>
        <w:rPr>
          <w:spacing w:val="-6"/>
        </w:rPr>
        <w:t xml:space="preserve"> </w:t>
      </w:r>
      <w:r>
        <w:t>the</w:t>
      </w:r>
      <w:r>
        <w:rPr>
          <w:spacing w:val="-5"/>
        </w:rPr>
        <w:t xml:space="preserve"> </w:t>
      </w:r>
      <w:r>
        <w:t>same</w:t>
      </w:r>
      <w:r>
        <w:rPr>
          <w:spacing w:val="-6"/>
        </w:rPr>
        <w:t xml:space="preserve"> </w:t>
      </w:r>
      <w:r>
        <w:t>as</w:t>
      </w:r>
      <w:r>
        <w:rPr>
          <w:spacing w:val="-6"/>
        </w:rPr>
        <w:t xml:space="preserve"> </w:t>
      </w:r>
      <w:r>
        <w:t>the</w:t>
      </w:r>
      <w:r>
        <w:rPr>
          <w:spacing w:val="-5"/>
        </w:rPr>
        <w:t xml:space="preserve"> </w:t>
      </w:r>
      <w:r>
        <w:t>ones</w:t>
      </w:r>
      <w:r>
        <w:rPr>
          <w:spacing w:val="-5"/>
        </w:rPr>
        <w:t xml:space="preserve"> </w:t>
      </w:r>
      <w:r>
        <w:t>that</w:t>
      </w:r>
      <w:r>
        <w:rPr>
          <w:spacing w:val="-5"/>
        </w:rPr>
        <w:t xml:space="preserve"> </w:t>
      </w:r>
      <w:r>
        <w:t>apply</w:t>
      </w:r>
      <w:r>
        <w:rPr>
          <w:spacing w:val="-9"/>
        </w:rPr>
        <w:t xml:space="preserve"> </w:t>
      </w:r>
      <w:r>
        <w:t>under</w:t>
      </w:r>
      <w:r>
        <w:rPr>
          <w:spacing w:val="-6"/>
        </w:rPr>
        <w:t xml:space="preserve"> </w:t>
      </w:r>
      <w:r>
        <w:t>the</w:t>
      </w:r>
      <w:r>
        <w:rPr>
          <w:spacing w:val="-5"/>
        </w:rPr>
        <w:t xml:space="preserve"> </w:t>
      </w:r>
      <w:r>
        <w:t>supervisory</w:t>
      </w:r>
      <w:r>
        <w:rPr>
          <w:spacing w:val="-6"/>
        </w:rPr>
        <w:t xml:space="preserve"> </w:t>
      </w:r>
      <w:r>
        <w:t>haircut</w:t>
      </w:r>
      <w:r>
        <w:rPr>
          <w:spacing w:val="-5"/>
        </w:rPr>
        <w:t xml:space="preserve"> </w:t>
      </w:r>
      <w:r>
        <w:t>method</w:t>
      </w:r>
      <w:r>
        <w:rPr>
          <w:spacing w:val="-4"/>
        </w:rPr>
        <w:t xml:space="preserve"> </w:t>
      </w:r>
      <w:r>
        <w:t>(Article</w:t>
      </w:r>
      <w:r>
        <w:rPr>
          <w:spacing w:val="-6"/>
        </w:rPr>
        <w:t xml:space="preserve"> </w:t>
      </w:r>
      <w:r>
        <w:t>220)</w:t>
      </w:r>
      <w:r>
        <w:rPr>
          <w:spacing w:val="-7"/>
        </w:rPr>
        <w:t xml:space="preserve"> </w:t>
      </w:r>
      <w:r>
        <w:t>and the</w:t>
      </w:r>
      <w:r>
        <w:rPr>
          <w:spacing w:val="-7"/>
        </w:rPr>
        <w:t xml:space="preserve"> </w:t>
      </w:r>
      <w:r>
        <w:t>FCCM</w:t>
      </w:r>
      <w:r>
        <w:rPr>
          <w:spacing w:val="-6"/>
        </w:rPr>
        <w:t xml:space="preserve"> </w:t>
      </w:r>
      <w:r>
        <w:t>(Article</w:t>
      </w:r>
      <w:r>
        <w:rPr>
          <w:spacing w:val="-6"/>
        </w:rPr>
        <w:t xml:space="preserve"> </w:t>
      </w:r>
      <w:r>
        <w:t>223)</w:t>
      </w:r>
      <w:r>
        <w:rPr>
          <w:spacing w:val="-3"/>
        </w:rPr>
        <w:t xml:space="preserve"> </w:t>
      </w:r>
      <w:r>
        <w:t>i.e.</w:t>
      </w:r>
      <w:r>
        <w:rPr>
          <w:spacing w:val="-8"/>
        </w:rPr>
        <w:t xml:space="preserve"> </w:t>
      </w:r>
      <w:r>
        <w:t>those</w:t>
      </w:r>
      <w:r>
        <w:rPr>
          <w:spacing w:val="-6"/>
        </w:rPr>
        <w:t xml:space="preserve"> </w:t>
      </w:r>
      <w:r>
        <w:t>of</w:t>
      </w:r>
      <w:r>
        <w:rPr>
          <w:spacing w:val="-6"/>
        </w:rPr>
        <w:t xml:space="preserve"> </w:t>
      </w:r>
      <w:r>
        <w:t>Article</w:t>
      </w:r>
      <w:r>
        <w:rPr>
          <w:spacing w:val="-2"/>
        </w:rPr>
        <w:t xml:space="preserve"> </w:t>
      </w:r>
      <w:r>
        <w:t>224</w:t>
      </w:r>
      <w:r>
        <w:rPr>
          <w:spacing w:val="-9"/>
        </w:rPr>
        <w:t xml:space="preserve"> </w:t>
      </w:r>
      <w:r>
        <w:t>for</w:t>
      </w:r>
      <w:r>
        <w:rPr>
          <w:spacing w:val="-6"/>
        </w:rPr>
        <w:t xml:space="preserve"> </w:t>
      </w:r>
      <w:r>
        <w:t>collateral</w:t>
      </w:r>
      <w:r>
        <w:rPr>
          <w:spacing w:val="-7"/>
        </w:rPr>
        <w:t xml:space="preserve"> </w:t>
      </w:r>
      <w:r>
        <w:t>of</w:t>
      </w:r>
      <w:r>
        <w:rPr>
          <w:spacing w:val="-6"/>
        </w:rPr>
        <w:t xml:space="preserve"> </w:t>
      </w:r>
      <w:r>
        <w:t>Article</w:t>
      </w:r>
      <w:r>
        <w:rPr>
          <w:spacing w:val="-6"/>
        </w:rPr>
        <w:t xml:space="preserve"> </w:t>
      </w:r>
      <w:r>
        <w:t>196,</w:t>
      </w:r>
      <w:r>
        <w:rPr>
          <w:spacing w:val="-4"/>
        </w:rPr>
        <w:t xml:space="preserve"> </w:t>
      </w:r>
      <w:r>
        <w:t>i.e.</w:t>
      </w:r>
      <w:r>
        <w:rPr>
          <w:spacing w:val="-8"/>
        </w:rPr>
        <w:t xml:space="preserve"> </w:t>
      </w:r>
      <w:r>
        <w:t>those</w:t>
      </w:r>
      <w:r>
        <w:rPr>
          <w:spacing w:val="-6"/>
        </w:rPr>
        <w:t xml:space="preserve"> </w:t>
      </w:r>
      <w:r>
        <w:t>listed</w:t>
      </w:r>
      <w:r>
        <w:rPr>
          <w:spacing w:val="-5"/>
        </w:rPr>
        <w:t xml:space="preserve"> </w:t>
      </w:r>
      <w:r>
        <w:t>in</w:t>
      </w:r>
      <w:r>
        <w:rPr>
          <w:spacing w:val="-6"/>
        </w:rPr>
        <w:t xml:space="preserve"> </w:t>
      </w:r>
      <w:r>
        <w:t>Articles 197</w:t>
      </w:r>
      <w:r>
        <w:rPr>
          <w:spacing w:val="-5"/>
        </w:rPr>
        <w:t xml:space="preserve"> </w:t>
      </w:r>
      <w:r>
        <w:t>and</w:t>
      </w:r>
      <w:r>
        <w:rPr>
          <w:spacing w:val="-1"/>
        </w:rPr>
        <w:t xml:space="preserve"> </w:t>
      </w:r>
      <w:r>
        <w:t>198</w:t>
      </w:r>
      <w:r>
        <w:rPr>
          <w:spacing w:val="-5"/>
        </w:rPr>
        <w:t xml:space="preserve"> </w:t>
      </w:r>
      <w:r>
        <w:t>(Basel</w:t>
      </w:r>
      <w:r>
        <w:rPr>
          <w:spacing w:val="-3"/>
        </w:rPr>
        <w:t xml:space="preserve"> </w:t>
      </w:r>
      <w:r>
        <w:t>at</w:t>
      </w:r>
      <w:r>
        <w:rPr>
          <w:spacing w:val="-5"/>
        </w:rPr>
        <w:t xml:space="preserve"> </w:t>
      </w:r>
      <w:r>
        <w:t>CRE52.11</w:t>
      </w:r>
      <w:r>
        <w:rPr>
          <w:spacing w:val="-5"/>
        </w:rPr>
        <w:t xml:space="preserve"> </w:t>
      </w:r>
      <w:r>
        <w:t>states</w:t>
      </w:r>
      <w:r>
        <w:rPr>
          <w:spacing w:val="-2"/>
        </w:rPr>
        <w:t xml:space="preserve"> </w:t>
      </w:r>
      <w:r>
        <w:t>that</w:t>
      </w:r>
      <w:r>
        <w:rPr>
          <w:spacing w:val="-6"/>
        </w:rPr>
        <w:t xml:space="preserve"> </w:t>
      </w:r>
      <w:r>
        <w:t>the</w:t>
      </w:r>
      <w:r>
        <w:rPr>
          <w:spacing w:val="-2"/>
        </w:rPr>
        <w:t xml:space="preserve"> </w:t>
      </w:r>
      <w:r>
        <w:t>applicable</w:t>
      </w:r>
      <w:r>
        <w:rPr>
          <w:spacing w:val="-2"/>
        </w:rPr>
        <w:t xml:space="preserve"> </w:t>
      </w:r>
      <w:r>
        <w:t>haircuts</w:t>
      </w:r>
      <w:r>
        <w:rPr>
          <w:spacing w:val="-1"/>
        </w:rPr>
        <w:t xml:space="preserve"> </w:t>
      </w:r>
      <w:r>
        <w:t>are</w:t>
      </w:r>
      <w:r>
        <w:rPr>
          <w:spacing w:val="-2"/>
        </w:rPr>
        <w:t xml:space="preserve"> </w:t>
      </w:r>
      <w:r>
        <w:t>identical</w:t>
      </w:r>
      <w:r>
        <w:rPr>
          <w:spacing w:val="-3"/>
        </w:rPr>
        <w:t xml:space="preserve"> </w:t>
      </w:r>
      <w:r>
        <w:t>to</w:t>
      </w:r>
      <w:r>
        <w:rPr>
          <w:spacing w:val="-4"/>
        </w:rPr>
        <w:t xml:space="preserve"> </w:t>
      </w:r>
      <w:r>
        <w:t>that</w:t>
      </w:r>
      <w:r>
        <w:rPr>
          <w:spacing w:val="-5"/>
        </w:rPr>
        <w:t xml:space="preserve"> </w:t>
      </w:r>
      <w:r>
        <w:t>applicable</w:t>
      </w:r>
      <w:r>
        <w:rPr>
          <w:spacing w:val="-2"/>
        </w:rPr>
        <w:t xml:space="preserve"> </w:t>
      </w:r>
      <w:r>
        <w:t>to repo-style</w:t>
      </w:r>
      <w:r>
        <w:rPr>
          <w:spacing w:val="-7"/>
        </w:rPr>
        <w:t xml:space="preserve"> </w:t>
      </w:r>
      <w:r>
        <w:t>transactions</w:t>
      </w:r>
      <w:r>
        <w:rPr>
          <w:spacing w:val="-10"/>
        </w:rPr>
        <w:t xml:space="preserve"> </w:t>
      </w:r>
      <w:r>
        <w:t>which,</w:t>
      </w:r>
      <w:r>
        <w:rPr>
          <w:spacing w:val="-8"/>
        </w:rPr>
        <w:t xml:space="preserve"> </w:t>
      </w:r>
      <w:r>
        <w:t>in</w:t>
      </w:r>
      <w:r>
        <w:rPr>
          <w:spacing w:val="-7"/>
        </w:rPr>
        <w:t xml:space="preserve"> </w:t>
      </w:r>
      <w:r>
        <w:t>CRR,</w:t>
      </w:r>
      <w:r>
        <w:rPr>
          <w:spacing w:val="32"/>
        </w:rPr>
        <w:t xml:space="preserve"> </w:t>
      </w:r>
      <w:r>
        <w:t>would</w:t>
      </w:r>
      <w:r>
        <w:rPr>
          <w:spacing w:val="-5"/>
        </w:rPr>
        <w:t xml:space="preserve"> </w:t>
      </w:r>
      <w:r>
        <w:t>be</w:t>
      </w:r>
      <w:r>
        <w:rPr>
          <w:spacing w:val="-11"/>
        </w:rPr>
        <w:t xml:space="preserve"> </w:t>
      </w:r>
      <w:r>
        <w:t>those</w:t>
      </w:r>
      <w:r>
        <w:rPr>
          <w:spacing w:val="-6"/>
        </w:rPr>
        <w:t xml:space="preserve"> </w:t>
      </w:r>
      <w:r>
        <w:t>applicable</w:t>
      </w:r>
      <w:r>
        <w:rPr>
          <w:spacing w:val="-7"/>
        </w:rPr>
        <w:t xml:space="preserve"> </w:t>
      </w:r>
      <w:r>
        <w:t>under</w:t>
      </w:r>
      <w:r>
        <w:rPr>
          <w:spacing w:val="-7"/>
        </w:rPr>
        <w:t xml:space="preserve"> </w:t>
      </w:r>
      <w:r>
        <w:t>either</w:t>
      </w:r>
      <w:r>
        <w:rPr>
          <w:spacing w:val="-10"/>
        </w:rPr>
        <w:t xml:space="preserve"> </w:t>
      </w:r>
      <w:r>
        <w:t>Article</w:t>
      </w:r>
      <w:r>
        <w:rPr>
          <w:spacing w:val="-7"/>
        </w:rPr>
        <w:t xml:space="preserve"> </w:t>
      </w:r>
      <w:r>
        <w:rPr>
          <w:spacing w:val="-3"/>
        </w:rPr>
        <w:t>220</w:t>
      </w:r>
      <w:r>
        <w:rPr>
          <w:spacing w:val="-9"/>
        </w:rPr>
        <w:t xml:space="preserve"> </w:t>
      </w:r>
      <w:r>
        <w:t>or</w:t>
      </w:r>
      <w:r>
        <w:rPr>
          <w:spacing w:val="-7"/>
        </w:rPr>
        <w:t xml:space="preserve"> </w:t>
      </w:r>
      <w:r>
        <w:t>223,</w:t>
      </w:r>
      <w:r>
        <w:rPr>
          <w:spacing w:val="-9"/>
        </w:rPr>
        <w:t xml:space="preserve"> </w:t>
      </w:r>
      <w:r>
        <w:t>i.e. all collateral listed at Articles 197 and</w:t>
      </w:r>
      <w:r>
        <w:rPr>
          <w:spacing w:val="-4"/>
        </w:rPr>
        <w:t xml:space="preserve"> </w:t>
      </w:r>
      <w:r>
        <w:t>198).</w:t>
      </w:r>
    </w:p>
    <w:p w14:paraId="4474AD60" w14:textId="77777777" w:rsidR="001D4C35" w:rsidRDefault="00D84817">
      <w:pPr>
        <w:pStyle w:val="ListParagraph"/>
        <w:numPr>
          <w:ilvl w:val="0"/>
          <w:numId w:val="15"/>
        </w:numPr>
        <w:tabs>
          <w:tab w:val="left" w:pos="892"/>
        </w:tabs>
        <w:spacing w:line="276" w:lineRule="auto"/>
        <w:ind w:right="150"/>
      </w:pPr>
      <w:r>
        <w:t xml:space="preserve">Logically, the perimeter </w:t>
      </w:r>
      <w:r>
        <w:rPr>
          <w:spacing w:val="-3"/>
        </w:rPr>
        <w:t xml:space="preserve">of </w:t>
      </w:r>
      <w:r>
        <w:t>eligible financial collateral under SA-CCR should be the same than the perimeter under the supervisory haircut method (Article 220) or the FCCM (Article 223) listed in CRR Article 196 (“Without prejudice to Article 299, the collateral taken, and securities or commodities borrowed within such agreements or transactions shall comply with the eligibility requirements for collateral set out in Articles 197 and</w:t>
      </w:r>
      <w:r>
        <w:rPr>
          <w:spacing w:val="-4"/>
        </w:rPr>
        <w:t xml:space="preserve"> </w:t>
      </w:r>
      <w:r>
        <w:t>198”)</w:t>
      </w:r>
    </w:p>
    <w:p w14:paraId="4474AD61" w14:textId="77777777" w:rsidR="001D4C35" w:rsidRDefault="001D4C35">
      <w:pPr>
        <w:pStyle w:val="BodyText"/>
        <w:rPr>
          <w:sz w:val="20"/>
        </w:rPr>
      </w:pPr>
    </w:p>
    <w:p w14:paraId="4474AD62" w14:textId="77777777" w:rsidR="001D4C35" w:rsidRDefault="00D65A23">
      <w:pPr>
        <w:pStyle w:val="BodyText"/>
        <w:rPr>
          <w:sz w:val="25"/>
        </w:rPr>
      </w:pPr>
      <w:r>
        <w:pict w14:anchorId="4474B07C">
          <v:shape id="_x0000_s2111" type="#_x0000_t202" style="position:absolute;margin-left:69.2pt;margin-top:17pt;width:478.75pt;height:167pt;z-index:-251602944;mso-wrap-distance-left:0;mso-wrap-distance-right:0;mso-position-horizontal-relative:page" fillcolor="#dbe4f0">
            <v:textbox inset="0,0,0,0">
              <w:txbxContent>
                <w:p w14:paraId="4474B146" w14:textId="77777777" w:rsidR="001D4C35" w:rsidRDefault="00D84817">
                  <w:pPr>
                    <w:spacing w:before="72"/>
                    <w:ind w:left="3723" w:right="3727"/>
                    <w:jc w:val="center"/>
                    <w:rPr>
                      <w:b/>
                    </w:rPr>
                  </w:pPr>
                  <w:r>
                    <w:rPr>
                      <w:b/>
                    </w:rPr>
                    <w:t>Recommendation(s)</w:t>
                  </w:r>
                </w:p>
                <w:p w14:paraId="4474B147" w14:textId="77777777" w:rsidR="001D4C35" w:rsidRDefault="001D4C35">
                  <w:pPr>
                    <w:pStyle w:val="BodyText"/>
                    <w:spacing w:before="1"/>
                    <w:rPr>
                      <w:b/>
                      <w:sz w:val="27"/>
                    </w:rPr>
                  </w:pPr>
                </w:p>
                <w:p w14:paraId="4474B148" w14:textId="77777777" w:rsidR="001D4C35" w:rsidRDefault="00D84817">
                  <w:pPr>
                    <w:pStyle w:val="BodyText"/>
                    <w:spacing w:line="276" w:lineRule="auto"/>
                    <w:ind w:left="144" w:right="259"/>
                  </w:pPr>
                  <w:r>
                    <w:t>Consider amending Article 276 (1) (a) (b) to read: ‘1. For the purposes of this Section, institutions shall calculate the collateral amounts of VM, VMMA, NICA and NICAMA, by applying all the following requirements:</w:t>
                  </w:r>
                </w:p>
                <w:p w14:paraId="4474B149" w14:textId="77777777" w:rsidR="001D4C35" w:rsidRDefault="001D4C35">
                  <w:pPr>
                    <w:pStyle w:val="BodyText"/>
                    <w:spacing w:before="8"/>
                    <w:rPr>
                      <w:sz w:val="23"/>
                    </w:rPr>
                  </w:pPr>
                </w:p>
                <w:p w14:paraId="4474B14A" w14:textId="77777777" w:rsidR="001D4C35" w:rsidRDefault="00D84817">
                  <w:pPr>
                    <w:pStyle w:val="BodyText"/>
                    <w:numPr>
                      <w:ilvl w:val="0"/>
                      <w:numId w:val="14"/>
                    </w:numPr>
                    <w:tabs>
                      <w:tab w:val="left" w:pos="469"/>
                    </w:tabs>
                    <w:spacing w:line="278" w:lineRule="auto"/>
                    <w:ind w:right="393" w:firstLine="0"/>
                  </w:pPr>
                  <w:r>
                    <w:t>where all the transactions included in a netting set belong to the trading book, only collateral that is eligible under Articles 197, 198 and 299 shall be</w:t>
                  </w:r>
                  <w:r>
                    <w:rPr>
                      <w:spacing w:val="-11"/>
                    </w:rPr>
                    <w:t xml:space="preserve"> </w:t>
                  </w:r>
                  <w:r>
                    <w:t>recognized;</w:t>
                  </w:r>
                </w:p>
                <w:p w14:paraId="4474B14B" w14:textId="77777777" w:rsidR="001D4C35" w:rsidRDefault="001D4C35">
                  <w:pPr>
                    <w:pStyle w:val="BodyText"/>
                    <w:spacing w:before="8"/>
                    <w:rPr>
                      <w:sz w:val="23"/>
                    </w:rPr>
                  </w:pPr>
                </w:p>
                <w:p w14:paraId="4474B14C" w14:textId="77777777" w:rsidR="001D4C35" w:rsidRDefault="00D84817">
                  <w:pPr>
                    <w:pStyle w:val="BodyText"/>
                    <w:numPr>
                      <w:ilvl w:val="0"/>
                      <w:numId w:val="14"/>
                    </w:numPr>
                    <w:tabs>
                      <w:tab w:val="left" w:pos="481"/>
                    </w:tabs>
                    <w:spacing w:before="1" w:line="276" w:lineRule="auto"/>
                    <w:ind w:right="210" w:firstLine="0"/>
                  </w:pPr>
                  <w:r>
                    <w:t>where a netting set contains at least one transaction that belongs to the non-trading book, only collateral that is eligible under Article 197 and 198 shall be</w:t>
                  </w:r>
                  <w:r>
                    <w:rPr>
                      <w:spacing w:val="-7"/>
                    </w:rPr>
                    <w:t xml:space="preserve"> </w:t>
                  </w:r>
                  <w:r>
                    <w:t>recognized;.</w:t>
                  </w:r>
                </w:p>
              </w:txbxContent>
            </v:textbox>
            <w10:wrap type="topAndBottom" anchorx="page"/>
          </v:shape>
        </w:pict>
      </w:r>
    </w:p>
    <w:p w14:paraId="4474AD63" w14:textId="77777777" w:rsidR="001D4C35" w:rsidRDefault="001D4C35">
      <w:pPr>
        <w:rPr>
          <w:sz w:val="25"/>
        </w:rPr>
        <w:sectPr w:rsidR="001D4C35">
          <w:pgSz w:w="11910" w:h="16840"/>
          <w:pgMar w:top="520" w:right="840" w:bottom="960" w:left="680" w:header="0" w:footer="704" w:gutter="0"/>
          <w:cols w:space="720"/>
        </w:sectPr>
      </w:pPr>
    </w:p>
    <w:p w14:paraId="4474AD64" w14:textId="77777777" w:rsidR="001D4C35" w:rsidRDefault="00D84817">
      <w:pPr>
        <w:tabs>
          <w:tab w:val="left" w:pos="7925"/>
        </w:tabs>
        <w:ind w:left="186"/>
        <w:rPr>
          <w:sz w:val="20"/>
        </w:rPr>
      </w:pPr>
      <w:r>
        <w:rPr>
          <w:noProof/>
          <w:position w:val="11"/>
          <w:sz w:val="20"/>
        </w:rPr>
        <w:lastRenderedPageBreak/>
        <w:drawing>
          <wp:inline distT="0" distB="0" distL="0" distR="0" wp14:anchorId="4474B07D" wp14:editId="4474B07E">
            <wp:extent cx="1679117" cy="442722"/>
            <wp:effectExtent l="0" t="0" r="0" b="0"/>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1" cstate="print"/>
                    <a:stretch>
                      <a:fillRect/>
                    </a:stretch>
                  </pic:blipFill>
                  <pic:spPr>
                    <a:xfrm>
                      <a:off x="0" y="0"/>
                      <a:ext cx="1679117" cy="442722"/>
                    </a:xfrm>
                    <a:prstGeom prst="rect">
                      <a:avLst/>
                    </a:prstGeom>
                  </pic:spPr>
                </pic:pic>
              </a:graphicData>
            </a:graphic>
          </wp:inline>
        </w:drawing>
      </w:r>
      <w:r>
        <w:rPr>
          <w:position w:val="11"/>
          <w:sz w:val="20"/>
        </w:rPr>
        <w:tab/>
      </w:r>
      <w:r>
        <w:rPr>
          <w:noProof/>
          <w:sz w:val="20"/>
        </w:rPr>
        <w:drawing>
          <wp:inline distT="0" distB="0" distL="0" distR="0" wp14:anchorId="4474B07F" wp14:editId="4474B080">
            <wp:extent cx="1427865" cy="572643"/>
            <wp:effectExtent l="0" t="0" r="0" b="0"/>
            <wp:docPr id="6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jpeg"/>
                    <pic:cNvPicPr/>
                  </pic:nvPicPr>
                  <pic:blipFill>
                    <a:blip r:embed="rId12" cstate="print"/>
                    <a:stretch>
                      <a:fillRect/>
                    </a:stretch>
                  </pic:blipFill>
                  <pic:spPr>
                    <a:xfrm>
                      <a:off x="0" y="0"/>
                      <a:ext cx="1427865" cy="572643"/>
                    </a:xfrm>
                    <a:prstGeom prst="rect">
                      <a:avLst/>
                    </a:prstGeom>
                  </pic:spPr>
                </pic:pic>
              </a:graphicData>
            </a:graphic>
          </wp:inline>
        </w:drawing>
      </w:r>
    </w:p>
    <w:p w14:paraId="4474AD65" w14:textId="77777777" w:rsidR="001D4C35" w:rsidRDefault="001D4C35">
      <w:pPr>
        <w:pStyle w:val="BodyText"/>
        <w:rPr>
          <w:sz w:val="20"/>
        </w:rPr>
      </w:pPr>
    </w:p>
    <w:p w14:paraId="4474AD66" w14:textId="77777777" w:rsidR="001D4C35" w:rsidRDefault="001D4C35">
      <w:pPr>
        <w:pStyle w:val="BodyText"/>
        <w:rPr>
          <w:sz w:val="20"/>
        </w:rPr>
      </w:pPr>
    </w:p>
    <w:p w14:paraId="4474AD67" w14:textId="77777777" w:rsidR="001D4C35" w:rsidRDefault="001D4C35">
      <w:pPr>
        <w:pStyle w:val="BodyText"/>
        <w:spacing w:before="10"/>
        <w:rPr>
          <w:sz w:val="23"/>
        </w:rPr>
      </w:pPr>
    </w:p>
    <w:p w14:paraId="4474AD68" w14:textId="77777777" w:rsidR="001D4C35" w:rsidRDefault="00D84817">
      <w:pPr>
        <w:pStyle w:val="Heading3"/>
        <w:spacing w:before="100"/>
        <w:ind w:left="304"/>
      </w:pPr>
      <w:r>
        <w:t>Contacts</w:t>
      </w:r>
    </w:p>
    <w:p w14:paraId="4474AD69" w14:textId="77777777" w:rsidR="001D4C35" w:rsidRDefault="001D4C35">
      <w:pPr>
        <w:pStyle w:val="BodyText"/>
        <w:spacing w:before="1" w:after="1"/>
        <w:rPr>
          <w:b/>
          <w:sz w:val="27"/>
        </w:rPr>
      </w:pPr>
    </w:p>
    <w:tbl>
      <w:tblPr>
        <w:tblW w:w="0" w:type="auto"/>
        <w:tblInd w:w="123" w:type="dxa"/>
        <w:tblLayout w:type="fixed"/>
        <w:tblCellMar>
          <w:left w:w="0" w:type="dxa"/>
          <w:right w:w="0" w:type="dxa"/>
        </w:tblCellMar>
        <w:tblLook w:val="01E0" w:firstRow="1" w:lastRow="1" w:firstColumn="1" w:lastColumn="1" w:noHBand="0" w:noVBand="0"/>
      </w:tblPr>
      <w:tblGrid>
        <w:gridCol w:w="4299"/>
        <w:gridCol w:w="5774"/>
      </w:tblGrid>
      <w:tr w:rsidR="001D4C35" w14:paraId="4474AD70" w14:textId="77777777">
        <w:trPr>
          <w:trHeight w:val="940"/>
        </w:trPr>
        <w:tc>
          <w:tcPr>
            <w:tcW w:w="4299" w:type="dxa"/>
          </w:tcPr>
          <w:p w14:paraId="4474AD6A" w14:textId="77777777" w:rsidR="001D4C35" w:rsidRPr="00B82000" w:rsidRDefault="00D84817">
            <w:pPr>
              <w:pStyle w:val="TableParagraph"/>
              <w:rPr>
                <w:b/>
                <w:i/>
                <w:lang w:val="it-IT"/>
              </w:rPr>
            </w:pPr>
            <w:r w:rsidRPr="00B82000">
              <w:rPr>
                <w:b/>
                <w:i/>
                <w:lang w:val="it-IT"/>
              </w:rPr>
              <w:t>ISDA London:</w:t>
            </w:r>
          </w:p>
          <w:p w14:paraId="4474AD6B" w14:textId="77777777" w:rsidR="001D4C35" w:rsidRPr="00B82000" w:rsidRDefault="00D84817">
            <w:pPr>
              <w:pStyle w:val="TableParagraph"/>
              <w:spacing w:before="2" w:line="257" w:lineRule="exact"/>
              <w:rPr>
                <w:lang w:val="it-IT"/>
              </w:rPr>
            </w:pPr>
            <w:r w:rsidRPr="00B82000">
              <w:rPr>
                <w:lang w:val="it-IT"/>
              </w:rPr>
              <w:t xml:space="preserve">Gregg Jones, </w:t>
            </w:r>
            <w:hyperlink r:id="rId23">
              <w:r w:rsidRPr="00B82000">
                <w:rPr>
                  <w:color w:val="0000FF"/>
                  <w:u w:val="single" w:color="0000FF"/>
                  <w:lang w:val="it-IT"/>
                </w:rPr>
                <w:t>gjones@isda.org</w:t>
              </w:r>
            </w:hyperlink>
          </w:p>
          <w:p w14:paraId="4474AD6C" w14:textId="77777777" w:rsidR="001D4C35" w:rsidRDefault="00D84817">
            <w:pPr>
              <w:pStyle w:val="TableParagraph"/>
              <w:spacing w:line="257" w:lineRule="exact"/>
            </w:pPr>
            <w:r>
              <w:t>+44 (0)20 3808 9746</w:t>
            </w:r>
          </w:p>
        </w:tc>
        <w:tc>
          <w:tcPr>
            <w:tcW w:w="5774" w:type="dxa"/>
          </w:tcPr>
          <w:p w14:paraId="4474AD6D" w14:textId="77777777" w:rsidR="001D4C35" w:rsidRPr="00D76835" w:rsidRDefault="00D84817">
            <w:pPr>
              <w:pStyle w:val="TableParagraph"/>
              <w:ind w:left="897"/>
              <w:rPr>
                <w:b/>
                <w:i/>
                <w:lang w:val="fr-FR"/>
              </w:rPr>
            </w:pPr>
            <w:r w:rsidRPr="00D76835">
              <w:rPr>
                <w:b/>
                <w:i/>
                <w:lang w:val="fr-FR"/>
              </w:rPr>
              <w:t>ISDA Brussels:</w:t>
            </w:r>
          </w:p>
          <w:p w14:paraId="4474AD6E" w14:textId="77777777" w:rsidR="001D4C35" w:rsidRPr="00D76835" w:rsidRDefault="00D84817">
            <w:pPr>
              <w:pStyle w:val="TableParagraph"/>
              <w:spacing w:before="2" w:line="257" w:lineRule="exact"/>
              <w:ind w:left="897"/>
              <w:rPr>
                <w:lang w:val="fr-FR"/>
              </w:rPr>
            </w:pPr>
            <w:r w:rsidRPr="00D76835">
              <w:rPr>
                <w:lang w:val="fr-FR"/>
              </w:rPr>
              <w:t xml:space="preserve">Sandrine Lapinsonniere, </w:t>
            </w:r>
            <w:hyperlink r:id="rId24">
              <w:r w:rsidRPr="00D76835">
                <w:rPr>
                  <w:color w:val="0000FF"/>
                  <w:u w:val="single" w:color="0000FF"/>
                  <w:lang w:val="fr-FR"/>
                </w:rPr>
                <w:t>slapinsonniere@isda.org</w:t>
              </w:r>
            </w:hyperlink>
          </w:p>
          <w:p w14:paraId="4474AD6F" w14:textId="77777777" w:rsidR="001D4C35" w:rsidRDefault="00D84817">
            <w:pPr>
              <w:pStyle w:val="TableParagraph"/>
              <w:spacing w:line="257" w:lineRule="exact"/>
              <w:ind w:left="897"/>
            </w:pPr>
            <w:r>
              <w:t>+32 (0)2 2 808 8016</w:t>
            </w:r>
          </w:p>
        </w:tc>
      </w:tr>
      <w:tr w:rsidR="001D4C35" w14:paraId="4474AD77" w14:textId="77777777">
        <w:trPr>
          <w:trHeight w:val="940"/>
        </w:trPr>
        <w:tc>
          <w:tcPr>
            <w:tcW w:w="4299" w:type="dxa"/>
          </w:tcPr>
          <w:p w14:paraId="4474AD71" w14:textId="77777777" w:rsidR="001D4C35" w:rsidRDefault="00D84817">
            <w:pPr>
              <w:pStyle w:val="TableParagraph"/>
              <w:spacing w:before="167"/>
              <w:rPr>
                <w:b/>
                <w:i/>
              </w:rPr>
            </w:pPr>
            <w:r>
              <w:rPr>
                <w:b/>
                <w:i/>
              </w:rPr>
              <w:t>AFME London:</w:t>
            </w:r>
          </w:p>
          <w:p w14:paraId="4474AD72" w14:textId="77777777" w:rsidR="001D4C35" w:rsidRDefault="00D84817">
            <w:pPr>
              <w:pStyle w:val="TableParagraph"/>
              <w:spacing w:before="2" w:line="257" w:lineRule="exact"/>
            </w:pPr>
            <w:r>
              <w:t xml:space="preserve">Sahir Akbar, </w:t>
            </w:r>
            <w:hyperlink r:id="rId25">
              <w:r>
                <w:rPr>
                  <w:color w:val="006EC0"/>
                  <w:u w:val="single" w:color="006EC0"/>
                </w:rPr>
                <w:t>sahir.akbar@afme.eu</w:t>
              </w:r>
            </w:hyperlink>
          </w:p>
          <w:p w14:paraId="4474AD73" w14:textId="77777777" w:rsidR="001D4C35" w:rsidRDefault="00D84817">
            <w:pPr>
              <w:pStyle w:val="TableParagraph"/>
              <w:spacing w:line="237" w:lineRule="exact"/>
            </w:pPr>
            <w:r>
              <w:t>+44 (0)20 3828 2732</w:t>
            </w:r>
          </w:p>
        </w:tc>
        <w:tc>
          <w:tcPr>
            <w:tcW w:w="5774" w:type="dxa"/>
          </w:tcPr>
          <w:p w14:paraId="4474AD74" w14:textId="77777777" w:rsidR="001D4C35" w:rsidRPr="00B82000" w:rsidRDefault="00D84817">
            <w:pPr>
              <w:pStyle w:val="TableParagraph"/>
              <w:spacing w:before="167"/>
              <w:ind w:left="897"/>
              <w:rPr>
                <w:b/>
                <w:i/>
                <w:lang w:val="it-IT"/>
              </w:rPr>
            </w:pPr>
            <w:r w:rsidRPr="00B82000">
              <w:rPr>
                <w:b/>
                <w:i/>
                <w:lang w:val="it-IT"/>
              </w:rPr>
              <w:t>AFME Brussels:</w:t>
            </w:r>
          </w:p>
          <w:p w14:paraId="4474AD75" w14:textId="77777777" w:rsidR="001D4C35" w:rsidRPr="00B82000" w:rsidRDefault="00D84817">
            <w:pPr>
              <w:pStyle w:val="TableParagraph"/>
              <w:spacing w:before="2" w:line="257" w:lineRule="exact"/>
              <w:ind w:left="897"/>
              <w:rPr>
                <w:lang w:val="it-IT"/>
              </w:rPr>
            </w:pPr>
            <w:r w:rsidRPr="00B82000">
              <w:rPr>
                <w:lang w:val="it-IT"/>
              </w:rPr>
              <w:t xml:space="preserve">Stefano Mazzocchi, </w:t>
            </w:r>
            <w:hyperlink r:id="rId26">
              <w:r w:rsidRPr="00B82000">
                <w:rPr>
                  <w:color w:val="006EC0"/>
                  <w:u w:val="single" w:color="006EC0"/>
                  <w:lang w:val="it-IT"/>
                </w:rPr>
                <w:t>stefano.mazzocchi@afme.eu</w:t>
              </w:r>
            </w:hyperlink>
          </w:p>
          <w:p w14:paraId="4474AD76" w14:textId="77777777" w:rsidR="001D4C35" w:rsidRDefault="00D84817">
            <w:pPr>
              <w:pStyle w:val="TableParagraph"/>
              <w:spacing w:line="237" w:lineRule="exact"/>
              <w:ind w:left="897"/>
            </w:pPr>
            <w:r>
              <w:t>+32 (0)2 788 3972</w:t>
            </w:r>
          </w:p>
        </w:tc>
      </w:tr>
    </w:tbl>
    <w:p w14:paraId="4474AD78" w14:textId="77777777" w:rsidR="001D4C35" w:rsidRDefault="001D4C35">
      <w:pPr>
        <w:pStyle w:val="BodyText"/>
        <w:rPr>
          <w:b/>
          <w:sz w:val="26"/>
        </w:rPr>
      </w:pPr>
    </w:p>
    <w:p w14:paraId="4474AD79" w14:textId="77777777" w:rsidR="001D4C35" w:rsidRDefault="001D4C35">
      <w:pPr>
        <w:pStyle w:val="BodyText"/>
        <w:rPr>
          <w:b/>
          <w:sz w:val="26"/>
        </w:rPr>
      </w:pPr>
    </w:p>
    <w:p w14:paraId="4474AD7A" w14:textId="77777777" w:rsidR="001D4C35" w:rsidRDefault="001D4C35">
      <w:pPr>
        <w:pStyle w:val="BodyText"/>
        <w:spacing w:before="11"/>
        <w:rPr>
          <w:b/>
          <w:sz w:val="26"/>
        </w:rPr>
      </w:pPr>
    </w:p>
    <w:p w14:paraId="4474AD7B" w14:textId="77777777" w:rsidR="001D4C35" w:rsidRPr="00B82000" w:rsidRDefault="00D84817" w:rsidP="00B82000">
      <w:pPr>
        <w:pStyle w:val="Heading3"/>
        <w:spacing w:before="100"/>
        <w:ind w:left="304"/>
        <w:jc w:val="both"/>
      </w:pPr>
      <w:r>
        <w:t>About ISDA</w:t>
      </w:r>
    </w:p>
    <w:p w14:paraId="4474AD7C" w14:textId="77777777" w:rsidR="001D4C35" w:rsidRDefault="001D4C35">
      <w:pPr>
        <w:pStyle w:val="BodyText"/>
        <w:spacing w:before="2"/>
        <w:rPr>
          <w:b/>
          <w:sz w:val="27"/>
        </w:rPr>
      </w:pPr>
    </w:p>
    <w:p w14:paraId="4474AD7D" w14:textId="77777777" w:rsidR="001D4C35" w:rsidRDefault="00D84817">
      <w:pPr>
        <w:pStyle w:val="BodyText"/>
        <w:spacing w:line="276" w:lineRule="auto"/>
        <w:ind w:left="304" w:right="331"/>
        <w:jc w:val="both"/>
      </w:pPr>
      <w:r>
        <w:t xml:space="preserve">Since 1985, ISDA has worked to make the global derivatives markets safer and more efficient. Today, ISDA has over 850 member institutions from 66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27">
        <w:r>
          <w:rPr>
            <w:color w:val="006EC0"/>
            <w:u w:val="single" w:color="006EC0"/>
          </w:rPr>
          <w:t>www.isda.org</w:t>
        </w:r>
        <w:r>
          <w:t>.</w:t>
        </w:r>
      </w:hyperlink>
    </w:p>
    <w:p w14:paraId="4474AD7E" w14:textId="77777777" w:rsidR="001D4C35" w:rsidRDefault="001D4C35">
      <w:pPr>
        <w:pStyle w:val="BodyText"/>
        <w:spacing w:before="3"/>
        <w:rPr>
          <w:sz w:val="15"/>
        </w:rPr>
      </w:pPr>
    </w:p>
    <w:p w14:paraId="4474AD7F" w14:textId="77777777" w:rsidR="001D4C35" w:rsidRDefault="00D84817">
      <w:pPr>
        <w:pStyle w:val="Heading3"/>
        <w:spacing w:before="100"/>
        <w:ind w:left="304"/>
        <w:jc w:val="both"/>
      </w:pPr>
      <w:r>
        <w:t>About AFME</w:t>
      </w:r>
    </w:p>
    <w:p w14:paraId="4474AD80" w14:textId="77777777" w:rsidR="001D4C35" w:rsidRDefault="001D4C35">
      <w:pPr>
        <w:pStyle w:val="BodyText"/>
        <w:spacing w:before="5"/>
        <w:rPr>
          <w:b/>
          <w:sz w:val="27"/>
        </w:rPr>
      </w:pPr>
    </w:p>
    <w:p w14:paraId="4474AD81" w14:textId="77777777" w:rsidR="001D4C35" w:rsidRDefault="00D84817">
      <w:pPr>
        <w:pStyle w:val="BodyText"/>
        <w:spacing w:before="1" w:line="276" w:lineRule="auto"/>
        <w:ind w:left="303" w:right="288"/>
        <w:jc w:val="both"/>
      </w:pPr>
      <w:r>
        <w:t>AFME represents a broad array of European and global participants in the wholesale financial markets. Its members comprise pan-EU and global banks as well as key regional banks, brokers, law firms, investors</w:t>
      </w:r>
      <w:r>
        <w:rPr>
          <w:spacing w:val="-7"/>
        </w:rPr>
        <w:t xml:space="preserve"> </w:t>
      </w:r>
      <w:r>
        <w:t>and</w:t>
      </w:r>
      <w:r>
        <w:rPr>
          <w:spacing w:val="-7"/>
        </w:rPr>
        <w:t xml:space="preserve"> </w:t>
      </w:r>
      <w:r>
        <w:t>other</w:t>
      </w:r>
      <w:r>
        <w:rPr>
          <w:spacing w:val="-11"/>
        </w:rPr>
        <w:t xml:space="preserve"> </w:t>
      </w:r>
      <w:r>
        <w:t>financial</w:t>
      </w:r>
      <w:r>
        <w:rPr>
          <w:spacing w:val="-8"/>
        </w:rPr>
        <w:t xml:space="preserve"> </w:t>
      </w:r>
      <w:r>
        <w:t>market</w:t>
      </w:r>
      <w:r>
        <w:rPr>
          <w:spacing w:val="-10"/>
        </w:rPr>
        <w:t xml:space="preserve"> </w:t>
      </w:r>
      <w:r>
        <w:t>participants.</w:t>
      </w:r>
      <w:r>
        <w:rPr>
          <w:spacing w:val="-10"/>
        </w:rPr>
        <w:t xml:space="preserve"> </w:t>
      </w:r>
      <w:r>
        <w:t>We</w:t>
      </w:r>
      <w:r>
        <w:rPr>
          <w:spacing w:val="-7"/>
        </w:rPr>
        <w:t xml:space="preserve"> </w:t>
      </w:r>
      <w:r>
        <w:t>advocate</w:t>
      </w:r>
      <w:r>
        <w:rPr>
          <w:spacing w:val="-11"/>
        </w:rPr>
        <w:t xml:space="preserve"> </w:t>
      </w:r>
      <w:r>
        <w:t>stable,</w:t>
      </w:r>
      <w:r>
        <w:rPr>
          <w:spacing w:val="-9"/>
        </w:rPr>
        <w:t xml:space="preserve"> </w:t>
      </w:r>
      <w:r>
        <w:t>competitive,</w:t>
      </w:r>
      <w:r>
        <w:rPr>
          <w:spacing w:val="-10"/>
        </w:rPr>
        <w:t xml:space="preserve"> </w:t>
      </w:r>
      <w:r>
        <w:t>sustainable</w:t>
      </w:r>
      <w:r>
        <w:rPr>
          <w:spacing w:val="-7"/>
        </w:rPr>
        <w:t xml:space="preserve"> </w:t>
      </w:r>
      <w:r>
        <w:t>European financial markets that support economic growth and benefit society. AFME is the European member of the Global Financial Markets Association (GFMA) a global alliance with the Securities Industry and Financial Markets Association (SIFMA) in the US, and the Asia Securities Industry and Financial Markets Association (ASIFMA) in Asia. AFME is listed on the EU Register of Interest Representatives, registration number 65110063986-76. Information about AFME and its activities is available on the Association's website:</w:t>
      </w:r>
      <w:r>
        <w:rPr>
          <w:spacing w:val="-8"/>
        </w:rPr>
        <w:t xml:space="preserve"> </w:t>
      </w:r>
      <w:hyperlink r:id="rId28">
        <w:r>
          <w:rPr>
            <w:color w:val="006FC0"/>
            <w:u w:val="single" w:color="006FC0"/>
          </w:rPr>
          <w:t>www.afme.eu</w:t>
        </w:r>
        <w:r>
          <w:rPr>
            <w:color w:val="006FC0"/>
          </w:rPr>
          <w:t>.</w:t>
        </w:r>
      </w:hyperlink>
    </w:p>
    <w:p w14:paraId="4474AD82" w14:textId="77777777" w:rsidR="001D4C35" w:rsidRDefault="001D4C35">
      <w:pPr>
        <w:spacing w:line="276" w:lineRule="auto"/>
        <w:jc w:val="both"/>
        <w:sectPr w:rsidR="001D4C35">
          <w:pgSz w:w="11910" w:h="16840"/>
          <w:pgMar w:top="520" w:right="840" w:bottom="960" w:left="680" w:header="0" w:footer="704" w:gutter="0"/>
          <w:cols w:space="720"/>
        </w:sectPr>
      </w:pPr>
    </w:p>
    <w:p w14:paraId="4474AD83" w14:textId="77777777" w:rsidR="001D4C35" w:rsidRDefault="001D4C35">
      <w:pPr>
        <w:pStyle w:val="BodyText"/>
        <w:rPr>
          <w:sz w:val="20"/>
        </w:rPr>
      </w:pPr>
    </w:p>
    <w:p w14:paraId="4474AD84" w14:textId="77777777" w:rsidR="001D4C35" w:rsidRDefault="001D4C35">
      <w:pPr>
        <w:pStyle w:val="BodyText"/>
        <w:rPr>
          <w:sz w:val="20"/>
        </w:rPr>
      </w:pPr>
    </w:p>
    <w:p w14:paraId="4474AD85" w14:textId="77777777" w:rsidR="001D4C35" w:rsidRDefault="001D4C35">
      <w:pPr>
        <w:pStyle w:val="BodyText"/>
        <w:rPr>
          <w:sz w:val="20"/>
        </w:rPr>
      </w:pPr>
    </w:p>
    <w:p w14:paraId="4474AD86" w14:textId="77777777" w:rsidR="001D4C35" w:rsidRDefault="001D4C35">
      <w:pPr>
        <w:pStyle w:val="BodyText"/>
        <w:rPr>
          <w:sz w:val="20"/>
        </w:rPr>
      </w:pPr>
    </w:p>
    <w:p w14:paraId="4474AD87" w14:textId="77777777" w:rsidR="001D4C35" w:rsidRDefault="001D4C35">
      <w:pPr>
        <w:pStyle w:val="BodyText"/>
        <w:rPr>
          <w:sz w:val="20"/>
        </w:rPr>
      </w:pPr>
    </w:p>
    <w:p w14:paraId="4474AD88" w14:textId="77777777" w:rsidR="001D4C35" w:rsidRDefault="001D4C35">
      <w:pPr>
        <w:pStyle w:val="BodyText"/>
        <w:rPr>
          <w:sz w:val="20"/>
        </w:rPr>
      </w:pPr>
    </w:p>
    <w:p w14:paraId="4474AD89" w14:textId="77777777" w:rsidR="001D4C35" w:rsidRDefault="001D4C35">
      <w:pPr>
        <w:pStyle w:val="BodyText"/>
        <w:rPr>
          <w:sz w:val="20"/>
        </w:rPr>
      </w:pPr>
    </w:p>
    <w:p w14:paraId="4474AD8A" w14:textId="77777777" w:rsidR="001D4C35" w:rsidRDefault="001D4C35">
      <w:pPr>
        <w:pStyle w:val="BodyText"/>
        <w:rPr>
          <w:sz w:val="20"/>
        </w:rPr>
      </w:pPr>
    </w:p>
    <w:p w14:paraId="4474AD8B" w14:textId="77777777" w:rsidR="001D4C35" w:rsidRDefault="001D4C35">
      <w:pPr>
        <w:pStyle w:val="BodyText"/>
        <w:rPr>
          <w:sz w:val="20"/>
        </w:rPr>
      </w:pPr>
    </w:p>
    <w:p w14:paraId="4474AD8C" w14:textId="77777777" w:rsidR="001D4C35" w:rsidRDefault="001D4C35">
      <w:pPr>
        <w:pStyle w:val="BodyText"/>
        <w:rPr>
          <w:sz w:val="20"/>
        </w:rPr>
      </w:pPr>
    </w:p>
    <w:p w14:paraId="4474AD8D" w14:textId="77777777" w:rsidR="001D4C35" w:rsidRDefault="001D4C35">
      <w:pPr>
        <w:pStyle w:val="BodyText"/>
        <w:rPr>
          <w:sz w:val="20"/>
        </w:rPr>
      </w:pPr>
    </w:p>
    <w:p w14:paraId="4474AD8E" w14:textId="77777777" w:rsidR="001D4C35" w:rsidRDefault="001D4C35">
      <w:pPr>
        <w:pStyle w:val="BodyText"/>
        <w:rPr>
          <w:sz w:val="20"/>
        </w:rPr>
      </w:pPr>
    </w:p>
    <w:p w14:paraId="4474AD8F" w14:textId="77777777" w:rsidR="001D4C35" w:rsidRDefault="001D4C35">
      <w:pPr>
        <w:pStyle w:val="BodyText"/>
        <w:rPr>
          <w:sz w:val="20"/>
        </w:rPr>
      </w:pPr>
    </w:p>
    <w:p w14:paraId="4474AD90" w14:textId="77777777" w:rsidR="001D4C35" w:rsidRDefault="001D4C35">
      <w:pPr>
        <w:pStyle w:val="BodyText"/>
        <w:rPr>
          <w:sz w:val="20"/>
        </w:rPr>
      </w:pPr>
    </w:p>
    <w:p w14:paraId="4474AD91" w14:textId="77777777" w:rsidR="001D4C35" w:rsidRDefault="001D4C35">
      <w:pPr>
        <w:pStyle w:val="BodyText"/>
        <w:rPr>
          <w:sz w:val="20"/>
        </w:rPr>
      </w:pPr>
    </w:p>
    <w:p w14:paraId="4474AD92" w14:textId="77777777" w:rsidR="001D4C35" w:rsidRDefault="001D4C35">
      <w:pPr>
        <w:pStyle w:val="BodyText"/>
        <w:rPr>
          <w:sz w:val="20"/>
        </w:rPr>
      </w:pPr>
    </w:p>
    <w:p w14:paraId="4474AD93" w14:textId="77777777" w:rsidR="001D4C35" w:rsidRDefault="001D4C35">
      <w:pPr>
        <w:pStyle w:val="BodyText"/>
        <w:rPr>
          <w:sz w:val="20"/>
        </w:rPr>
      </w:pPr>
    </w:p>
    <w:p w14:paraId="4474AD94" w14:textId="77777777" w:rsidR="001D4C35" w:rsidRDefault="001D4C35">
      <w:pPr>
        <w:pStyle w:val="BodyText"/>
        <w:rPr>
          <w:sz w:val="20"/>
        </w:rPr>
      </w:pPr>
    </w:p>
    <w:p w14:paraId="4474AD95" w14:textId="77777777" w:rsidR="001D4C35" w:rsidRDefault="001D4C35">
      <w:pPr>
        <w:pStyle w:val="BodyText"/>
        <w:rPr>
          <w:sz w:val="20"/>
        </w:rPr>
      </w:pPr>
    </w:p>
    <w:p w14:paraId="4474AD96" w14:textId="77777777" w:rsidR="001D4C35" w:rsidRDefault="001D4C35">
      <w:pPr>
        <w:pStyle w:val="BodyText"/>
        <w:rPr>
          <w:sz w:val="20"/>
        </w:rPr>
      </w:pPr>
    </w:p>
    <w:p w14:paraId="4474AD97" w14:textId="77777777" w:rsidR="001D4C35" w:rsidRDefault="001D4C35">
      <w:pPr>
        <w:pStyle w:val="BodyText"/>
        <w:rPr>
          <w:sz w:val="20"/>
        </w:rPr>
      </w:pPr>
    </w:p>
    <w:p w14:paraId="4474AD98" w14:textId="77777777" w:rsidR="001D4C35" w:rsidRDefault="001D4C35">
      <w:pPr>
        <w:pStyle w:val="BodyText"/>
        <w:rPr>
          <w:sz w:val="20"/>
        </w:rPr>
      </w:pPr>
    </w:p>
    <w:p w14:paraId="4474AD99" w14:textId="77777777" w:rsidR="001D4C35" w:rsidRDefault="001D4C35">
      <w:pPr>
        <w:pStyle w:val="BodyText"/>
        <w:rPr>
          <w:sz w:val="20"/>
        </w:rPr>
      </w:pPr>
    </w:p>
    <w:p w14:paraId="4474AD9A" w14:textId="77777777" w:rsidR="001D4C35" w:rsidRDefault="001D4C35">
      <w:pPr>
        <w:pStyle w:val="BodyText"/>
        <w:spacing w:before="10"/>
        <w:rPr>
          <w:sz w:val="28"/>
        </w:rPr>
      </w:pPr>
    </w:p>
    <w:sectPr w:rsidR="001D4C35" w:rsidSect="00B82000">
      <w:pgSz w:w="11910" w:h="16840"/>
      <w:pgMar w:top="1000" w:right="740" w:bottom="1200" w:left="680" w:header="0" w:footer="10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E634" w14:textId="77777777" w:rsidR="00D84817" w:rsidRDefault="00D84817">
      <w:r>
        <w:separator/>
      </w:r>
    </w:p>
  </w:endnote>
  <w:endnote w:type="continuationSeparator" w:id="0">
    <w:p w14:paraId="40B84631" w14:textId="77777777" w:rsidR="00D84817" w:rsidRDefault="00D8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3" w14:textId="77777777" w:rsidR="001D4C35" w:rsidRDefault="00D65A23">
    <w:pPr>
      <w:pStyle w:val="BodyText"/>
      <w:spacing w:line="14" w:lineRule="auto"/>
      <w:rPr>
        <w:sz w:val="20"/>
      </w:rPr>
    </w:pPr>
    <w:r>
      <w:pict w14:anchorId="4474B0D2">
        <v:shapetype id="_x0000_t202" coordsize="21600,21600" o:spt="202" path="m,l,21600r21600,l21600,xe">
          <v:stroke joinstyle="miter"/>
          <v:path gradientshapeok="t" o:connecttype="rect"/>
        </v:shapetype>
        <v:shape id="_x0000_s1033" type="#_x0000_t202" style="position:absolute;margin-left:286pt;margin-top:792.3pt;width:18pt;height:15.3pt;z-index:-251658752;mso-position-horizontal-relative:page;mso-position-vertical-relative:page" filled="f" stroked="f">
          <v:textbox inset="0,0,0,0">
            <w:txbxContent>
              <w:p w14:paraId="4474B1C2" w14:textId="77777777" w:rsidR="001D4C35" w:rsidRDefault="00D84817">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FCD0" w14:textId="77777777" w:rsidR="00D84817" w:rsidRDefault="00D84817">
      <w:r>
        <w:separator/>
      </w:r>
    </w:p>
  </w:footnote>
  <w:footnote w:type="continuationSeparator" w:id="0">
    <w:p w14:paraId="10B7F24A" w14:textId="77777777" w:rsidR="00D84817" w:rsidRDefault="00D8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28"/>
    <w:multiLevelType w:val="hybridMultilevel"/>
    <w:tmpl w:val="FBB028FC"/>
    <w:lvl w:ilvl="0" w:tplc="D8ACB77C">
      <w:numFmt w:val="bullet"/>
      <w:lvlText w:val=""/>
      <w:lvlJc w:val="left"/>
      <w:pPr>
        <w:ind w:left="824" w:hanging="361"/>
      </w:pPr>
      <w:rPr>
        <w:rFonts w:ascii="Symbol" w:eastAsia="Symbol" w:hAnsi="Symbol" w:cs="Symbol" w:hint="default"/>
        <w:w w:val="100"/>
        <w:sz w:val="22"/>
        <w:szCs w:val="22"/>
      </w:rPr>
    </w:lvl>
    <w:lvl w:ilvl="1" w:tplc="A5BCBE0C">
      <w:numFmt w:val="bullet"/>
      <w:lvlText w:val="•"/>
      <w:lvlJc w:val="left"/>
      <w:pPr>
        <w:ind w:left="1756" w:hanging="361"/>
      </w:pPr>
      <w:rPr>
        <w:rFonts w:hint="default"/>
      </w:rPr>
    </w:lvl>
    <w:lvl w:ilvl="2" w:tplc="6186E1B4">
      <w:numFmt w:val="bullet"/>
      <w:lvlText w:val="•"/>
      <w:lvlJc w:val="left"/>
      <w:pPr>
        <w:ind w:left="2693" w:hanging="361"/>
      </w:pPr>
      <w:rPr>
        <w:rFonts w:hint="default"/>
      </w:rPr>
    </w:lvl>
    <w:lvl w:ilvl="3" w:tplc="5F0E083E">
      <w:numFmt w:val="bullet"/>
      <w:lvlText w:val="•"/>
      <w:lvlJc w:val="left"/>
      <w:pPr>
        <w:ind w:left="3630" w:hanging="361"/>
      </w:pPr>
      <w:rPr>
        <w:rFonts w:hint="default"/>
      </w:rPr>
    </w:lvl>
    <w:lvl w:ilvl="4" w:tplc="8772B702">
      <w:numFmt w:val="bullet"/>
      <w:lvlText w:val="•"/>
      <w:lvlJc w:val="left"/>
      <w:pPr>
        <w:ind w:left="4567" w:hanging="361"/>
      </w:pPr>
      <w:rPr>
        <w:rFonts w:hint="default"/>
      </w:rPr>
    </w:lvl>
    <w:lvl w:ilvl="5" w:tplc="721AAA4C">
      <w:numFmt w:val="bullet"/>
      <w:lvlText w:val="•"/>
      <w:lvlJc w:val="left"/>
      <w:pPr>
        <w:ind w:left="5504" w:hanging="361"/>
      </w:pPr>
      <w:rPr>
        <w:rFonts w:hint="default"/>
      </w:rPr>
    </w:lvl>
    <w:lvl w:ilvl="6" w:tplc="8F52DBFA">
      <w:numFmt w:val="bullet"/>
      <w:lvlText w:val="•"/>
      <w:lvlJc w:val="left"/>
      <w:pPr>
        <w:ind w:left="6440" w:hanging="361"/>
      </w:pPr>
      <w:rPr>
        <w:rFonts w:hint="default"/>
      </w:rPr>
    </w:lvl>
    <w:lvl w:ilvl="7" w:tplc="84B48C04">
      <w:numFmt w:val="bullet"/>
      <w:lvlText w:val="•"/>
      <w:lvlJc w:val="left"/>
      <w:pPr>
        <w:ind w:left="7377" w:hanging="361"/>
      </w:pPr>
      <w:rPr>
        <w:rFonts w:hint="default"/>
      </w:rPr>
    </w:lvl>
    <w:lvl w:ilvl="8" w:tplc="0C8833F2">
      <w:numFmt w:val="bullet"/>
      <w:lvlText w:val="•"/>
      <w:lvlJc w:val="left"/>
      <w:pPr>
        <w:ind w:left="8314" w:hanging="361"/>
      </w:pPr>
      <w:rPr>
        <w:rFonts w:hint="default"/>
      </w:rPr>
    </w:lvl>
  </w:abstractNum>
  <w:abstractNum w:abstractNumId="1" w15:restartNumberingAfterBreak="0">
    <w:nsid w:val="04D03E6B"/>
    <w:multiLevelType w:val="hybridMultilevel"/>
    <w:tmpl w:val="A5D8F0DE"/>
    <w:lvl w:ilvl="0" w:tplc="1FEABC8C">
      <w:start w:val="2"/>
      <w:numFmt w:val="lowerRoman"/>
      <w:lvlText w:val="(%1)"/>
      <w:lvlJc w:val="left"/>
      <w:pPr>
        <w:ind w:left="192" w:hanging="240"/>
        <w:jc w:val="left"/>
      </w:pPr>
      <w:rPr>
        <w:rFonts w:ascii="Cambria" w:eastAsia="Cambria" w:hAnsi="Cambria" w:cs="Cambria" w:hint="default"/>
        <w:spacing w:val="-2"/>
        <w:w w:val="100"/>
        <w:sz w:val="16"/>
        <w:szCs w:val="16"/>
      </w:rPr>
    </w:lvl>
    <w:lvl w:ilvl="1" w:tplc="BE52DB8E">
      <w:start w:val="1"/>
      <w:numFmt w:val="decimal"/>
      <w:lvlText w:val="%2."/>
      <w:lvlJc w:val="left"/>
      <w:pPr>
        <w:ind w:left="912" w:hanging="360"/>
        <w:jc w:val="left"/>
      </w:pPr>
      <w:rPr>
        <w:rFonts w:ascii="Cambria" w:eastAsia="Cambria" w:hAnsi="Cambria" w:cs="Cambria" w:hint="default"/>
        <w:b/>
        <w:bCs/>
        <w:spacing w:val="-17"/>
        <w:w w:val="100"/>
        <w:sz w:val="22"/>
        <w:szCs w:val="22"/>
      </w:rPr>
    </w:lvl>
    <w:lvl w:ilvl="2" w:tplc="8A08D810">
      <w:numFmt w:val="bullet"/>
      <w:lvlText w:val="•"/>
      <w:lvlJc w:val="left"/>
      <w:pPr>
        <w:ind w:left="2029" w:hanging="360"/>
      </w:pPr>
      <w:rPr>
        <w:rFonts w:hint="default"/>
      </w:rPr>
    </w:lvl>
    <w:lvl w:ilvl="3" w:tplc="7E34255A">
      <w:numFmt w:val="bullet"/>
      <w:lvlText w:val="•"/>
      <w:lvlJc w:val="left"/>
      <w:pPr>
        <w:ind w:left="3139" w:hanging="360"/>
      </w:pPr>
      <w:rPr>
        <w:rFonts w:hint="default"/>
      </w:rPr>
    </w:lvl>
    <w:lvl w:ilvl="4" w:tplc="464682A2">
      <w:numFmt w:val="bullet"/>
      <w:lvlText w:val="•"/>
      <w:lvlJc w:val="left"/>
      <w:pPr>
        <w:ind w:left="4249" w:hanging="360"/>
      </w:pPr>
      <w:rPr>
        <w:rFonts w:hint="default"/>
      </w:rPr>
    </w:lvl>
    <w:lvl w:ilvl="5" w:tplc="15C80FBA">
      <w:numFmt w:val="bullet"/>
      <w:lvlText w:val="•"/>
      <w:lvlJc w:val="left"/>
      <w:pPr>
        <w:ind w:left="5359" w:hanging="360"/>
      </w:pPr>
      <w:rPr>
        <w:rFonts w:hint="default"/>
      </w:rPr>
    </w:lvl>
    <w:lvl w:ilvl="6" w:tplc="A8B6CC84">
      <w:numFmt w:val="bullet"/>
      <w:lvlText w:val="•"/>
      <w:lvlJc w:val="left"/>
      <w:pPr>
        <w:ind w:left="6468" w:hanging="360"/>
      </w:pPr>
      <w:rPr>
        <w:rFonts w:hint="default"/>
      </w:rPr>
    </w:lvl>
    <w:lvl w:ilvl="7" w:tplc="57C81F30">
      <w:numFmt w:val="bullet"/>
      <w:lvlText w:val="•"/>
      <w:lvlJc w:val="left"/>
      <w:pPr>
        <w:ind w:left="7578" w:hanging="360"/>
      </w:pPr>
      <w:rPr>
        <w:rFonts w:hint="default"/>
      </w:rPr>
    </w:lvl>
    <w:lvl w:ilvl="8" w:tplc="CF22D088">
      <w:numFmt w:val="bullet"/>
      <w:lvlText w:val="•"/>
      <w:lvlJc w:val="left"/>
      <w:pPr>
        <w:ind w:left="8688" w:hanging="360"/>
      </w:pPr>
      <w:rPr>
        <w:rFonts w:hint="default"/>
      </w:rPr>
    </w:lvl>
  </w:abstractNum>
  <w:abstractNum w:abstractNumId="2" w15:restartNumberingAfterBreak="0">
    <w:nsid w:val="06517D9E"/>
    <w:multiLevelType w:val="hybridMultilevel"/>
    <w:tmpl w:val="F46A3CDE"/>
    <w:lvl w:ilvl="0" w:tplc="90BCEE84">
      <w:start w:val="1"/>
      <w:numFmt w:val="decimal"/>
      <w:lvlText w:val="%1."/>
      <w:lvlJc w:val="left"/>
      <w:pPr>
        <w:ind w:left="892" w:hanging="361"/>
        <w:jc w:val="left"/>
      </w:pPr>
      <w:rPr>
        <w:rFonts w:ascii="Cambria" w:eastAsia="Cambria" w:hAnsi="Cambria" w:cs="Cambria" w:hint="default"/>
        <w:spacing w:val="-4"/>
        <w:w w:val="100"/>
        <w:sz w:val="22"/>
        <w:szCs w:val="22"/>
      </w:rPr>
    </w:lvl>
    <w:lvl w:ilvl="1" w:tplc="C7463E58">
      <w:numFmt w:val="bullet"/>
      <w:lvlText w:val="•"/>
      <w:lvlJc w:val="left"/>
      <w:pPr>
        <w:ind w:left="1848" w:hanging="361"/>
      </w:pPr>
      <w:rPr>
        <w:rFonts w:hint="default"/>
      </w:rPr>
    </w:lvl>
    <w:lvl w:ilvl="2" w:tplc="1C0EBCAC">
      <w:numFmt w:val="bullet"/>
      <w:lvlText w:val="•"/>
      <w:lvlJc w:val="left"/>
      <w:pPr>
        <w:ind w:left="2797" w:hanging="361"/>
      </w:pPr>
      <w:rPr>
        <w:rFonts w:hint="default"/>
      </w:rPr>
    </w:lvl>
    <w:lvl w:ilvl="3" w:tplc="919444E2">
      <w:numFmt w:val="bullet"/>
      <w:lvlText w:val="•"/>
      <w:lvlJc w:val="left"/>
      <w:pPr>
        <w:ind w:left="3746" w:hanging="361"/>
      </w:pPr>
      <w:rPr>
        <w:rFonts w:hint="default"/>
      </w:rPr>
    </w:lvl>
    <w:lvl w:ilvl="4" w:tplc="1C16EB62">
      <w:numFmt w:val="bullet"/>
      <w:lvlText w:val="•"/>
      <w:lvlJc w:val="left"/>
      <w:pPr>
        <w:ind w:left="4695" w:hanging="361"/>
      </w:pPr>
      <w:rPr>
        <w:rFonts w:hint="default"/>
      </w:rPr>
    </w:lvl>
    <w:lvl w:ilvl="5" w:tplc="BF3E2A6E">
      <w:numFmt w:val="bullet"/>
      <w:lvlText w:val="•"/>
      <w:lvlJc w:val="left"/>
      <w:pPr>
        <w:ind w:left="5644" w:hanging="361"/>
      </w:pPr>
      <w:rPr>
        <w:rFonts w:hint="default"/>
      </w:rPr>
    </w:lvl>
    <w:lvl w:ilvl="6" w:tplc="39CEE4A8">
      <w:numFmt w:val="bullet"/>
      <w:lvlText w:val="•"/>
      <w:lvlJc w:val="left"/>
      <w:pPr>
        <w:ind w:left="6592" w:hanging="361"/>
      </w:pPr>
      <w:rPr>
        <w:rFonts w:hint="default"/>
      </w:rPr>
    </w:lvl>
    <w:lvl w:ilvl="7" w:tplc="B7BEA23C">
      <w:numFmt w:val="bullet"/>
      <w:lvlText w:val="•"/>
      <w:lvlJc w:val="left"/>
      <w:pPr>
        <w:ind w:left="7541" w:hanging="361"/>
      </w:pPr>
      <w:rPr>
        <w:rFonts w:hint="default"/>
      </w:rPr>
    </w:lvl>
    <w:lvl w:ilvl="8" w:tplc="56DA6D86">
      <w:numFmt w:val="bullet"/>
      <w:lvlText w:val="•"/>
      <w:lvlJc w:val="left"/>
      <w:pPr>
        <w:ind w:left="8490" w:hanging="361"/>
      </w:pPr>
      <w:rPr>
        <w:rFonts w:hint="default"/>
      </w:rPr>
    </w:lvl>
  </w:abstractNum>
  <w:abstractNum w:abstractNumId="3" w15:restartNumberingAfterBreak="0">
    <w:nsid w:val="06D141DE"/>
    <w:multiLevelType w:val="hybridMultilevel"/>
    <w:tmpl w:val="2A349022"/>
    <w:lvl w:ilvl="0" w:tplc="D4E60AAA">
      <w:numFmt w:val="bullet"/>
      <w:lvlText w:val=""/>
      <w:lvlJc w:val="left"/>
      <w:pPr>
        <w:ind w:left="632" w:hanging="361"/>
      </w:pPr>
      <w:rPr>
        <w:rFonts w:ascii="Symbol" w:eastAsia="Symbol" w:hAnsi="Symbol" w:cs="Symbol" w:hint="default"/>
        <w:w w:val="100"/>
        <w:sz w:val="22"/>
        <w:szCs w:val="22"/>
      </w:rPr>
    </w:lvl>
    <w:lvl w:ilvl="1" w:tplc="A06CFE9A">
      <w:numFmt w:val="bullet"/>
      <w:lvlText w:val="•"/>
      <w:lvlJc w:val="left"/>
      <w:pPr>
        <w:ind w:left="1664" w:hanging="361"/>
      </w:pPr>
      <w:rPr>
        <w:rFonts w:hint="default"/>
      </w:rPr>
    </w:lvl>
    <w:lvl w:ilvl="2" w:tplc="21E21F3C">
      <w:numFmt w:val="bullet"/>
      <w:lvlText w:val="•"/>
      <w:lvlJc w:val="left"/>
      <w:pPr>
        <w:ind w:left="2689" w:hanging="361"/>
      </w:pPr>
      <w:rPr>
        <w:rFonts w:hint="default"/>
      </w:rPr>
    </w:lvl>
    <w:lvl w:ilvl="3" w:tplc="9E9A163C">
      <w:numFmt w:val="bullet"/>
      <w:lvlText w:val="•"/>
      <w:lvlJc w:val="left"/>
      <w:pPr>
        <w:ind w:left="3714" w:hanging="361"/>
      </w:pPr>
      <w:rPr>
        <w:rFonts w:hint="default"/>
      </w:rPr>
    </w:lvl>
    <w:lvl w:ilvl="4" w:tplc="794E3A64">
      <w:numFmt w:val="bullet"/>
      <w:lvlText w:val="•"/>
      <w:lvlJc w:val="left"/>
      <w:pPr>
        <w:ind w:left="4739" w:hanging="361"/>
      </w:pPr>
      <w:rPr>
        <w:rFonts w:hint="default"/>
      </w:rPr>
    </w:lvl>
    <w:lvl w:ilvl="5" w:tplc="7E52711E">
      <w:numFmt w:val="bullet"/>
      <w:lvlText w:val="•"/>
      <w:lvlJc w:val="left"/>
      <w:pPr>
        <w:ind w:left="5764" w:hanging="361"/>
      </w:pPr>
      <w:rPr>
        <w:rFonts w:hint="default"/>
      </w:rPr>
    </w:lvl>
    <w:lvl w:ilvl="6" w:tplc="F31AC848">
      <w:numFmt w:val="bullet"/>
      <w:lvlText w:val="•"/>
      <w:lvlJc w:val="left"/>
      <w:pPr>
        <w:ind w:left="6788" w:hanging="361"/>
      </w:pPr>
      <w:rPr>
        <w:rFonts w:hint="default"/>
      </w:rPr>
    </w:lvl>
    <w:lvl w:ilvl="7" w:tplc="E70EC376">
      <w:numFmt w:val="bullet"/>
      <w:lvlText w:val="•"/>
      <w:lvlJc w:val="left"/>
      <w:pPr>
        <w:ind w:left="7813" w:hanging="361"/>
      </w:pPr>
      <w:rPr>
        <w:rFonts w:hint="default"/>
      </w:rPr>
    </w:lvl>
    <w:lvl w:ilvl="8" w:tplc="06BA4ACE">
      <w:numFmt w:val="bullet"/>
      <w:lvlText w:val="•"/>
      <w:lvlJc w:val="left"/>
      <w:pPr>
        <w:ind w:left="8838" w:hanging="361"/>
      </w:pPr>
      <w:rPr>
        <w:rFonts w:hint="default"/>
      </w:rPr>
    </w:lvl>
  </w:abstractNum>
  <w:abstractNum w:abstractNumId="4" w15:restartNumberingAfterBreak="0">
    <w:nsid w:val="08DC108A"/>
    <w:multiLevelType w:val="hybridMultilevel"/>
    <w:tmpl w:val="84542444"/>
    <w:lvl w:ilvl="0" w:tplc="9410D104">
      <w:start w:val="76"/>
      <w:numFmt w:val="decimal"/>
      <w:lvlText w:val="%1."/>
      <w:lvlJc w:val="left"/>
      <w:pPr>
        <w:ind w:left="635" w:hanging="332"/>
        <w:jc w:val="left"/>
      </w:pPr>
      <w:rPr>
        <w:rFonts w:ascii="Cambria" w:eastAsia="Cambria" w:hAnsi="Cambria" w:cs="Cambria" w:hint="default"/>
        <w:spacing w:val="-2"/>
        <w:w w:val="100"/>
        <w:sz w:val="22"/>
        <w:szCs w:val="22"/>
      </w:rPr>
    </w:lvl>
    <w:lvl w:ilvl="1" w:tplc="0D282C30">
      <w:start w:val="1"/>
      <w:numFmt w:val="decimal"/>
      <w:lvlText w:val="%2."/>
      <w:lvlJc w:val="left"/>
      <w:pPr>
        <w:ind w:left="884" w:hanging="357"/>
        <w:jc w:val="left"/>
      </w:pPr>
      <w:rPr>
        <w:rFonts w:ascii="Cambria" w:eastAsia="Cambria" w:hAnsi="Cambria" w:cs="Cambria" w:hint="default"/>
        <w:spacing w:val="-17"/>
        <w:w w:val="100"/>
        <w:sz w:val="22"/>
        <w:szCs w:val="22"/>
      </w:rPr>
    </w:lvl>
    <w:lvl w:ilvl="2" w:tplc="AF40A2B8">
      <w:numFmt w:val="bullet"/>
      <w:lvlText w:val="•"/>
      <w:lvlJc w:val="left"/>
      <w:pPr>
        <w:ind w:left="1947" w:hanging="357"/>
      </w:pPr>
      <w:rPr>
        <w:rFonts w:hint="default"/>
      </w:rPr>
    </w:lvl>
    <w:lvl w:ilvl="3" w:tplc="F930305A">
      <w:numFmt w:val="bullet"/>
      <w:lvlText w:val="•"/>
      <w:lvlJc w:val="left"/>
      <w:pPr>
        <w:ind w:left="3015" w:hanging="357"/>
      </w:pPr>
      <w:rPr>
        <w:rFonts w:hint="default"/>
      </w:rPr>
    </w:lvl>
    <w:lvl w:ilvl="4" w:tplc="633ED294">
      <w:numFmt w:val="bullet"/>
      <w:lvlText w:val="•"/>
      <w:lvlJc w:val="left"/>
      <w:pPr>
        <w:ind w:left="4082" w:hanging="357"/>
      </w:pPr>
      <w:rPr>
        <w:rFonts w:hint="default"/>
      </w:rPr>
    </w:lvl>
    <w:lvl w:ilvl="5" w:tplc="EDA46A22">
      <w:numFmt w:val="bullet"/>
      <w:lvlText w:val="•"/>
      <w:lvlJc w:val="left"/>
      <w:pPr>
        <w:ind w:left="5150" w:hanging="357"/>
      </w:pPr>
      <w:rPr>
        <w:rFonts w:hint="default"/>
      </w:rPr>
    </w:lvl>
    <w:lvl w:ilvl="6" w:tplc="1E645F9A">
      <w:numFmt w:val="bullet"/>
      <w:lvlText w:val="•"/>
      <w:lvlJc w:val="left"/>
      <w:pPr>
        <w:ind w:left="6217" w:hanging="357"/>
      </w:pPr>
      <w:rPr>
        <w:rFonts w:hint="default"/>
      </w:rPr>
    </w:lvl>
    <w:lvl w:ilvl="7" w:tplc="186C2E96">
      <w:numFmt w:val="bullet"/>
      <w:lvlText w:val="•"/>
      <w:lvlJc w:val="left"/>
      <w:pPr>
        <w:ind w:left="7285" w:hanging="357"/>
      </w:pPr>
      <w:rPr>
        <w:rFonts w:hint="default"/>
      </w:rPr>
    </w:lvl>
    <w:lvl w:ilvl="8" w:tplc="B8D2043C">
      <w:numFmt w:val="bullet"/>
      <w:lvlText w:val="•"/>
      <w:lvlJc w:val="left"/>
      <w:pPr>
        <w:ind w:left="8352" w:hanging="357"/>
      </w:pPr>
      <w:rPr>
        <w:rFonts w:hint="default"/>
      </w:rPr>
    </w:lvl>
  </w:abstractNum>
  <w:abstractNum w:abstractNumId="5" w15:restartNumberingAfterBreak="0">
    <w:nsid w:val="0A341670"/>
    <w:multiLevelType w:val="hybridMultilevel"/>
    <w:tmpl w:val="D5F229F0"/>
    <w:lvl w:ilvl="0" w:tplc="225CA600">
      <w:numFmt w:val="bullet"/>
      <w:lvlText w:val=""/>
      <w:lvlJc w:val="left"/>
      <w:pPr>
        <w:ind w:left="924" w:hanging="361"/>
      </w:pPr>
      <w:rPr>
        <w:rFonts w:hint="default"/>
        <w:w w:val="100"/>
      </w:rPr>
    </w:lvl>
    <w:lvl w:ilvl="1" w:tplc="BF2C9BC8">
      <w:numFmt w:val="bullet"/>
      <w:lvlText w:val="•"/>
      <w:lvlJc w:val="left"/>
      <w:pPr>
        <w:ind w:left="920" w:hanging="361"/>
      </w:pPr>
      <w:rPr>
        <w:rFonts w:hint="default"/>
      </w:rPr>
    </w:lvl>
    <w:lvl w:ilvl="2" w:tplc="C78E4802">
      <w:numFmt w:val="bullet"/>
      <w:lvlText w:val="•"/>
      <w:lvlJc w:val="left"/>
      <w:pPr>
        <w:ind w:left="1972" w:hanging="361"/>
      </w:pPr>
      <w:rPr>
        <w:rFonts w:hint="default"/>
      </w:rPr>
    </w:lvl>
    <w:lvl w:ilvl="3" w:tplc="E4202E32">
      <w:numFmt w:val="bullet"/>
      <w:lvlText w:val="•"/>
      <w:lvlJc w:val="left"/>
      <w:pPr>
        <w:ind w:left="3024" w:hanging="361"/>
      </w:pPr>
      <w:rPr>
        <w:rFonts w:hint="default"/>
      </w:rPr>
    </w:lvl>
    <w:lvl w:ilvl="4" w:tplc="9DE4D5CA">
      <w:numFmt w:val="bullet"/>
      <w:lvlText w:val="•"/>
      <w:lvlJc w:val="left"/>
      <w:pPr>
        <w:ind w:left="4076" w:hanging="361"/>
      </w:pPr>
      <w:rPr>
        <w:rFonts w:hint="default"/>
      </w:rPr>
    </w:lvl>
    <w:lvl w:ilvl="5" w:tplc="674A068A">
      <w:numFmt w:val="bullet"/>
      <w:lvlText w:val="•"/>
      <w:lvlJc w:val="left"/>
      <w:pPr>
        <w:ind w:left="5128" w:hanging="361"/>
      </w:pPr>
      <w:rPr>
        <w:rFonts w:hint="default"/>
      </w:rPr>
    </w:lvl>
    <w:lvl w:ilvl="6" w:tplc="5276D804">
      <w:numFmt w:val="bullet"/>
      <w:lvlText w:val="•"/>
      <w:lvlJc w:val="left"/>
      <w:pPr>
        <w:ind w:left="6180" w:hanging="361"/>
      </w:pPr>
      <w:rPr>
        <w:rFonts w:hint="default"/>
      </w:rPr>
    </w:lvl>
    <w:lvl w:ilvl="7" w:tplc="A04E6C38">
      <w:numFmt w:val="bullet"/>
      <w:lvlText w:val="•"/>
      <w:lvlJc w:val="left"/>
      <w:pPr>
        <w:ind w:left="7232" w:hanging="361"/>
      </w:pPr>
      <w:rPr>
        <w:rFonts w:hint="default"/>
      </w:rPr>
    </w:lvl>
    <w:lvl w:ilvl="8" w:tplc="379E244E">
      <w:numFmt w:val="bullet"/>
      <w:lvlText w:val="•"/>
      <w:lvlJc w:val="left"/>
      <w:pPr>
        <w:ind w:left="8284" w:hanging="361"/>
      </w:pPr>
      <w:rPr>
        <w:rFonts w:hint="default"/>
      </w:rPr>
    </w:lvl>
  </w:abstractNum>
  <w:abstractNum w:abstractNumId="6" w15:restartNumberingAfterBreak="0">
    <w:nsid w:val="0FEE4BCC"/>
    <w:multiLevelType w:val="hybridMultilevel"/>
    <w:tmpl w:val="4016D850"/>
    <w:lvl w:ilvl="0" w:tplc="104A4B92">
      <w:start w:val="76"/>
      <w:numFmt w:val="decimal"/>
      <w:lvlText w:val="%1."/>
      <w:lvlJc w:val="left"/>
      <w:pPr>
        <w:ind w:left="655" w:hanging="332"/>
        <w:jc w:val="left"/>
      </w:pPr>
      <w:rPr>
        <w:rFonts w:ascii="Cambria" w:eastAsia="Cambria" w:hAnsi="Cambria" w:cs="Cambria" w:hint="default"/>
        <w:spacing w:val="-2"/>
        <w:w w:val="100"/>
        <w:sz w:val="22"/>
        <w:szCs w:val="22"/>
      </w:rPr>
    </w:lvl>
    <w:lvl w:ilvl="1" w:tplc="9BB8863A">
      <w:numFmt w:val="bullet"/>
      <w:lvlText w:val=""/>
      <w:lvlJc w:val="left"/>
      <w:pPr>
        <w:ind w:left="891" w:hanging="361"/>
      </w:pPr>
      <w:rPr>
        <w:rFonts w:ascii="Wingdings" w:eastAsia="Wingdings" w:hAnsi="Wingdings" w:cs="Wingdings" w:hint="default"/>
        <w:w w:val="100"/>
        <w:sz w:val="22"/>
        <w:szCs w:val="22"/>
      </w:rPr>
    </w:lvl>
    <w:lvl w:ilvl="2" w:tplc="BECE567E">
      <w:numFmt w:val="bullet"/>
      <w:lvlText w:val="•"/>
      <w:lvlJc w:val="left"/>
      <w:pPr>
        <w:ind w:left="1954" w:hanging="361"/>
      </w:pPr>
      <w:rPr>
        <w:rFonts w:hint="default"/>
      </w:rPr>
    </w:lvl>
    <w:lvl w:ilvl="3" w:tplc="BB10DD52">
      <w:numFmt w:val="bullet"/>
      <w:lvlText w:val="•"/>
      <w:lvlJc w:val="left"/>
      <w:pPr>
        <w:ind w:left="3008" w:hanging="361"/>
      </w:pPr>
      <w:rPr>
        <w:rFonts w:hint="default"/>
      </w:rPr>
    </w:lvl>
    <w:lvl w:ilvl="4" w:tplc="2C10B17A">
      <w:numFmt w:val="bullet"/>
      <w:lvlText w:val="•"/>
      <w:lvlJc w:val="left"/>
      <w:pPr>
        <w:ind w:left="4062" w:hanging="361"/>
      </w:pPr>
      <w:rPr>
        <w:rFonts w:hint="default"/>
      </w:rPr>
    </w:lvl>
    <w:lvl w:ilvl="5" w:tplc="4854358A">
      <w:numFmt w:val="bullet"/>
      <w:lvlText w:val="•"/>
      <w:lvlJc w:val="left"/>
      <w:pPr>
        <w:ind w:left="5116" w:hanging="361"/>
      </w:pPr>
      <w:rPr>
        <w:rFonts w:hint="default"/>
      </w:rPr>
    </w:lvl>
    <w:lvl w:ilvl="6" w:tplc="76E0F296">
      <w:numFmt w:val="bullet"/>
      <w:lvlText w:val="•"/>
      <w:lvlJc w:val="left"/>
      <w:pPr>
        <w:ind w:left="6171" w:hanging="361"/>
      </w:pPr>
      <w:rPr>
        <w:rFonts w:hint="default"/>
      </w:rPr>
    </w:lvl>
    <w:lvl w:ilvl="7" w:tplc="EF24C568">
      <w:numFmt w:val="bullet"/>
      <w:lvlText w:val="•"/>
      <w:lvlJc w:val="left"/>
      <w:pPr>
        <w:ind w:left="7225" w:hanging="361"/>
      </w:pPr>
      <w:rPr>
        <w:rFonts w:hint="default"/>
      </w:rPr>
    </w:lvl>
    <w:lvl w:ilvl="8" w:tplc="D428BA74">
      <w:numFmt w:val="bullet"/>
      <w:lvlText w:val="•"/>
      <w:lvlJc w:val="left"/>
      <w:pPr>
        <w:ind w:left="8279" w:hanging="361"/>
      </w:pPr>
      <w:rPr>
        <w:rFonts w:hint="default"/>
      </w:rPr>
    </w:lvl>
  </w:abstractNum>
  <w:abstractNum w:abstractNumId="7" w15:restartNumberingAfterBreak="0">
    <w:nsid w:val="12F918C9"/>
    <w:multiLevelType w:val="hybridMultilevel"/>
    <w:tmpl w:val="F95A81B4"/>
    <w:lvl w:ilvl="0" w:tplc="3D70751C">
      <w:numFmt w:val="bullet"/>
      <w:lvlText w:val=""/>
      <w:lvlJc w:val="left"/>
      <w:pPr>
        <w:ind w:left="824" w:hanging="361"/>
      </w:pPr>
      <w:rPr>
        <w:rFonts w:ascii="Symbol" w:eastAsia="Symbol" w:hAnsi="Symbol" w:cs="Symbol" w:hint="default"/>
        <w:b/>
        <w:bCs/>
        <w:w w:val="99"/>
        <w:sz w:val="22"/>
        <w:szCs w:val="22"/>
      </w:rPr>
    </w:lvl>
    <w:lvl w:ilvl="1" w:tplc="4A26FA74">
      <w:numFmt w:val="bullet"/>
      <w:lvlText w:val="•"/>
      <w:lvlJc w:val="left"/>
      <w:pPr>
        <w:ind w:left="1756" w:hanging="361"/>
      </w:pPr>
      <w:rPr>
        <w:rFonts w:hint="default"/>
      </w:rPr>
    </w:lvl>
    <w:lvl w:ilvl="2" w:tplc="EB06EECE">
      <w:numFmt w:val="bullet"/>
      <w:lvlText w:val="•"/>
      <w:lvlJc w:val="left"/>
      <w:pPr>
        <w:ind w:left="2693" w:hanging="361"/>
      </w:pPr>
      <w:rPr>
        <w:rFonts w:hint="default"/>
      </w:rPr>
    </w:lvl>
    <w:lvl w:ilvl="3" w:tplc="D464A334">
      <w:numFmt w:val="bullet"/>
      <w:lvlText w:val="•"/>
      <w:lvlJc w:val="left"/>
      <w:pPr>
        <w:ind w:left="3630" w:hanging="361"/>
      </w:pPr>
      <w:rPr>
        <w:rFonts w:hint="default"/>
      </w:rPr>
    </w:lvl>
    <w:lvl w:ilvl="4" w:tplc="B35C7DCC">
      <w:numFmt w:val="bullet"/>
      <w:lvlText w:val="•"/>
      <w:lvlJc w:val="left"/>
      <w:pPr>
        <w:ind w:left="4567" w:hanging="361"/>
      </w:pPr>
      <w:rPr>
        <w:rFonts w:hint="default"/>
      </w:rPr>
    </w:lvl>
    <w:lvl w:ilvl="5" w:tplc="8690E584">
      <w:numFmt w:val="bullet"/>
      <w:lvlText w:val="•"/>
      <w:lvlJc w:val="left"/>
      <w:pPr>
        <w:ind w:left="5504" w:hanging="361"/>
      </w:pPr>
      <w:rPr>
        <w:rFonts w:hint="default"/>
      </w:rPr>
    </w:lvl>
    <w:lvl w:ilvl="6" w:tplc="B7F6EF02">
      <w:numFmt w:val="bullet"/>
      <w:lvlText w:val="•"/>
      <w:lvlJc w:val="left"/>
      <w:pPr>
        <w:ind w:left="6440" w:hanging="361"/>
      </w:pPr>
      <w:rPr>
        <w:rFonts w:hint="default"/>
      </w:rPr>
    </w:lvl>
    <w:lvl w:ilvl="7" w:tplc="A090285C">
      <w:numFmt w:val="bullet"/>
      <w:lvlText w:val="•"/>
      <w:lvlJc w:val="left"/>
      <w:pPr>
        <w:ind w:left="7377" w:hanging="361"/>
      </w:pPr>
      <w:rPr>
        <w:rFonts w:hint="default"/>
      </w:rPr>
    </w:lvl>
    <w:lvl w:ilvl="8" w:tplc="D238325C">
      <w:numFmt w:val="bullet"/>
      <w:lvlText w:val="•"/>
      <w:lvlJc w:val="left"/>
      <w:pPr>
        <w:ind w:left="8314" w:hanging="361"/>
      </w:pPr>
      <w:rPr>
        <w:rFonts w:hint="default"/>
      </w:rPr>
    </w:lvl>
  </w:abstractNum>
  <w:abstractNum w:abstractNumId="8" w15:restartNumberingAfterBreak="0">
    <w:nsid w:val="14025138"/>
    <w:multiLevelType w:val="hybridMultilevel"/>
    <w:tmpl w:val="097A04D2"/>
    <w:lvl w:ilvl="0" w:tplc="3E4E8D46">
      <w:start w:val="2"/>
      <w:numFmt w:val="decimal"/>
      <w:lvlText w:val="%1)"/>
      <w:lvlJc w:val="left"/>
      <w:pPr>
        <w:ind w:left="911" w:hanging="360"/>
        <w:jc w:val="left"/>
      </w:pPr>
      <w:rPr>
        <w:rFonts w:ascii="Cambria" w:eastAsia="Cambria" w:hAnsi="Cambria" w:cs="Cambria" w:hint="default"/>
        <w:b/>
        <w:bCs/>
        <w:spacing w:val="-8"/>
        <w:w w:val="100"/>
        <w:sz w:val="22"/>
        <w:szCs w:val="22"/>
      </w:rPr>
    </w:lvl>
    <w:lvl w:ilvl="1" w:tplc="4DCCF38E">
      <w:numFmt w:val="bullet"/>
      <w:lvlText w:val="•"/>
      <w:lvlJc w:val="left"/>
      <w:pPr>
        <w:ind w:left="1918" w:hanging="360"/>
      </w:pPr>
      <w:rPr>
        <w:rFonts w:hint="default"/>
      </w:rPr>
    </w:lvl>
    <w:lvl w:ilvl="2" w:tplc="3E8E4B3A">
      <w:numFmt w:val="bullet"/>
      <w:lvlText w:val="•"/>
      <w:lvlJc w:val="left"/>
      <w:pPr>
        <w:ind w:left="2917" w:hanging="360"/>
      </w:pPr>
      <w:rPr>
        <w:rFonts w:hint="default"/>
      </w:rPr>
    </w:lvl>
    <w:lvl w:ilvl="3" w:tplc="5C185E2A">
      <w:numFmt w:val="bullet"/>
      <w:lvlText w:val="•"/>
      <w:lvlJc w:val="left"/>
      <w:pPr>
        <w:ind w:left="3916" w:hanging="360"/>
      </w:pPr>
      <w:rPr>
        <w:rFonts w:hint="default"/>
      </w:rPr>
    </w:lvl>
    <w:lvl w:ilvl="4" w:tplc="D7289382">
      <w:numFmt w:val="bullet"/>
      <w:lvlText w:val="•"/>
      <w:lvlJc w:val="left"/>
      <w:pPr>
        <w:ind w:left="4915" w:hanging="360"/>
      </w:pPr>
      <w:rPr>
        <w:rFonts w:hint="default"/>
      </w:rPr>
    </w:lvl>
    <w:lvl w:ilvl="5" w:tplc="575AAD8A">
      <w:numFmt w:val="bullet"/>
      <w:lvlText w:val="•"/>
      <w:lvlJc w:val="left"/>
      <w:pPr>
        <w:ind w:left="5914" w:hanging="360"/>
      </w:pPr>
      <w:rPr>
        <w:rFonts w:hint="default"/>
      </w:rPr>
    </w:lvl>
    <w:lvl w:ilvl="6" w:tplc="FECEDC98">
      <w:numFmt w:val="bullet"/>
      <w:lvlText w:val="•"/>
      <w:lvlJc w:val="left"/>
      <w:pPr>
        <w:ind w:left="6912" w:hanging="360"/>
      </w:pPr>
      <w:rPr>
        <w:rFonts w:hint="default"/>
      </w:rPr>
    </w:lvl>
    <w:lvl w:ilvl="7" w:tplc="42E2296C">
      <w:numFmt w:val="bullet"/>
      <w:lvlText w:val="•"/>
      <w:lvlJc w:val="left"/>
      <w:pPr>
        <w:ind w:left="7911" w:hanging="360"/>
      </w:pPr>
      <w:rPr>
        <w:rFonts w:hint="default"/>
      </w:rPr>
    </w:lvl>
    <w:lvl w:ilvl="8" w:tplc="7F4E5A42">
      <w:numFmt w:val="bullet"/>
      <w:lvlText w:val="•"/>
      <w:lvlJc w:val="left"/>
      <w:pPr>
        <w:ind w:left="8910" w:hanging="360"/>
      </w:pPr>
      <w:rPr>
        <w:rFonts w:hint="default"/>
      </w:rPr>
    </w:lvl>
  </w:abstractNum>
  <w:abstractNum w:abstractNumId="9" w15:restartNumberingAfterBreak="0">
    <w:nsid w:val="1E1D66D5"/>
    <w:multiLevelType w:val="hybridMultilevel"/>
    <w:tmpl w:val="955C7C58"/>
    <w:lvl w:ilvl="0" w:tplc="B8FAD326">
      <w:start w:val="1"/>
      <w:numFmt w:val="decimal"/>
      <w:lvlText w:val="%1)"/>
      <w:lvlJc w:val="left"/>
      <w:pPr>
        <w:ind w:left="824" w:hanging="360"/>
        <w:jc w:val="left"/>
      </w:pPr>
      <w:rPr>
        <w:rFonts w:ascii="Cambria" w:eastAsia="Cambria" w:hAnsi="Cambria" w:cs="Cambria" w:hint="default"/>
        <w:spacing w:val="-24"/>
        <w:w w:val="100"/>
        <w:sz w:val="22"/>
        <w:szCs w:val="22"/>
      </w:rPr>
    </w:lvl>
    <w:lvl w:ilvl="1" w:tplc="FFA4BE0C">
      <w:numFmt w:val="bullet"/>
      <w:lvlText w:val="•"/>
      <w:lvlJc w:val="left"/>
      <w:pPr>
        <w:ind w:left="1756" w:hanging="360"/>
      </w:pPr>
      <w:rPr>
        <w:rFonts w:hint="default"/>
      </w:rPr>
    </w:lvl>
    <w:lvl w:ilvl="2" w:tplc="6238591E">
      <w:numFmt w:val="bullet"/>
      <w:lvlText w:val="•"/>
      <w:lvlJc w:val="left"/>
      <w:pPr>
        <w:ind w:left="2693" w:hanging="360"/>
      </w:pPr>
      <w:rPr>
        <w:rFonts w:hint="default"/>
      </w:rPr>
    </w:lvl>
    <w:lvl w:ilvl="3" w:tplc="497EE8A0">
      <w:numFmt w:val="bullet"/>
      <w:lvlText w:val="•"/>
      <w:lvlJc w:val="left"/>
      <w:pPr>
        <w:ind w:left="3630" w:hanging="360"/>
      </w:pPr>
      <w:rPr>
        <w:rFonts w:hint="default"/>
      </w:rPr>
    </w:lvl>
    <w:lvl w:ilvl="4" w:tplc="EAE60876">
      <w:numFmt w:val="bullet"/>
      <w:lvlText w:val="•"/>
      <w:lvlJc w:val="left"/>
      <w:pPr>
        <w:ind w:left="4567" w:hanging="360"/>
      </w:pPr>
      <w:rPr>
        <w:rFonts w:hint="default"/>
      </w:rPr>
    </w:lvl>
    <w:lvl w:ilvl="5" w:tplc="1652A9F2">
      <w:numFmt w:val="bullet"/>
      <w:lvlText w:val="•"/>
      <w:lvlJc w:val="left"/>
      <w:pPr>
        <w:ind w:left="5504" w:hanging="360"/>
      </w:pPr>
      <w:rPr>
        <w:rFonts w:hint="default"/>
      </w:rPr>
    </w:lvl>
    <w:lvl w:ilvl="6" w:tplc="18B07874">
      <w:numFmt w:val="bullet"/>
      <w:lvlText w:val="•"/>
      <w:lvlJc w:val="left"/>
      <w:pPr>
        <w:ind w:left="6440" w:hanging="360"/>
      </w:pPr>
      <w:rPr>
        <w:rFonts w:hint="default"/>
      </w:rPr>
    </w:lvl>
    <w:lvl w:ilvl="7" w:tplc="5F221E82">
      <w:numFmt w:val="bullet"/>
      <w:lvlText w:val="•"/>
      <w:lvlJc w:val="left"/>
      <w:pPr>
        <w:ind w:left="7377" w:hanging="360"/>
      </w:pPr>
      <w:rPr>
        <w:rFonts w:hint="default"/>
      </w:rPr>
    </w:lvl>
    <w:lvl w:ilvl="8" w:tplc="BA468F2A">
      <w:numFmt w:val="bullet"/>
      <w:lvlText w:val="•"/>
      <w:lvlJc w:val="left"/>
      <w:pPr>
        <w:ind w:left="8314" w:hanging="360"/>
      </w:pPr>
      <w:rPr>
        <w:rFonts w:hint="default"/>
      </w:rPr>
    </w:lvl>
  </w:abstractNum>
  <w:abstractNum w:abstractNumId="10" w15:restartNumberingAfterBreak="0">
    <w:nsid w:val="30AA2DB1"/>
    <w:multiLevelType w:val="hybridMultilevel"/>
    <w:tmpl w:val="558438A8"/>
    <w:lvl w:ilvl="0" w:tplc="EFECEBEE">
      <w:numFmt w:val="bullet"/>
      <w:lvlText w:val="-"/>
      <w:lvlJc w:val="left"/>
      <w:pPr>
        <w:ind w:left="891" w:hanging="360"/>
      </w:pPr>
      <w:rPr>
        <w:rFonts w:ascii="Cambria" w:eastAsia="Cambria" w:hAnsi="Cambria" w:cs="Cambria" w:hint="default"/>
        <w:spacing w:val="-6"/>
        <w:w w:val="100"/>
        <w:sz w:val="22"/>
        <w:szCs w:val="22"/>
      </w:rPr>
    </w:lvl>
    <w:lvl w:ilvl="1" w:tplc="AE4AFB1E">
      <w:numFmt w:val="bullet"/>
      <w:lvlText w:val=""/>
      <w:lvlJc w:val="left"/>
      <w:pPr>
        <w:ind w:left="1024" w:hanging="360"/>
      </w:pPr>
      <w:rPr>
        <w:rFonts w:ascii="Symbol" w:eastAsia="Symbol" w:hAnsi="Symbol" w:cs="Symbol" w:hint="default"/>
        <w:w w:val="100"/>
        <w:sz w:val="22"/>
        <w:szCs w:val="22"/>
      </w:rPr>
    </w:lvl>
    <w:lvl w:ilvl="2" w:tplc="4DCAC91A">
      <w:numFmt w:val="bullet"/>
      <w:lvlText w:val="•"/>
      <w:lvlJc w:val="left"/>
      <w:pPr>
        <w:ind w:left="2060" w:hanging="360"/>
      </w:pPr>
      <w:rPr>
        <w:rFonts w:hint="default"/>
      </w:rPr>
    </w:lvl>
    <w:lvl w:ilvl="3" w:tplc="7768728E">
      <w:numFmt w:val="bullet"/>
      <w:lvlText w:val="•"/>
      <w:lvlJc w:val="left"/>
      <w:pPr>
        <w:ind w:left="3101" w:hanging="360"/>
      </w:pPr>
      <w:rPr>
        <w:rFonts w:hint="default"/>
      </w:rPr>
    </w:lvl>
    <w:lvl w:ilvl="4" w:tplc="43BA9C9C">
      <w:numFmt w:val="bullet"/>
      <w:lvlText w:val="•"/>
      <w:lvlJc w:val="left"/>
      <w:pPr>
        <w:ind w:left="4142" w:hanging="360"/>
      </w:pPr>
      <w:rPr>
        <w:rFonts w:hint="default"/>
      </w:rPr>
    </w:lvl>
    <w:lvl w:ilvl="5" w:tplc="8C5048CC">
      <w:numFmt w:val="bullet"/>
      <w:lvlText w:val="•"/>
      <w:lvlJc w:val="left"/>
      <w:pPr>
        <w:ind w:left="5183" w:hanging="360"/>
      </w:pPr>
      <w:rPr>
        <w:rFonts w:hint="default"/>
      </w:rPr>
    </w:lvl>
    <w:lvl w:ilvl="6" w:tplc="21E01730">
      <w:numFmt w:val="bullet"/>
      <w:lvlText w:val="•"/>
      <w:lvlJc w:val="left"/>
      <w:pPr>
        <w:ind w:left="6224" w:hanging="360"/>
      </w:pPr>
      <w:rPr>
        <w:rFonts w:hint="default"/>
      </w:rPr>
    </w:lvl>
    <w:lvl w:ilvl="7" w:tplc="E6F86F24">
      <w:numFmt w:val="bullet"/>
      <w:lvlText w:val="•"/>
      <w:lvlJc w:val="left"/>
      <w:pPr>
        <w:ind w:left="7265" w:hanging="360"/>
      </w:pPr>
      <w:rPr>
        <w:rFonts w:hint="default"/>
      </w:rPr>
    </w:lvl>
    <w:lvl w:ilvl="8" w:tplc="3C80810A">
      <w:numFmt w:val="bullet"/>
      <w:lvlText w:val="•"/>
      <w:lvlJc w:val="left"/>
      <w:pPr>
        <w:ind w:left="8306" w:hanging="360"/>
      </w:pPr>
      <w:rPr>
        <w:rFonts w:hint="default"/>
      </w:rPr>
    </w:lvl>
  </w:abstractNum>
  <w:abstractNum w:abstractNumId="11" w15:restartNumberingAfterBreak="0">
    <w:nsid w:val="314B5465"/>
    <w:multiLevelType w:val="hybridMultilevel"/>
    <w:tmpl w:val="B91CF032"/>
    <w:lvl w:ilvl="0" w:tplc="3BC4387C">
      <w:numFmt w:val="bullet"/>
      <w:lvlText w:val=""/>
      <w:lvlJc w:val="left"/>
      <w:pPr>
        <w:ind w:left="824" w:hanging="361"/>
      </w:pPr>
      <w:rPr>
        <w:rFonts w:ascii="Symbol" w:eastAsia="Symbol" w:hAnsi="Symbol" w:cs="Symbol" w:hint="default"/>
        <w:w w:val="100"/>
        <w:sz w:val="22"/>
        <w:szCs w:val="22"/>
      </w:rPr>
    </w:lvl>
    <w:lvl w:ilvl="1" w:tplc="56464150">
      <w:numFmt w:val="bullet"/>
      <w:lvlText w:val="•"/>
      <w:lvlJc w:val="left"/>
      <w:pPr>
        <w:ind w:left="1756" w:hanging="361"/>
      </w:pPr>
      <w:rPr>
        <w:rFonts w:hint="default"/>
      </w:rPr>
    </w:lvl>
    <w:lvl w:ilvl="2" w:tplc="1F2AD55A">
      <w:numFmt w:val="bullet"/>
      <w:lvlText w:val="•"/>
      <w:lvlJc w:val="left"/>
      <w:pPr>
        <w:ind w:left="2693" w:hanging="361"/>
      </w:pPr>
      <w:rPr>
        <w:rFonts w:hint="default"/>
      </w:rPr>
    </w:lvl>
    <w:lvl w:ilvl="3" w:tplc="544EC080">
      <w:numFmt w:val="bullet"/>
      <w:lvlText w:val="•"/>
      <w:lvlJc w:val="left"/>
      <w:pPr>
        <w:ind w:left="3630" w:hanging="361"/>
      </w:pPr>
      <w:rPr>
        <w:rFonts w:hint="default"/>
      </w:rPr>
    </w:lvl>
    <w:lvl w:ilvl="4" w:tplc="5ECAC708">
      <w:numFmt w:val="bullet"/>
      <w:lvlText w:val="•"/>
      <w:lvlJc w:val="left"/>
      <w:pPr>
        <w:ind w:left="4567" w:hanging="361"/>
      </w:pPr>
      <w:rPr>
        <w:rFonts w:hint="default"/>
      </w:rPr>
    </w:lvl>
    <w:lvl w:ilvl="5" w:tplc="FB5A4B3C">
      <w:numFmt w:val="bullet"/>
      <w:lvlText w:val="•"/>
      <w:lvlJc w:val="left"/>
      <w:pPr>
        <w:ind w:left="5504" w:hanging="361"/>
      </w:pPr>
      <w:rPr>
        <w:rFonts w:hint="default"/>
      </w:rPr>
    </w:lvl>
    <w:lvl w:ilvl="6" w:tplc="9F249E3C">
      <w:numFmt w:val="bullet"/>
      <w:lvlText w:val="•"/>
      <w:lvlJc w:val="left"/>
      <w:pPr>
        <w:ind w:left="6440" w:hanging="361"/>
      </w:pPr>
      <w:rPr>
        <w:rFonts w:hint="default"/>
      </w:rPr>
    </w:lvl>
    <w:lvl w:ilvl="7" w:tplc="1570DB18">
      <w:numFmt w:val="bullet"/>
      <w:lvlText w:val="•"/>
      <w:lvlJc w:val="left"/>
      <w:pPr>
        <w:ind w:left="7377" w:hanging="361"/>
      </w:pPr>
      <w:rPr>
        <w:rFonts w:hint="default"/>
      </w:rPr>
    </w:lvl>
    <w:lvl w:ilvl="8" w:tplc="D9B2FE64">
      <w:numFmt w:val="bullet"/>
      <w:lvlText w:val="•"/>
      <w:lvlJc w:val="left"/>
      <w:pPr>
        <w:ind w:left="8314" w:hanging="361"/>
      </w:pPr>
      <w:rPr>
        <w:rFonts w:hint="default"/>
      </w:rPr>
    </w:lvl>
  </w:abstractNum>
  <w:abstractNum w:abstractNumId="12" w15:restartNumberingAfterBreak="0">
    <w:nsid w:val="362742B9"/>
    <w:multiLevelType w:val="hybridMultilevel"/>
    <w:tmpl w:val="CE0E952C"/>
    <w:lvl w:ilvl="0" w:tplc="2370CA5E">
      <w:numFmt w:val="bullet"/>
      <w:lvlText w:val=""/>
      <w:lvlJc w:val="left"/>
      <w:pPr>
        <w:ind w:left="824" w:hanging="361"/>
      </w:pPr>
      <w:rPr>
        <w:rFonts w:ascii="Symbol" w:eastAsia="Symbol" w:hAnsi="Symbol" w:cs="Symbol" w:hint="default"/>
        <w:w w:val="100"/>
        <w:sz w:val="22"/>
        <w:szCs w:val="22"/>
      </w:rPr>
    </w:lvl>
    <w:lvl w:ilvl="1" w:tplc="04F6A56E">
      <w:numFmt w:val="bullet"/>
      <w:lvlText w:val="•"/>
      <w:lvlJc w:val="left"/>
      <w:pPr>
        <w:ind w:left="1756" w:hanging="361"/>
      </w:pPr>
      <w:rPr>
        <w:rFonts w:hint="default"/>
      </w:rPr>
    </w:lvl>
    <w:lvl w:ilvl="2" w:tplc="DBF83386">
      <w:numFmt w:val="bullet"/>
      <w:lvlText w:val="•"/>
      <w:lvlJc w:val="left"/>
      <w:pPr>
        <w:ind w:left="2693" w:hanging="361"/>
      </w:pPr>
      <w:rPr>
        <w:rFonts w:hint="default"/>
      </w:rPr>
    </w:lvl>
    <w:lvl w:ilvl="3" w:tplc="EFC042A0">
      <w:numFmt w:val="bullet"/>
      <w:lvlText w:val="•"/>
      <w:lvlJc w:val="left"/>
      <w:pPr>
        <w:ind w:left="3630" w:hanging="361"/>
      </w:pPr>
      <w:rPr>
        <w:rFonts w:hint="default"/>
      </w:rPr>
    </w:lvl>
    <w:lvl w:ilvl="4" w:tplc="7DE07050">
      <w:numFmt w:val="bullet"/>
      <w:lvlText w:val="•"/>
      <w:lvlJc w:val="left"/>
      <w:pPr>
        <w:ind w:left="4567" w:hanging="361"/>
      </w:pPr>
      <w:rPr>
        <w:rFonts w:hint="default"/>
      </w:rPr>
    </w:lvl>
    <w:lvl w:ilvl="5" w:tplc="054CACDA">
      <w:numFmt w:val="bullet"/>
      <w:lvlText w:val="•"/>
      <w:lvlJc w:val="left"/>
      <w:pPr>
        <w:ind w:left="5504" w:hanging="361"/>
      </w:pPr>
      <w:rPr>
        <w:rFonts w:hint="default"/>
      </w:rPr>
    </w:lvl>
    <w:lvl w:ilvl="6" w:tplc="D0783E06">
      <w:numFmt w:val="bullet"/>
      <w:lvlText w:val="•"/>
      <w:lvlJc w:val="left"/>
      <w:pPr>
        <w:ind w:left="6440" w:hanging="361"/>
      </w:pPr>
      <w:rPr>
        <w:rFonts w:hint="default"/>
      </w:rPr>
    </w:lvl>
    <w:lvl w:ilvl="7" w:tplc="B7FCB88C">
      <w:numFmt w:val="bullet"/>
      <w:lvlText w:val="•"/>
      <w:lvlJc w:val="left"/>
      <w:pPr>
        <w:ind w:left="7377" w:hanging="361"/>
      </w:pPr>
      <w:rPr>
        <w:rFonts w:hint="default"/>
      </w:rPr>
    </w:lvl>
    <w:lvl w:ilvl="8" w:tplc="60D428AC">
      <w:numFmt w:val="bullet"/>
      <w:lvlText w:val="•"/>
      <w:lvlJc w:val="left"/>
      <w:pPr>
        <w:ind w:left="8314" w:hanging="361"/>
      </w:pPr>
      <w:rPr>
        <w:rFonts w:hint="default"/>
      </w:rPr>
    </w:lvl>
  </w:abstractNum>
  <w:abstractNum w:abstractNumId="13" w15:restartNumberingAfterBreak="0">
    <w:nsid w:val="387C261E"/>
    <w:multiLevelType w:val="hybridMultilevel"/>
    <w:tmpl w:val="FC201198"/>
    <w:lvl w:ilvl="0" w:tplc="40546640">
      <w:numFmt w:val="bullet"/>
      <w:lvlText w:val=""/>
      <w:lvlJc w:val="left"/>
      <w:pPr>
        <w:ind w:left="824" w:hanging="361"/>
      </w:pPr>
      <w:rPr>
        <w:rFonts w:ascii="Symbol" w:eastAsia="Symbol" w:hAnsi="Symbol" w:cs="Symbol" w:hint="default"/>
        <w:w w:val="100"/>
        <w:sz w:val="22"/>
        <w:szCs w:val="22"/>
      </w:rPr>
    </w:lvl>
    <w:lvl w:ilvl="1" w:tplc="FF3ADD84">
      <w:numFmt w:val="bullet"/>
      <w:lvlText w:val="•"/>
      <w:lvlJc w:val="left"/>
      <w:pPr>
        <w:ind w:left="1756" w:hanging="361"/>
      </w:pPr>
      <w:rPr>
        <w:rFonts w:hint="default"/>
      </w:rPr>
    </w:lvl>
    <w:lvl w:ilvl="2" w:tplc="CACECBC8">
      <w:numFmt w:val="bullet"/>
      <w:lvlText w:val="•"/>
      <w:lvlJc w:val="left"/>
      <w:pPr>
        <w:ind w:left="2693" w:hanging="361"/>
      </w:pPr>
      <w:rPr>
        <w:rFonts w:hint="default"/>
      </w:rPr>
    </w:lvl>
    <w:lvl w:ilvl="3" w:tplc="3BF8F8F2">
      <w:numFmt w:val="bullet"/>
      <w:lvlText w:val="•"/>
      <w:lvlJc w:val="left"/>
      <w:pPr>
        <w:ind w:left="3630" w:hanging="361"/>
      </w:pPr>
      <w:rPr>
        <w:rFonts w:hint="default"/>
      </w:rPr>
    </w:lvl>
    <w:lvl w:ilvl="4" w:tplc="FA4E1C00">
      <w:numFmt w:val="bullet"/>
      <w:lvlText w:val="•"/>
      <w:lvlJc w:val="left"/>
      <w:pPr>
        <w:ind w:left="4567" w:hanging="361"/>
      </w:pPr>
      <w:rPr>
        <w:rFonts w:hint="default"/>
      </w:rPr>
    </w:lvl>
    <w:lvl w:ilvl="5" w:tplc="8398F628">
      <w:numFmt w:val="bullet"/>
      <w:lvlText w:val="•"/>
      <w:lvlJc w:val="left"/>
      <w:pPr>
        <w:ind w:left="5504" w:hanging="361"/>
      </w:pPr>
      <w:rPr>
        <w:rFonts w:hint="default"/>
      </w:rPr>
    </w:lvl>
    <w:lvl w:ilvl="6" w:tplc="E4B6D6A0">
      <w:numFmt w:val="bullet"/>
      <w:lvlText w:val="•"/>
      <w:lvlJc w:val="left"/>
      <w:pPr>
        <w:ind w:left="6440" w:hanging="361"/>
      </w:pPr>
      <w:rPr>
        <w:rFonts w:hint="default"/>
      </w:rPr>
    </w:lvl>
    <w:lvl w:ilvl="7" w:tplc="3D74125E">
      <w:numFmt w:val="bullet"/>
      <w:lvlText w:val="•"/>
      <w:lvlJc w:val="left"/>
      <w:pPr>
        <w:ind w:left="7377" w:hanging="361"/>
      </w:pPr>
      <w:rPr>
        <w:rFonts w:hint="default"/>
      </w:rPr>
    </w:lvl>
    <w:lvl w:ilvl="8" w:tplc="E7183FF4">
      <w:numFmt w:val="bullet"/>
      <w:lvlText w:val="•"/>
      <w:lvlJc w:val="left"/>
      <w:pPr>
        <w:ind w:left="8314" w:hanging="361"/>
      </w:pPr>
      <w:rPr>
        <w:rFonts w:hint="default"/>
      </w:rPr>
    </w:lvl>
  </w:abstractNum>
  <w:abstractNum w:abstractNumId="14" w15:restartNumberingAfterBreak="0">
    <w:nsid w:val="3F1F418B"/>
    <w:multiLevelType w:val="hybridMultilevel"/>
    <w:tmpl w:val="49ACDB20"/>
    <w:lvl w:ilvl="0" w:tplc="0C38FC62">
      <w:start w:val="1"/>
      <w:numFmt w:val="lowerLetter"/>
      <w:lvlText w:val="(%1)"/>
      <w:lvlJc w:val="left"/>
      <w:pPr>
        <w:ind w:left="144" w:hanging="324"/>
        <w:jc w:val="left"/>
      </w:pPr>
      <w:rPr>
        <w:rFonts w:ascii="Cambria" w:eastAsia="Cambria" w:hAnsi="Cambria" w:cs="Cambria" w:hint="default"/>
        <w:w w:val="100"/>
        <w:sz w:val="22"/>
        <w:szCs w:val="22"/>
      </w:rPr>
    </w:lvl>
    <w:lvl w:ilvl="1" w:tplc="F1EEDE78">
      <w:numFmt w:val="bullet"/>
      <w:lvlText w:val="•"/>
      <w:lvlJc w:val="left"/>
      <w:pPr>
        <w:ind w:left="1082" w:hanging="324"/>
      </w:pPr>
      <w:rPr>
        <w:rFonts w:hint="default"/>
      </w:rPr>
    </w:lvl>
    <w:lvl w:ilvl="2" w:tplc="45F674E4">
      <w:numFmt w:val="bullet"/>
      <w:lvlText w:val="•"/>
      <w:lvlJc w:val="left"/>
      <w:pPr>
        <w:ind w:left="2024" w:hanging="324"/>
      </w:pPr>
      <w:rPr>
        <w:rFonts w:hint="default"/>
      </w:rPr>
    </w:lvl>
    <w:lvl w:ilvl="3" w:tplc="B36CC62E">
      <w:numFmt w:val="bullet"/>
      <w:lvlText w:val="•"/>
      <w:lvlJc w:val="left"/>
      <w:pPr>
        <w:ind w:left="2966" w:hanging="324"/>
      </w:pPr>
      <w:rPr>
        <w:rFonts w:hint="default"/>
      </w:rPr>
    </w:lvl>
    <w:lvl w:ilvl="4" w:tplc="479CAECC">
      <w:numFmt w:val="bullet"/>
      <w:lvlText w:val="•"/>
      <w:lvlJc w:val="left"/>
      <w:pPr>
        <w:ind w:left="3908" w:hanging="324"/>
      </w:pPr>
      <w:rPr>
        <w:rFonts w:hint="default"/>
      </w:rPr>
    </w:lvl>
    <w:lvl w:ilvl="5" w:tplc="3448FBEE">
      <w:numFmt w:val="bullet"/>
      <w:lvlText w:val="•"/>
      <w:lvlJc w:val="left"/>
      <w:pPr>
        <w:ind w:left="4850" w:hanging="324"/>
      </w:pPr>
      <w:rPr>
        <w:rFonts w:hint="default"/>
      </w:rPr>
    </w:lvl>
    <w:lvl w:ilvl="6" w:tplc="89AADC70">
      <w:numFmt w:val="bullet"/>
      <w:lvlText w:val="•"/>
      <w:lvlJc w:val="left"/>
      <w:pPr>
        <w:ind w:left="5792" w:hanging="324"/>
      </w:pPr>
      <w:rPr>
        <w:rFonts w:hint="default"/>
      </w:rPr>
    </w:lvl>
    <w:lvl w:ilvl="7" w:tplc="63C4BDD2">
      <w:numFmt w:val="bullet"/>
      <w:lvlText w:val="•"/>
      <w:lvlJc w:val="left"/>
      <w:pPr>
        <w:ind w:left="6734" w:hanging="324"/>
      </w:pPr>
      <w:rPr>
        <w:rFonts w:hint="default"/>
      </w:rPr>
    </w:lvl>
    <w:lvl w:ilvl="8" w:tplc="AAC83428">
      <w:numFmt w:val="bullet"/>
      <w:lvlText w:val="•"/>
      <w:lvlJc w:val="left"/>
      <w:pPr>
        <w:ind w:left="7676" w:hanging="324"/>
      </w:pPr>
      <w:rPr>
        <w:rFonts w:hint="default"/>
      </w:rPr>
    </w:lvl>
  </w:abstractNum>
  <w:abstractNum w:abstractNumId="15" w15:restartNumberingAfterBreak="0">
    <w:nsid w:val="46E21692"/>
    <w:multiLevelType w:val="hybridMultilevel"/>
    <w:tmpl w:val="2CB81A02"/>
    <w:lvl w:ilvl="0" w:tplc="15246C0A">
      <w:start w:val="1"/>
      <w:numFmt w:val="decimal"/>
      <w:lvlText w:val="%1."/>
      <w:lvlJc w:val="left"/>
      <w:pPr>
        <w:ind w:left="599" w:hanging="361"/>
        <w:jc w:val="right"/>
      </w:pPr>
      <w:rPr>
        <w:rFonts w:ascii="Cambria" w:eastAsia="Cambria" w:hAnsi="Cambria" w:cs="Cambria" w:hint="default"/>
        <w:spacing w:val="-24"/>
        <w:w w:val="100"/>
        <w:sz w:val="22"/>
        <w:szCs w:val="22"/>
      </w:rPr>
    </w:lvl>
    <w:lvl w:ilvl="1" w:tplc="56F69F34">
      <w:start w:val="1"/>
      <w:numFmt w:val="lowerLetter"/>
      <w:lvlText w:val="%2."/>
      <w:lvlJc w:val="left"/>
      <w:pPr>
        <w:ind w:left="1304" w:hanging="356"/>
        <w:jc w:val="left"/>
      </w:pPr>
      <w:rPr>
        <w:rFonts w:ascii="Cambria" w:eastAsia="Cambria" w:hAnsi="Cambria" w:cs="Cambria" w:hint="default"/>
        <w:spacing w:val="-9"/>
        <w:w w:val="100"/>
        <w:sz w:val="22"/>
        <w:szCs w:val="22"/>
      </w:rPr>
    </w:lvl>
    <w:lvl w:ilvl="2" w:tplc="2ED86B9E">
      <w:numFmt w:val="bullet"/>
      <w:lvlText w:val="•"/>
      <w:lvlJc w:val="left"/>
      <w:pPr>
        <w:ind w:left="2320" w:hanging="356"/>
      </w:pPr>
      <w:rPr>
        <w:rFonts w:hint="default"/>
      </w:rPr>
    </w:lvl>
    <w:lvl w:ilvl="3" w:tplc="E398E9EE">
      <w:numFmt w:val="bullet"/>
      <w:lvlText w:val="•"/>
      <w:lvlJc w:val="left"/>
      <w:pPr>
        <w:ind w:left="3341" w:hanging="356"/>
      </w:pPr>
      <w:rPr>
        <w:rFonts w:hint="default"/>
      </w:rPr>
    </w:lvl>
    <w:lvl w:ilvl="4" w:tplc="F108643A">
      <w:numFmt w:val="bullet"/>
      <w:lvlText w:val="•"/>
      <w:lvlJc w:val="left"/>
      <w:pPr>
        <w:ind w:left="4362" w:hanging="356"/>
      </w:pPr>
      <w:rPr>
        <w:rFonts w:hint="default"/>
      </w:rPr>
    </w:lvl>
    <w:lvl w:ilvl="5" w:tplc="7BC6CFC6">
      <w:numFmt w:val="bullet"/>
      <w:lvlText w:val="•"/>
      <w:lvlJc w:val="left"/>
      <w:pPr>
        <w:ind w:left="5383" w:hanging="356"/>
      </w:pPr>
      <w:rPr>
        <w:rFonts w:hint="default"/>
      </w:rPr>
    </w:lvl>
    <w:lvl w:ilvl="6" w:tplc="83F83290">
      <w:numFmt w:val="bullet"/>
      <w:lvlText w:val="•"/>
      <w:lvlJc w:val="left"/>
      <w:pPr>
        <w:ind w:left="6404" w:hanging="356"/>
      </w:pPr>
      <w:rPr>
        <w:rFonts w:hint="default"/>
      </w:rPr>
    </w:lvl>
    <w:lvl w:ilvl="7" w:tplc="12A004A0">
      <w:numFmt w:val="bullet"/>
      <w:lvlText w:val="•"/>
      <w:lvlJc w:val="left"/>
      <w:pPr>
        <w:ind w:left="7425" w:hanging="356"/>
      </w:pPr>
      <w:rPr>
        <w:rFonts w:hint="default"/>
      </w:rPr>
    </w:lvl>
    <w:lvl w:ilvl="8" w:tplc="CBC03CE8">
      <w:numFmt w:val="bullet"/>
      <w:lvlText w:val="•"/>
      <w:lvlJc w:val="left"/>
      <w:pPr>
        <w:ind w:left="8446" w:hanging="356"/>
      </w:pPr>
      <w:rPr>
        <w:rFonts w:hint="default"/>
      </w:rPr>
    </w:lvl>
  </w:abstractNum>
  <w:abstractNum w:abstractNumId="16" w15:restartNumberingAfterBreak="0">
    <w:nsid w:val="4ABD7CD0"/>
    <w:multiLevelType w:val="hybridMultilevel"/>
    <w:tmpl w:val="3AC4C684"/>
    <w:lvl w:ilvl="0" w:tplc="7310C0D8">
      <w:start w:val="1"/>
      <w:numFmt w:val="decimal"/>
      <w:lvlText w:val="%1)"/>
      <w:lvlJc w:val="left"/>
      <w:pPr>
        <w:ind w:left="1016" w:hanging="356"/>
        <w:jc w:val="left"/>
      </w:pPr>
      <w:rPr>
        <w:rFonts w:ascii="Cambria" w:eastAsia="Cambria" w:hAnsi="Cambria" w:cs="Cambria" w:hint="default"/>
        <w:spacing w:val="-10"/>
        <w:w w:val="100"/>
        <w:sz w:val="22"/>
        <w:szCs w:val="22"/>
      </w:rPr>
    </w:lvl>
    <w:lvl w:ilvl="1" w:tplc="B09AB8B0">
      <w:numFmt w:val="bullet"/>
      <w:lvlText w:val="•"/>
      <w:lvlJc w:val="left"/>
      <w:pPr>
        <w:ind w:left="2008" w:hanging="356"/>
      </w:pPr>
      <w:rPr>
        <w:rFonts w:hint="default"/>
      </w:rPr>
    </w:lvl>
    <w:lvl w:ilvl="2" w:tplc="B42A3DAC">
      <w:numFmt w:val="bullet"/>
      <w:lvlText w:val="•"/>
      <w:lvlJc w:val="left"/>
      <w:pPr>
        <w:ind w:left="2997" w:hanging="356"/>
      </w:pPr>
      <w:rPr>
        <w:rFonts w:hint="default"/>
      </w:rPr>
    </w:lvl>
    <w:lvl w:ilvl="3" w:tplc="82F6A2B6">
      <w:numFmt w:val="bullet"/>
      <w:lvlText w:val="•"/>
      <w:lvlJc w:val="left"/>
      <w:pPr>
        <w:ind w:left="3986" w:hanging="356"/>
      </w:pPr>
      <w:rPr>
        <w:rFonts w:hint="default"/>
      </w:rPr>
    </w:lvl>
    <w:lvl w:ilvl="4" w:tplc="C74EB674">
      <w:numFmt w:val="bullet"/>
      <w:lvlText w:val="•"/>
      <w:lvlJc w:val="left"/>
      <w:pPr>
        <w:ind w:left="4975" w:hanging="356"/>
      </w:pPr>
      <w:rPr>
        <w:rFonts w:hint="default"/>
      </w:rPr>
    </w:lvl>
    <w:lvl w:ilvl="5" w:tplc="2680827A">
      <w:numFmt w:val="bullet"/>
      <w:lvlText w:val="•"/>
      <w:lvlJc w:val="left"/>
      <w:pPr>
        <w:ind w:left="5964" w:hanging="356"/>
      </w:pPr>
      <w:rPr>
        <w:rFonts w:hint="default"/>
      </w:rPr>
    </w:lvl>
    <w:lvl w:ilvl="6" w:tplc="21168D12">
      <w:numFmt w:val="bullet"/>
      <w:lvlText w:val="•"/>
      <w:lvlJc w:val="left"/>
      <w:pPr>
        <w:ind w:left="6952" w:hanging="356"/>
      </w:pPr>
      <w:rPr>
        <w:rFonts w:hint="default"/>
      </w:rPr>
    </w:lvl>
    <w:lvl w:ilvl="7" w:tplc="829E60AC">
      <w:numFmt w:val="bullet"/>
      <w:lvlText w:val="•"/>
      <w:lvlJc w:val="left"/>
      <w:pPr>
        <w:ind w:left="7941" w:hanging="356"/>
      </w:pPr>
      <w:rPr>
        <w:rFonts w:hint="default"/>
      </w:rPr>
    </w:lvl>
    <w:lvl w:ilvl="8" w:tplc="3868459A">
      <w:numFmt w:val="bullet"/>
      <w:lvlText w:val="•"/>
      <w:lvlJc w:val="left"/>
      <w:pPr>
        <w:ind w:left="8930" w:hanging="356"/>
      </w:pPr>
      <w:rPr>
        <w:rFonts w:hint="default"/>
      </w:rPr>
    </w:lvl>
  </w:abstractNum>
  <w:abstractNum w:abstractNumId="17" w15:restartNumberingAfterBreak="0">
    <w:nsid w:val="4AE15BF3"/>
    <w:multiLevelType w:val="hybridMultilevel"/>
    <w:tmpl w:val="9AD20EFC"/>
    <w:lvl w:ilvl="0" w:tplc="252A00DE">
      <w:numFmt w:val="bullet"/>
      <w:lvlText w:val=""/>
      <w:lvlJc w:val="left"/>
      <w:pPr>
        <w:ind w:left="912" w:hanging="361"/>
      </w:pPr>
      <w:rPr>
        <w:rFonts w:ascii="Symbol" w:eastAsia="Symbol" w:hAnsi="Symbol" w:cs="Symbol" w:hint="default"/>
        <w:w w:val="100"/>
        <w:sz w:val="22"/>
        <w:szCs w:val="22"/>
      </w:rPr>
    </w:lvl>
    <w:lvl w:ilvl="1" w:tplc="B5D8AABC">
      <w:numFmt w:val="bullet"/>
      <w:lvlText w:val="•"/>
      <w:lvlJc w:val="left"/>
      <w:pPr>
        <w:ind w:left="1908" w:hanging="361"/>
      </w:pPr>
      <w:rPr>
        <w:rFonts w:hint="default"/>
      </w:rPr>
    </w:lvl>
    <w:lvl w:ilvl="2" w:tplc="68F031F6">
      <w:numFmt w:val="bullet"/>
      <w:lvlText w:val="•"/>
      <w:lvlJc w:val="left"/>
      <w:pPr>
        <w:ind w:left="2897" w:hanging="361"/>
      </w:pPr>
      <w:rPr>
        <w:rFonts w:hint="default"/>
      </w:rPr>
    </w:lvl>
    <w:lvl w:ilvl="3" w:tplc="FAA08DD4">
      <w:numFmt w:val="bullet"/>
      <w:lvlText w:val="•"/>
      <w:lvlJc w:val="left"/>
      <w:pPr>
        <w:ind w:left="3886" w:hanging="361"/>
      </w:pPr>
      <w:rPr>
        <w:rFonts w:hint="default"/>
      </w:rPr>
    </w:lvl>
    <w:lvl w:ilvl="4" w:tplc="74903978">
      <w:numFmt w:val="bullet"/>
      <w:lvlText w:val="•"/>
      <w:lvlJc w:val="left"/>
      <w:pPr>
        <w:ind w:left="4875" w:hanging="361"/>
      </w:pPr>
      <w:rPr>
        <w:rFonts w:hint="default"/>
      </w:rPr>
    </w:lvl>
    <w:lvl w:ilvl="5" w:tplc="1B8E92A0">
      <w:numFmt w:val="bullet"/>
      <w:lvlText w:val="•"/>
      <w:lvlJc w:val="left"/>
      <w:pPr>
        <w:ind w:left="5864" w:hanging="361"/>
      </w:pPr>
      <w:rPr>
        <w:rFonts w:hint="default"/>
      </w:rPr>
    </w:lvl>
    <w:lvl w:ilvl="6" w:tplc="96AE2AE2">
      <w:numFmt w:val="bullet"/>
      <w:lvlText w:val="•"/>
      <w:lvlJc w:val="left"/>
      <w:pPr>
        <w:ind w:left="6852" w:hanging="361"/>
      </w:pPr>
      <w:rPr>
        <w:rFonts w:hint="default"/>
      </w:rPr>
    </w:lvl>
    <w:lvl w:ilvl="7" w:tplc="9EA6B99C">
      <w:numFmt w:val="bullet"/>
      <w:lvlText w:val="•"/>
      <w:lvlJc w:val="left"/>
      <w:pPr>
        <w:ind w:left="7841" w:hanging="361"/>
      </w:pPr>
      <w:rPr>
        <w:rFonts w:hint="default"/>
      </w:rPr>
    </w:lvl>
    <w:lvl w:ilvl="8" w:tplc="0B90D182">
      <w:numFmt w:val="bullet"/>
      <w:lvlText w:val="•"/>
      <w:lvlJc w:val="left"/>
      <w:pPr>
        <w:ind w:left="8830" w:hanging="361"/>
      </w:pPr>
      <w:rPr>
        <w:rFonts w:hint="default"/>
      </w:rPr>
    </w:lvl>
  </w:abstractNum>
  <w:abstractNum w:abstractNumId="18" w15:restartNumberingAfterBreak="0">
    <w:nsid w:val="4E5E4053"/>
    <w:multiLevelType w:val="hybridMultilevel"/>
    <w:tmpl w:val="F63A9206"/>
    <w:lvl w:ilvl="0" w:tplc="5A2CD2EC">
      <w:numFmt w:val="bullet"/>
      <w:lvlText w:val=""/>
      <w:lvlJc w:val="left"/>
      <w:pPr>
        <w:ind w:left="1544" w:hanging="361"/>
      </w:pPr>
      <w:rPr>
        <w:rFonts w:ascii="Symbol" w:eastAsia="Symbol" w:hAnsi="Symbol" w:cs="Symbol" w:hint="default"/>
        <w:w w:val="100"/>
        <w:sz w:val="22"/>
        <w:szCs w:val="22"/>
      </w:rPr>
    </w:lvl>
    <w:lvl w:ilvl="1" w:tplc="4C303F26">
      <w:numFmt w:val="bullet"/>
      <w:lvlText w:val="•"/>
      <w:lvlJc w:val="left"/>
      <w:pPr>
        <w:ind w:left="2404" w:hanging="361"/>
      </w:pPr>
      <w:rPr>
        <w:rFonts w:hint="default"/>
      </w:rPr>
    </w:lvl>
    <w:lvl w:ilvl="2" w:tplc="1E60A68C">
      <w:numFmt w:val="bullet"/>
      <w:lvlText w:val="•"/>
      <w:lvlJc w:val="left"/>
      <w:pPr>
        <w:ind w:left="3269" w:hanging="361"/>
      </w:pPr>
      <w:rPr>
        <w:rFonts w:hint="default"/>
      </w:rPr>
    </w:lvl>
    <w:lvl w:ilvl="3" w:tplc="ED5225F6">
      <w:numFmt w:val="bullet"/>
      <w:lvlText w:val="•"/>
      <w:lvlJc w:val="left"/>
      <w:pPr>
        <w:ind w:left="4134" w:hanging="361"/>
      </w:pPr>
      <w:rPr>
        <w:rFonts w:hint="default"/>
      </w:rPr>
    </w:lvl>
    <w:lvl w:ilvl="4" w:tplc="D3724BD6">
      <w:numFmt w:val="bullet"/>
      <w:lvlText w:val="•"/>
      <w:lvlJc w:val="left"/>
      <w:pPr>
        <w:ind w:left="4999" w:hanging="361"/>
      </w:pPr>
      <w:rPr>
        <w:rFonts w:hint="default"/>
      </w:rPr>
    </w:lvl>
    <w:lvl w:ilvl="5" w:tplc="D4D8195A">
      <w:numFmt w:val="bullet"/>
      <w:lvlText w:val="•"/>
      <w:lvlJc w:val="left"/>
      <w:pPr>
        <w:ind w:left="5864" w:hanging="361"/>
      </w:pPr>
      <w:rPr>
        <w:rFonts w:hint="default"/>
      </w:rPr>
    </w:lvl>
    <w:lvl w:ilvl="6" w:tplc="F8043BA8">
      <w:numFmt w:val="bullet"/>
      <w:lvlText w:val="•"/>
      <w:lvlJc w:val="left"/>
      <w:pPr>
        <w:ind w:left="6728" w:hanging="361"/>
      </w:pPr>
      <w:rPr>
        <w:rFonts w:hint="default"/>
      </w:rPr>
    </w:lvl>
    <w:lvl w:ilvl="7" w:tplc="157A3CE0">
      <w:numFmt w:val="bullet"/>
      <w:lvlText w:val="•"/>
      <w:lvlJc w:val="left"/>
      <w:pPr>
        <w:ind w:left="7593" w:hanging="361"/>
      </w:pPr>
      <w:rPr>
        <w:rFonts w:hint="default"/>
      </w:rPr>
    </w:lvl>
    <w:lvl w:ilvl="8" w:tplc="AFE8E174">
      <w:numFmt w:val="bullet"/>
      <w:lvlText w:val="•"/>
      <w:lvlJc w:val="left"/>
      <w:pPr>
        <w:ind w:left="8458" w:hanging="361"/>
      </w:pPr>
      <w:rPr>
        <w:rFonts w:hint="default"/>
      </w:rPr>
    </w:lvl>
  </w:abstractNum>
  <w:abstractNum w:abstractNumId="19" w15:restartNumberingAfterBreak="0">
    <w:nsid w:val="53D72819"/>
    <w:multiLevelType w:val="hybridMultilevel"/>
    <w:tmpl w:val="04FC7EFC"/>
    <w:lvl w:ilvl="0" w:tplc="1BE8070C">
      <w:numFmt w:val="bullet"/>
      <w:lvlText w:val=""/>
      <w:lvlJc w:val="left"/>
      <w:pPr>
        <w:ind w:left="1544" w:hanging="361"/>
      </w:pPr>
      <w:rPr>
        <w:rFonts w:ascii="Symbol" w:eastAsia="Symbol" w:hAnsi="Symbol" w:cs="Symbol" w:hint="default"/>
        <w:w w:val="100"/>
        <w:sz w:val="22"/>
        <w:szCs w:val="22"/>
      </w:rPr>
    </w:lvl>
    <w:lvl w:ilvl="1" w:tplc="D368DD00">
      <w:numFmt w:val="bullet"/>
      <w:lvlText w:val="•"/>
      <w:lvlJc w:val="left"/>
      <w:pPr>
        <w:ind w:left="2404" w:hanging="361"/>
      </w:pPr>
      <w:rPr>
        <w:rFonts w:hint="default"/>
      </w:rPr>
    </w:lvl>
    <w:lvl w:ilvl="2" w:tplc="D6844836">
      <w:numFmt w:val="bullet"/>
      <w:lvlText w:val="•"/>
      <w:lvlJc w:val="left"/>
      <w:pPr>
        <w:ind w:left="3269" w:hanging="361"/>
      </w:pPr>
      <w:rPr>
        <w:rFonts w:hint="default"/>
      </w:rPr>
    </w:lvl>
    <w:lvl w:ilvl="3" w:tplc="B2FCE712">
      <w:numFmt w:val="bullet"/>
      <w:lvlText w:val="•"/>
      <w:lvlJc w:val="left"/>
      <w:pPr>
        <w:ind w:left="4134" w:hanging="361"/>
      </w:pPr>
      <w:rPr>
        <w:rFonts w:hint="default"/>
      </w:rPr>
    </w:lvl>
    <w:lvl w:ilvl="4" w:tplc="3A80C9C8">
      <w:numFmt w:val="bullet"/>
      <w:lvlText w:val="•"/>
      <w:lvlJc w:val="left"/>
      <w:pPr>
        <w:ind w:left="4999" w:hanging="361"/>
      </w:pPr>
      <w:rPr>
        <w:rFonts w:hint="default"/>
      </w:rPr>
    </w:lvl>
    <w:lvl w:ilvl="5" w:tplc="A9B630CA">
      <w:numFmt w:val="bullet"/>
      <w:lvlText w:val="•"/>
      <w:lvlJc w:val="left"/>
      <w:pPr>
        <w:ind w:left="5864" w:hanging="361"/>
      </w:pPr>
      <w:rPr>
        <w:rFonts w:hint="default"/>
      </w:rPr>
    </w:lvl>
    <w:lvl w:ilvl="6" w:tplc="41722ED8">
      <w:numFmt w:val="bullet"/>
      <w:lvlText w:val="•"/>
      <w:lvlJc w:val="left"/>
      <w:pPr>
        <w:ind w:left="6728" w:hanging="361"/>
      </w:pPr>
      <w:rPr>
        <w:rFonts w:hint="default"/>
      </w:rPr>
    </w:lvl>
    <w:lvl w:ilvl="7" w:tplc="9988606C">
      <w:numFmt w:val="bullet"/>
      <w:lvlText w:val="•"/>
      <w:lvlJc w:val="left"/>
      <w:pPr>
        <w:ind w:left="7593" w:hanging="361"/>
      </w:pPr>
      <w:rPr>
        <w:rFonts w:hint="default"/>
      </w:rPr>
    </w:lvl>
    <w:lvl w:ilvl="8" w:tplc="79E84AC6">
      <w:numFmt w:val="bullet"/>
      <w:lvlText w:val="•"/>
      <w:lvlJc w:val="left"/>
      <w:pPr>
        <w:ind w:left="8458" w:hanging="361"/>
      </w:pPr>
      <w:rPr>
        <w:rFonts w:hint="default"/>
      </w:rPr>
    </w:lvl>
  </w:abstractNum>
  <w:abstractNum w:abstractNumId="20" w15:restartNumberingAfterBreak="0">
    <w:nsid w:val="66C73537"/>
    <w:multiLevelType w:val="hybridMultilevel"/>
    <w:tmpl w:val="811ED5CC"/>
    <w:lvl w:ilvl="0" w:tplc="907459A0">
      <w:numFmt w:val="bullet"/>
      <w:lvlText w:val=""/>
      <w:lvlJc w:val="left"/>
      <w:pPr>
        <w:ind w:left="416" w:hanging="273"/>
      </w:pPr>
      <w:rPr>
        <w:rFonts w:ascii="Symbol" w:eastAsia="Symbol" w:hAnsi="Symbol" w:cs="Symbol" w:hint="default"/>
        <w:w w:val="100"/>
        <w:sz w:val="22"/>
        <w:szCs w:val="22"/>
      </w:rPr>
    </w:lvl>
    <w:lvl w:ilvl="1" w:tplc="AE3835C2">
      <w:numFmt w:val="bullet"/>
      <w:lvlText w:val="•"/>
      <w:lvlJc w:val="left"/>
      <w:pPr>
        <w:ind w:left="1396" w:hanging="273"/>
      </w:pPr>
      <w:rPr>
        <w:rFonts w:hint="default"/>
      </w:rPr>
    </w:lvl>
    <w:lvl w:ilvl="2" w:tplc="BC4EA69C">
      <w:numFmt w:val="bullet"/>
      <w:lvlText w:val="•"/>
      <w:lvlJc w:val="left"/>
      <w:pPr>
        <w:ind w:left="2373" w:hanging="273"/>
      </w:pPr>
      <w:rPr>
        <w:rFonts w:hint="default"/>
      </w:rPr>
    </w:lvl>
    <w:lvl w:ilvl="3" w:tplc="56D6D24A">
      <w:numFmt w:val="bullet"/>
      <w:lvlText w:val="•"/>
      <w:lvlJc w:val="left"/>
      <w:pPr>
        <w:ind w:left="3350" w:hanging="273"/>
      </w:pPr>
      <w:rPr>
        <w:rFonts w:hint="default"/>
      </w:rPr>
    </w:lvl>
    <w:lvl w:ilvl="4" w:tplc="09068284">
      <w:numFmt w:val="bullet"/>
      <w:lvlText w:val="•"/>
      <w:lvlJc w:val="left"/>
      <w:pPr>
        <w:ind w:left="4327" w:hanging="273"/>
      </w:pPr>
      <w:rPr>
        <w:rFonts w:hint="default"/>
      </w:rPr>
    </w:lvl>
    <w:lvl w:ilvl="5" w:tplc="A26C7F76">
      <w:numFmt w:val="bullet"/>
      <w:lvlText w:val="•"/>
      <w:lvlJc w:val="left"/>
      <w:pPr>
        <w:ind w:left="5304" w:hanging="273"/>
      </w:pPr>
      <w:rPr>
        <w:rFonts w:hint="default"/>
      </w:rPr>
    </w:lvl>
    <w:lvl w:ilvl="6" w:tplc="70FE4572">
      <w:numFmt w:val="bullet"/>
      <w:lvlText w:val="•"/>
      <w:lvlJc w:val="left"/>
      <w:pPr>
        <w:ind w:left="6280" w:hanging="273"/>
      </w:pPr>
      <w:rPr>
        <w:rFonts w:hint="default"/>
      </w:rPr>
    </w:lvl>
    <w:lvl w:ilvl="7" w:tplc="8EB086FC">
      <w:numFmt w:val="bullet"/>
      <w:lvlText w:val="•"/>
      <w:lvlJc w:val="left"/>
      <w:pPr>
        <w:ind w:left="7257" w:hanging="273"/>
      </w:pPr>
      <w:rPr>
        <w:rFonts w:hint="default"/>
      </w:rPr>
    </w:lvl>
    <w:lvl w:ilvl="8" w:tplc="0F381E70">
      <w:numFmt w:val="bullet"/>
      <w:lvlText w:val="•"/>
      <w:lvlJc w:val="left"/>
      <w:pPr>
        <w:ind w:left="8234" w:hanging="273"/>
      </w:pPr>
      <w:rPr>
        <w:rFonts w:hint="default"/>
      </w:rPr>
    </w:lvl>
  </w:abstractNum>
  <w:abstractNum w:abstractNumId="21" w15:restartNumberingAfterBreak="0">
    <w:nsid w:val="69041EA9"/>
    <w:multiLevelType w:val="hybridMultilevel"/>
    <w:tmpl w:val="07E2C218"/>
    <w:lvl w:ilvl="0" w:tplc="9B5A5EB6">
      <w:numFmt w:val="bullet"/>
      <w:lvlText w:val=""/>
      <w:lvlJc w:val="left"/>
      <w:pPr>
        <w:ind w:left="532" w:hanging="361"/>
      </w:pPr>
      <w:rPr>
        <w:rFonts w:ascii="Symbol" w:eastAsia="Symbol" w:hAnsi="Symbol" w:cs="Symbol" w:hint="default"/>
        <w:w w:val="100"/>
        <w:sz w:val="22"/>
        <w:szCs w:val="22"/>
      </w:rPr>
    </w:lvl>
    <w:lvl w:ilvl="1" w:tplc="C7489942">
      <w:numFmt w:val="bullet"/>
      <w:lvlText w:val="o"/>
      <w:lvlJc w:val="left"/>
      <w:pPr>
        <w:ind w:left="891" w:hanging="360"/>
      </w:pPr>
      <w:rPr>
        <w:rFonts w:ascii="Courier New" w:eastAsia="Courier New" w:hAnsi="Courier New" w:cs="Courier New" w:hint="default"/>
        <w:spacing w:val="-5"/>
        <w:w w:val="100"/>
        <w:sz w:val="22"/>
        <w:szCs w:val="22"/>
      </w:rPr>
    </w:lvl>
    <w:lvl w:ilvl="2" w:tplc="F128115A">
      <w:numFmt w:val="bullet"/>
      <w:lvlText w:val="•"/>
      <w:lvlJc w:val="left"/>
      <w:pPr>
        <w:ind w:left="1954" w:hanging="360"/>
      </w:pPr>
      <w:rPr>
        <w:rFonts w:hint="default"/>
      </w:rPr>
    </w:lvl>
    <w:lvl w:ilvl="3" w:tplc="F12481AE">
      <w:numFmt w:val="bullet"/>
      <w:lvlText w:val="•"/>
      <w:lvlJc w:val="left"/>
      <w:pPr>
        <w:ind w:left="3008" w:hanging="360"/>
      </w:pPr>
      <w:rPr>
        <w:rFonts w:hint="default"/>
      </w:rPr>
    </w:lvl>
    <w:lvl w:ilvl="4" w:tplc="90EE972E">
      <w:numFmt w:val="bullet"/>
      <w:lvlText w:val="•"/>
      <w:lvlJc w:val="left"/>
      <w:pPr>
        <w:ind w:left="4062" w:hanging="360"/>
      </w:pPr>
      <w:rPr>
        <w:rFonts w:hint="default"/>
      </w:rPr>
    </w:lvl>
    <w:lvl w:ilvl="5" w:tplc="2766B77E">
      <w:numFmt w:val="bullet"/>
      <w:lvlText w:val="•"/>
      <w:lvlJc w:val="left"/>
      <w:pPr>
        <w:ind w:left="5116" w:hanging="360"/>
      </w:pPr>
      <w:rPr>
        <w:rFonts w:hint="default"/>
      </w:rPr>
    </w:lvl>
    <w:lvl w:ilvl="6" w:tplc="ECAAEDCE">
      <w:numFmt w:val="bullet"/>
      <w:lvlText w:val="•"/>
      <w:lvlJc w:val="left"/>
      <w:pPr>
        <w:ind w:left="6171" w:hanging="360"/>
      </w:pPr>
      <w:rPr>
        <w:rFonts w:hint="default"/>
      </w:rPr>
    </w:lvl>
    <w:lvl w:ilvl="7" w:tplc="939E94FC">
      <w:numFmt w:val="bullet"/>
      <w:lvlText w:val="•"/>
      <w:lvlJc w:val="left"/>
      <w:pPr>
        <w:ind w:left="7225" w:hanging="360"/>
      </w:pPr>
      <w:rPr>
        <w:rFonts w:hint="default"/>
      </w:rPr>
    </w:lvl>
    <w:lvl w:ilvl="8" w:tplc="12B04B0A">
      <w:numFmt w:val="bullet"/>
      <w:lvlText w:val="•"/>
      <w:lvlJc w:val="left"/>
      <w:pPr>
        <w:ind w:left="8279" w:hanging="360"/>
      </w:pPr>
      <w:rPr>
        <w:rFonts w:hint="default"/>
      </w:rPr>
    </w:lvl>
  </w:abstractNum>
  <w:abstractNum w:abstractNumId="22" w15:restartNumberingAfterBreak="0">
    <w:nsid w:val="69291779"/>
    <w:multiLevelType w:val="hybridMultilevel"/>
    <w:tmpl w:val="7E864832"/>
    <w:lvl w:ilvl="0" w:tplc="097AE8B4">
      <w:numFmt w:val="bullet"/>
      <w:lvlText w:val=""/>
      <w:lvlJc w:val="left"/>
      <w:pPr>
        <w:ind w:left="824" w:hanging="361"/>
      </w:pPr>
      <w:rPr>
        <w:rFonts w:ascii="Symbol" w:eastAsia="Symbol" w:hAnsi="Symbol" w:cs="Symbol" w:hint="default"/>
        <w:w w:val="100"/>
        <w:sz w:val="22"/>
        <w:szCs w:val="22"/>
      </w:rPr>
    </w:lvl>
    <w:lvl w:ilvl="1" w:tplc="BF8AC726">
      <w:numFmt w:val="bullet"/>
      <w:lvlText w:val="•"/>
      <w:lvlJc w:val="left"/>
      <w:pPr>
        <w:ind w:left="1756" w:hanging="361"/>
      </w:pPr>
      <w:rPr>
        <w:rFonts w:hint="default"/>
      </w:rPr>
    </w:lvl>
    <w:lvl w:ilvl="2" w:tplc="74A2FA2A">
      <w:numFmt w:val="bullet"/>
      <w:lvlText w:val="•"/>
      <w:lvlJc w:val="left"/>
      <w:pPr>
        <w:ind w:left="2693" w:hanging="361"/>
      </w:pPr>
      <w:rPr>
        <w:rFonts w:hint="default"/>
      </w:rPr>
    </w:lvl>
    <w:lvl w:ilvl="3" w:tplc="AE101968">
      <w:numFmt w:val="bullet"/>
      <w:lvlText w:val="•"/>
      <w:lvlJc w:val="left"/>
      <w:pPr>
        <w:ind w:left="3630" w:hanging="361"/>
      </w:pPr>
      <w:rPr>
        <w:rFonts w:hint="default"/>
      </w:rPr>
    </w:lvl>
    <w:lvl w:ilvl="4" w:tplc="F9C6C7C6">
      <w:numFmt w:val="bullet"/>
      <w:lvlText w:val="•"/>
      <w:lvlJc w:val="left"/>
      <w:pPr>
        <w:ind w:left="4567" w:hanging="361"/>
      </w:pPr>
      <w:rPr>
        <w:rFonts w:hint="default"/>
      </w:rPr>
    </w:lvl>
    <w:lvl w:ilvl="5" w:tplc="ADF2CFA6">
      <w:numFmt w:val="bullet"/>
      <w:lvlText w:val="•"/>
      <w:lvlJc w:val="left"/>
      <w:pPr>
        <w:ind w:left="5504" w:hanging="361"/>
      </w:pPr>
      <w:rPr>
        <w:rFonts w:hint="default"/>
      </w:rPr>
    </w:lvl>
    <w:lvl w:ilvl="6" w:tplc="B59A6AFC">
      <w:numFmt w:val="bullet"/>
      <w:lvlText w:val="•"/>
      <w:lvlJc w:val="left"/>
      <w:pPr>
        <w:ind w:left="6440" w:hanging="361"/>
      </w:pPr>
      <w:rPr>
        <w:rFonts w:hint="default"/>
      </w:rPr>
    </w:lvl>
    <w:lvl w:ilvl="7" w:tplc="D3864174">
      <w:numFmt w:val="bullet"/>
      <w:lvlText w:val="•"/>
      <w:lvlJc w:val="left"/>
      <w:pPr>
        <w:ind w:left="7377" w:hanging="361"/>
      </w:pPr>
      <w:rPr>
        <w:rFonts w:hint="default"/>
      </w:rPr>
    </w:lvl>
    <w:lvl w:ilvl="8" w:tplc="615EEC96">
      <w:numFmt w:val="bullet"/>
      <w:lvlText w:val="•"/>
      <w:lvlJc w:val="left"/>
      <w:pPr>
        <w:ind w:left="8314" w:hanging="361"/>
      </w:pPr>
      <w:rPr>
        <w:rFonts w:hint="default"/>
      </w:rPr>
    </w:lvl>
  </w:abstractNum>
  <w:abstractNum w:abstractNumId="23" w15:restartNumberingAfterBreak="0">
    <w:nsid w:val="6D2B533C"/>
    <w:multiLevelType w:val="hybridMultilevel"/>
    <w:tmpl w:val="FDF68D5A"/>
    <w:lvl w:ilvl="0" w:tplc="2A80B960">
      <w:numFmt w:val="bullet"/>
      <w:lvlText w:val="o"/>
      <w:lvlJc w:val="left"/>
      <w:pPr>
        <w:ind w:left="1124" w:hanging="280"/>
      </w:pPr>
      <w:rPr>
        <w:rFonts w:ascii="Courier New" w:eastAsia="Courier New" w:hAnsi="Courier New" w:cs="Courier New" w:hint="default"/>
        <w:w w:val="100"/>
        <w:sz w:val="22"/>
        <w:szCs w:val="22"/>
      </w:rPr>
    </w:lvl>
    <w:lvl w:ilvl="1" w:tplc="0F580ED2">
      <w:numFmt w:val="bullet"/>
      <w:lvlText w:val="•"/>
      <w:lvlJc w:val="left"/>
      <w:pPr>
        <w:ind w:left="2026" w:hanging="280"/>
      </w:pPr>
      <w:rPr>
        <w:rFonts w:hint="default"/>
      </w:rPr>
    </w:lvl>
    <w:lvl w:ilvl="2" w:tplc="D7A2F48E">
      <w:numFmt w:val="bullet"/>
      <w:lvlText w:val="•"/>
      <w:lvlJc w:val="left"/>
      <w:pPr>
        <w:ind w:left="2933" w:hanging="280"/>
      </w:pPr>
      <w:rPr>
        <w:rFonts w:hint="default"/>
      </w:rPr>
    </w:lvl>
    <w:lvl w:ilvl="3" w:tplc="8D567FF0">
      <w:numFmt w:val="bullet"/>
      <w:lvlText w:val="•"/>
      <w:lvlJc w:val="left"/>
      <w:pPr>
        <w:ind w:left="3840" w:hanging="280"/>
      </w:pPr>
      <w:rPr>
        <w:rFonts w:hint="default"/>
      </w:rPr>
    </w:lvl>
    <w:lvl w:ilvl="4" w:tplc="7E2A7AEC">
      <w:numFmt w:val="bullet"/>
      <w:lvlText w:val="•"/>
      <w:lvlJc w:val="left"/>
      <w:pPr>
        <w:ind w:left="4747" w:hanging="280"/>
      </w:pPr>
      <w:rPr>
        <w:rFonts w:hint="default"/>
      </w:rPr>
    </w:lvl>
    <w:lvl w:ilvl="5" w:tplc="351CF6C8">
      <w:numFmt w:val="bullet"/>
      <w:lvlText w:val="•"/>
      <w:lvlJc w:val="left"/>
      <w:pPr>
        <w:ind w:left="5654" w:hanging="280"/>
      </w:pPr>
      <w:rPr>
        <w:rFonts w:hint="default"/>
      </w:rPr>
    </w:lvl>
    <w:lvl w:ilvl="6" w:tplc="052E2984">
      <w:numFmt w:val="bullet"/>
      <w:lvlText w:val="•"/>
      <w:lvlJc w:val="left"/>
      <w:pPr>
        <w:ind w:left="6560" w:hanging="280"/>
      </w:pPr>
      <w:rPr>
        <w:rFonts w:hint="default"/>
      </w:rPr>
    </w:lvl>
    <w:lvl w:ilvl="7" w:tplc="24ECB8B8">
      <w:numFmt w:val="bullet"/>
      <w:lvlText w:val="•"/>
      <w:lvlJc w:val="left"/>
      <w:pPr>
        <w:ind w:left="7467" w:hanging="280"/>
      </w:pPr>
      <w:rPr>
        <w:rFonts w:hint="default"/>
      </w:rPr>
    </w:lvl>
    <w:lvl w:ilvl="8" w:tplc="F3E6543C">
      <w:numFmt w:val="bullet"/>
      <w:lvlText w:val="•"/>
      <w:lvlJc w:val="left"/>
      <w:pPr>
        <w:ind w:left="8374" w:hanging="280"/>
      </w:pPr>
      <w:rPr>
        <w:rFonts w:hint="default"/>
      </w:rPr>
    </w:lvl>
  </w:abstractNum>
  <w:abstractNum w:abstractNumId="24" w15:restartNumberingAfterBreak="0">
    <w:nsid w:val="6DD12C57"/>
    <w:multiLevelType w:val="hybridMultilevel"/>
    <w:tmpl w:val="7138007E"/>
    <w:lvl w:ilvl="0" w:tplc="2F6210D2">
      <w:numFmt w:val="bullet"/>
      <w:lvlText w:val=""/>
      <w:lvlJc w:val="left"/>
      <w:pPr>
        <w:ind w:left="824" w:hanging="361"/>
      </w:pPr>
      <w:rPr>
        <w:rFonts w:ascii="Symbol" w:eastAsia="Symbol" w:hAnsi="Symbol" w:cs="Symbol" w:hint="default"/>
        <w:w w:val="100"/>
        <w:sz w:val="22"/>
        <w:szCs w:val="22"/>
      </w:rPr>
    </w:lvl>
    <w:lvl w:ilvl="1" w:tplc="BBCAB85C">
      <w:numFmt w:val="bullet"/>
      <w:lvlText w:val="-"/>
      <w:lvlJc w:val="left"/>
      <w:pPr>
        <w:ind w:left="1184" w:hanging="360"/>
      </w:pPr>
      <w:rPr>
        <w:rFonts w:ascii="Cambria" w:eastAsia="Cambria" w:hAnsi="Cambria" w:cs="Cambria" w:hint="default"/>
        <w:spacing w:val="-5"/>
        <w:w w:val="100"/>
        <w:sz w:val="22"/>
        <w:szCs w:val="22"/>
      </w:rPr>
    </w:lvl>
    <w:lvl w:ilvl="2" w:tplc="4E0CA5AE">
      <w:numFmt w:val="bullet"/>
      <w:lvlText w:val="•"/>
      <w:lvlJc w:val="left"/>
      <w:pPr>
        <w:ind w:left="2165" w:hanging="360"/>
      </w:pPr>
      <w:rPr>
        <w:rFonts w:hint="default"/>
      </w:rPr>
    </w:lvl>
    <w:lvl w:ilvl="3" w:tplc="77BE3FE8">
      <w:numFmt w:val="bullet"/>
      <w:lvlText w:val="•"/>
      <w:lvlJc w:val="left"/>
      <w:pPr>
        <w:ind w:left="3151" w:hanging="360"/>
      </w:pPr>
      <w:rPr>
        <w:rFonts w:hint="default"/>
      </w:rPr>
    </w:lvl>
    <w:lvl w:ilvl="4" w:tplc="24E0246E">
      <w:numFmt w:val="bullet"/>
      <w:lvlText w:val="•"/>
      <w:lvlJc w:val="left"/>
      <w:pPr>
        <w:ind w:left="4137" w:hanging="360"/>
      </w:pPr>
      <w:rPr>
        <w:rFonts w:hint="default"/>
      </w:rPr>
    </w:lvl>
    <w:lvl w:ilvl="5" w:tplc="0A3ACB28">
      <w:numFmt w:val="bullet"/>
      <w:lvlText w:val="•"/>
      <w:lvlJc w:val="left"/>
      <w:pPr>
        <w:ind w:left="5123" w:hanging="360"/>
      </w:pPr>
      <w:rPr>
        <w:rFonts w:hint="default"/>
      </w:rPr>
    </w:lvl>
    <w:lvl w:ilvl="6" w:tplc="45AA04D6">
      <w:numFmt w:val="bullet"/>
      <w:lvlText w:val="•"/>
      <w:lvlJc w:val="left"/>
      <w:pPr>
        <w:ind w:left="6108" w:hanging="360"/>
      </w:pPr>
      <w:rPr>
        <w:rFonts w:hint="default"/>
      </w:rPr>
    </w:lvl>
    <w:lvl w:ilvl="7" w:tplc="C608AD30">
      <w:numFmt w:val="bullet"/>
      <w:lvlText w:val="•"/>
      <w:lvlJc w:val="left"/>
      <w:pPr>
        <w:ind w:left="7094" w:hanging="360"/>
      </w:pPr>
      <w:rPr>
        <w:rFonts w:hint="default"/>
      </w:rPr>
    </w:lvl>
    <w:lvl w:ilvl="8" w:tplc="7840CE74">
      <w:numFmt w:val="bullet"/>
      <w:lvlText w:val="•"/>
      <w:lvlJc w:val="left"/>
      <w:pPr>
        <w:ind w:left="8080" w:hanging="360"/>
      </w:pPr>
      <w:rPr>
        <w:rFonts w:hint="default"/>
      </w:rPr>
    </w:lvl>
  </w:abstractNum>
  <w:abstractNum w:abstractNumId="25" w15:restartNumberingAfterBreak="0">
    <w:nsid w:val="6E132C4E"/>
    <w:multiLevelType w:val="hybridMultilevel"/>
    <w:tmpl w:val="D56AFE82"/>
    <w:lvl w:ilvl="0" w:tplc="515A8402">
      <w:numFmt w:val="bullet"/>
      <w:lvlText w:val=""/>
      <w:lvlJc w:val="left"/>
      <w:pPr>
        <w:ind w:left="1004" w:hanging="361"/>
      </w:pPr>
      <w:rPr>
        <w:rFonts w:ascii="Symbol" w:eastAsia="Symbol" w:hAnsi="Symbol" w:cs="Symbol" w:hint="default"/>
        <w:w w:val="100"/>
        <w:sz w:val="22"/>
        <w:szCs w:val="22"/>
      </w:rPr>
    </w:lvl>
    <w:lvl w:ilvl="1" w:tplc="E732EB72">
      <w:numFmt w:val="bullet"/>
      <w:lvlText w:val="o"/>
      <w:lvlJc w:val="left"/>
      <w:pPr>
        <w:ind w:left="1724" w:hanging="360"/>
      </w:pPr>
      <w:rPr>
        <w:rFonts w:ascii="Courier New" w:eastAsia="Courier New" w:hAnsi="Courier New" w:cs="Courier New" w:hint="default"/>
        <w:spacing w:val="-37"/>
        <w:w w:val="100"/>
        <w:sz w:val="22"/>
        <w:szCs w:val="22"/>
      </w:rPr>
    </w:lvl>
    <w:lvl w:ilvl="2" w:tplc="3356BB92">
      <w:numFmt w:val="bullet"/>
      <w:lvlText w:val="•"/>
      <w:lvlJc w:val="left"/>
      <w:pPr>
        <w:ind w:left="2694" w:hanging="360"/>
      </w:pPr>
      <w:rPr>
        <w:rFonts w:hint="default"/>
      </w:rPr>
    </w:lvl>
    <w:lvl w:ilvl="3" w:tplc="5DF4B974">
      <w:numFmt w:val="bullet"/>
      <w:lvlText w:val="•"/>
      <w:lvlJc w:val="left"/>
      <w:pPr>
        <w:ind w:left="3668" w:hanging="360"/>
      </w:pPr>
      <w:rPr>
        <w:rFonts w:hint="default"/>
      </w:rPr>
    </w:lvl>
    <w:lvl w:ilvl="4" w:tplc="22903F9C">
      <w:numFmt w:val="bullet"/>
      <w:lvlText w:val="•"/>
      <w:lvlJc w:val="left"/>
      <w:pPr>
        <w:ind w:left="4642" w:hanging="360"/>
      </w:pPr>
      <w:rPr>
        <w:rFonts w:hint="default"/>
      </w:rPr>
    </w:lvl>
    <w:lvl w:ilvl="5" w:tplc="B5B21C9A">
      <w:numFmt w:val="bullet"/>
      <w:lvlText w:val="•"/>
      <w:lvlJc w:val="left"/>
      <w:pPr>
        <w:ind w:left="5616" w:hanging="360"/>
      </w:pPr>
      <w:rPr>
        <w:rFonts w:hint="default"/>
      </w:rPr>
    </w:lvl>
    <w:lvl w:ilvl="6" w:tplc="A6CC5352">
      <w:numFmt w:val="bullet"/>
      <w:lvlText w:val="•"/>
      <w:lvlJc w:val="left"/>
      <w:pPr>
        <w:ind w:left="6591" w:hanging="360"/>
      </w:pPr>
      <w:rPr>
        <w:rFonts w:hint="default"/>
      </w:rPr>
    </w:lvl>
    <w:lvl w:ilvl="7" w:tplc="EC1C8990">
      <w:numFmt w:val="bullet"/>
      <w:lvlText w:val="•"/>
      <w:lvlJc w:val="left"/>
      <w:pPr>
        <w:ind w:left="7565" w:hanging="360"/>
      </w:pPr>
      <w:rPr>
        <w:rFonts w:hint="default"/>
      </w:rPr>
    </w:lvl>
    <w:lvl w:ilvl="8" w:tplc="C0900EFE">
      <w:numFmt w:val="bullet"/>
      <w:lvlText w:val="•"/>
      <w:lvlJc w:val="left"/>
      <w:pPr>
        <w:ind w:left="8539" w:hanging="360"/>
      </w:pPr>
      <w:rPr>
        <w:rFonts w:hint="default"/>
      </w:rPr>
    </w:lvl>
  </w:abstractNum>
  <w:abstractNum w:abstractNumId="26" w15:restartNumberingAfterBreak="0">
    <w:nsid w:val="6E2B3075"/>
    <w:multiLevelType w:val="hybridMultilevel"/>
    <w:tmpl w:val="6B8E7DDA"/>
    <w:lvl w:ilvl="0" w:tplc="7DD4D588">
      <w:start w:val="1"/>
      <w:numFmt w:val="decimal"/>
      <w:lvlText w:val="%1."/>
      <w:lvlJc w:val="left"/>
      <w:pPr>
        <w:ind w:left="532" w:hanging="361"/>
        <w:jc w:val="left"/>
      </w:pPr>
      <w:rPr>
        <w:rFonts w:ascii="Cambria" w:eastAsia="Cambria" w:hAnsi="Cambria" w:cs="Cambria" w:hint="default"/>
        <w:spacing w:val="-3"/>
        <w:w w:val="100"/>
        <w:sz w:val="22"/>
        <w:szCs w:val="22"/>
      </w:rPr>
    </w:lvl>
    <w:lvl w:ilvl="1" w:tplc="63A29E72">
      <w:start w:val="76"/>
      <w:numFmt w:val="decimal"/>
      <w:lvlText w:val="%2."/>
      <w:lvlJc w:val="left"/>
      <w:pPr>
        <w:ind w:left="635" w:hanging="332"/>
        <w:jc w:val="left"/>
      </w:pPr>
      <w:rPr>
        <w:rFonts w:ascii="Cambria" w:eastAsia="Cambria" w:hAnsi="Cambria" w:cs="Cambria" w:hint="default"/>
        <w:spacing w:val="-2"/>
        <w:w w:val="100"/>
        <w:sz w:val="22"/>
        <w:szCs w:val="22"/>
      </w:rPr>
    </w:lvl>
    <w:lvl w:ilvl="2" w:tplc="2926F1F6">
      <w:start w:val="1"/>
      <w:numFmt w:val="decimal"/>
      <w:lvlText w:val="%3)"/>
      <w:lvlJc w:val="left"/>
      <w:pPr>
        <w:ind w:left="911" w:hanging="360"/>
        <w:jc w:val="left"/>
      </w:pPr>
      <w:rPr>
        <w:rFonts w:ascii="Cambria" w:eastAsia="Cambria" w:hAnsi="Cambria" w:cs="Cambria" w:hint="default"/>
        <w:spacing w:val="-16"/>
        <w:w w:val="100"/>
        <w:sz w:val="22"/>
        <w:szCs w:val="22"/>
      </w:rPr>
    </w:lvl>
    <w:lvl w:ilvl="3" w:tplc="129E9F4C">
      <w:numFmt w:val="bullet"/>
      <w:lvlText w:val="•"/>
      <w:lvlJc w:val="left"/>
      <w:pPr>
        <w:ind w:left="2116" w:hanging="360"/>
      </w:pPr>
      <w:rPr>
        <w:rFonts w:hint="default"/>
      </w:rPr>
    </w:lvl>
    <w:lvl w:ilvl="4" w:tplc="D780C14E">
      <w:numFmt w:val="bullet"/>
      <w:lvlText w:val="•"/>
      <w:lvlJc w:val="left"/>
      <w:pPr>
        <w:ind w:left="3312" w:hanging="360"/>
      </w:pPr>
      <w:rPr>
        <w:rFonts w:hint="default"/>
      </w:rPr>
    </w:lvl>
    <w:lvl w:ilvl="5" w:tplc="40266B2A">
      <w:numFmt w:val="bullet"/>
      <w:lvlText w:val="•"/>
      <w:lvlJc w:val="left"/>
      <w:pPr>
        <w:ind w:left="4508" w:hanging="360"/>
      </w:pPr>
      <w:rPr>
        <w:rFonts w:hint="default"/>
      </w:rPr>
    </w:lvl>
    <w:lvl w:ilvl="6" w:tplc="B7D4BD30">
      <w:numFmt w:val="bullet"/>
      <w:lvlText w:val="•"/>
      <w:lvlJc w:val="left"/>
      <w:pPr>
        <w:ind w:left="5704" w:hanging="360"/>
      </w:pPr>
      <w:rPr>
        <w:rFonts w:hint="default"/>
      </w:rPr>
    </w:lvl>
    <w:lvl w:ilvl="7" w:tplc="7200F98C">
      <w:numFmt w:val="bullet"/>
      <w:lvlText w:val="•"/>
      <w:lvlJc w:val="left"/>
      <w:pPr>
        <w:ind w:left="6900" w:hanging="360"/>
      </w:pPr>
      <w:rPr>
        <w:rFonts w:hint="default"/>
      </w:rPr>
    </w:lvl>
    <w:lvl w:ilvl="8" w:tplc="F7344176">
      <w:numFmt w:val="bullet"/>
      <w:lvlText w:val="•"/>
      <w:lvlJc w:val="left"/>
      <w:pPr>
        <w:ind w:left="8096" w:hanging="360"/>
      </w:pPr>
      <w:rPr>
        <w:rFonts w:hint="default"/>
      </w:rPr>
    </w:lvl>
  </w:abstractNum>
  <w:abstractNum w:abstractNumId="27" w15:restartNumberingAfterBreak="0">
    <w:nsid w:val="7B3C7BB3"/>
    <w:multiLevelType w:val="hybridMultilevel"/>
    <w:tmpl w:val="CC3253EA"/>
    <w:lvl w:ilvl="0" w:tplc="8A94F70A">
      <w:numFmt w:val="bullet"/>
      <w:lvlText w:val=""/>
      <w:lvlJc w:val="left"/>
      <w:pPr>
        <w:ind w:left="824" w:hanging="361"/>
      </w:pPr>
      <w:rPr>
        <w:rFonts w:ascii="Symbol" w:eastAsia="Symbol" w:hAnsi="Symbol" w:cs="Symbol" w:hint="default"/>
        <w:w w:val="100"/>
        <w:sz w:val="22"/>
        <w:szCs w:val="22"/>
      </w:rPr>
    </w:lvl>
    <w:lvl w:ilvl="1" w:tplc="DD48B4E0">
      <w:numFmt w:val="bullet"/>
      <w:lvlText w:val="•"/>
      <w:lvlJc w:val="left"/>
      <w:pPr>
        <w:ind w:left="1756" w:hanging="361"/>
      </w:pPr>
      <w:rPr>
        <w:rFonts w:hint="default"/>
      </w:rPr>
    </w:lvl>
    <w:lvl w:ilvl="2" w:tplc="6BCE46D4">
      <w:numFmt w:val="bullet"/>
      <w:lvlText w:val="•"/>
      <w:lvlJc w:val="left"/>
      <w:pPr>
        <w:ind w:left="2693" w:hanging="361"/>
      </w:pPr>
      <w:rPr>
        <w:rFonts w:hint="default"/>
      </w:rPr>
    </w:lvl>
    <w:lvl w:ilvl="3" w:tplc="AE5EC4F6">
      <w:numFmt w:val="bullet"/>
      <w:lvlText w:val="•"/>
      <w:lvlJc w:val="left"/>
      <w:pPr>
        <w:ind w:left="3630" w:hanging="361"/>
      </w:pPr>
      <w:rPr>
        <w:rFonts w:hint="default"/>
      </w:rPr>
    </w:lvl>
    <w:lvl w:ilvl="4" w:tplc="C540A230">
      <w:numFmt w:val="bullet"/>
      <w:lvlText w:val="•"/>
      <w:lvlJc w:val="left"/>
      <w:pPr>
        <w:ind w:left="4567" w:hanging="361"/>
      </w:pPr>
      <w:rPr>
        <w:rFonts w:hint="default"/>
      </w:rPr>
    </w:lvl>
    <w:lvl w:ilvl="5" w:tplc="9306D6B4">
      <w:numFmt w:val="bullet"/>
      <w:lvlText w:val="•"/>
      <w:lvlJc w:val="left"/>
      <w:pPr>
        <w:ind w:left="5504" w:hanging="361"/>
      </w:pPr>
      <w:rPr>
        <w:rFonts w:hint="default"/>
      </w:rPr>
    </w:lvl>
    <w:lvl w:ilvl="6" w:tplc="2F16D516">
      <w:numFmt w:val="bullet"/>
      <w:lvlText w:val="•"/>
      <w:lvlJc w:val="left"/>
      <w:pPr>
        <w:ind w:left="6440" w:hanging="361"/>
      </w:pPr>
      <w:rPr>
        <w:rFonts w:hint="default"/>
      </w:rPr>
    </w:lvl>
    <w:lvl w:ilvl="7" w:tplc="66CE4B00">
      <w:numFmt w:val="bullet"/>
      <w:lvlText w:val="•"/>
      <w:lvlJc w:val="left"/>
      <w:pPr>
        <w:ind w:left="7377" w:hanging="361"/>
      </w:pPr>
      <w:rPr>
        <w:rFonts w:hint="default"/>
      </w:rPr>
    </w:lvl>
    <w:lvl w:ilvl="8" w:tplc="D7686CEE">
      <w:numFmt w:val="bullet"/>
      <w:lvlText w:val="•"/>
      <w:lvlJc w:val="left"/>
      <w:pPr>
        <w:ind w:left="8314" w:hanging="361"/>
      </w:pPr>
      <w:rPr>
        <w:rFonts w:hint="default"/>
      </w:rPr>
    </w:lvl>
  </w:abstractNum>
  <w:abstractNum w:abstractNumId="28" w15:restartNumberingAfterBreak="0">
    <w:nsid w:val="7C6212F5"/>
    <w:multiLevelType w:val="hybridMultilevel"/>
    <w:tmpl w:val="06F67EB6"/>
    <w:lvl w:ilvl="0" w:tplc="7CDC7A92">
      <w:start w:val="1"/>
      <w:numFmt w:val="decimal"/>
      <w:lvlText w:val="(%1)"/>
      <w:lvlJc w:val="left"/>
      <w:pPr>
        <w:ind w:left="3688" w:hanging="720"/>
        <w:jc w:val="right"/>
      </w:pPr>
      <w:rPr>
        <w:rFonts w:ascii="Cambria" w:eastAsia="Cambria" w:hAnsi="Cambria" w:cs="Cambria" w:hint="default"/>
        <w:b/>
        <w:bCs/>
        <w:spacing w:val="-3"/>
        <w:w w:val="100"/>
        <w:sz w:val="32"/>
        <w:szCs w:val="32"/>
      </w:rPr>
    </w:lvl>
    <w:lvl w:ilvl="1" w:tplc="96663A40">
      <w:numFmt w:val="bullet"/>
      <w:lvlText w:val="•"/>
      <w:lvlJc w:val="left"/>
      <w:pPr>
        <w:ind w:left="4166" w:hanging="720"/>
      </w:pPr>
      <w:rPr>
        <w:rFonts w:hint="default"/>
      </w:rPr>
    </w:lvl>
    <w:lvl w:ilvl="2" w:tplc="2FB80D8C">
      <w:numFmt w:val="bullet"/>
      <w:lvlText w:val="•"/>
      <w:lvlJc w:val="left"/>
      <w:pPr>
        <w:ind w:left="4653" w:hanging="720"/>
      </w:pPr>
      <w:rPr>
        <w:rFonts w:hint="default"/>
      </w:rPr>
    </w:lvl>
    <w:lvl w:ilvl="3" w:tplc="0B32D1A2">
      <w:numFmt w:val="bullet"/>
      <w:lvlText w:val="•"/>
      <w:lvlJc w:val="left"/>
      <w:pPr>
        <w:ind w:left="5140" w:hanging="720"/>
      </w:pPr>
      <w:rPr>
        <w:rFonts w:hint="default"/>
      </w:rPr>
    </w:lvl>
    <w:lvl w:ilvl="4" w:tplc="E084DADA">
      <w:numFmt w:val="bullet"/>
      <w:lvlText w:val="•"/>
      <w:lvlJc w:val="left"/>
      <w:pPr>
        <w:ind w:left="5627" w:hanging="720"/>
      </w:pPr>
      <w:rPr>
        <w:rFonts w:hint="default"/>
      </w:rPr>
    </w:lvl>
    <w:lvl w:ilvl="5" w:tplc="A142D03C">
      <w:numFmt w:val="bullet"/>
      <w:lvlText w:val="•"/>
      <w:lvlJc w:val="left"/>
      <w:pPr>
        <w:ind w:left="6114" w:hanging="720"/>
      </w:pPr>
      <w:rPr>
        <w:rFonts w:hint="default"/>
      </w:rPr>
    </w:lvl>
    <w:lvl w:ilvl="6" w:tplc="4B68659E">
      <w:numFmt w:val="bullet"/>
      <w:lvlText w:val="•"/>
      <w:lvlJc w:val="left"/>
      <w:pPr>
        <w:ind w:left="6600" w:hanging="720"/>
      </w:pPr>
      <w:rPr>
        <w:rFonts w:hint="default"/>
      </w:rPr>
    </w:lvl>
    <w:lvl w:ilvl="7" w:tplc="D27A2902">
      <w:numFmt w:val="bullet"/>
      <w:lvlText w:val="•"/>
      <w:lvlJc w:val="left"/>
      <w:pPr>
        <w:ind w:left="7087" w:hanging="720"/>
      </w:pPr>
      <w:rPr>
        <w:rFonts w:hint="default"/>
      </w:rPr>
    </w:lvl>
    <w:lvl w:ilvl="8" w:tplc="8DBE23F2">
      <w:numFmt w:val="bullet"/>
      <w:lvlText w:val="•"/>
      <w:lvlJc w:val="left"/>
      <w:pPr>
        <w:ind w:left="7574" w:hanging="720"/>
      </w:pPr>
      <w:rPr>
        <w:rFonts w:hint="default"/>
      </w:rPr>
    </w:lvl>
  </w:abstractNum>
  <w:num w:numId="1">
    <w:abstractNumId w:val="16"/>
  </w:num>
  <w:num w:numId="2">
    <w:abstractNumId w:val="18"/>
  </w:num>
  <w:num w:numId="3">
    <w:abstractNumId w:val="19"/>
  </w:num>
  <w:num w:numId="4">
    <w:abstractNumId w:val="3"/>
  </w:num>
  <w:num w:numId="5">
    <w:abstractNumId w:val="9"/>
  </w:num>
  <w:num w:numId="6">
    <w:abstractNumId w:val="23"/>
  </w:num>
  <w:num w:numId="7">
    <w:abstractNumId w:val="22"/>
  </w:num>
  <w:num w:numId="8">
    <w:abstractNumId w:val="26"/>
  </w:num>
  <w:num w:numId="9">
    <w:abstractNumId w:val="20"/>
  </w:num>
  <w:num w:numId="10">
    <w:abstractNumId w:val="4"/>
  </w:num>
  <w:num w:numId="11">
    <w:abstractNumId w:val="25"/>
  </w:num>
  <w:num w:numId="12">
    <w:abstractNumId w:val="15"/>
  </w:num>
  <w:num w:numId="13">
    <w:abstractNumId w:val="27"/>
  </w:num>
  <w:num w:numId="14">
    <w:abstractNumId w:val="14"/>
  </w:num>
  <w:num w:numId="15">
    <w:abstractNumId w:val="10"/>
  </w:num>
  <w:num w:numId="16">
    <w:abstractNumId w:val="24"/>
  </w:num>
  <w:num w:numId="17">
    <w:abstractNumId w:val="21"/>
  </w:num>
  <w:num w:numId="18">
    <w:abstractNumId w:val="2"/>
  </w:num>
  <w:num w:numId="19">
    <w:abstractNumId w:val="5"/>
  </w:num>
  <w:num w:numId="20">
    <w:abstractNumId w:val="6"/>
  </w:num>
  <w:num w:numId="21">
    <w:abstractNumId w:val="13"/>
  </w:num>
  <w:num w:numId="22">
    <w:abstractNumId w:val="0"/>
  </w:num>
  <w:num w:numId="23">
    <w:abstractNumId w:val="8"/>
  </w:num>
  <w:num w:numId="24">
    <w:abstractNumId w:val="7"/>
  </w:num>
  <w:num w:numId="25">
    <w:abstractNumId w:val="11"/>
  </w:num>
  <w:num w:numId="26">
    <w:abstractNumId w:val="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13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D4C35"/>
    <w:rsid w:val="001D4C35"/>
    <w:rsid w:val="002B081F"/>
    <w:rsid w:val="00B82000"/>
    <w:rsid w:val="00C77555"/>
    <w:rsid w:val="00D65A23"/>
    <w:rsid w:val="00D76835"/>
    <w:rsid w:val="00D84817"/>
    <w:rsid w:val="00E44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36"/>
    <o:shapelayout v:ext="edit">
      <o:idmap v:ext="edit" data="2"/>
    </o:shapelayout>
  </w:shapeDefaults>
  <w:decimalSymbol w:val="."/>
  <w:listSeparator w:val=","/>
  <w14:docId w14:val="4474AA83"/>
  <w15:docId w15:val="{E50D917F-AA14-46F7-97A2-42B31135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192"/>
      <w:outlineLvl w:val="0"/>
    </w:pPr>
    <w:rPr>
      <w:b/>
      <w:bCs/>
      <w:sz w:val="32"/>
      <w:szCs w:val="32"/>
    </w:rPr>
  </w:style>
  <w:style w:type="paragraph" w:styleId="Heading2">
    <w:name w:val="heading 2"/>
    <w:basedOn w:val="Normal"/>
    <w:uiPriority w:val="9"/>
    <w:unhideWhenUsed/>
    <w:qFormat/>
    <w:pPr>
      <w:ind w:left="60"/>
      <w:outlineLvl w:val="1"/>
    </w:pPr>
    <w:rPr>
      <w:sz w:val="24"/>
      <w:szCs w:val="24"/>
    </w:rPr>
  </w:style>
  <w:style w:type="paragraph" w:styleId="Heading3">
    <w:name w:val="heading 3"/>
    <w:basedOn w:val="Normal"/>
    <w:uiPriority w:val="9"/>
    <w:unhideWhenUsed/>
    <w:qFormat/>
    <w:pPr>
      <w:ind w:left="3971"/>
      <w:outlineLvl w:val="2"/>
    </w:pPr>
    <w:rPr>
      <w:b/>
      <w:bCs/>
    </w:rPr>
  </w:style>
  <w:style w:type="paragraph" w:styleId="Heading4">
    <w:name w:val="heading 4"/>
    <w:basedOn w:val="Normal"/>
    <w:uiPriority w:val="9"/>
    <w:unhideWhenUsed/>
    <w:qFormat/>
    <w:pPr>
      <w:spacing w:before="100"/>
      <w:ind w:left="172"/>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1" w:hanging="360"/>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C77555"/>
    <w:pPr>
      <w:tabs>
        <w:tab w:val="center" w:pos="4513"/>
        <w:tab w:val="right" w:pos="9026"/>
      </w:tabs>
    </w:pPr>
  </w:style>
  <w:style w:type="character" w:customStyle="1" w:styleId="HeaderChar">
    <w:name w:val="Header Char"/>
    <w:basedOn w:val="DefaultParagraphFont"/>
    <w:link w:val="Header"/>
    <w:uiPriority w:val="99"/>
    <w:rsid w:val="00C77555"/>
    <w:rPr>
      <w:rFonts w:ascii="Cambria" w:eastAsia="Cambria" w:hAnsi="Cambria" w:cs="Cambria"/>
    </w:rPr>
  </w:style>
  <w:style w:type="paragraph" w:styleId="Footer">
    <w:name w:val="footer"/>
    <w:basedOn w:val="Normal"/>
    <w:link w:val="FooterChar"/>
    <w:uiPriority w:val="99"/>
    <w:unhideWhenUsed/>
    <w:rsid w:val="00C77555"/>
    <w:pPr>
      <w:tabs>
        <w:tab w:val="center" w:pos="4513"/>
        <w:tab w:val="right" w:pos="9026"/>
      </w:tabs>
    </w:pPr>
  </w:style>
  <w:style w:type="character" w:customStyle="1" w:styleId="FooterChar">
    <w:name w:val="Footer Char"/>
    <w:basedOn w:val="DefaultParagraphFont"/>
    <w:link w:val="Footer"/>
    <w:uiPriority w:val="99"/>
    <w:rsid w:val="00C7755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lex.europa.eu/legal-content/EN/TXT/?uri=CELEX%3A32019R0876" TargetMode="External"/><Relationship Id="rId18" Type="http://schemas.openxmlformats.org/officeDocument/2006/relationships/hyperlink" Target="https://www.eba.europa.eu/eba-publishes-final-guidelines-on-credit-institutions-credit-risk-management-practices-and-accounting-for-expected-credit-losses" TargetMode="External"/><Relationship Id="rId26" Type="http://schemas.openxmlformats.org/officeDocument/2006/relationships/hyperlink" Target="mailto:stefano.mazzocchi@afme.eu" TargetMode="External"/><Relationship Id="rId3" Type="http://schemas.openxmlformats.org/officeDocument/2006/relationships/settings" Target="settings.xml"/><Relationship Id="rId21" Type="http://schemas.openxmlformats.org/officeDocument/2006/relationships/hyperlink" Target="https://www.bis.org/basel_framework/chapter/MAR/21.htm?inforce=20230101&amp;published=20200327&amp;paragraph_MAR_21_20230101_21_31"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eur02.safelinks.protection.outlook.com/?url=https%3A%2F%2Furldefense.proofpoint.com%2Fv2%2Furl%3Fu%3Dhttps-3A__ec.europa.eu_info_publications_211027-2Dbanking-2Dpackage-5Fen%26d%3DDwQGaQ%26c%3DeuGZstcaTDllvimEN8b7jXrwqOf-v5A_CdpgnVfiiMM%26r%3DN3qb883yVypBXk_rGqOVxA%26m%3Dw1znmJXj46vNLQVM9yLLkXJoRI3YLdLZD4Q3Y4NtTZw%26s%3DvGqpSoUfsR1EMZzsura3KLa2IiMFxbRPulDYluhpGaw%26e%3D&amp;data=04%7C01%7C%7C615de8960d0b49f69b9608d9e5a30a2f%7Cd1039c55923b41d4ac3363147f66ea3d%7C0%7C0%7C637793311183857328%7CUnknown%7CTWFpbGZsb3d8eyJWIjoiMC4wLjAwMDAiLCJQIjoiV2luMzIiLCJBTiI6Ik1haWwiLCJXVCI6Mn0%3D%7C3000&amp;sdata=hFeFyAy91Uz8EbOp7xI%2BjAKLD5W0llQuJllCPiaryb8%3D&amp;reserved=0" TargetMode="External"/><Relationship Id="rId25" Type="http://schemas.openxmlformats.org/officeDocument/2006/relationships/hyperlink" Target="mailto:sahir.akbar@afme.eu" TargetMode="External"/><Relationship Id="rId2" Type="http://schemas.openxmlformats.org/officeDocument/2006/relationships/styles" Target="styles.xml"/><Relationship Id="rId16" Type="http://schemas.openxmlformats.org/officeDocument/2006/relationships/hyperlink" Target="https://ec.europa.eu/info/sites/default/files/business_economy_euro/growth_and_investment/documents/200610-cmu-high-level-forum-final-report_en.pdf"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slapinsonniere@isda.org" TargetMode="External"/><Relationship Id="rId5" Type="http://schemas.openxmlformats.org/officeDocument/2006/relationships/footnotes" Target="footnotes.xml"/><Relationship Id="rId15" Type="http://schemas.openxmlformats.org/officeDocument/2006/relationships/hyperlink" Target="https://www.bis.org/fsi/fsisummaries/largeexpos.pdf" TargetMode="External"/><Relationship Id="rId23" Type="http://schemas.openxmlformats.org/officeDocument/2006/relationships/hyperlink" Target="mailto:gjones@isda.org" TargetMode="External"/><Relationship Id="rId28" Type="http://schemas.openxmlformats.org/officeDocument/2006/relationships/hyperlink" Target="http://www.afme.eu/" TargetMode="External"/><Relationship Id="rId10" Type="http://schemas.openxmlformats.org/officeDocument/2006/relationships/footer" Target="footer1.xml"/><Relationship Id="rId19" Type="http://schemas.openxmlformats.org/officeDocument/2006/relationships/hyperlink" Target="https://www.eba.europa.eu/sites/default/documents/files/documents/10180/2033363/6b062012-45d6-4655-af04-801d26493ed0/Guidelines%20on%20PD%20and%20LGD%20estimation%20%28EBA-GL-2017-16%29.pdf?retry=1" TargetMode="External"/><Relationship Id="rId4" Type="http://schemas.openxmlformats.org/officeDocument/2006/relationships/webSettings" Target="webSettings.xml"/><Relationship Id="rId9" Type="http://schemas.openxmlformats.org/officeDocument/2006/relationships/hyperlink" Target="https://www.bis.org/basel_framework/chapter/CRE/50.htm" TargetMode="External"/><Relationship Id="rId14" Type="http://schemas.openxmlformats.org/officeDocument/2006/relationships/hyperlink" Target="https://www.isda.org/a/hTiDE/isda-sa-ccr-briefing-paper-final1.pdf" TargetMode="External"/><Relationship Id="rId22" Type="http://schemas.openxmlformats.org/officeDocument/2006/relationships/hyperlink" Target="https://www.bis.org/basel_framework/chapter/CRE/52.htm" TargetMode="External"/><Relationship Id="rId27" Type="http://schemas.openxmlformats.org/officeDocument/2006/relationships/hyperlink" Target="http://www.isd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5817</Words>
  <Characters>33159</Characters>
  <Application>Microsoft Office Word</Application>
  <DocSecurity>0</DocSecurity>
  <Lines>276</Lines>
  <Paragraphs>77</Paragraphs>
  <ScaleCrop>false</ScaleCrop>
  <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amillar</dc:creator>
  <cp:lastModifiedBy>Sandrine Lapinsonniere</cp:lastModifiedBy>
  <cp:revision>7</cp:revision>
  <dcterms:created xsi:type="dcterms:W3CDTF">2022-03-09T10:36:00Z</dcterms:created>
  <dcterms:modified xsi:type="dcterms:W3CDTF">2022-03-22T07:24:00Z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21 for Word</vt:lpwstr>
  </property>
  <property fmtid="{D5CDD505-2E9C-101B-9397-08002B2CF9AE}" pid="4" name="LastSaved">
    <vt:filetime>2022-03-09T00:00:00Z</vt:filetime>
  </property>
</Properties>
</file>